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23, 2015 (March 19, 2015)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60" w:firstLine="324"/>
        <w:spacing w:after="0" w:line="255" w:lineRule="auto"/>
        <w:rPr>
          <w:sz w:val="20"/>
          <w:szCs w:val="20"/>
          <w:color w:val="auto"/>
        </w:rPr>
      </w:pPr>
      <w:r>
        <w:rPr>
          <w:rFonts w:ascii="Arial" w:cs="Arial" w:eastAsia="Arial" w:hAnsi="Arial"/>
          <w:sz w:val="18"/>
          <w:szCs w:val="18"/>
          <w:color w:val="auto"/>
        </w:rPr>
        <w:t>On March 19, 2015,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 credit agreement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the Company, as a borrower and guarantor; certain direct and indirect subsidiaries of the Company, as the initial subsidiary borrowers; JPMorgan Chase Bank, N.A., as administrative agent; Bank of America, N.A. and U.S. Bank National Association, as co-syndication agents; Barclays Bank PLC, Citibank, N.A., Credit Suisse AG, Cayman Islands Branch, Fifth Third Bank and Morgan Stanley MUFG Loan Partners, LLC, as co-documentation agents; JPMorgan Chase Bank, N.A., Bank of America, N.A. and U.S. Bank National Association, as the issuing banks; JPMorgan Chase Bank, N.A., as the swingline lender; and the other lenders party thereto from time to time.</w:t>
      </w:r>
    </w:p>
    <w:p>
      <w:pPr>
        <w:spacing w:after="0" w:line="193" w:lineRule="exact"/>
        <w:rPr>
          <w:sz w:val="24"/>
          <w:szCs w:val="24"/>
          <w:color w:val="auto"/>
        </w:rPr>
      </w:pPr>
    </w:p>
    <w:p>
      <w:pPr>
        <w:ind w:firstLine="324"/>
        <w:spacing w:after="0" w:line="273" w:lineRule="auto"/>
        <w:rPr>
          <w:sz w:val="20"/>
          <w:szCs w:val="20"/>
          <w:color w:val="auto"/>
        </w:rPr>
      </w:pPr>
      <w:r>
        <w:rPr>
          <w:rFonts w:ascii="Arial" w:cs="Arial" w:eastAsia="Arial" w:hAnsi="Arial"/>
          <w:sz w:val="17"/>
          <w:szCs w:val="17"/>
          <w:color w:val="auto"/>
        </w:rPr>
        <w:t>The Credit Agreement provides for a $750 million senior unsecured five-year revolving credit facility (with a $25 million sublimit for swingline borrowings and a $100 million sublimit for letters of credit) (the “</w:t>
      </w:r>
      <w:r>
        <w:rPr>
          <w:rFonts w:ascii="Arial" w:cs="Arial" w:eastAsia="Arial" w:hAnsi="Arial"/>
          <w:sz w:val="17"/>
          <w:szCs w:val="17"/>
          <w:u w:val="single" w:color="auto"/>
          <w:color w:val="auto"/>
        </w:rPr>
        <w:t>Credit Facility</w:t>
      </w:r>
      <w:r>
        <w:rPr>
          <w:rFonts w:ascii="Arial" w:cs="Arial" w:eastAsia="Arial" w:hAnsi="Arial"/>
          <w:sz w:val="17"/>
          <w:szCs w:val="17"/>
          <w:color w:val="auto"/>
        </w:rPr>
        <w:t>”). The loans under the Credit Facility have a variable interest rate based on either the London Interbank Offered Rate or the alternate base rate (or other applicable rate with respect to non-dollar borrowings), plus an applicable margin that varies with the Company’s debt rating and total leverage ratio. The Credit Agreement includes an option for the Company to elect to increase the commitments under the Credit Facility and/or to enter into one or more tranches of term loans in the aggregate principal amount of up to $250 million, subject to the consent of the lenders providing the additional commitments or term loans, as applicable, and certain other conditions.</w:t>
      </w:r>
    </w:p>
    <w:p>
      <w:pPr>
        <w:spacing w:after="0" w:line="178" w:lineRule="exact"/>
        <w:rPr>
          <w:sz w:val="24"/>
          <w:szCs w:val="24"/>
          <w:color w:val="auto"/>
        </w:rPr>
      </w:pPr>
    </w:p>
    <w:p>
      <w:pPr>
        <w:ind w:right="80" w:firstLine="324"/>
        <w:spacing w:after="0" w:line="277" w:lineRule="auto"/>
        <w:rPr>
          <w:sz w:val="20"/>
          <w:szCs w:val="20"/>
          <w:color w:val="auto"/>
        </w:rPr>
      </w:pPr>
      <w:r>
        <w:rPr>
          <w:rFonts w:ascii="Arial" w:cs="Arial" w:eastAsia="Arial" w:hAnsi="Arial"/>
          <w:sz w:val="18"/>
          <w:szCs w:val="18"/>
          <w:color w:val="auto"/>
        </w:rPr>
        <w:t>The proceeds of the loans under the Credit Facility may be used to finance the working capital needs, and for general corporate or other lawful purposes, of Regeneron and its subsidiaries. The Company has guaranteed all obligations under the Credit Facility.</w:t>
      </w:r>
    </w:p>
    <w:p>
      <w:pPr>
        <w:spacing w:after="0" w:line="170" w:lineRule="exact"/>
        <w:rPr>
          <w:sz w:val="24"/>
          <w:szCs w:val="24"/>
          <w:color w:val="auto"/>
        </w:rPr>
      </w:pPr>
    </w:p>
    <w:p>
      <w:pPr>
        <w:ind w:firstLine="324"/>
        <w:spacing w:after="0" w:line="288" w:lineRule="auto"/>
        <w:rPr>
          <w:sz w:val="20"/>
          <w:szCs w:val="20"/>
          <w:color w:val="auto"/>
        </w:rPr>
      </w:pPr>
      <w:r>
        <w:rPr>
          <w:rFonts w:ascii="Arial" w:cs="Arial" w:eastAsia="Arial" w:hAnsi="Arial"/>
          <w:sz w:val="16"/>
          <w:szCs w:val="16"/>
          <w:color w:val="auto"/>
        </w:rPr>
        <w:t>The Credit Agreement contains financial and operating covenants. Financial covenants include a maximum total leverage ratio and a minimum interest expense coverage ratio. Operating covenants include, among other things, limitations on (i) the incurrence of indebtedness, (ii) liens on assets of the Company and its subsidiaries, (iii) certain fundamental changes and the disposition of assets by the Company and its subsidiaries, (iv) entering into swap agreements,</w:t>
      </w:r>
    </w:p>
    <w:p>
      <w:pPr>
        <w:ind w:right="220" w:firstLine="8"/>
        <w:spacing w:after="0" w:line="323" w:lineRule="auto"/>
        <w:tabs>
          <w:tab w:leader="none" w:pos="255" w:val="left"/>
        </w:tabs>
        <w:numPr>
          <w:ilvl w:val="0"/>
          <w:numId w:val="1"/>
        </w:numPr>
        <w:rPr>
          <w:rFonts w:ascii="Arial" w:cs="Arial" w:eastAsia="Arial" w:hAnsi="Arial"/>
          <w:sz w:val="16"/>
          <w:szCs w:val="16"/>
          <w:color w:val="auto"/>
        </w:rPr>
      </w:pPr>
      <w:r>
        <w:rPr>
          <w:rFonts w:ascii="Arial" w:cs="Arial" w:eastAsia="Arial" w:hAnsi="Arial"/>
          <w:sz w:val="16"/>
          <w:szCs w:val="16"/>
          <w:color w:val="auto"/>
        </w:rPr>
        <w:t>entering into affiliate transactions and (vi) the payment of dividends, distributions and certain other restricted payments in respect of the capital stock of the Company and its subsidiaries. The Credit Agreement contains other customary covenants, representations and warranties and events of default.</w:t>
      </w:r>
    </w:p>
    <w:p>
      <w:pPr>
        <w:spacing w:after="0" w:line="139" w:lineRule="exact"/>
        <w:rPr>
          <w:sz w:val="24"/>
          <w:szCs w:val="24"/>
          <w:color w:val="auto"/>
        </w:rPr>
      </w:pPr>
    </w:p>
    <w:p>
      <w:pPr>
        <w:jc w:val="center"/>
        <w:ind w:right="60"/>
        <w:spacing w:after="0" w:line="342" w:lineRule="auto"/>
        <w:rPr>
          <w:sz w:val="20"/>
          <w:szCs w:val="20"/>
          <w:color w:val="auto"/>
        </w:rPr>
      </w:pPr>
      <w:r>
        <w:rPr>
          <w:rFonts w:ascii="Arial" w:cs="Arial" w:eastAsia="Arial" w:hAnsi="Arial"/>
          <w:sz w:val="16"/>
          <w:szCs w:val="16"/>
          <w:color w:val="auto"/>
        </w:rPr>
        <w:t>The Credit Facility matures, and all amounts outstanding thereunder will become due and payable in full, on March 19, 2020. The Credit Agreement includes an option for the Company to elect to extend the maturity date of the Credit Facility, subject to the consent of the extending lenders and certain other</w:t>
      </w:r>
    </w:p>
    <w:p>
      <w:pPr>
        <w:sectPr>
          <w:pgSz w:w="11900" w:h="16838" w:orient="portrait"/>
          <w:cols w:equalWidth="0" w:num="1">
            <w:col w:w="11420"/>
          </w:cols>
          <w:pgMar w:left="240" w:top="544" w:right="239" w:bottom="0" w:gutter="0" w:footer="0" w:header="0"/>
        </w:sectPr>
      </w:pPr>
    </w:p>
    <w:bookmarkStart w:id="1" w:name="page2"/>
    <w:bookmarkEnd w:id="1"/>
    <w:p>
      <w:pPr>
        <w:ind w:right="480"/>
        <w:spacing w:after="0" w:line="277" w:lineRule="auto"/>
        <w:rPr>
          <w:sz w:val="20"/>
          <w:szCs w:val="20"/>
          <w:color w:val="auto"/>
        </w:rPr>
      </w:pPr>
      <w:r>
        <w:rPr>
          <w:rFonts w:ascii="Arial" w:cs="Arial" w:eastAsia="Arial" w:hAnsi="Arial"/>
          <w:sz w:val="18"/>
          <w:szCs w:val="18"/>
          <w:color w:val="auto"/>
        </w:rPr>
        <w:t>conditions. Amounts borrowed under the Credit Facility may be prepaid, and the commitments under the Credit Facility may be terminated, at any time without premium or penalty. As of the date of this report, no amounts were outstanding under the Credit Facility.</w:t>
      </w:r>
    </w:p>
    <w:p>
      <w:pPr>
        <w:spacing w:after="0" w:line="17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foregoing summary of the Credit Agreement is qualified in its entirety by the full text of the Credit Agreement, which is attached as Exhibit 10.1 hereto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On March 19, 2015, the Company entered into the Credit Agreement as described under Item 1.01 above. The description of the Credit Agreement set forth in Item 1.01 above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800" w:right="280" w:hanging="796"/>
        <w:spacing w:after="0" w:line="308"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Credit Agreement, dated as of March 19, 2015, by and among Regeneron Pharmaceuticals, Inc., as a borrower and guarantor; certain direct and indirect subsidiaries of Regeneron Pharmaceuticals, Inc., as the initial subsidiary borrowers; JPMorgan Chase Bank, N.A., as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0" w:right="160"/>
        <w:spacing w:after="0" w:line="259" w:lineRule="auto"/>
        <w:rPr>
          <w:sz w:val="20"/>
          <w:szCs w:val="20"/>
          <w:color w:val="auto"/>
        </w:rPr>
      </w:pPr>
      <w:r>
        <w:rPr>
          <w:rFonts w:ascii="Arial" w:cs="Arial" w:eastAsia="Arial" w:hAnsi="Arial"/>
          <w:sz w:val="18"/>
          <w:szCs w:val="18"/>
          <w:color w:val="auto"/>
        </w:rPr>
        <w:t>administrative agent; Bank of America, N.A. and U.S. Bank National Association, as co-syndication agents; Barclays Bank PLC, Citibank, N.A., Credit Suisse AG, Cayman Islands Branch, Fifth Third Bank and Morgan Stanley MUFG Loan Partners, LLC, as co-documentation agents; JPMorgan Chase Bank, N.A., Bank of America, N.A. and U.S. Bank National Association, as the issuing banks; JPMorgan Chase Bank, N.A., as the swingline lender; and the other lenders party thereto from time to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2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120" w:type="dxa"/>
            <w:vAlign w:val="bottom"/>
          </w:tcPr>
          <w:p>
            <w:pPr>
              <w:ind w:left="470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Credit Agreement, dated as of March 19, 2015, by and among Regeneron Pharmaceuticals, Inc., as a borrower and guarantor; certain direct</w:t>
            </w:r>
          </w:p>
        </w:tc>
      </w:tr>
      <w:tr>
        <w:trPr>
          <w:trHeight w:val="216"/>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8"/>
              </w:rPr>
              <w:t>and indirect subsidiaries of Regeneron Pharmaceuticals, Inc., as the initial subsidiary borrowers; JPMorgan Chase Bank, N.A., as</w:t>
            </w:r>
          </w:p>
        </w:tc>
      </w:tr>
      <w:tr>
        <w:trPr>
          <w:trHeight w:val="216"/>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administrative agent; Bank of America, N.A. and U.S. Bank National Association, as co-syndication agents; Barclays Bank PLC, Citibank,</w:t>
            </w:r>
          </w:p>
        </w:tc>
      </w:tr>
      <w:tr>
        <w:trPr>
          <w:trHeight w:val="216"/>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3"/>
              </w:rPr>
              <w:t>N.A., Credit Suisse AG, Cayman Islands Branch, Fifth Third Bank and Morgan Stanley MUFG Loan Partners, LLC, as co-documentation</w:t>
            </w:r>
          </w:p>
        </w:tc>
      </w:tr>
      <w:tr>
        <w:trPr>
          <w:trHeight w:val="216"/>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agents; JPMorgan Chase Bank, N.A., Bank of America, N.A. and U.S. Bank National Association, as the issuing banks; JPMorgan Chase</w:t>
            </w:r>
          </w:p>
        </w:tc>
      </w:tr>
      <w:tr>
        <w:trPr>
          <w:trHeight w:val="230"/>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Bank, N.A., as the swingline lender; and the other lenders party thereto from time to time.</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309245</wp:posOffset>
            </wp:positionV>
            <wp:extent cx="1680845" cy="368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084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19,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HEALTHCARE SOLUTIONS,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GENETICS CENTER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INTERNATIONAL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IRELAND HOLDINGS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IRELAND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CAPITAL INTERNATIONAL B.V.</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Other Subsidiary Borrowers Party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 OF AMERICA, N.A. and U.S.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Co-Syndication Agents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left="260" w:right="2640"/>
        <w:spacing w:after="0" w:line="262" w:lineRule="auto"/>
        <w:rPr>
          <w:sz w:val="20"/>
          <w:szCs w:val="20"/>
          <w:color w:val="auto"/>
        </w:rPr>
      </w:pPr>
      <w:r>
        <w:rPr>
          <w:rFonts w:ascii="Arial" w:cs="Arial" w:eastAsia="Arial" w:hAnsi="Arial"/>
          <w:sz w:val="18"/>
          <w:szCs w:val="18"/>
          <w:color w:val="auto"/>
        </w:rPr>
        <w:t>BARCLAYS BANK PLC, CITIBANK, N.A., CREDIT SUISSE AG, CAYMAN ISLANDS BRANCH, FIFTH THIRD BANK and MORGAN STANLEY MUFG LOAN PARTNERS, LLC 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333375</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MERRILL LYNCH, PIERCE, FENNER &amp; SMITH INCORPORATED,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426"/>
        </w:trPr>
        <w:tc>
          <w:tcPr>
            <w:tcW w:w="1084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SECTION 1.01.</w:t>
            </w:r>
          </w:p>
        </w:tc>
        <w:tc>
          <w:tcPr>
            <w:tcW w:w="9480" w:type="dxa"/>
            <w:vAlign w:val="bottom"/>
          </w:tcPr>
          <w:p>
            <w:pPr>
              <w:ind w:left="180"/>
              <w:spacing w:after="0"/>
              <w:rPr>
                <w:sz w:val="20"/>
                <w:szCs w:val="20"/>
                <w:color w:val="auto"/>
              </w:rPr>
            </w:pPr>
            <w:r>
              <w:rPr>
                <w:rFonts w:ascii="Arial" w:cs="Arial" w:eastAsia="Arial" w:hAnsi="Arial"/>
                <w:sz w:val="18"/>
                <w:szCs w:val="18"/>
                <w:color w:val="auto"/>
              </w:rPr>
              <w:t>DEFINED TERMS</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840" w:type="dxa"/>
            <w:vAlign w:val="bottom"/>
            <w:gridSpan w:val="2"/>
          </w:tcPr>
          <w:p>
            <w:pPr>
              <w:spacing w:after="0"/>
              <w:rPr>
                <w:sz w:val="20"/>
                <w:szCs w:val="20"/>
                <w:color w:val="auto"/>
              </w:rPr>
            </w:pPr>
            <w:r>
              <w:rPr>
                <w:rFonts w:ascii="Arial" w:cs="Arial" w:eastAsia="Arial" w:hAnsi="Arial"/>
                <w:sz w:val="18"/>
                <w:szCs w:val="18"/>
                <w:color w:val="auto"/>
                <w:w w:val="96"/>
              </w:rPr>
              <w:t>SECTION 1.02.CLASSIFICATION OF LOANS AND BORROWINGS</w:t>
            </w: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1.03.</w:t>
            </w:r>
          </w:p>
        </w:tc>
        <w:tc>
          <w:tcPr>
            <w:tcW w:w="9480" w:type="dxa"/>
            <w:vAlign w:val="bottom"/>
          </w:tcPr>
          <w:p>
            <w:pPr>
              <w:ind w:left="180"/>
              <w:spacing w:after="0"/>
              <w:rPr>
                <w:sz w:val="20"/>
                <w:szCs w:val="20"/>
                <w:color w:val="auto"/>
              </w:rPr>
            </w:pPr>
            <w:r>
              <w:rPr>
                <w:rFonts w:ascii="Arial" w:cs="Arial" w:eastAsia="Arial" w:hAnsi="Arial"/>
                <w:sz w:val="18"/>
                <w:szCs w:val="18"/>
                <w:color w:val="auto"/>
              </w:rPr>
              <w:t>TERMS GENERALLY</w:t>
            </w: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0840" w:type="dxa"/>
            <w:vAlign w:val="bottom"/>
            <w:gridSpan w:val="2"/>
          </w:tcPr>
          <w:p>
            <w:pPr>
              <w:spacing w:after="0"/>
              <w:rPr>
                <w:sz w:val="20"/>
                <w:szCs w:val="20"/>
                <w:color w:val="auto"/>
              </w:rPr>
            </w:pPr>
            <w:r>
              <w:rPr>
                <w:rFonts w:ascii="Arial" w:cs="Arial" w:eastAsia="Arial" w:hAnsi="Arial"/>
                <w:sz w:val="18"/>
                <w:szCs w:val="18"/>
                <w:color w:val="auto"/>
                <w:w w:val="96"/>
              </w:rPr>
              <w:t>SECTION 1.04.ACCOUNTING TERMS; GAAP; PRO FORMA CALCULATIONS</w:t>
            </w: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0840" w:type="dxa"/>
            <w:vAlign w:val="bottom"/>
            <w:gridSpan w:val="2"/>
          </w:tcPr>
          <w:p>
            <w:pPr>
              <w:spacing w:after="0"/>
              <w:rPr>
                <w:sz w:val="20"/>
                <w:szCs w:val="20"/>
                <w:color w:val="auto"/>
              </w:rPr>
            </w:pPr>
            <w:r>
              <w:rPr>
                <w:rFonts w:ascii="Arial" w:cs="Arial" w:eastAsia="Arial" w:hAnsi="Arial"/>
                <w:sz w:val="18"/>
                <w:szCs w:val="18"/>
                <w:color w:val="auto"/>
              </w:rPr>
              <w:t>ARTICLE II The Credits</w:t>
            </w: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SECTION 2.01.</w:t>
            </w:r>
          </w:p>
        </w:tc>
        <w:tc>
          <w:tcPr>
            <w:tcW w:w="9480" w:type="dxa"/>
            <w:vAlign w:val="bottom"/>
          </w:tcPr>
          <w:p>
            <w:pPr>
              <w:ind w:left="180"/>
              <w:spacing w:after="0"/>
              <w:rPr>
                <w:sz w:val="20"/>
                <w:szCs w:val="20"/>
                <w:color w:val="auto"/>
              </w:rPr>
            </w:pPr>
            <w:r>
              <w:rPr>
                <w:rFonts w:ascii="Arial" w:cs="Arial" w:eastAsia="Arial" w:hAnsi="Arial"/>
                <w:sz w:val="18"/>
                <w:szCs w:val="18"/>
                <w:color w:val="auto"/>
              </w:rPr>
              <w:t>COMMITMENTS</w:t>
            </w: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40" w:type="dxa"/>
            <w:vAlign w:val="bottom"/>
            <w:gridSpan w:val="2"/>
          </w:tcPr>
          <w:p>
            <w:pPr>
              <w:spacing w:after="0"/>
              <w:rPr>
                <w:sz w:val="20"/>
                <w:szCs w:val="20"/>
                <w:color w:val="auto"/>
              </w:rPr>
            </w:pPr>
            <w:r>
              <w:rPr>
                <w:rFonts w:ascii="Arial" w:cs="Arial" w:eastAsia="Arial" w:hAnsi="Arial"/>
                <w:sz w:val="18"/>
                <w:szCs w:val="18"/>
                <w:color w:val="auto"/>
                <w:w w:val="96"/>
              </w:rPr>
              <w:t>SECTION 2.02.LOANS AND BORROWINGS</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840" w:type="dxa"/>
            <w:vAlign w:val="bottom"/>
            <w:gridSpan w:val="2"/>
          </w:tcPr>
          <w:p>
            <w:pPr>
              <w:spacing w:after="0"/>
              <w:rPr>
                <w:sz w:val="20"/>
                <w:szCs w:val="20"/>
                <w:color w:val="auto"/>
              </w:rPr>
            </w:pPr>
            <w:r>
              <w:rPr>
                <w:rFonts w:ascii="Arial" w:cs="Arial" w:eastAsia="Arial" w:hAnsi="Arial"/>
                <w:sz w:val="18"/>
                <w:szCs w:val="18"/>
                <w:color w:val="auto"/>
                <w:w w:val="94"/>
              </w:rPr>
              <w:t>SECTION 2.03.REQUESTS FOR REVOLVING BORROWINGS</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840" w:type="dxa"/>
            <w:vAlign w:val="bottom"/>
            <w:gridSpan w:val="2"/>
          </w:tcPr>
          <w:p>
            <w:pPr>
              <w:spacing w:after="0"/>
              <w:rPr>
                <w:sz w:val="20"/>
                <w:szCs w:val="20"/>
                <w:color w:val="auto"/>
              </w:rPr>
            </w:pPr>
            <w:r>
              <w:rPr>
                <w:rFonts w:ascii="Arial" w:cs="Arial" w:eastAsia="Arial" w:hAnsi="Arial"/>
                <w:sz w:val="18"/>
                <w:szCs w:val="18"/>
                <w:color w:val="auto"/>
                <w:w w:val="97"/>
              </w:rPr>
              <w:t>SECTION 2.04.DETERMINATION OF DOLLAR AMOUNTS</w:t>
            </w: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2.05.</w:t>
            </w:r>
          </w:p>
        </w:tc>
        <w:tc>
          <w:tcPr>
            <w:tcW w:w="9480" w:type="dxa"/>
            <w:vAlign w:val="bottom"/>
          </w:tcPr>
          <w:p>
            <w:pPr>
              <w:ind w:left="180"/>
              <w:spacing w:after="0"/>
              <w:rPr>
                <w:sz w:val="20"/>
                <w:szCs w:val="20"/>
                <w:color w:val="auto"/>
              </w:rPr>
            </w:pPr>
            <w:r>
              <w:rPr>
                <w:rFonts w:ascii="Arial" w:cs="Arial" w:eastAsia="Arial" w:hAnsi="Arial"/>
                <w:sz w:val="18"/>
                <w:szCs w:val="18"/>
                <w:color w:val="auto"/>
              </w:rPr>
              <w:t>SWINGLINE LOANS</w:t>
            </w: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40" w:type="dxa"/>
            <w:vAlign w:val="bottom"/>
            <w:gridSpan w:val="2"/>
          </w:tcPr>
          <w:p>
            <w:pPr>
              <w:spacing w:after="0"/>
              <w:rPr>
                <w:sz w:val="20"/>
                <w:szCs w:val="20"/>
                <w:color w:val="auto"/>
              </w:rPr>
            </w:pPr>
            <w:r>
              <w:rPr>
                <w:rFonts w:ascii="Arial" w:cs="Arial" w:eastAsia="Arial" w:hAnsi="Arial"/>
                <w:sz w:val="18"/>
                <w:szCs w:val="18"/>
                <w:color w:val="auto"/>
                <w:w w:val="95"/>
              </w:rPr>
              <w:t>SECTION 2.06.LETTERS OF CREDIT</w:t>
            </w: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840" w:type="dxa"/>
            <w:vAlign w:val="bottom"/>
            <w:gridSpan w:val="2"/>
          </w:tcPr>
          <w:p>
            <w:pPr>
              <w:spacing w:after="0"/>
              <w:rPr>
                <w:sz w:val="20"/>
                <w:szCs w:val="20"/>
                <w:color w:val="auto"/>
              </w:rPr>
            </w:pPr>
            <w:r>
              <w:rPr>
                <w:rFonts w:ascii="Arial" w:cs="Arial" w:eastAsia="Arial" w:hAnsi="Arial"/>
                <w:sz w:val="18"/>
                <w:szCs w:val="18"/>
                <w:color w:val="auto"/>
                <w:w w:val="95"/>
              </w:rPr>
              <w:t>SECTION 2.07.FUNDING OF BORROWINGS</w:t>
            </w: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2.08.</w:t>
            </w:r>
          </w:p>
        </w:tc>
        <w:tc>
          <w:tcPr>
            <w:tcW w:w="9480" w:type="dxa"/>
            <w:vAlign w:val="bottom"/>
          </w:tcPr>
          <w:p>
            <w:pPr>
              <w:ind w:left="180"/>
              <w:spacing w:after="0"/>
              <w:rPr>
                <w:sz w:val="20"/>
                <w:szCs w:val="20"/>
                <w:color w:val="auto"/>
              </w:rPr>
            </w:pPr>
            <w:r>
              <w:rPr>
                <w:rFonts w:ascii="Arial" w:cs="Arial" w:eastAsia="Arial" w:hAnsi="Arial"/>
                <w:sz w:val="18"/>
                <w:szCs w:val="18"/>
                <w:color w:val="auto"/>
              </w:rPr>
              <w:t>INTEREST ELECTIONS</w:t>
            </w: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0840" w:type="dxa"/>
            <w:vAlign w:val="bottom"/>
            <w:gridSpan w:val="2"/>
          </w:tcPr>
          <w:p>
            <w:pPr>
              <w:spacing w:after="0"/>
              <w:rPr>
                <w:sz w:val="20"/>
                <w:szCs w:val="20"/>
                <w:color w:val="auto"/>
              </w:rPr>
            </w:pPr>
            <w:r>
              <w:rPr>
                <w:rFonts w:ascii="Arial" w:cs="Arial" w:eastAsia="Arial" w:hAnsi="Arial"/>
                <w:sz w:val="18"/>
                <w:szCs w:val="18"/>
                <w:color w:val="auto"/>
                <w:w w:val="98"/>
              </w:rPr>
              <w:t>SECTION 2.09.TERMINATION AND REDUCTION OF COMMITMENTS</w:t>
            </w: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2.10.</w:t>
            </w:r>
          </w:p>
        </w:tc>
        <w:tc>
          <w:tcPr>
            <w:tcW w:w="8080" w:type="dxa"/>
            <w:vAlign w:val="bottom"/>
          </w:tcPr>
          <w:p>
            <w:pPr>
              <w:ind w:left="180"/>
              <w:spacing w:after="0"/>
              <w:rPr>
                <w:sz w:val="20"/>
                <w:szCs w:val="20"/>
                <w:color w:val="auto"/>
              </w:rPr>
            </w:pPr>
            <w:r>
              <w:rPr>
                <w:rFonts w:ascii="Arial" w:cs="Arial" w:eastAsia="Arial" w:hAnsi="Arial"/>
                <w:sz w:val="18"/>
                <w:szCs w:val="18"/>
                <w:color w:val="auto"/>
              </w:rPr>
              <w:t>REPAYMENT OF LOANS; EVIDENCE OF DEBT</w:t>
            </w:r>
          </w:p>
        </w:tc>
        <w:tc>
          <w:tcPr>
            <w:tcW w:w="2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2.11.</w:t>
            </w:r>
          </w:p>
        </w:tc>
        <w:tc>
          <w:tcPr>
            <w:tcW w:w="8080" w:type="dxa"/>
            <w:vAlign w:val="bottom"/>
          </w:tcPr>
          <w:p>
            <w:pPr>
              <w:ind w:left="180"/>
              <w:spacing w:after="0"/>
              <w:rPr>
                <w:sz w:val="20"/>
                <w:szCs w:val="20"/>
                <w:color w:val="auto"/>
              </w:rPr>
            </w:pPr>
            <w:r>
              <w:rPr>
                <w:rFonts w:ascii="Arial" w:cs="Arial" w:eastAsia="Arial" w:hAnsi="Arial"/>
                <w:sz w:val="18"/>
                <w:szCs w:val="18"/>
                <w:color w:val="auto"/>
              </w:rPr>
              <w:t>PREPAYMENT OF LOANS</w:t>
            </w:r>
          </w:p>
        </w:tc>
        <w:tc>
          <w:tcPr>
            <w:tcW w:w="2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2.12.</w:t>
            </w:r>
          </w:p>
        </w:tc>
        <w:tc>
          <w:tcPr>
            <w:tcW w:w="8080" w:type="dxa"/>
            <w:vAlign w:val="bottom"/>
          </w:tcPr>
          <w:p>
            <w:pPr>
              <w:ind w:left="180"/>
              <w:spacing w:after="0"/>
              <w:rPr>
                <w:sz w:val="20"/>
                <w:szCs w:val="20"/>
                <w:color w:val="auto"/>
              </w:rPr>
            </w:pPr>
            <w:r>
              <w:rPr>
                <w:rFonts w:ascii="Arial" w:cs="Arial" w:eastAsia="Arial" w:hAnsi="Arial"/>
                <w:sz w:val="18"/>
                <w:szCs w:val="18"/>
                <w:color w:val="auto"/>
              </w:rPr>
              <w:t>FEES</w:t>
            </w:r>
          </w:p>
        </w:tc>
        <w:tc>
          <w:tcPr>
            <w:tcW w:w="2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2.13.</w:t>
            </w:r>
          </w:p>
        </w:tc>
        <w:tc>
          <w:tcPr>
            <w:tcW w:w="8080" w:type="dxa"/>
            <w:vAlign w:val="bottom"/>
          </w:tcPr>
          <w:p>
            <w:pPr>
              <w:ind w:left="180"/>
              <w:spacing w:after="0"/>
              <w:rPr>
                <w:sz w:val="20"/>
                <w:szCs w:val="20"/>
                <w:color w:val="auto"/>
              </w:rPr>
            </w:pPr>
            <w:r>
              <w:rPr>
                <w:rFonts w:ascii="Arial" w:cs="Arial" w:eastAsia="Arial" w:hAnsi="Arial"/>
                <w:sz w:val="18"/>
                <w:szCs w:val="18"/>
                <w:color w:val="auto"/>
              </w:rPr>
              <w:t>INTEREST</w:t>
            </w:r>
          </w:p>
        </w:tc>
        <w:tc>
          <w:tcPr>
            <w:tcW w:w="2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2.14.</w:t>
            </w:r>
          </w:p>
        </w:tc>
        <w:tc>
          <w:tcPr>
            <w:tcW w:w="8080" w:type="dxa"/>
            <w:vAlign w:val="bottom"/>
          </w:tcPr>
          <w:p>
            <w:pPr>
              <w:ind w:left="180"/>
              <w:spacing w:after="0"/>
              <w:rPr>
                <w:sz w:val="20"/>
                <w:szCs w:val="20"/>
                <w:color w:val="auto"/>
              </w:rPr>
            </w:pPr>
            <w:r>
              <w:rPr>
                <w:rFonts w:ascii="Arial" w:cs="Arial" w:eastAsia="Arial" w:hAnsi="Arial"/>
                <w:sz w:val="18"/>
                <w:szCs w:val="18"/>
                <w:color w:val="auto"/>
              </w:rPr>
              <w:t>ALTERNATE RATE OF INTEREST</w:t>
            </w:r>
          </w:p>
        </w:tc>
        <w:tc>
          <w:tcPr>
            <w:tcW w:w="2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2.15.</w:t>
            </w:r>
          </w:p>
        </w:tc>
        <w:tc>
          <w:tcPr>
            <w:tcW w:w="8080" w:type="dxa"/>
            <w:vAlign w:val="bottom"/>
          </w:tcPr>
          <w:p>
            <w:pPr>
              <w:ind w:left="180"/>
              <w:spacing w:after="0"/>
              <w:rPr>
                <w:sz w:val="20"/>
                <w:szCs w:val="20"/>
                <w:color w:val="auto"/>
              </w:rPr>
            </w:pPr>
            <w:r>
              <w:rPr>
                <w:rFonts w:ascii="Arial" w:cs="Arial" w:eastAsia="Arial" w:hAnsi="Arial"/>
                <w:sz w:val="18"/>
                <w:szCs w:val="18"/>
                <w:color w:val="auto"/>
              </w:rPr>
              <w:t>INCREASED COSTS</w:t>
            </w:r>
          </w:p>
        </w:tc>
        <w:tc>
          <w:tcPr>
            <w:tcW w:w="2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2.16.</w:t>
            </w:r>
          </w:p>
        </w:tc>
        <w:tc>
          <w:tcPr>
            <w:tcW w:w="8080" w:type="dxa"/>
            <w:vAlign w:val="bottom"/>
          </w:tcPr>
          <w:p>
            <w:pPr>
              <w:ind w:left="180"/>
              <w:spacing w:after="0"/>
              <w:rPr>
                <w:sz w:val="20"/>
                <w:szCs w:val="20"/>
                <w:color w:val="auto"/>
              </w:rPr>
            </w:pPr>
            <w:r>
              <w:rPr>
                <w:rFonts w:ascii="Arial" w:cs="Arial" w:eastAsia="Arial" w:hAnsi="Arial"/>
                <w:sz w:val="18"/>
                <w:szCs w:val="18"/>
                <w:color w:val="auto"/>
              </w:rPr>
              <w:t>BREAK FUNDING PAYMENTS</w:t>
            </w:r>
          </w:p>
        </w:tc>
        <w:tc>
          <w:tcPr>
            <w:tcW w:w="2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2.17.</w:t>
            </w:r>
          </w:p>
        </w:tc>
        <w:tc>
          <w:tcPr>
            <w:tcW w:w="8080" w:type="dxa"/>
            <w:vAlign w:val="bottom"/>
          </w:tcPr>
          <w:p>
            <w:pPr>
              <w:ind w:left="180"/>
              <w:spacing w:after="0"/>
              <w:rPr>
                <w:sz w:val="20"/>
                <w:szCs w:val="20"/>
                <w:color w:val="auto"/>
              </w:rPr>
            </w:pPr>
            <w:r>
              <w:rPr>
                <w:rFonts w:ascii="Arial" w:cs="Arial" w:eastAsia="Arial" w:hAnsi="Arial"/>
                <w:sz w:val="18"/>
                <w:szCs w:val="18"/>
                <w:color w:val="auto"/>
              </w:rPr>
              <w:t>TAXES</w:t>
            </w:r>
          </w:p>
        </w:tc>
        <w:tc>
          <w:tcPr>
            <w:tcW w:w="2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2.18.</w:t>
            </w:r>
          </w:p>
        </w:tc>
        <w:tc>
          <w:tcPr>
            <w:tcW w:w="8080" w:type="dxa"/>
            <w:vAlign w:val="bottom"/>
          </w:tcPr>
          <w:p>
            <w:pPr>
              <w:ind w:left="180"/>
              <w:spacing w:after="0"/>
              <w:rPr>
                <w:sz w:val="20"/>
                <w:szCs w:val="20"/>
                <w:color w:val="auto"/>
              </w:rPr>
            </w:pPr>
            <w:r>
              <w:rPr>
                <w:rFonts w:ascii="Arial" w:cs="Arial" w:eastAsia="Arial" w:hAnsi="Arial"/>
                <w:sz w:val="18"/>
                <w:szCs w:val="18"/>
                <w:color w:val="auto"/>
              </w:rPr>
              <w:t>PAYMENTS GENERALLY; PRO RATA TREATMENT; SHARING OF SET-OFFS</w:t>
            </w:r>
          </w:p>
        </w:tc>
        <w:tc>
          <w:tcPr>
            <w:tcW w:w="2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2.19.</w:t>
            </w:r>
          </w:p>
        </w:tc>
        <w:tc>
          <w:tcPr>
            <w:tcW w:w="8080" w:type="dxa"/>
            <w:vAlign w:val="bottom"/>
          </w:tcPr>
          <w:p>
            <w:pPr>
              <w:ind w:left="180"/>
              <w:spacing w:after="0"/>
              <w:rPr>
                <w:sz w:val="20"/>
                <w:szCs w:val="20"/>
                <w:color w:val="auto"/>
              </w:rPr>
            </w:pPr>
            <w:r>
              <w:rPr>
                <w:rFonts w:ascii="Arial" w:cs="Arial" w:eastAsia="Arial" w:hAnsi="Arial"/>
                <w:sz w:val="18"/>
                <w:szCs w:val="18"/>
                <w:color w:val="auto"/>
              </w:rPr>
              <w:t>MITIGATION OBLIGATIONS; REPLACEMENT OF LENDERS</w:t>
            </w:r>
          </w:p>
        </w:tc>
        <w:tc>
          <w:tcPr>
            <w:tcW w:w="2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2.20.</w:t>
            </w:r>
          </w:p>
        </w:tc>
        <w:tc>
          <w:tcPr>
            <w:tcW w:w="8080" w:type="dxa"/>
            <w:vAlign w:val="bottom"/>
          </w:tcPr>
          <w:p>
            <w:pPr>
              <w:ind w:left="180"/>
              <w:spacing w:after="0"/>
              <w:rPr>
                <w:sz w:val="20"/>
                <w:szCs w:val="20"/>
                <w:color w:val="auto"/>
              </w:rPr>
            </w:pPr>
            <w:r>
              <w:rPr>
                <w:rFonts w:ascii="Arial" w:cs="Arial" w:eastAsia="Arial" w:hAnsi="Arial"/>
                <w:sz w:val="18"/>
                <w:szCs w:val="18"/>
                <w:color w:val="auto"/>
              </w:rPr>
              <w:t>EXPANSION OPTION</w:t>
            </w:r>
          </w:p>
        </w:tc>
        <w:tc>
          <w:tcPr>
            <w:tcW w:w="2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2.21.</w:t>
            </w:r>
          </w:p>
        </w:tc>
        <w:tc>
          <w:tcPr>
            <w:tcW w:w="8080" w:type="dxa"/>
            <w:vAlign w:val="bottom"/>
          </w:tcPr>
          <w:p>
            <w:pPr>
              <w:ind w:left="180"/>
              <w:spacing w:after="0"/>
              <w:rPr>
                <w:sz w:val="20"/>
                <w:szCs w:val="20"/>
                <w:color w:val="auto"/>
              </w:rPr>
            </w:pPr>
            <w:r>
              <w:rPr>
                <w:rFonts w:ascii="Arial" w:cs="Arial" w:eastAsia="Arial" w:hAnsi="Arial"/>
                <w:sz w:val="18"/>
                <w:szCs w:val="18"/>
                <w:color w:val="auto"/>
              </w:rPr>
              <w:t>EXTENSION OF MATURITY DATE</w:t>
            </w:r>
          </w:p>
        </w:tc>
        <w:tc>
          <w:tcPr>
            <w:tcW w:w="2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2.22.</w:t>
            </w:r>
          </w:p>
        </w:tc>
        <w:tc>
          <w:tcPr>
            <w:tcW w:w="8080" w:type="dxa"/>
            <w:vAlign w:val="bottom"/>
          </w:tcPr>
          <w:p>
            <w:pPr>
              <w:ind w:left="180"/>
              <w:spacing w:after="0"/>
              <w:rPr>
                <w:sz w:val="20"/>
                <w:szCs w:val="20"/>
                <w:color w:val="auto"/>
              </w:rPr>
            </w:pPr>
            <w:r>
              <w:rPr>
                <w:rFonts w:ascii="Arial" w:cs="Arial" w:eastAsia="Arial" w:hAnsi="Arial"/>
                <w:sz w:val="18"/>
                <w:szCs w:val="18"/>
                <w:color w:val="auto"/>
              </w:rPr>
              <w:t>JUDGMENT CURRENCY</w:t>
            </w:r>
          </w:p>
        </w:tc>
        <w:tc>
          <w:tcPr>
            <w:tcW w:w="2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2.23.</w:t>
            </w:r>
          </w:p>
        </w:tc>
        <w:tc>
          <w:tcPr>
            <w:tcW w:w="8080" w:type="dxa"/>
            <w:vAlign w:val="bottom"/>
          </w:tcPr>
          <w:p>
            <w:pPr>
              <w:ind w:left="180"/>
              <w:spacing w:after="0"/>
              <w:rPr>
                <w:sz w:val="20"/>
                <w:szCs w:val="20"/>
                <w:color w:val="auto"/>
              </w:rPr>
            </w:pPr>
            <w:r>
              <w:rPr>
                <w:rFonts w:ascii="Arial" w:cs="Arial" w:eastAsia="Arial" w:hAnsi="Arial"/>
                <w:sz w:val="18"/>
                <w:szCs w:val="18"/>
                <w:color w:val="auto"/>
              </w:rPr>
              <w:t>DESIGNATION OF SUBSIDIARY BORROWERS</w:t>
            </w:r>
          </w:p>
        </w:tc>
        <w:tc>
          <w:tcPr>
            <w:tcW w:w="2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2.24.</w:t>
            </w:r>
          </w:p>
        </w:tc>
        <w:tc>
          <w:tcPr>
            <w:tcW w:w="8080" w:type="dxa"/>
            <w:vAlign w:val="bottom"/>
          </w:tcPr>
          <w:p>
            <w:pPr>
              <w:ind w:left="180"/>
              <w:spacing w:after="0"/>
              <w:rPr>
                <w:sz w:val="20"/>
                <w:szCs w:val="20"/>
                <w:color w:val="auto"/>
              </w:rPr>
            </w:pPr>
            <w:r>
              <w:rPr>
                <w:rFonts w:ascii="Arial" w:cs="Arial" w:eastAsia="Arial" w:hAnsi="Arial"/>
                <w:sz w:val="18"/>
                <w:szCs w:val="18"/>
                <w:color w:val="auto"/>
              </w:rPr>
              <w:t>DEFAULTING LENDERS</w:t>
            </w:r>
          </w:p>
        </w:tc>
        <w:tc>
          <w:tcPr>
            <w:tcW w:w="20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944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w:t>
            </w:r>
          </w:p>
        </w:tc>
        <w:tc>
          <w:tcPr>
            <w:tcW w:w="20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SECTION 3.01.</w:t>
            </w:r>
          </w:p>
        </w:tc>
        <w:tc>
          <w:tcPr>
            <w:tcW w:w="8080" w:type="dxa"/>
            <w:vAlign w:val="bottom"/>
          </w:tcPr>
          <w:p>
            <w:pPr>
              <w:ind w:left="180"/>
              <w:spacing w:after="0"/>
              <w:rPr>
                <w:sz w:val="20"/>
                <w:szCs w:val="20"/>
                <w:color w:val="auto"/>
              </w:rPr>
            </w:pPr>
            <w:r>
              <w:rPr>
                <w:rFonts w:ascii="Arial" w:cs="Arial" w:eastAsia="Arial" w:hAnsi="Arial"/>
                <w:sz w:val="18"/>
                <w:szCs w:val="18"/>
                <w:color w:val="auto"/>
              </w:rPr>
              <w:t>ORGANIZATION; POWERS; SUBSIDIARIES</w:t>
            </w:r>
          </w:p>
        </w:tc>
        <w:tc>
          <w:tcPr>
            <w:tcW w:w="20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3.02.</w:t>
            </w:r>
          </w:p>
        </w:tc>
        <w:tc>
          <w:tcPr>
            <w:tcW w:w="8080" w:type="dxa"/>
            <w:vAlign w:val="bottom"/>
          </w:tcPr>
          <w:p>
            <w:pPr>
              <w:ind w:left="180"/>
              <w:spacing w:after="0"/>
              <w:rPr>
                <w:sz w:val="20"/>
                <w:szCs w:val="20"/>
                <w:color w:val="auto"/>
              </w:rPr>
            </w:pPr>
            <w:r>
              <w:rPr>
                <w:rFonts w:ascii="Arial" w:cs="Arial" w:eastAsia="Arial" w:hAnsi="Arial"/>
                <w:sz w:val="18"/>
                <w:szCs w:val="18"/>
                <w:color w:val="auto"/>
              </w:rPr>
              <w:t>AUTHORIZATION; ENFORCEABILITY</w:t>
            </w:r>
          </w:p>
        </w:tc>
        <w:tc>
          <w:tcPr>
            <w:tcW w:w="20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3.03.</w:t>
            </w:r>
          </w:p>
        </w:tc>
        <w:tc>
          <w:tcPr>
            <w:tcW w:w="8080" w:type="dxa"/>
            <w:vAlign w:val="bottom"/>
          </w:tcPr>
          <w:p>
            <w:pPr>
              <w:ind w:left="180"/>
              <w:spacing w:after="0"/>
              <w:rPr>
                <w:sz w:val="20"/>
                <w:szCs w:val="20"/>
                <w:color w:val="auto"/>
              </w:rPr>
            </w:pPr>
            <w:r>
              <w:rPr>
                <w:rFonts w:ascii="Arial" w:cs="Arial" w:eastAsia="Arial" w:hAnsi="Arial"/>
                <w:sz w:val="18"/>
                <w:szCs w:val="18"/>
                <w:color w:val="auto"/>
              </w:rPr>
              <w:t>GOVERNMENTAL APPROVALS; NO CONFLICTS</w:t>
            </w:r>
          </w:p>
        </w:tc>
        <w:tc>
          <w:tcPr>
            <w:tcW w:w="20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3.04.</w:t>
            </w:r>
          </w:p>
        </w:tc>
        <w:tc>
          <w:tcPr>
            <w:tcW w:w="8080" w:type="dxa"/>
            <w:vAlign w:val="bottom"/>
          </w:tcPr>
          <w:p>
            <w:pPr>
              <w:ind w:left="180"/>
              <w:spacing w:after="0"/>
              <w:rPr>
                <w:sz w:val="20"/>
                <w:szCs w:val="20"/>
                <w:color w:val="auto"/>
              </w:rPr>
            </w:pPr>
            <w:r>
              <w:rPr>
                <w:rFonts w:ascii="Arial" w:cs="Arial" w:eastAsia="Arial" w:hAnsi="Arial"/>
                <w:sz w:val="18"/>
                <w:szCs w:val="18"/>
                <w:color w:val="auto"/>
              </w:rPr>
              <w:t>FINANCIAL CONDITION; NO MATERIAL ADVERSE CHANGE</w:t>
            </w:r>
          </w:p>
        </w:tc>
        <w:tc>
          <w:tcPr>
            <w:tcW w:w="20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3.05.</w:t>
            </w:r>
          </w:p>
        </w:tc>
        <w:tc>
          <w:tcPr>
            <w:tcW w:w="8080" w:type="dxa"/>
            <w:vAlign w:val="bottom"/>
          </w:tcPr>
          <w:p>
            <w:pPr>
              <w:ind w:left="180"/>
              <w:spacing w:after="0"/>
              <w:rPr>
                <w:sz w:val="20"/>
                <w:szCs w:val="20"/>
                <w:color w:val="auto"/>
              </w:rPr>
            </w:pPr>
            <w:r>
              <w:rPr>
                <w:rFonts w:ascii="Arial" w:cs="Arial" w:eastAsia="Arial" w:hAnsi="Arial"/>
                <w:sz w:val="18"/>
                <w:szCs w:val="18"/>
                <w:color w:val="auto"/>
              </w:rPr>
              <w:t>PROPERTIES</w:t>
            </w:r>
          </w:p>
        </w:tc>
        <w:tc>
          <w:tcPr>
            <w:tcW w:w="20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3.06.</w:t>
            </w:r>
          </w:p>
        </w:tc>
        <w:tc>
          <w:tcPr>
            <w:tcW w:w="8080" w:type="dxa"/>
            <w:vAlign w:val="bottom"/>
          </w:tcPr>
          <w:p>
            <w:pPr>
              <w:ind w:left="180"/>
              <w:spacing w:after="0"/>
              <w:rPr>
                <w:sz w:val="20"/>
                <w:szCs w:val="20"/>
                <w:color w:val="auto"/>
              </w:rPr>
            </w:pPr>
            <w:r>
              <w:rPr>
                <w:rFonts w:ascii="Arial" w:cs="Arial" w:eastAsia="Arial" w:hAnsi="Arial"/>
                <w:sz w:val="18"/>
                <w:szCs w:val="18"/>
                <w:color w:val="auto"/>
              </w:rPr>
              <w:t>LITIGATION AND ENVIRONMENTAL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3.07.</w:t>
            </w:r>
          </w:p>
        </w:tc>
        <w:tc>
          <w:tcPr>
            <w:tcW w:w="8080" w:type="dxa"/>
            <w:vAlign w:val="bottom"/>
          </w:tcPr>
          <w:p>
            <w:pPr>
              <w:ind w:left="180"/>
              <w:spacing w:after="0"/>
              <w:rPr>
                <w:sz w:val="20"/>
                <w:szCs w:val="20"/>
                <w:color w:val="auto"/>
              </w:rPr>
            </w:pPr>
            <w:r>
              <w:rPr>
                <w:rFonts w:ascii="Arial" w:cs="Arial" w:eastAsia="Arial" w:hAnsi="Arial"/>
                <w:sz w:val="18"/>
                <w:szCs w:val="18"/>
                <w:color w:val="auto"/>
              </w:rPr>
              <w:t>COMPLIANCE WITH LAWS</w:t>
            </w:r>
          </w:p>
        </w:tc>
        <w:tc>
          <w:tcPr>
            <w:tcW w:w="2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3.08.</w:t>
            </w:r>
          </w:p>
        </w:tc>
        <w:tc>
          <w:tcPr>
            <w:tcW w:w="8080" w:type="dxa"/>
            <w:vAlign w:val="bottom"/>
          </w:tcPr>
          <w:p>
            <w:pPr>
              <w:ind w:left="180"/>
              <w:spacing w:after="0"/>
              <w:rPr>
                <w:sz w:val="20"/>
                <w:szCs w:val="20"/>
                <w:color w:val="auto"/>
              </w:rPr>
            </w:pPr>
            <w:r>
              <w:rPr>
                <w:rFonts w:ascii="Arial" w:cs="Arial" w:eastAsia="Arial" w:hAnsi="Arial"/>
                <w:sz w:val="18"/>
                <w:szCs w:val="18"/>
                <w:color w:val="auto"/>
              </w:rPr>
              <w:t>INVESTMENT COMPANY STATUS</w:t>
            </w:r>
          </w:p>
        </w:tc>
        <w:tc>
          <w:tcPr>
            <w:tcW w:w="2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3.09.</w:t>
            </w:r>
          </w:p>
        </w:tc>
        <w:tc>
          <w:tcPr>
            <w:tcW w:w="8080" w:type="dxa"/>
            <w:vAlign w:val="bottom"/>
          </w:tcPr>
          <w:p>
            <w:pPr>
              <w:ind w:left="180"/>
              <w:spacing w:after="0"/>
              <w:rPr>
                <w:sz w:val="20"/>
                <w:szCs w:val="20"/>
                <w:color w:val="auto"/>
              </w:rPr>
            </w:pPr>
            <w:r>
              <w:rPr>
                <w:rFonts w:ascii="Arial" w:cs="Arial" w:eastAsia="Arial" w:hAnsi="Arial"/>
                <w:sz w:val="18"/>
                <w:szCs w:val="18"/>
                <w:color w:val="auto"/>
              </w:rPr>
              <w:t>TAXES</w:t>
            </w:r>
          </w:p>
        </w:tc>
        <w:tc>
          <w:tcPr>
            <w:tcW w:w="2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3.10.</w:t>
            </w:r>
          </w:p>
        </w:tc>
        <w:tc>
          <w:tcPr>
            <w:tcW w:w="8080" w:type="dxa"/>
            <w:vAlign w:val="bottom"/>
          </w:tcPr>
          <w:p>
            <w:pPr>
              <w:ind w:left="180"/>
              <w:spacing w:after="0"/>
              <w:rPr>
                <w:sz w:val="20"/>
                <w:szCs w:val="20"/>
                <w:color w:val="auto"/>
              </w:rPr>
            </w:pPr>
            <w:r>
              <w:rPr>
                <w:rFonts w:ascii="Arial" w:cs="Arial" w:eastAsia="Arial" w:hAnsi="Arial"/>
                <w:sz w:val="18"/>
                <w:szCs w:val="18"/>
                <w:color w:val="auto"/>
              </w:rPr>
              <w:t>ERISA</w:t>
            </w:r>
          </w:p>
        </w:tc>
        <w:tc>
          <w:tcPr>
            <w:tcW w:w="20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3.11.</w:t>
            </w:r>
          </w:p>
        </w:tc>
        <w:tc>
          <w:tcPr>
            <w:tcW w:w="8080" w:type="dxa"/>
            <w:vAlign w:val="bottom"/>
          </w:tcPr>
          <w:p>
            <w:pPr>
              <w:ind w:left="180"/>
              <w:spacing w:after="0"/>
              <w:rPr>
                <w:sz w:val="20"/>
                <w:szCs w:val="20"/>
                <w:color w:val="auto"/>
              </w:rPr>
            </w:pPr>
            <w:r>
              <w:rPr>
                <w:rFonts w:ascii="Arial" w:cs="Arial" w:eastAsia="Arial" w:hAnsi="Arial"/>
                <w:sz w:val="18"/>
                <w:szCs w:val="18"/>
                <w:color w:val="auto"/>
              </w:rPr>
              <w:t>DISCLOSURE</w:t>
            </w:r>
          </w:p>
        </w:tc>
        <w:tc>
          <w:tcPr>
            <w:tcW w:w="20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3.12.</w:t>
            </w:r>
          </w:p>
        </w:tc>
        <w:tc>
          <w:tcPr>
            <w:tcW w:w="8080" w:type="dxa"/>
            <w:vAlign w:val="bottom"/>
          </w:tcPr>
          <w:p>
            <w:pPr>
              <w:ind w:left="180"/>
              <w:spacing w:after="0"/>
              <w:rPr>
                <w:sz w:val="20"/>
                <w:szCs w:val="20"/>
                <w:color w:val="auto"/>
              </w:rPr>
            </w:pPr>
            <w:r>
              <w:rPr>
                <w:rFonts w:ascii="Arial" w:cs="Arial" w:eastAsia="Arial" w:hAnsi="Arial"/>
                <w:sz w:val="18"/>
                <w:szCs w:val="18"/>
                <w:color w:val="auto"/>
              </w:rPr>
              <w:t>FEDERAL RESERVE REGULATIONS</w:t>
            </w:r>
          </w:p>
        </w:tc>
        <w:tc>
          <w:tcPr>
            <w:tcW w:w="20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3.13.</w:t>
            </w:r>
          </w:p>
        </w:tc>
        <w:tc>
          <w:tcPr>
            <w:tcW w:w="8080" w:type="dxa"/>
            <w:vAlign w:val="bottom"/>
          </w:tcPr>
          <w:p>
            <w:pPr>
              <w:ind w:left="180"/>
              <w:spacing w:after="0"/>
              <w:rPr>
                <w:sz w:val="20"/>
                <w:szCs w:val="20"/>
                <w:color w:val="auto"/>
              </w:rPr>
            </w:pPr>
            <w:r>
              <w:rPr>
                <w:rFonts w:ascii="Arial" w:cs="Arial" w:eastAsia="Arial" w:hAnsi="Arial"/>
                <w:sz w:val="18"/>
                <w:szCs w:val="18"/>
                <w:color w:val="auto"/>
              </w:rPr>
              <w:t>NO DEFAULT</w:t>
            </w:r>
          </w:p>
        </w:tc>
        <w:tc>
          <w:tcPr>
            <w:tcW w:w="20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48"/>
        </w:trPr>
        <w:tc>
          <w:tcPr>
            <w:tcW w:w="1360" w:type="dxa"/>
            <w:vAlign w:val="bottom"/>
            <w:tcBorders>
              <w:bottom w:val="single" w:sz="8" w:color="010101"/>
            </w:tcBorders>
          </w:tcPr>
          <w:p>
            <w:pPr>
              <w:spacing w:after="0"/>
              <w:rPr>
                <w:sz w:val="24"/>
                <w:szCs w:val="24"/>
                <w:color w:val="auto"/>
              </w:rPr>
            </w:pPr>
          </w:p>
        </w:tc>
        <w:tc>
          <w:tcPr>
            <w:tcW w:w="8080" w:type="dxa"/>
            <w:vAlign w:val="bottom"/>
            <w:tcBorders>
              <w:bottom w:val="single" w:sz="8" w:color="010101"/>
            </w:tcBorders>
          </w:tcPr>
          <w:p>
            <w:pPr>
              <w:spacing w:after="0"/>
              <w:rPr>
                <w:sz w:val="24"/>
                <w:szCs w:val="24"/>
                <w:color w:val="auto"/>
              </w:rPr>
            </w:pPr>
          </w:p>
        </w:tc>
        <w:tc>
          <w:tcPr>
            <w:tcW w:w="20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Table Of Contents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412"/>
        </w:trPr>
        <w:tc>
          <w:tcPr>
            <w:tcW w:w="10840" w:type="dxa"/>
            <w:vAlign w:val="bottom"/>
            <w:gridSpan w:val="2"/>
          </w:tcPr>
          <w:p>
            <w:pPr>
              <w:spacing w:after="0"/>
              <w:rPr>
                <w:sz w:val="20"/>
                <w:szCs w:val="20"/>
                <w:color w:val="auto"/>
              </w:rPr>
            </w:pPr>
            <w:r>
              <w:rPr>
                <w:rFonts w:ascii="Arial" w:cs="Arial" w:eastAsia="Arial" w:hAnsi="Arial"/>
                <w:sz w:val="18"/>
                <w:szCs w:val="18"/>
                <w:color w:val="auto"/>
                <w:w w:val="97"/>
              </w:rPr>
              <w:t>SECTION 3.14.ANTI-CORRUPTION LAWS AND SANCTIONS</w:t>
            </w: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10840" w:type="dxa"/>
            <w:vAlign w:val="bottom"/>
            <w:gridSpan w:val="2"/>
          </w:tcPr>
          <w:p>
            <w:pPr>
              <w:spacing w:after="0"/>
              <w:rPr>
                <w:sz w:val="20"/>
                <w:szCs w:val="20"/>
                <w:color w:val="auto"/>
              </w:rPr>
            </w:pPr>
            <w:r>
              <w:rPr>
                <w:rFonts w:ascii="Arial" w:cs="Arial" w:eastAsia="Arial" w:hAnsi="Arial"/>
                <w:sz w:val="18"/>
                <w:szCs w:val="18"/>
                <w:color w:val="auto"/>
              </w:rPr>
              <w:t>ARTICLE IV Conditions</w:t>
            </w: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SECTION 4.01.</w:t>
            </w:r>
          </w:p>
        </w:tc>
        <w:tc>
          <w:tcPr>
            <w:tcW w:w="9480" w:type="dxa"/>
            <w:vAlign w:val="bottom"/>
          </w:tcPr>
          <w:p>
            <w:pPr>
              <w:ind w:left="180"/>
              <w:spacing w:after="0"/>
              <w:rPr>
                <w:sz w:val="20"/>
                <w:szCs w:val="20"/>
                <w:color w:val="auto"/>
              </w:rPr>
            </w:pPr>
            <w:r>
              <w:rPr>
                <w:rFonts w:ascii="Arial" w:cs="Arial" w:eastAsia="Arial" w:hAnsi="Arial"/>
                <w:sz w:val="18"/>
                <w:szCs w:val="18"/>
                <w:color w:val="auto"/>
              </w:rPr>
              <w:t>EFFECTIVE DATE</w:t>
            </w: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840" w:type="dxa"/>
            <w:vAlign w:val="bottom"/>
            <w:gridSpan w:val="2"/>
          </w:tcPr>
          <w:p>
            <w:pPr>
              <w:spacing w:after="0"/>
              <w:rPr>
                <w:sz w:val="20"/>
                <w:szCs w:val="20"/>
                <w:color w:val="auto"/>
              </w:rPr>
            </w:pPr>
            <w:r>
              <w:rPr>
                <w:rFonts w:ascii="Arial" w:cs="Arial" w:eastAsia="Arial" w:hAnsi="Arial"/>
                <w:sz w:val="18"/>
                <w:szCs w:val="18"/>
                <w:color w:val="auto"/>
                <w:w w:val="97"/>
              </w:rPr>
              <w:t>SECTION 4.02.EACH CREDIT EVENT</w:t>
            </w: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0840" w:type="dxa"/>
            <w:vAlign w:val="bottom"/>
            <w:gridSpan w:val="2"/>
          </w:tcPr>
          <w:p>
            <w:pPr>
              <w:spacing w:after="0"/>
              <w:rPr>
                <w:sz w:val="20"/>
                <w:szCs w:val="20"/>
                <w:color w:val="auto"/>
              </w:rPr>
            </w:pPr>
            <w:r>
              <w:rPr>
                <w:rFonts w:ascii="Arial" w:cs="Arial" w:eastAsia="Arial" w:hAnsi="Arial"/>
                <w:sz w:val="18"/>
                <w:szCs w:val="18"/>
                <w:color w:val="auto"/>
                <w:w w:val="95"/>
              </w:rPr>
              <w:t>SECTION 4.03.DESIGNATION OF A SUBSIDIARY BORROWER</w:t>
            </w: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10840" w:type="dxa"/>
            <w:vAlign w:val="bottom"/>
            <w:gridSpan w:val="2"/>
          </w:tcPr>
          <w:p>
            <w:pPr>
              <w:spacing w:after="0"/>
              <w:rPr>
                <w:sz w:val="20"/>
                <w:szCs w:val="20"/>
                <w:color w:val="auto"/>
              </w:rPr>
            </w:pPr>
            <w:r>
              <w:rPr>
                <w:rFonts w:ascii="Arial" w:cs="Arial" w:eastAsia="Arial" w:hAnsi="Arial"/>
                <w:sz w:val="18"/>
                <w:szCs w:val="18"/>
                <w:color w:val="auto"/>
              </w:rPr>
              <w:t>ARTICLE V Affirmative Covenants</w:t>
            </w: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18"/>
        </w:trPr>
        <w:tc>
          <w:tcPr>
            <w:tcW w:w="10840" w:type="dxa"/>
            <w:vAlign w:val="bottom"/>
            <w:gridSpan w:val="2"/>
          </w:tcPr>
          <w:p>
            <w:pPr>
              <w:spacing w:after="0"/>
              <w:rPr>
                <w:sz w:val="20"/>
                <w:szCs w:val="20"/>
                <w:color w:val="auto"/>
              </w:rPr>
            </w:pPr>
            <w:r>
              <w:rPr>
                <w:rFonts w:ascii="Arial" w:cs="Arial" w:eastAsia="Arial" w:hAnsi="Arial"/>
                <w:sz w:val="18"/>
                <w:szCs w:val="18"/>
                <w:color w:val="auto"/>
                <w:w w:val="97"/>
              </w:rPr>
              <w:t>SECTION 5.01.FINANCIAL STATEMENTS AND OTHER INFORMATION</w:t>
            </w: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840" w:type="dxa"/>
            <w:vAlign w:val="bottom"/>
            <w:gridSpan w:val="2"/>
          </w:tcPr>
          <w:p>
            <w:pPr>
              <w:spacing w:after="0"/>
              <w:rPr>
                <w:sz w:val="20"/>
                <w:szCs w:val="20"/>
                <w:color w:val="auto"/>
              </w:rPr>
            </w:pPr>
            <w:r>
              <w:rPr>
                <w:rFonts w:ascii="Arial" w:cs="Arial" w:eastAsia="Arial" w:hAnsi="Arial"/>
                <w:sz w:val="18"/>
                <w:szCs w:val="18"/>
                <w:color w:val="auto"/>
                <w:w w:val="96"/>
              </w:rPr>
              <w:t>SECTION 5.02.NOTICES OF MATERIAL EVENTS</w:t>
            </w: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840" w:type="dxa"/>
            <w:vAlign w:val="bottom"/>
            <w:gridSpan w:val="2"/>
          </w:tcPr>
          <w:p>
            <w:pPr>
              <w:spacing w:after="0"/>
              <w:rPr>
                <w:sz w:val="20"/>
                <w:szCs w:val="20"/>
                <w:color w:val="auto"/>
              </w:rPr>
            </w:pPr>
            <w:r>
              <w:rPr>
                <w:rFonts w:ascii="Arial" w:cs="Arial" w:eastAsia="Arial" w:hAnsi="Arial"/>
                <w:sz w:val="18"/>
                <w:szCs w:val="18"/>
                <w:color w:val="auto"/>
                <w:w w:val="94"/>
              </w:rPr>
              <w:t>SECTION 5.03.EXISTENCE; CONDUCT OF BUSINESS</w:t>
            </w:r>
          </w:p>
        </w:tc>
        <w:tc>
          <w:tcPr>
            <w:tcW w:w="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840" w:type="dxa"/>
            <w:vAlign w:val="bottom"/>
            <w:gridSpan w:val="2"/>
          </w:tcPr>
          <w:p>
            <w:pPr>
              <w:spacing w:after="0"/>
              <w:rPr>
                <w:sz w:val="20"/>
                <w:szCs w:val="20"/>
                <w:color w:val="auto"/>
              </w:rPr>
            </w:pPr>
            <w:r>
              <w:rPr>
                <w:rFonts w:ascii="Arial" w:cs="Arial" w:eastAsia="Arial" w:hAnsi="Arial"/>
                <w:sz w:val="18"/>
                <w:szCs w:val="18"/>
                <w:color w:val="auto"/>
                <w:w w:val="94"/>
              </w:rPr>
              <w:t>SECTION 5.04.PAYMENT OF TAXES</w:t>
            </w:r>
          </w:p>
        </w:tc>
        <w:tc>
          <w:tcPr>
            <w:tcW w:w="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840" w:type="dxa"/>
            <w:vAlign w:val="bottom"/>
            <w:gridSpan w:val="2"/>
          </w:tcPr>
          <w:p>
            <w:pPr>
              <w:spacing w:after="0"/>
              <w:rPr>
                <w:sz w:val="20"/>
                <w:szCs w:val="20"/>
                <w:color w:val="auto"/>
              </w:rPr>
            </w:pPr>
            <w:r>
              <w:rPr>
                <w:rFonts w:ascii="Arial" w:cs="Arial" w:eastAsia="Arial" w:hAnsi="Arial"/>
                <w:sz w:val="18"/>
                <w:szCs w:val="18"/>
                <w:color w:val="auto"/>
                <w:w w:val="95"/>
              </w:rPr>
              <w:t>SECTION 5.05.MAINTENANCE OF PROPERTIES; INSURANCE</w:t>
            </w:r>
          </w:p>
        </w:tc>
        <w:tc>
          <w:tcPr>
            <w:tcW w:w="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840" w:type="dxa"/>
            <w:vAlign w:val="bottom"/>
            <w:gridSpan w:val="2"/>
          </w:tcPr>
          <w:p>
            <w:pPr>
              <w:spacing w:after="0"/>
              <w:rPr>
                <w:sz w:val="20"/>
                <w:szCs w:val="20"/>
                <w:color w:val="auto"/>
              </w:rPr>
            </w:pPr>
            <w:r>
              <w:rPr>
                <w:rFonts w:ascii="Arial" w:cs="Arial" w:eastAsia="Arial" w:hAnsi="Arial"/>
                <w:sz w:val="18"/>
                <w:szCs w:val="18"/>
                <w:color w:val="auto"/>
                <w:w w:val="95"/>
              </w:rPr>
              <w:t>SECTION 5.06.BOOKS AND RECORDS; INSPECTION RIGHTS</w:t>
            </w:r>
          </w:p>
        </w:tc>
        <w:tc>
          <w:tcPr>
            <w:tcW w:w="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840" w:type="dxa"/>
            <w:vAlign w:val="bottom"/>
            <w:gridSpan w:val="2"/>
          </w:tcPr>
          <w:p>
            <w:pPr>
              <w:spacing w:after="0"/>
              <w:rPr>
                <w:sz w:val="20"/>
                <w:szCs w:val="20"/>
                <w:color w:val="auto"/>
              </w:rPr>
            </w:pPr>
            <w:r>
              <w:rPr>
                <w:rFonts w:ascii="Arial" w:cs="Arial" w:eastAsia="Arial" w:hAnsi="Arial"/>
                <w:sz w:val="18"/>
                <w:szCs w:val="18"/>
                <w:color w:val="auto"/>
                <w:w w:val="98"/>
              </w:rPr>
              <w:t>SECTION 5.07.COMPLIANCE WITH LAWS</w:t>
            </w: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840" w:type="dxa"/>
            <w:vAlign w:val="bottom"/>
            <w:gridSpan w:val="2"/>
          </w:tcPr>
          <w:p>
            <w:pPr>
              <w:spacing w:after="0"/>
              <w:rPr>
                <w:sz w:val="20"/>
                <w:szCs w:val="20"/>
                <w:color w:val="auto"/>
              </w:rPr>
            </w:pPr>
            <w:r>
              <w:rPr>
                <w:rFonts w:ascii="Arial" w:cs="Arial" w:eastAsia="Arial" w:hAnsi="Arial"/>
                <w:sz w:val="18"/>
                <w:szCs w:val="18"/>
                <w:color w:val="auto"/>
                <w:w w:val="91"/>
              </w:rPr>
              <w:t>SECTION 5.08.USE OF PROCEEDS</w:t>
            </w: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5.09.</w:t>
            </w:r>
          </w:p>
        </w:tc>
        <w:tc>
          <w:tcPr>
            <w:tcW w:w="9480" w:type="dxa"/>
            <w:vAlign w:val="bottom"/>
          </w:tcPr>
          <w:p>
            <w:pPr>
              <w:ind w:left="180"/>
              <w:spacing w:after="0"/>
              <w:rPr>
                <w:sz w:val="20"/>
                <w:szCs w:val="20"/>
                <w:color w:val="auto"/>
              </w:rPr>
            </w:pPr>
            <w:r>
              <w:rPr>
                <w:rFonts w:ascii="Arial" w:cs="Arial" w:eastAsia="Arial" w:hAnsi="Arial"/>
                <w:sz w:val="18"/>
                <w:szCs w:val="18"/>
                <w:color w:val="auto"/>
              </w:rPr>
              <w:t>SUBSIDIARY GUARANTY</w:t>
            </w: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32"/>
        </w:trPr>
        <w:tc>
          <w:tcPr>
            <w:tcW w:w="10840" w:type="dxa"/>
            <w:vAlign w:val="bottom"/>
            <w:gridSpan w:val="2"/>
          </w:tcPr>
          <w:p>
            <w:pPr>
              <w:spacing w:after="0"/>
              <w:rPr>
                <w:sz w:val="20"/>
                <w:szCs w:val="20"/>
                <w:color w:val="auto"/>
              </w:rPr>
            </w:pPr>
            <w:r>
              <w:rPr>
                <w:rFonts w:ascii="Arial" w:cs="Arial" w:eastAsia="Arial" w:hAnsi="Arial"/>
                <w:sz w:val="18"/>
                <w:szCs w:val="18"/>
                <w:color w:val="auto"/>
              </w:rPr>
              <w:t>ARTICLE VI Negative Covenants</w:t>
            </w: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SECTION 6.01.</w:t>
            </w:r>
          </w:p>
        </w:tc>
        <w:tc>
          <w:tcPr>
            <w:tcW w:w="9480" w:type="dxa"/>
            <w:vAlign w:val="bottom"/>
          </w:tcPr>
          <w:p>
            <w:pPr>
              <w:ind w:left="180"/>
              <w:spacing w:after="0"/>
              <w:rPr>
                <w:sz w:val="20"/>
                <w:szCs w:val="20"/>
                <w:color w:val="auto"/>
              </w:rPr>
            </w:pPr>
            <w:r>
              <w:rPr>
                <w:rFonts w:ascii="Arial" w:cs="Arial" w:eastAsia="Arial" w:hAnsi="Arial"/>
                <w:sz w:val="18"/>
                <w:szCs w:val="18"/>
                <w:color w:val="auto"/>
              </w:rPr>
              <w:t>INDEBTEDNESS</w:t>
            </w: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6.02.</w:t>
            </w:r>
          </w:p>
        </w:tc>
        <w:tc>
          <w:tcPr>
            <w:tcW w:w="9480" w:type="dxa"/>
            <w:vAlign w:val="bottom"/>
          </w:tcPr>
          <w:p>
            <w:pPr>
              <w:ind w:left="180"/>
              <w:spacing w:after="0"/>
              <w:rPr>
                <w:sz w:val="20"/>
                <w:szCs w:val="20"/>
                <w:color w:val="auto"/>
              </w:rPr>
            </w:pPr>
            <w:r>
              <w:rPr>
                <w:rFonts w:ascii="Arial" w:cs="Arial" w:eastAsia="Arial" w:hAnsi="Arial"/>
                <w:sz w:val="18"/>
                <w:szCs w:val="18"/>
                <w:color w:val="auto"/>
              </w:rPr>
              <w:t>LIENS</w:t>
            </w: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840" w:type="dxa"/>
            <w:vAlign w:val="bottom"/>
            <w:gridSpan w:val="2"/>
          </w:tcPr>
          <w:p>
            <w:pPr>
              <w:spacing w:after="0"/>
              <w:rPr>
                <w:sz w:val="20"/>
                <w:szCs w:val="20"/>
                <w:color w:val="auto"/>
              </w:rPr>
            </w:pPr>
            <w:r>
              <w:rPr>
                <w:rFonts w:ascii="Arial" w:cs="Arial" w:eastAsia="Arial" w:hAnsi="Arial"/>
                <w:sz w:val="18"/>
                <w:szCs w:val="18"/>
                <w:color w:val="auto"/>
                <w:w w:val="97"/>
              </w:rPr>
              <w:t>SECTION 6.03.FUNDAMENTAL CHANGES AND ASSET SALES</w:t>
            </w: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6.04.</w:t>
            </w:r>
          </w:p>
        </w:tc>
        <w:tc>
          <w:tcPr>
            <w:tcW w:w="9480" w:type="dxa"/>
            <w:vAlign w:val="bottom"/>
          </w:tcPr>
          <w:p>
            <w:pPr>
              <w:ind w:left="180"/>
              <w:spacing w:after="0"/>
              <w:rPr>
                <w:sz w:val="20"/>
                <w:szCs w:val="20"/>
                <w:color w:val="auto"/>
              </w:rPr>
            </w:pPr>
            <w:r>
              <w:rPr>
                <w:rFonts w:ascii="Arial" w:cs="Arial" w:eastAsia="Arial" w:hAnsi="Arial"/>
                <w:sz w:val="18"/>
                <w:szCs w:val="18"/>
                <w:color w:val="auto"/>
              </w:rPr>
              <w:t>SWAP AGREEMENTS</w:t>
            </w: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840" w:type="dxa"/>
            <w:vAlign w:val="bottom"/>
            <w:gridSpan w:val="2"/>
          </w:tcPr>
          <w:p>
            <w:pPr>
              <w:spacing w:after="0"/>
              <w:rPr>
                <w:sz w:val="20"/>
                <w:szCs w:val="20"/>
                <w:color w:val="auto"/>
              </w:rPr>
            </w:pPr>
            <w:r>
              <w:rPr>
                <w:rFonts w:ascii="Arial" w:cs="Arial" w:eastAsia="Arial" w:hAnsi="Arial"/>
                <w:sz w:val="18"/>
                <w:szCs w:val="18"/>
                <w:color w:val="auto"/>
                <w:w w:val="97"/>
              </w:rPr>
              <w:t>SECTION 6.05.TRANSACTIONS WITH AFFILIATES</w:t>
            </w: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6.06.</w:t>
            </w:r>
          </w:p>
        </w:tc>
        <w:tc>
          <w:tcPr>
            <w:tcW w:w="9480" w:type="dxa"/>
            <w:vAlign w:val="bottom"/>
          </w:tcPr>
          <w:p>
            <w:pPr>
              <w:ind w:left="180"/>
              <w:spacing w:after="0"/>
              <w:rPr>
                <w:sz w:val="20"/>
                <w:szCs w:val="20"/>
                <w:color w:val="auto"/>
              </w:rPr>
            </w:pPr>
            <w:r>
              <w:rPr>
                <w:rFonts w:ascii="Arial" w:cs="Arial" w:eastAsia="Arial" w:hAnsi="Arial"/>
                <w:sz w:val="18"/>
                <w:szCs w:val="18"/>
                <w:color w:val="auto"/>
              </w:rPr>
              <w:t>RESTRICTED PAYMENTS</w:t>
            </w: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6.07.</w:t>
            </w:r>
          </w:p>
        </w:tc>
        <w:tc>
          <w:tcPr>
            <w:tcW w:w="9480" w:type="dxa"/>
            <w:vAlign w:val="bottom"/>
          </w:tcPr>
          <w:p>
            <w:pPr>
              <w:ind w:left="180"/>
              <w:spacing w:after="0"/>
              <w:rPr>
                <w:sz w:val="20"/>
                <w:szCs w:val="20"/>
                <w:color w:val="auto"/>
              </w:rPr>
            </w:pPr>
            <w:r>
              <w:rPr>
                <w:rFonts w:ascii="Arial" w:cs="Arial" w:eastAsia="Arial" w:hAnsi="Arial"/>
                <w:sz w:val="18"/>
                <w:szCs w:val="18"/>
                <w:color w:val="auto"/>
              </w:rPr>
              <w:t>FINANCIAL COVENANTS</w:t>
            </w: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32"/>
        </w:trPr>
        <w:tc>
          <w:tcPr>
            <w:tcW w:w="10840" w:type="dxa"/>
            <w:vAlign w:val="bottom"/>
            <w:gridSpan w:val="2"/>
          </w:tcPr>
          <w:p>
            <w:pPr>
              <w:spacing w:after="0"/>
              <w:rPr>
                <w:sz w:val="20"/>
                <w:szCs w:val="20"/>
                <w:color w:val="auto"/>
              </w:rPr>
            </w:pPr>
            <w:r>
              <w:rPr>
                <w:rFonts w:ascii="Arial" w:cs="Arial" w:eastAsia="Arial" w:hAnsi="Arial"/>
                <w:sz w:val="18"/>
                <w:szCs w:val="18"/>
                <w:color w:val="auto"/>
              </w:rPr>
              <w:t>ARTICLE VII Events of Default</w:t>
            </w: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32"/>
        </w:trPr>
        <w:tc>
          <w:tcPr>
            <w:tcW w:w="10840" w:type="dxa"/>
            <w:vAlign w:val="bottom"/>
            <w:gridSpan w:val="2"/>
          </w:tcPr>
          <w:p>
            <w:pPr>
              <w:spacing w:after="0"/>
              <w:rPr>
                <w:sz w:val="20"/>
                <w:szCs w:val="20"/>
                <w:color w:val="auto"/>
              </w:rPr>
            </w:pPr>
            <w:r>
              <w:rPr>
                <w:rFonts w:ascii="Arial" w:cs="Arial" w:eastAsia="Arial" w:hAnsi="Arial"/>
                <w:sz w:val="18"/>
                <w:szCs w:val="18"/>
                <w:color w:val="auto"/>
              </w:rPr>
              <w:t>ARTICLE VIII The Administrative Agent</w:t>
            </w:r>
          </w:p>
        </w:tc>
        <w:tc>
          <w:tcPr>
            <w:tcW w:w="5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32"/>
        </w:trPr>
        <w:tc>
          <w:tcPr>
            <w:tcW w:w="1084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1460"/>
          </w:cols>
          <w:pgMar w:left="240" w:top="125" w:right="19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SECTION 9.01.</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NOTICES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SECTION 9.02.</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WAIVERS; AMENDMENTS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SECTION 9.03.</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EXPENSES; INDEMNITY; DAMAGE WAIVER</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SECTION 9.04.</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SUCCESSORS AND ASSIGNS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SECTION 9.05.</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SURVIVAL</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SECTION 9.06.</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COUNTERPARTS; INTEGRATION; EFFECTIVENESS; ELECTRONIC EXECUTION</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SECTION 9.07.</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SEVERABILITY</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SECTION 9.08.</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RIGHT OF SETOFF</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12"/>
        </w:trPr>
        <w:tc>
          <w:tcPr>
            <w:tcW w:w="1320" w:type="dxa"/>
            <w:vAlign w:val="bottom"/>
            <w:gridSpan w:val="3"/>
          </w:tcPr>
          <w:p>
            <w:pPr>
              <w:spacing w:after="0"/>
              <w:rPr>
                <w:sz w:val="20"/>
                <w:szCs w:val="20"/>
                <w:color w:val="auto"/>
              </w:rPr>
            </w:pPr>
            <w:r>
              <w:rPr>
                <w:rFonts w:ascii="Arial" w:cs="Arial" w:eastAsia="Arial" w:hAnsi="Arial"/>
                <w:sz w:val="18"/>
                <w:szCs w:val="18"/>
                <w:color w:val="auto"/>
              </w:rPr>
              <w:t>SECTION 9.09.</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GOVERNING LAW; JURISDICTION; CONSENT TO SERVICE OF PROCESS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20"/>
        </w:trPr>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SECTION 9.10.</w:t>
            </w:r>
          </w:p>
        </w:tc>
        <w:tc>
          <w:tcPr>
            <w:tcW w:w="9520" w:type="dxa"/>
            <w:vAlign w:val="bottom"/>
            <w:gridSpan w:val="2"/>
          </w:tcPr>
          <w:p>
            <w:pPr>
              <w:ind w:left="220"/>
              <w:spacing w:after="0"/>
              <w:rPr>
                <w:sz w:val="20"/>
                <w:szCs w:val="20"/>
                <w:color w:val="auto"/>
              </w:rPr>
            </w:pPr>
            <w:r>
              <w:rPr>
                <w:rFonts w:ascii="Arial" w:cs="Arial" w:eastAsia="Arial" w:hAnsi="Arial"/>
                <w:sz w:val="18"/>
                <w:szCs w:val="18"/>
                <w:b w:val="1"/>
                <w:bCs w:val="1"/>
                <w:color w:val="auto"/>
              </w:rPr>
              <w:t>WAIVER OF JURY TRIAL</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SECTION 9.11.</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HEADINGS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30"/>
        </w:trPr>
        <w:tc>
          <w:tcPr>
            <w:tcW w:w="1320" w:type="dxa"/>
            <w:vAlign w:val="bottom"/>
            <w:gridSpan w:val="3"/>
          </w:tcPr>
          <w:p>
            <w:pPr>
              <w:spacing w:after="0"/>
              <w:rPr>
                <w:sz w:val="20"/>
                <w:szCs w:val="20"/>
                <w:color w:val="auto"/>
              </w:rPr>
            </w:pPr>
            <w:r>
              <w:rPr>
                <w:rFonts w:ascii="Arial" w:cs="Arial" w:eastAsia="Arial" w:hAnsi="Arial"/>
                <w:sz w:val="18"/>
                <w:szCs w:val="18"/>
                <w:color w:val="auto"/>
              </w:rPr>
              <w:t>SECTION 9.12.</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CONFIDENTIALITY</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432"/>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00" w:type="dxa"/>
            <w:vAlign w:val="bottom"/>
          </w:tcPr>
          <w:p>
            <w:pPr>
              <w:jc w:val="center"/>
              <w:ind w:right="63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5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6"/>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2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Table Of Contents</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20" w:type="dxa"/>
            <w:vAlign w:val="bottom"/>
            <w:gridSpan w:val="2"/>
          </w:tcPr>
          <w:p>
            <w:pPr>
              <w:jc w:val="center"/>
              <w:ind w:right="740"/>
              <w:spacing w:after="0"/>
              <w:rPr>
                <w:sz w:val="20"/>
                <w:szCs w:val="20"/>
                <w:color w:val="auto"/>
              </w:rPr>
            </w:pPr>
            <w:r>
              <w:rPr>
                <w:rFonts w:ascii="Arial" w:cs="Arial" w:eastAsia="Arial" w:hAnsi="Arial"/>
                <w:sz w:val="18"/>
                <w:szCs w:val="18"/>
                <w:color w:val="auto"/>
                <w:w w:val="91"/>
              </w:rPr>
              <w:t>(continued)</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1"/>
        </w:trPr>
        <w:tc>
          <w:tcPr>
            <w:tcW w:w="1320" w:type="dxa"/>
            <w:vAlign w:val="bottom"/>
            <w:gridSpan w:val="3"/>
          </w:tcPr>
          <w:p>
            <w:pPr>
              <w:spacing w:after="0"/>
              <w:rPr>
                <w:sz w:val="20"/>
                <w:szCs w:val="20"/>
                <w:color w:val="auto"/>
              </w:rPr>
            </w:pPr>
            <w:r>
              <w:rPr>
                <w:rFonts w:ascii="Arial" w:cs="Arial" w:eastAsia="Arial" w:hAnsi="Arial"/>
                <w:sz w:val="18"/>
                <w:szCs w:val="18"/>
                <w:color w:val="auto"/>
              </w:rPr>
              <w:t>SECTION 9.13.</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USA PATRIOT ACT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SECTION 9.14.</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RELEASES OF SUBSIDIARY GUARANTORS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SECTION 9.15.</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INTEREST RATE LIMITATION</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SECTION 9.16.</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NO ADVISORY OR FIDUCIARY RESPONSIBILITY</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SECTION 9.17.</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ATTORNEY REPRESENTATION</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r>
      <w:tr>
        <w:trPr>
          <w:trHeight w:val="230"/>
        </w:trPr>
        <w:tc>
          <w:tcPr>
            <w:tcW w:w="1320" w:type="dxa"/>
            <w:vAlign w:val="bottom"/>
            <w:gridSpan w:val="3"/>
          </w:tcPr>
          <w:p>
            <w:pPr>
              <w:spacing w:after="0"/>
              <w:rPr>
                <w:sz w:val="20"/>
                <w:szCs w:val="20"/>
                <w:color w:val="auto"/>
              </w:rPr>
            </w:pPr>
            <w:r>
              <w:rPr>
                <w:rFonts w:ascii="Arial" w:cs="Arial" w:eastAsia="Arial" w:hAnsi="Arial"/>
                <w:sz w:val="18"/>
                <w:szCs w:val="18"/>
                <w:color w:val="auto"/>
              </w:rPr>
              <w:t>SECTION 9.18.</w:t>
            </w:r>
          </w:p>
        </w:tc>
        <w:tc>
          <w:tcPr>
            <w:tcW w:w="9520" w:type="dxa"/>
            <w:vAlign w:val="bottom"/>
            <w:gridSpan w:val="2"/>
          </w:tcPr>
          <w:p>
            <w:pPr>
              <w:ind w:left="220"/>
              <w:spacing w:after="0"/>
              <w:rPr>
                <w:sz w:val="20"/>
                <w:szCs w:val="20"/>
                <w:color w:val="auto"/>
              </w:rPr>
            </w:pPr>
            <w:r>
              <w:rPr>
                <w:rFonts w:ascii="Arial" w:cs="Arial" w:eastAsia="Arial" w:hAnsi="Arial"/>
                <w:sz w:val="18"/>
                <w:szCs w:val="18"/>
                <w:color w:val="auto"/>
              </w:rPr>
              <w:t>SWAP OBLIGATIONS AND BANKING SERVICES OBLIGATIONS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r>
      <w:tr>
        <w:trPr>
          <w:trHeight w:val="432"/>
        </w:trPr>
        <w:tc>
          <w:tcPr>
            <w:tcW w:w="10840" w:type="dxa"/>
            <w:vAlign w:val="bottom"/>
            <w:gridSpan w:val="5"/>
          </w:tcPr>
          <w:p>
            <w:pPr>
              <w:spacing w:after="0"/>
              <w:rPr>
                <w:sz w:val="20"/>
                <w:szCs w:val="20"/>
                <w:color w:val="auto"/>
              </w:rPr>
            </w:pPr>
            <w:r>
              <w:rPr>
                <w:rFonts w:ascii="Arial" w:cs="Arial" w:eastAsia="Arial" w:hAnsi="Arial"/>
                <w:sz w:val="18"/>
                <w:szCs w:val="18"/>
                <w:color w:val="auto"/>
              </w:rPr>
              <w:t>ARTICLE X Company Guarantee</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r>
      <w:tr>
        <w:trPr>
          <w:trHeight w:val="432"/>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00" w:type="dxa"/>
            <w:vAlign w:val="bottom"/>
          </w:tcPr>
          <w:p>
            <w:pPr>
              <w:jc w:val="center"/>
              <w:ind w:right="630"/>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5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6"/>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2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Table Of Contents</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20" w:type="dxa"/>
            <w:vAlign w:val="bottom"/>
            <w:gridSpan w:val="2"/>
          </w:tcPr>
          <w:p>
            <w:pPr>
              <w:jc w:val="center"/>
              <w:ind w:right="740"/>
              <w:spacing w:after="0"/>
              <w:rPr>
                <w:sz w:val="20"/>
                <w:szCs w:val="20"/>
                <w:color w:val="auto"/>
              </w:rPr>
            </w:pPr>
            <w:r>
              <w:rPr>
                <w:rFonts w:ascii="Arial" w:cs="Arial" w:eastAsia="Arial" w:hAnsi="Arial"/>
                <w:sz w:val="18"/>
                <w:szCs w:val="18"/>
                <w:color w:val="auto"/>
                <w:w w:val="91"/>
              </w:rPr>
              <w:t>(continued)</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r>
      <w:tr>
        <w:trPr>
          <w:trHeight w:val="318"/>
        </w:trPr>
        <w:tc>
          <w:tcPr>
            <w:tcW w:w="132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95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71"/>
        </w:trPr>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8"/>
              </w:rPr>
              <w:t>Schedule 2.01</w:t>
            </w:r>
          </w:p>
        </w:tc>
        <w:tc>
          <w:tcPr>
            <w:tcW w:w="28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18"/>
                <w:szCs w:val="18"/>
                <w:color w:val="auto"/>
              </w:rPr>
              <w:t>— Commitments</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Schedule 3.01</w:t>
            </w:r>
          </w:p>
        </w:tc>
        <w:tc>
          <w:tcPr>
            <w:tcW w:w="9520" w:type="dxa"/>
            <w:vAlign w:val="bottom"/>
            <w:gridSpan w:val="2"/>
          </w:tcPr>
          <w:p>
            <w:pPr>
              <w:ind w:left="100"/>
              <w:spacing w:after="0"/>
              <w:rPr>
                <w:sz w:val="20"/>
                <w:szCs w:val="20"/>
                <w:color w:val="auto"/>
              </w:rPr>
            </w:pPr>
            <w:r>
              <w:rPr>
                <w:rFonts w:ascii="Arial" w:cs="Arial" w:eastAsia="Arial" w:hAnsi="Arial"/>
                <w:sz w:val="18"/>
                <w:szCs w:val="18"/>
                <w:color w:val="auto"/>
              </w:rPr>
              <w:t>— Subsidiaries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Schedule 6.01</w:t>
            </w:r>
          </w:p>
        </w:tc>
        <w:tc>
          <w:tcPr>
            <w:tcW w:w="9520" w:type="dxa"/>
            <w:vAlign w:val="bottom"/>
            <w:gridSpan w:val="2"/>
          </w:tcPr>
          <w:p>
            <w:pPr>
              <w:ind w:left="100"/>
              <w:spacing w:after="0"/>
              <w:rPr>
                <w:sz w:val="20"/>
                <w:szCs w:val="20"/>
                <w:color w:val="auto"/>
              </w:rPr>
            </w:pPr>
            <w:r>
              <w:rPr>
                <w:rFonts w:ascii="Arial" w:cs="Arial" w:eastAsia="Arial" w:hAnsi="Arial"/>
                <w:sz w:val="18"/>
                <w:szCs w:val="18"/>
                <w:color w:val="auto"/>
              </w:rPr>
              <w:t>— Existing Indebtedness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320" w:type="dxa"/>
            <w:vAlign w:val="bottom"/>
            <w:gridSpan w:val="3"/>
          </w:tcPr>
          <w:p>
            <w:pPr>
              <w:spacing w:after="0"/>
              <w:rPr>
                <w:sz w:val="20"/>
                <w:szCs w:val="20"/>
                <w:color w:val="auto"/>
              </w:rPr>
            </w:pPr>
            <w:r>
              <w:rPr>
                <w:rFonts w:ascii="Arial" w:cs="Arial" w:eastAsia="Arial" w:hAnsi="Arial"/>
                <w:sz w:val="18"/>
                <w:szCs w:val="18"/>
                <w:color w:val="auto"/>
              </w:rPr>
              <w:t>Schedule 6.02</w:t>
            </w:r>
          </w:p>
        </w:tc>
        <w:tc>
          <w:tcPr>
            <w:tcW w:w="9520" w:type="dxa"/>
            <w:vAlign w:val="bottom"/>
            <w:gridSpan w:val="2"/>
          </w:tcPr>
          <w:p>
            <w:pPr>
              <w:ind w:left="100"/>
              <w:spacing w:after="0"/>
              <w:rPr>
                <w:sz w:val="20"/>
                <w:szCs w:val="20"/>
                <w:color w:val="auto"/>
              </w:rPr>
            </w:pPr>
            <w:r>
              <w:rPr>
                <w:rFonts w:ascii="Arial" w:cs="Arial" w:eastAsia="Arial" w:hAnsi="Arial"/>
                <w:sz w:val="18"/>
                <w:szCs w:val="18"/>
                <w:color w:val="auto"/>
              </w:rPr>
              <w:t>— Existing Liens</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132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9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8"/>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500" w:type="dxa"/>
            <w:vAlign w:val="bottom"/>
            <w:gridSpan w:val="2"/>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18"/>
                <w:szCs w:val="18"/>
                <w:color w:val="auto"/>
              </w:rPr>
              <w:t>— Form of Assignment and Assumption</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9520" w:type="dxa"/>
            <w:vAlign w:val="bottom"/>
            <w:gridSpan w:val="2"/>
          </w:tcPr>
          <w:p>
            <w:pPr>
              <w:ind w:left="100"/>
              <w:spacing w:after="0"/>
              <w:rPr>
                <w:sz w:val="20"/>
                <w:szCs w:val="20"/>
                <w:color w:val="auto"/>
              </w:rPr>
            </w:pPr>
            <w:r>
              <w:rPr>
                <w:rFonts w:ascii="Arial" w:cs="Arial" w:eastAsia="Arial" w:hAnsi="Arial"/>
                <w:sz w:val="18"/>
                <w:szCs w:val="18"/>
                <w:color w:val="auto"/>
              </w:rPr>
              <w:t>— [Intentionally Omitted]</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9520" w:type="dxa"/>
            <w:vAlign w:val="bottom"/>
            <w:gridSpan w:val="2"/>
          </w:tcPr>
          <w:p>
            <w:pPr>
              <w:ind w:left="100"/>
              <w:spacing w:after="0"/>
              <w:rPr>
                <w:sz w:val="20"/>
                <w:szCs w:val="20"/>
                <w:color w:val="auto"/>
              </w:rPr>
            </w:pPr>
            <w:r>
              <w:rPr>
                <w:rFonts w:ascii="Arial" w:cs="Arial" w:eastAsia="Arial" w:hAnsi="Arial"/>
                <w:sz w:val="18"/>
                <w:szCs w:val="18"/>
                <w:color w:val="auto"/>
              </w:rPr>
              <w:t>— Form of Increasing Lender Supplement</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9520" w:type="dxa"/>
            <w:vAlign w:val="bottom"/>
            <w:gridSpan w:val="2"/>
          </w:tcPr>
          <w:p>
            <w:pPr>
              <w:ind w:left="100"/>
              <w:spacing w:after="0"/>
              <w:rPr>
                <w:sz w:val="20"/>
                <w:szCs w:val="20"/>
                <w:color w:val="auto"/>
              </w:rPr>
            </w:pPr>
            <w:r>
              <w:rPr>
                <w:rFonts w:ascii="Arial" w:cs="Arial" w:eastAsia="Arial" w:hAnsi="Arial"/>
                <w:sz w:val="18"/>
                <w:szCs w:val="18"/>
                <w:color w:val="auto"/>
              </w:rPr>
              <w:t>— Form of Augmenting Lender Supplement</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9520" w:type="dxa"/>
            <w:vAlign w:val="bottom"/>
            <w:gridSpan w:val="2"/>
          </w:tcPr>
          <w:p>
            <w:pPr>
              <w:ind w:left="100"/>
              <w:spacing w:after="0"/>
              <w:rPr>
                <w:sz w:val="20"/>
                <w:szCs w:val="20"/>
                <w:color w:val="auto"/>
              </w:rPr>
            </w:pPr>
            <w:r>
              <w:rPr>
                <w:rFonts w:ascii="Arial" w:cs="Arial" w:eastAsia="Arial" w:hAnsi="Arial"/>
                <w:sz w:val="18"/>
                <w:szCs w:val="18"/>
                <w:color w:val="auto"/>
              </w:rPr>
              <w:t>— List of Closing Documents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F-1</w:t>
            </w:r>
          </w:p>
        </w:tc>
        <w:tc>
          <w:tcPr>
            <w:tcW w:w="9520" w:type="dxa"/>
            <w:vAlign w:val="bottom"/>
            <w:gridSpan w:val="2"/>
          </w:tcPr>
          <w:p>
            <w:pPr>
              <w:ind w:left="100"/>
              <w:spacing w:after="0"/>
              <w:rPr>
                <w:sz w:val="20"/>
                <w:szCs w:val="20"/>
                <w:color w:val="auto"/>
              </w:rPr>
            </w:pPr>
            <w:r>
              <w:rPr>
                <w:rFonts w:ascii="Arial" w:cs="Arial" w:eastAsia="Arial" w:hAnsi="Arial"/>
                <w:sz w:val="18"/>
                <w:szCs w:val="18"/>
                <w:color w:val="auto"/>
              </w:rPr>
              <w:t>— Form of Borrowing Subsidiary Agreement</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F-2</w:t>
            </w:r>
          </w:p>
        </w:tc>
        <w:tc>
          <w:tcPr>
            <w:tcW w:w="9520" w:type="dxa"/>
            <w:vAlign w:val="bottom"/>
            <w:gridSpan w:val="2"/>
          </w:tcPr>
          <w:p>
            <w:pPr>
              <w:ind w:left="100"/>
              <w:spacing w:after="0"/>
              <w:rPr>
                <w:sz w:val="20"/>
                <w:szCs w:val="20"/>
                <w:color w:val="auto"/>
              </w:rPr>
            </w:pPr>
            <w:r>
              <w:rPr>
                <w:rFonts w:ascii="Arial" w:cs="Arial" w:eastAsia="Arial" w:hAnsi="Arial"/>
                <w:sz w:val="18"/>
                <w:szCs w:val="18"/>
                <w:color w:val="auto"/>
              </w:rPr>
              <w:t>— Form of Borrowing Subsidiary Termination</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9520" w:type="dxa"/>
            <w:vAlign w:val="bottom"/>
            <w:gridSpan w:val="2"/>
          </w:tcPr>
          <w:p>
            <w:pPr>
              <w:ind w:left="100"/>
              <w:spacing w:after="0"/>
              <w:rPr>
                <w:sz w:val="20"/>
                <w:szCs w:val="20"/>
                <w:color w:val="auto"/>
              </w:rPr>
            </w:pPr>
            <w:r>
              <w:rPr>
                <w:rFonts w:ascii="Arial" w:cs="Arial" w:eastAsia="Arial" w:hAnsi="Arial"/>
                <w:sz w:val="18"/>
                <w:szCs w:val="18"/>
                <w:color w:val="auto"/>
              </w:rPr>
              <w:t>— Form of Subsidiary Guaranty</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H-1</w:t>
            </w:r>
          </w:p>
        </w:tc>
        <w:tc>
          <w:tcPr>
            <w:tcW w:w="9520" w:type="dxa"/>
            <w:vAlign w:val="bottom"/>
            <w:gridSpan w:val="2"/>
          </w:tcPr>
          <w:p>
            <w:pPr>
              <w:ind w:left="100"/>
              <w:spacing w:after="0"/>
              <w:rPr>
                <w:sz w:val="20"/>
                <w:szCs w:val="20"/>
                <w:color w:val="auto"/>
              </w:rPr>
            </w:pPr>
            <w:r>
              <w:rPr>
                <w:rFonts w:ascii="Arial" w:cs="Arial" w:eastAsia="Arial" w:hAnsi="Arial"/>
                <w:sz w:val="18"/>
                <w:szCs w:val="18"/>
                <w:color w:val="auto"/>
              </w:rPr>
              <w:t>— Form of U.S. Tax Certificate (Foreign Lenders That Are Not Partnerships)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H-2</w:t>
            </w:r>
          </w:p>
        </w:tc>
        <w:tc>
          <w:tcPr>
            <w:tcW w:w="9520" w:type="dxa"/>
            <w:vAlign w:val="bottom"/>
            <w:gridSpan w:val="2"/>
          </w:tcPr>
          <w:p>
            <w:pPr>
              <w:ind w:left="100"/>
              <w:spacing w:after="0"/>
              <w:rPr>
                <w:sz w:val="20"/>
                <w:szCs w:val="20"/>
                <w:color w:val="auto"/>
              </w:rPr>
            </w:pPr>
            <w:r>
              <w:rPr>
                <w:rFonts w:ascii="Arial" w:cs="Arial" w:eastAsia="Arial" w:hAnsi="Arial"/>
                <w:sz w:val="18"/>
                <w:szCs w:val="18"/>
                <w:color w:val="auto"/>
              </w:rPr>
              <w:t>— Form of U.S. Tax Certificate (Foreign Participants That Are Not Partnerships)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H-3</w:t>
            </w:r>
          </w:p>
        </w:tc>
        <w:tc>
          <w:tcPr>
            <w:tcW w:w="9520" w:type="dxa"/>
            <w:vAlign w:val="bottom"/>
            <w:gridSpan w:val="2"/>
          </w:tcPr>
          <w:p>
            <w:pPr>
              <w:ind w:left="100"/>
              <w:spacing w:after="0"/>
              <w:rPr>
                <w:sz w:val="20"/>
                <w:szCs w:val="20"/>
                <w:color w:val="auto"/>
              </w:rPr>
            </w:pPr>
            <w:r>
              <w:rPr>
                <w:rFonts w:ascii="Arial" w:cs="Arial" w:eastAsia="Arial" w:hAnsi="Arial"/>
                <w:sz w:val="18"/>
                <w:szCs w:val="18"/>
                <w:color w:val="auto"/>
              </w:rPr>
              <w:t>— Form of U.S. Tax Certificate (Foreign Participants That Are Partnerships)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H-4</w:t>
            </w:r>
          </w:p>
        </w:tc>
        <w:tc>
          <w:tcPr>
            <w:tcW w:w="9520" w:type="dxa"/>
            <w:vAlign w:val="bottom"/>
            <w:gridSpan w:val="2"/>
          </w:tcPr>
          <w:p>
            <w:pPr>
              <w:ind w:left="100"/>
              <w:spacing w:after="0"/>
              <w:rPr>
                <w:sz w:val="20"/>
                <w:szCs w:val="20"/>
                <w:color w:val="auto"/>
              </w:rPr>
            </w:pPr>
            <w:r>
              <w:rPr>
                <w:rFonts w:ascii="Arial" w:cs="Arial" w:eastAsia="Arial" w:hAnsi="Arial"/>
                <w:sz w:val="18"/>
                <w:szCs w:val="18"/>
                <w:color w:val="auto"/>
              </w:rPr>
              <w:t>— Form of U.S. Tax Certificate (Foreign Lenders That Are Partnerships)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I-1</w:t>
            </w:r>
          </w:p>
        </w:tc>
        <w:tc>
          <w:tcPr>
            <w:tcW w:w="9520" w:type="dxa"/>
            <w:vAlign w:val="bottom"/>
            <w:gridSpan w:val="2"/>
          </w:tcPr>
          <w:p>
            <w:pPr>
              <w:ind w:left="100"/>
              <w:spacing w:after="0"/>
              <w:rPr>
                <w:sz w:val="20"/>
                <w:szCs w:val="20"/>
                <w:color w:val="auto"/>
              </w:rPr>
            </w:pPr>
            <w:r>
              <w:rPr>
                <w:rFonts w:ascii="Arial" w:cs="Arial" w:eastAsia="Arial" w:hAnsi="Arial"/>
                <w:sz w:val="18"/>
                <w:szCs w:val="18"/>
                <w:color w:val="auto"/>
              </w:rPr>
              <w:t>— Form of Borrowing Request</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Exhibit I-2</w:t>
            </w:r>
          </w:p>
        </w:tc>
        <w:tc>
          <w:tcPr>
            <w:tcW w:w="9520" w:type="dxa"/>
            <w:vAlign w:val="bottom"/>
            <w:gridSpan w:val="2"/>
          </w:tcPr>
          <w:p>
            <w:pPr>
              <w:ind w:left="100"/>
              <w:spacing w:after="0"/>
              <w:rPr>
                <w:sz w:val="20"/>
                <w:szCs w:val="20"/>
                <w:color w:val="auto"/>
              </w:rPr>
            </w:pPr>
            <w:r>
              <w:rPr>
                <w:rFonts w:ascii="Arial" w:cs="Arial" w:eastAsia="Arial" w:hAnsi="Arial"/>
                <w:sz w:val="18"/>
                <w:szCs w:val="18"/>
                <w:color w:val="auto"/>
              </w:rPr>
              <w:t>— Form of Interest Election Request</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320" w:type="dxa"/>
            <w:vAlign w:val="bottom"/>
            <w:gridSpan w:val="3"/>
          </w:tcPr>
          <w:p>
            <w:pPr>
              <w:spacing w:after="0"/>
              <w:rPr>
                <w:sz w:val="20"/>
                <w:szCs w:val="20"/>
                <w:color w:val="auto"/>
              </w:rPr>
            </w:pPr>
            <w:r>
              <w:rPr>
                <w:rFonts w:ascii="Arial" w:cs="Arial" w:eastAsia="Arial" w:hAnsi="Arial"/>
                <w:sz w:val="18"/>
                <w:szCs w:val="18"/>
                <w:color w:val="auto"/>
              </w:rPr>
              <w:t>Exhibit L</w:t>
            </w:r>
          </w:p>
        </w:tc>
        <w:tc>
          <w:tcPr>
            <w:tcW w:w="9520" w:type="dxa"/>
            <w:vAlign w:val="bottom"/>
            <w:gridSpan w:val="2"/>
          </w:tcPr>
          <w:p>
            <w:pPr>
              <w:ind w:left="100"/>
              <w:spacing w:after="0"/>
              <w:rPr>
                <w:sz w:val="20"/>
                <w:szCs w:val="20"/>
                <w:color w:val="auto"/>
              </w:rPr>
            </w:pPr>
            <w:r>
              <w:rPr>
                <w:rFonts w:ascii="Arial" w:cs="Arial" w:eastAsia="Arial" w:hAnsi="Arial"/>
                <w:sz w:val="18"/>
                <w:szCs w:val="18"/>
                <w:color w:val="auto"/>
              </w:rPr>
              <w:t>— Form of Note</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00" w:type="dxa"/>
            <w:vAlign w:val="bottom"/>
          </w:tcPr>
          <w:p>
            <w:pPr>
              <w:jc w:val="center"/>
              <w:ind w:right="630"/>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5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-7095490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-7095490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-4617085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-4617085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229" w:lineRule="exact"/>
        <w:rPr>
          <w:sz w:val="20"/>
          <w:szCs w:val="20"/>
          <w:color w:val="auto"/>
        </w:rPr>
      </w:pPr>
    </w:p>
    <w:p>
      <w:pPr>
        <w:ind w:right="340" w:firstLine="1297"/>
        <w:spacing w:after="0" w:line="297" w:lineRule="auto"/>
        <w:rPr>
          <w:sz w:val="20"/>
          <w:szCs w:val="20"/>
          <w:color w:val="auto"/>
        </w:rPr>
      </w:pPr>
      <w:r>
        <w:rPr>
          <w:rFonts w:ascii="Arial" w:cs="Arial" w:eastAsia="Arial" w:hAnsi="Arial"/>
          <w:sz w:val="16"/>
          <w:szCs w:val="16"/>
          <w:color w:val="auto"/>
        </w:rPr>
        <w:t>CREDIT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dated as of March 19, 2015 among REGENERON PHARMACEUTICALS, INC., a New York corporation, REGENERON HEALTHCARE SOLUTIONS, INC., a New York corporation, REGENERON GENETICS CENTER LLC, a Delaware limited liability company, REGENERON INTERNATIONAL, an unlimited company incorporated in Ireland, REGENERON IRELAND HOLDINGS, an unlimited company incorporated in Ireland, REGENERON IRELAND, an unlimited company incorporated in Ireland, REGENERON CAPITAL INTERNATIONAL B.V., a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xml:space="preserve"> organized under the laws of the Netherlands, the other SUBSIDIARY</w:t>
      </w:r>
    </w:p>
    <w:p>
      <w:pPr>
        <w:sectPr>
          <w:pgSz w:w="11900" w:h="16838" w:orient="portrait"/>
          <w:cols w:equalWidth="0" w:num="1">
            <w:col w:w="11460"/>
          </w:cols>
          <w:pgMar w:left="240" w:top="125" w:right="199" w:bottom="0" w:gutter="0" w:footer="0" w:header="0"/>
        </w:sectPr>
      </w:pPr>
    </w:p>
    <w:bookmarkStart w:id="5" w:name="page6"/>
    <w:bookmarkEnd w:id="5"/>
    <w:p>
      <w:pPr>
        <w:ind w:right="100"/>
        <w:spacing w:after="0" w:line="259" w:lineRule="auto"/>
        <w:rPr>
          <w:sz w:val="20"/>
          <w:szCs w:val="20"/>
          <w:color w:val="auto"/>
        </w:rPr>
      </w:pPr>
      <w:r>
        <w:rPr>
          <w:rFonts w:ascii="Arial" w:cs="Arial" w:eastAsia="Arial" w:hAnsi="Arial"/>
          <w:sz w:val="18"/>
          <w:szCs w:val="18"/>
          <w:color w:val="auto"/>
        </w:rPr>
        <w:t>BORROWERS from time to time party hereto, the LENDERS from time to time party hereto, JPMORGAN CHASE BANK, N.A., as Administrative Agent, BANK OF AMERICA, N.A. and U.S. BANK NATIONAL ASSOCIATION, as Co-Syndication Agents, and BARCLAYS BANK PLC, CITIBANK, N.A., CREDIT SUISSE AG, CAYMAN ISLANDS BRANCH, FIFTH THIRD BANK and MORGAN STANLEY MUFG LOAN PARTNERS, LLC, as Co-Documentation Agents.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parties hereto agree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such Loan, or the Loans comprising such Borrowing, bearing interest at a rate determined by reference to the Alternate Base Rate.</w:t>
      </w:r>
    </w:p>
    <w:p>
      <w:pPr>
        <w:spacing w:after="0" w:line="170"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(i) any acquisition (whether by purchase, merger, consolidation or otherwise) or series of related acquisitions by the Company or any Subsidiary of (a) all or substantially all the assets of (or all or substantially all the assets constituting a business unit, division, product line (including rights in respect of any drug or other pharmaceutical product) or line of business of) any Person, or (b) all or substantially all the Equity Interests in a Person or division or line of business of a Person, (ii) a Drug Acquisition or (iii) an Exclusive License to develop and commercialize a drug or other product line of any Person.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 Lender</w:t>
      </w:r>
      <w:r>
        <w:rPr>
          <w:rFonts w:ascii="Arial" w:cs="Arial" w:eastAsia="Arial" w:hAnsi="Arial"/>
          <w:sz w:val="18"/>
          <w:szCs w:val="18"/>
          <w:color w:val="auto"/>
        </w:rPr>
        <w:t>” has the meaning assigned to such term in Section 2.21(d).</w:t>
      </w:r>
    </w:p>
    <w:p>
      <w:pPr>
        <w:spacing w:after="0" w:line="225" w:lineRule="exact"/>
        <w:rPr>
          <w:sz w:val="20"/>
          <w:szCs w:val="20"/>
          <w:color w:val="auto"/>
        </w:rPr>
      </w:pPr>
    </w:p>
    <w:p>
      <w:pPr>
        <w:ind w:right="34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LIBO Rate</w:t>
      </w:r>
      <w:r>
        <w:rPr>
          <w:rFonts w:ascii="Arial" w:cs="Arial" w:eastAsia="Arial" w:hAnsi="Arial"/>
          <w:sz w:val="16"/>
          <w:szCs w:val="16"/>
          <w:color w:val="auto"/>
        </w:rPr>
        <w:t>” means, with respect to any Eurocurrency Borrowing for any Interest Period, an interest rate per annum (rounded upwards, if necessary, to the next 1/100 of 1%) equal to (a) the LIBO Rate for such Interest Period multiplied by (b) the Statutory Reserve Rate.</w:t>
      </w:r>
    </w:p>
    <w:p>
      <w:pPr>
        <w:spacing w:after="0" w:line="124"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Bank, N.A. (including its branches and affiliates), in its capacity as administrative agent for the Lenders hereunder.</w:t>
      </w:r>
    </w:p>
    <w:p>
      <w:pPr>
        <w:spacing w:after="0" w:line="17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Party</w:t>
      </w:r>
      <w:r>
        <w:rPr>
          <w:rFonts w:ascii="Arial" w:cs="Arial" w:eastAsia="Arial" w:hAnsi="Arial"/>
          <w:sz w:val="18"/>
          <w:szCs w:val="18"/>
          <w:color w:val="auto"/>
        </w:rPr>
        <w:t>” has the meaning assigned to such term in Section 9.01(d).</w:t>
      </w:r>
    </w:p>
    <w:p>
      <w:pPr>
        <w:spacing w:after="0" w:line="225" w:lineRule="exact"/>
        <w:rPr>
          <w:sz w:val="20"/>
          <w:szCs w:val="20"/>
          <w:color w:val="auto"/>
        </w:rPr>
      </w:pPr>
    </w:p>
    <w:p>
      <w:pPr>
        <w:ind w:right="5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w:t>
      </w:r>
      <w:r>
        <w:rPr>
          <w:rFonts w:ascii="Arial" w:cs="Arial" w:eastAsia="Arial" w:hAnsi="Arial"/>
          <w:sz w:val="18"/>
          <w:szCs w:val="18"/>
          <w:color w:val="auto"/>
        </w:rPr>
        <w:t>” means the aggregate of the Commitments of all of the Lenders, as reduced or increased from time to time pursuant to the terms and conditions hereof. As of the Effective Date, the Aggregate Commitment is $750,000,000.</w:t>
      </w:r>
    </w:p>
    <w:p>
      <w:pPr>
        <w:spacing w:after="0" w:line="170"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Currencies</w:t>
      </w:r>
      <w:r>
        <w:rPr>
          <w:rFonts w:ascii="Arial" w:cs="Arial" w:eastAsia="Arial" w:hAnsi="Arial"/>
          <w:sz w:val="18"/>
          <w:szCs w:val="18"/>
          <w:color w:val="auto"/>
        </w:rPr>
        <w:t>” means (i) Dollars, (ii) euro and (iii) any other currency (x) that is a lawful currency (other than Dollars) that is readily available and freely transferable and convertible into Dollars, (y) for which a LIBOR Screen Rate is available in the Administrative Agent’s reasonable determination and (z) (1) with respect to Loans, that is agreed to by the Administrative Agent and each of the Lenders and (2) with respect to Letters of Credit, that is agreed to by the Administrative and the applicable Issuing Bank.</w:t>
      </w:r>
    </w:p>
    <w:p>
      <w:pPr>
        <w:spacing w:after="0" w:line="187"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xml:space="preserve">” means, for any day, a rate per annum equal to the greatest of (a) the Prime Rate in effect on such day, (b) the Federal Funds Effective Rate in effect on such day plus ½ of 1% and (c) the Adjusted LIBO Rate for a one month Interest Period in Dollars on such day (or if such day is not a Business Day, the immediately preceding Business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Adjusted LIBO Rate for any day shall be based on the LIBO Rate at approximately 11:00 a.m. London time on such day, subject to the interest rate floors set forth therein.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Rate</w:t>
      </w:r>
      <w:r>
        <w:rPr>
          <w:rFonts w:ascii="Arial" w:cs="Arial" w:eastAsia="Arial" w:hAnsi="Arial"/>
          <w:sz w:val="18"/>
          <w:szCs w:val="18"/>
          <w:color w:val="auto"/>
        </w:rPr>
        <w:t>” has the meaning assigned to such term in Section 2.14(a).</w:t>
      </w:r>
    </w:p>
    <w:p>
      <w:pPr>
        <w:spacing w:after="0" w:line="225"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Company or its Subsidiaries from time to time concerning or relating to bribery or corruption.</w:t>
      </w:r>
    </w:p>
    <w:p>
      <w:pPr>
        <w:spacing w:after="0" w:line="170" w:lineRule="exact"/>
        <w:rPr>
          <w:sz w:val="20"/>
          <w:szCs w:val="20"/>
          <w:color w:val="auto"/>
        </w:rPr>
      </w:pPr>
    </w:p>
    <w:p>
      <w:pPr>
        <w:ind w:right="8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LC Sublimit</w:t>
      </w:r>
      <w:r>
        <w:rPr>
          <w:rFonts w:ascii="Arial" w:cs="Arial" w:eastAsia="Arial" w:hAnsi="Arial"/>
          <w:sz w:val="16"/>
          <w:szCs w:val="16"/>
          <w:color w:val="auto"/>
        </w:rPr>
        <w:t>” means (i) with respect to JPMorgan Chase Bank, N.A. in its capacity as an Issuing Bank under this Agreement, $33,350,000, (ii) with respect to Bank of America, N.A. in its capacity as an Issuing Bank under this Agreement, $33,350,000, (iii) with respect to U.S. Bank National Association in its capacity as an Issuing Bank under this Agreement, $33,350,000 and (iv) with respect to any other Person that becomes an Issuing Bank pursuant to the terms of this Agreement, such amount as agreed to in writing by the Company, the Administrative Agent and such Person at the time such Person becomes an Issuing Bank pursuant to the terms of this Agreement, as each of the foregoing amounts may be decreased or increased from time to time with the written consent of the Company, the Administrative Agent and the Issuing Banks (provided that any increase in the Applicable LC Sublimit with respect to any Issuing Bank shall only require the consent of the Company and such Issuing Bank).</w:t>
      </w:r>
    </w:p>
    <w:p>
      <w:pPr>
        <w:spacing w:after="0" w:line="167"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the percentage of the Aggregate Commitment represented by such Lender’s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Section 2.24 when a Defaulting Lender shall exist, “Applicable Percentage” shall mean the percentage of the Aggregate Commitment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ectPr>
          <w:pgSz w:w="11900" w:h="16838" w:orient="portrait"/>
          <w:cols w:equalWidth="0" w:num="1">
            <w:col w:w="11420"/>
          </w:cols>
          <w:pgMar w:left="240" w:top="125"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6" w:name="page7"/>
    <w:bookmarkEnd w:id="6"/>
    <w:p>
      <w:pPr>
        <w:ind w:right="3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 with respect to any Eurocurrency Loan or any ABR Loan or with respect to the commitment fees payable hereunder, as the case may be, the applicable rate per annum set forth below under the caption “Eurocurrency Spread”, “ABR Spread” or “Commitment Fee Rate”, as the case may be, based upon the Pricing Level applicable on such date:</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140" w:type="dxa"/>
            <w:vAlign w:val="bottom"/>
            <w:vMerge w:val="restart"/>
          </w:tcPr>
          <w:p>
            <w:pPr>
              <w:spacing w:after="0"/>
              <w:rPr>
                <w:sz w:val="20"/>
                <w:szCs w:val="20"/>
                <w:color w:val="auto"/>
              </w:rPr>
            </w:pPr>
            <w:r>
              <w:rPr>
                <w:rFonts w:ascii="Arial" w:cs="Arial" w:eastAsia="Arial" w:hAnsi="Arial"/>
                <w:sz w:val="14"/>
                <w:szCs w:val="14"/>
                <w:b w:val="1"/>
                <w:bCs w:val="1"/>
                <w:color w:val="auto"/>
              </w:rPr>
              <w:t>Pricing Level:</w:t>
            </w:r>
          </w:p>
        </w:tc>
        <w:tc>
          <w:tcPr>
            <w:tcW w:w="360" w:type="dxa"/>
            <w:vAlign w:val="bottom"/>
            <w:vMerge w:val="restart"/>
          </w:tcPr>
          <w:p>
            <w:pPr>
              <w:spacing w:after="0"/>
              <w:rPr>
                <w:sz w:val="14"/>
                <w:szCs w:val="14"/>
                <w:color w:val="auto"/>
              </w:rPr>
            </w:pPr>
          </w:p>
        </w:tc>
        <w:tc>
          <w:tcPr>
            <w:tcW w:w="1620" w:type="dxa"/>
            <w:vAlign w:val="bottom"/>
          </w:tcPr>
          <w:p>
            <w:pPr>
              <w:jc w:val="center"/>
              <w:ind w:left="448"/>
              <w:spacing w:after="0"/>
              <w:rPr>
                <w:sz w:val="20"/>
                <w:szCs w:val="20"/>
                <w:color w:val="auto"/>
              </w:rPr>
            </w:pPr>
            <w:r>
              <w:rPr>
                <w:rFonts w:ascii="Arial" w:cs="Arial" w:eastAsia="Arial" w:hAnsi="Arial"/>
                <w:sz w:val="14"/>
                <w:szCs w:val="14"/>
                <w:b w:val="1"/>
                <w:bCs w:val="1"/>
                <w:color w:val="auto"/>
                <w:w w:val="94"/>
              </w:rPr>
              <w:t>Eurocurrency</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center"/>
              <w:ind w:left="548"/>
              <w:spacing w:after="0"/>
              <w:rPr>
                <w:sz w:val="20"/>
                <w:szCs w:val="20"/>
                <w:color w:val="auto"/>
              </w:rPr>
            </w:pPr>
            <w:r>
              <w:rPr>
                <w:rFonts w:ascii="Arial" w:cs="Arial" w:eastAsia="Arial" w:hAnsi="Arial"/>
                <w:sz w:val="14"/>
                <w:szCs w:val="14"/>
                <w:b w:val="1"/>
                <w:bCs w:val="1"/>
                <w:color w:val="auto"/>
                <w:w w:val="98"/>
              </w:rPr>
              <w:t>ABR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Commitment</w:t>
            </w:r>
          </w:p>
        </w:tc>
        <w:tc>
          <w:tcPr>
            <w:tcW w:w="0" w:type="dxa"/>
            <w:vAlign w:val="bottom"/>
          </w:tcPr>
          <w:p>
            <w:pPr>
              <w:spacing w:after="0"/>
              <w:rPr>
                <w:sz w:val="1"/>
                <w:szCs w:val="1"/>
                <w:color w:val="auto"/>
              </w:rPr>
            </w:pPr>
          </w:p>
        </w:tc>
      </w:tr>
      <w:tr>
        <w:trPr>
          <w:trHeight w:val="171"/>
        </w:trPr>
        <w:tc>
          <w:tcPr>
            <w:tcW w:w="21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162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2"/>
              </w:rPr>
              <w:t>Spread</w:t>
            </w: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b w:val="1"/>
                <w:bCs w:val="1"/>
                <w:color w:val="auto"/>
                <w:w w:val="92"/>
              </w:rPr>
              <w:t>Spread</w:t>
            </w: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Fee Rate</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Level I</w:t>
            </w: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1.125%</w:t>
            </w:r>
          </w:p>
        </w:tc>
        <w:tc>
          <w:tcPr>
            <w:tcW w:w="1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0.125%</w:t>
            </w:r>
          </w:p>
        </w:tc>
        <w:tc>
          <w:tcPr>
            <w:tcW w:w="2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0.125%</w:t>
            </w:r>
          </w:p>
        </w:tc>
        <w:tc>
          <w:tcPr>
            <w:tcW w:w="0" w:type="dxa"/>
            <w:vAlign w:val="bottom"/>
          </w:tcPr>
          <w:p>
            <w:pPr>
              <w:spacing w:after="0"/>
              <w:rPr>
                <w:sz w:val="1"/>
                <w:szCs w:val="1"/>
                <w:color w:val="auto"/>
              </w:rPr>
            </w:pPr>
          </w:p>
        </w:tc>
      </w:tr>
      <w:tr>
        <w:trPr>
          <w:trHeight w:val="216"/>
        </w:trPr>
        <w:tc>
          <w:tcPr>
            <w:tcW w:w="250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Level II</w:t>
            </w:r>
          </w:p>
        </w:tc>
        <w:tc>
          <w:tcPr>
            <w:tcW w:w="16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15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0.25%</w:t>
            </w:r>
          </w:p>
        </w:tc>
        <w:tc>
          <w:tcPr>
            <w:tcW w:w="238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8"/>
              </w:rPr>
              <w:t>Level III</w:t>
            </w:r>
          </w:p>
        </w:tc>
        <w:tc>
          <w:tcPr>
            <w:tcW w:w="1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1.375%</w:t>
            </w:r>
          </w:p>
        </w:tc>
        <w:tc>
          <w:tcPr>
            <w:tcW w:w="1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0.375%</w:t>
            </w:r>
          </w:p>
        </w:tc>
        <w:tc>
          <w:tcPr>
            <w:tcW w:w="2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0.175%</w:t>
            </w:r>
          </w:p>
        </w:tc>
        <w:tc>
          <w:tcPr>
            <w:tcW w:w="0" w:type="dxa"/>
            <w:vAlign w:val="bottom"/>
          </w:tcPr>
          <w:p>
            <w:pPr>
              <w:spacing w:after="0"/>
              <w:rPr>
                <w:sz w:val="1"/>
                <w:szCs w:val="1"/>
                <w:color w:val="auto"/>
              </w:rPr>
            </w:pPr>
          </w:p>
        </w:tc>
      </w:tr>
      <w:tr>
        <w:trPr>
          <w:trHeight w:val="230"/>
        </w:trPr>
        <w:tc>
          <w:tcPr>
            <w:tcW w:w="2500" w:type="dxa"/>
            <w:vAlign w:val="bottom"/>
            <w:gridSpan w:val="2"/>
          </w:tcPr>
          <w:p>
            <w:pPr>
              <w:jc w:val="center"/>
              <w:ind w:right="360"/>
              <w:spacing w:after="0"/>
              <w:rPr>
                <w:sz w:val="20"/>
                <w:szCs w:val="20"/>
                <w:color w:val="auto"/>
              </w:rPr>
            </w:pPr>
            <w:r>
              <w:rPr>
                <w:rFonts w:ascii="Arial" w:cs="Arial" w:eastAsia="Arial" w:hAnsi="Arial"/>
                <w:sz w:val="18"/>
                <w:szCs w:val="18"/>
                <w:color w:val="auto"/>
              </w:rPr>
              <w:t>Level IV</w:t>
            </w:r>
          </w:p>
        </w:tc>
        <w:tc>
          <w:tcPr>
            <w:tcW w:w="16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15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0.50%</w:t>
            </w:r>
          </w:p>
        </w:tc>
        <w:tc>
          <w:tcPr>
            <w:tcW w:w="23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For purposes hereof: (i) Pricing Level I and Ratings Level A are equivalent and correspond to each other, and they are the highest levels for purposes of this definition, (ii) Pricing Level II, Leverage Level 2 and Ratings Level B are equivalent and correspond to each other, and they are the second highest levels for purposes of this definition, (iii) Pricing Level III, Leverage Level 3 and Ratings Level C are equivalent and correspond to each other, and they are the third highest levels for purposes of this definition and (iv) Pricing Level IV, Leverage Level 4 and Ratings Level D are equivalent and correspond to each other, and they are the lowest levels for purposes of this definition.</w:t>
      </w:r>
    </w:p>
    <w:p>
      <w:pPr>
        <w:spacing w:after="0" w:line="173"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At any time of determination, the Pricing Level shall be determined by reference to the higher of the Leverage Level and the Ratings Level then in effect (or if Ratings Level A is then in effect, solely by reference to Ratings Level A).</w:t>
      </w:r>
    </w:p>
    <w:p>
      <w:pPr>
        <w:spacing w:after="0" w:line="153" w:lineRule="exact"/>
        <w:rPr>
          <w:sz w:val="20"/>
          <w:szCs w:val="20"/>
          <w:color w:val="auto"/>
        </w:rPr>
      </w:pPr>
    </w:p>
    <w:tbl>
      <w:tblPr>
        <w:tblLayout w:type="fixed"/>
        <w:tblInd w:w="2600" w:type="dxa"/>
        <w:tblCellMar>
          <w:top w:w="0" w:type="dxa"/>
          <w:left w:w="0" w:type="dxa"/>
          <w:bottom w:w="0" w:type="dxa"/>
          <w:right w:w="0" w:type="dxa"/>
        </w:tblCellMar>
      </w:tblPr>
      <w:tr>
        <w:trPr>
          <w:trHeight w:val="207"/>
        </w:trPr>
        <w:tc>
          <w:tcPr>
            <w:tcW w:w="2000" w:type="dxa"/>
            <w:vAlign w:val="bottom"/>
          </w:tcPr>
          <w:p>
            <w:pPr>
              <w:spacing w:after="0"/>
              <w:rPr>
                <w:sz w:val="17"/>
                <w:szCs w:val="17"/>
                <w:color w:val="auto"/>
              </w:rPr>
            </w:pPr>
          </w:p>
        </w:tc>
        <w:tc>
          <w:tcPr>
            <w:tcW w:w="22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Leverage Level Determination</w:t>
            </w:r>
          </w:p>
        </w:tc>
        <w:tc>
          <w:tcPr>
            <w:tcW w:w="1100" w:type="dxa"/>
            <w:vAlign w:val="bottom"/>
            <w:gridSpan w:val="2"/>
          </w:tcPr>
          <w:p>
            <w:pPr>
              <w:spacing w:after="0"/>
              <w:rPr>
                <w:sz w:val="17"/>
                <w:szCs w:val="17"/>
                <w:color w:val="auto"/>
              </w:rPr>
            </w:pPr>
          </w:p>
        </w:tc>
      </w:tr>
      <w:tr>
        <w:trPr>
          <w:trHeight w:val="385"/>
        </w:trPr>
        <w:tc>
          <w:tcPr>
            <w:tcW w:w="2000" w:type="dxa"/>
            <w:vAlign w:val="bottom"/>
          </w:tcPr>
          <w:p>
            <w:pPr>
              <w:spacing w:after="0"/>
              <w:rPr>
                <w:sz w:val="20"/>
                <w:szCs w:val="20"/>
                <w:color w:val="auto"/>
              </w:rPr>
            </w:pPr>
            <w:r>
              <w:rPr>
                <w:rFonts w:ascii="Arial" w:cs="Arial" w:eastAsia="Arial" w:hAnsi="Arial"/>
                <w:sz w:val="14"/>
                <w:szCs w:val="14"/>
                <w:b w:val="1"/>
                <w:bCs w:val="1"/>
                <w:color w:val="auto"/>
              </w:rPr>
              <w:t>Leverage Level</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4"/>
              </w:rPr>
              <w:t>Total Leverage Ratio</w:t>
            </w:r>
          </w:p>
        </w:tc>
      </w:tr>
      <w:tr>
        <w:trPr>
          <w:trHeight w:val="169"/>
        </w:trPr>
        <w:tc>
          <w:tcPr>
            <w:tcW w:w="2000" w:type="dxa"/>
            <w:vAlign w:val="bottom"/>
            <w:tcBorders>
              <w:top w:val="single" w:sz="8" w:color="auto"/>
            </w:tcBorders>
            <w:shd w:val="clear" w:color="auto" w:fill="CCEEFF"/>
          </w:tcPr>
          <w:p>
            <w:pPr>
              <w:ind w:left="940"/>
              <w:spacing w:after="0" w:line="170" w:lineRule="exact"/>
              <w:rPr>
                <w:sz w:val="20"/>
                <w:szCs w:val="20"/>
                <w:color w:val="auto"/>
              </w:rPr>
            </w:pPr>
            <w:r>
              <w:rPr>
                <w:rFonts w:ascii="Arial" w:cs="Arial" w:eastAsia="Arial" w:hAnsi="Arial"/>
                <w:sz w:val="18"/>
                <w:szCs w:val="18"/>
                <w:color w:val="auto"/>
              </w:rPr>
              <w:t>Level 2</w:t>
            </w:r>
          </w:p>
        </w:tc>
        <w:tc>
          <w:tcPr>
            <w:tcW w:w="4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20" w:type="dxa"/>
            <w:vAlign w:val="bottom"/>
            <w:tcBorders>
              <w:top w:val="single" w:sz="8" w:color="auto"/>
            </w:tcBorders>
            <w:gridSpan w:val="3"/>
            <w:shd w:val="clear" w:color="auto" w:fill="CCEEFF"/>
          </w:tcPr>
          <w:p>
            <w:pPr>
              <w:jc w:val="center"/>
              <w:ind w:right="800"/>
              <w:spacing w:after="0" w:line="170" w:lineRule="exact"/>
              <w:rPr>
                <w:sz w:val="20"/>
                <w:szCs w:val="20"/>
                <w:color w:val="auto"/>
              </w:rPr>
            </w:pPr>
            <w:r>
              <w:rPr>
                <w:rFonts w:ascii="Arial" w:cs="Arial" w:eastAsia="Arial" w:hAnsi="Arial"/>
                <w:sz w:val="18"/>
                <w:szCs w:val="18"/>
                <w:color w:val="auto"/>
                <w:w w:val="92"/>
              </w:rPr>
              <w:t>&lt; 1.00 to 1.00</w:t>
            </w:r>
          </w:p>
        </w:tc>
        <w:tc>
          <w:tcPr>
            <w:tcW w:w="20" w:type="dxa"/>
            <w:vAlign w:val="bottom"/>
            <w:tcBorders>
              <w:top w:val="single" w:sz="8" w:color="CCEEFF"/>
            </w:tcBorders>
            <w:shd w:val="clear" w:color="auto" w:fill="CCEEFF"/>
          </w:tcPr>
          <w:p>
            <w:pPr>
              <w:spacing w:after="0"/>
              <w:rPr>
                <w:sz w:val="14"/>
                <w:szCs w:val="14"/>
                <w:color w:val="auto"/>
              </w:rPr>
            </w:pPr>
          </w:p>
        </w:tc>
      </w:tr>
      <w:tr>
        <w:trPr>
          <w:trHeight w:val="21"/>
        </w:trPr>
        <w:tc>
          <w:tcPr>
            <w:tcW w:w="20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00" w:type="dxa"/>
            <w:vAlign w:val="bottom"/>
          </w:tcPr>
          <w:p>
            <w:pPr>
              <w:ind w:left="940"/>
              <w:spacing w:after="0"/>
              <w:rPr>
                <w:sz w:val="20"/>
                <w:szCs w:val="20"/>
                <w:color w:val="auto"/>
              </w:rPr>
            </w:pPr>
            <w:r>
              <w:rPr>
                <w:rFonts w:ascii="Arial" w:cs="Arial" w:eastAsia="Arial" w:hAnsi="Arial"/>
                <w:sz w:val="18"/>
                <w:szCs w:val="18"/>
                <w:color w:val="auto"/>
              </w:rPr>
              <w:t>Level 3</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jc w:val="center"/>
              <w:ind w:right="20"/>
              <w:spacing w:after="0"/>
              <w:rPr>
                <w:sz w:val="20"/>
                <w:szCs w:val="20"/>
                <w:color w:val="auto"/>
              </w:rPr>
            </w:pPr>
            <w:r>
              <w:rPr>
                <w:rFonts w:ascii="Arial" w:cs="Arial" w:eastAsia="Arial" w:hAnsi="Arial"/>
                <w:sz w:val="18"/>
                <w:szCs w:val="18"/>
                <w:color w:val="auto"/>
                <w:w w:val="91"/>
              </w:rPr>
              <w:t>&gt; 1.00 to 1.00 but &lt; 2.00 to 1.00</w:t>
            </w:r>
          </w:p>
        </w:tc>
      </w:tr>
      <w:tr>
        <w:trPr>
          <w:trHeight w:val="176"/>
        </w:trPr>
        <w:tc>
          <w:tcPr>
            <w:tcW w:w="2000" w:type="dxa"/>
            <w:vAlign w:val="bottom"/>
            <w:shd w:val="clear" w:color="auto" w:fill="CCEEFF"/>
          </w:tcPr>
          <w:p>
            <w:pPr>
              <w:ind w:left="940"/>
              <w:spacing w:after="0" w:line="176" w:lineRule="exact"/>
              <w:rPr>
                <w:sz w:val="20"/>
                <w:szCs w:val="20"/>
                <w:color w:val="auto"/>
              </w:rPr>
            </w:pPr>
            <w:r>
              <w:rPr>
                <w:rFonts w:ascii="Arial" w:cs="Arial" w:eastAsia="Arial" w:hAnsi="Arial"/>
                <w:sz w:val="18"/>
                <w:szCs w:val="18"/>
                <w:color w:val="auto"/>
              </w:rPr>
              <w:t>Level 4</w:t>
            </w: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40" w:type="dxa"/>
            <w:vAlign w:val="bottom"/>
            <w:gridSpan w:val="4"/>
            <w:shd w:val="clear" w:color="auto" w:fill="CCEEFF"/>
          </w:tcPr>
          <w:p>
            <w:pPr>
              <w:jc w:val="center"/>
              <w:ind w:right="820"/>
              <w:spacing w:after="0" w:line="176" w:lineRule="exact"/>
              <w:rPr>
                <w:sz w:val="20"/>
                <w:szCs w:val="20"/>
                <w:color w:val="auto"/>
              </w:rPr>
            </w:pPr>
            <w:r>
              <w:rPr>
                <w:rFonts w:ascii="Arial" w:cs="Arial" w:eastAsia="Arial" w:hAnsi="Arial"/>
                <w:sz w:val="18"/>
                <w:szCs w:val="18"/>
                <w:color w:val="auto"/>
                <w:w w:val="92"/>
              </w:rPr>
              <w:t>&gt; 2.00 to 1.00</w:t>
            </w:r>
          </w:p>
        </w:tc>
      </w:tr>
      <w:tr>
        <w:trPr>
          <w:trHeight w:val="21"/>
        </w:trPr>
        <w:tc>
          <w:tcPr>
            <w:tcW w:w="20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Unless Ratings Level A is then in effect, if at any time the Company fails to deliver the Financials on or before the date such Financials are due pursuant to Section 5.01, Leverage Level 4 shall be deemed applicable for the period commencing three (3) Business Days after such required date of delivery and ending on the date which is three (3) Business Days after such Financials are actually delivered, after which the Leverage Level shall be determined in accordance with this definition, as applicable.</w:t>
      </w:r>
    </w:p>
    <w:p>
      <w:pPr>
        <w:spacing w:after="0" w:line="187"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Except as otherwise provided in the paragraph below or in the immediately preceding paragraph, adjustments, if any, to the Leverage Level then in effect shall be effective three (3) Business Days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40"/>
        <w:spacing w:after="0" w:line="264" w:lineRule="auto"/>
        <w:rPr>
          <w:sz w:val="20"/>
          <w:szCs w:val="20"/>
          <w:color w:val="auto"/>
        </w:rPr>
      </w:pPr>
      <w:r>
        <w:rPr>
          <w:rFonts w:ascii="Arial" w:cs="Arial" w:eastAsia="Arial" w:hAnsi="Arial"/>
          <w:sz w:val="18"/>
          <w:szCs w:val="18"/>
          <w:color w:val="auto"/>
        </w:rPr>
        <w:t>after the Administrative Agent has received the applicable Financials (it being understood and agreed that each change in Leverage Level shall apply during the period commencing on the effective date of such change and ending on the date immediately preceding the effective date of the next such change).</w:t>
      </w:r>
    </w:p>
    <w:p>
      <w:pPr>
        <w:spacing w:after="0" w:line="181"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Notwithstanding anything to the contrary set forth in this definition, Leverage Level 2 shall be deemed to be applicable until the Administrative Agent’s receipt of the applicable financial statements for the Company’s first full fiscal quarter ending after the Effective Date and adjustments to the Leverage Level then in effect shall thereafter be effected in accordance with the terms of this definition.</w:t>
      </w:r>
    </w:p>
    <w:p>
      <w:pPr>
        <w:spacing w:after="0" w:line="164" w:lineRule="exact"/>
        <w:rPr>
          <w:sz w:val="20"/>
          <w:szCs w:val="20"/>
          <w:color w:val="auto"/>
        </w:rPr>
      </w:pPr>
    </w:p>
    <w:tbl>
      <w:tblPr>
        <w:tblLayout w:type="fixed"/>
        <w:tblInd w:w="2280" w:type="dxa"/>
        <w:tblCellMar>
          <w:top w:w="0" w:type="dxa"/>
          <w:left w:w="0" w:type="dxa"/>
          <w:bottom w:w="0" w:type="dxa"/>
          <w:right w:w="0" w:type="dxa"/>
        </w:tblCellMar>
      </w:tblPr>
      <w:tr>
        <w:trPr>
          <w:trHeight w:val="207"/>
        </w:trPr>
        <w:tc>
          <w:tcPr>
            <w:tcW w:w="1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Ratings Level Determination</w:t>
            </w:r>
          </w:p>
        </w:tc>
        <w:tc>
          <w:tcPr>
            <w:tcW w:w="1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Ratings Level</w:t>
            </w:r>
          </w:p>
        </w:tc>
        <w:tc>
          <w:tcPr>
            <w:tcW w:w="80" w:type="dxa"/>
            <w:vAlign w:val="bottom"/>
          </w:tcPr>
          <w:p>
            <w:pPr>
              <w:spacing w:after="0"/>
              <w:rPr>
                <w:sz w:val="24"/>
                <w:szCs w:val="24"/>
                <w:color w:val="auto"/>
              </w:rPr>
            </w:pPr>
          </w:p>
        </w:tc>
        <w:tc>
          <w:tcPr>
            <w:tcW w:w="35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Index Debt Ratings</w:t>
            </w: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5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(S&amp;P/Moody’s)</w:t>
            </w:r>
          </w:p>
        </w:tc>
        <w:tc>
          <w:tcPr>
            <w:tcW w:w="0" w:type="dxa"/>
            <w:vAlign w:val="bottom"/>
          </w:tcPr>
          <w:p>
            <w:pPr>
              <w:spacing w:after="0"/>
              <w:rPr>
                <w:sz w:val="1"/>
                <w:szCs w:val="1"/>
                <w:color w:val="auto"/>
              </w:rPr>
            </w:pPr>
          </w:p>
        </w:tc>
      </w:tr>
      <w:tr>
        <w:trPr>
          <w:trHeight w:val="210"/>
        </w:trPr>
        <w:tc>
          <w:tcPr>
            <w:tcW w:w="19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Level A</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20" w:type="dxa"/>
            <w:vAlign w:val="bottom"/>
            <w:tcBorders>
              <w:top w:val="single" w:sz="8" w:color="auto"/>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BBB+/Baa1 or higher</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660"/>
              <w:spacing w:after="0"/>
              <w:rPr>
                <w:sz w:val="20"/>
                <w:szCs w:val="20"/>
                <w:color w:val="auto"/>
              </w:rPr>
            </w:pPr>
            <w:r>
              <w:rPr>
                <w:rFonts w:ascii="Arial" w:cs="Arial" w:eastAsia="Arial" w:hAnsi="Arial"/>
                <w:sz w:val="18"/>
                <w:szCs w:val="18"/>
                <w:color w:val="auto"/>
              </w:rPr>
              <w:t>Level B</w:t>
            </w:r>
          </w:p>
        </w:tc>
        <w:tc>
          <w:tcPr>
            <w:tcW w:w="80" w:type="dxa"/>
            <w:vAlign w:val="bottom"/>
          </w:tcPr>
          <w:p>
            <w:pPr>
              <w:spacing w:after="0"/>
              <w:rPr>
                <w:sz w:val="18"/>
                <w:szCs w:val="18"/>
                <w:color w:val="auto"/>
              </w:rPr>
            </w:pPr>
          </w:p>
        </w:tc>
        <w:tc>
          <w:tcPr>
            <w:tcW w:w="358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BBB/Baa2</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Level C</w:t>
            </w:r>
          </w:p>
        </w:tc>
        <w:tc>
          <w:tcPr>
            <w:tcW w:w="8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4"/>
              </w:rPr>
              <w:t>BBB-/Baa3</w:t>
            </w:r>
          </w:p>
        </w:tc>
        <w:tc>
          <w:tcPr>
            <w:tcW w:w="0" w:type="dxa"/>
            <w:vAlign w:val="bottom"/>
          </w:tcPr>
          <w:p>
            <w:pPr>
              <w:spacing w:after="0"/>
              <w:rPr>
                <w:sz w:val="1"/>
                <w:szCs w:val="1"/>
                <w:color w:val="auto"/>
              </w:rPr>
            </w:pPr>
          </w:p>
        </w:tc>
      </w:tr>
      <w:tr>
        <w:trPr>
          <w:trHeight w:val="230"/>
        </w:trPr>
        <w:tc>
          <w:tcPr>
            <w:tcW w:w="2300" w:type="dxa"/>
            <w:vAlign w:val="bottom"/>
            <w:gridSpan w:val="2"/>
          </w:tcPr>
          <w:p>
            <w:pPr>
              <w:ind w:left="660"/>
              <w:spacing w:after="0"/>
              <w:rPr>
                <w:sz w:val="20"/>
                <w:szCs w:val="20"/>
                <w:color w:val="auto"/>
              </w:rPr>
            </w:pPr>
            <w:r>
              <w:rPr>
                <w:rFonts w:ascii="Arial" w:cs="Arial" w:eastAsia="Arial" w:hAnsi="Arial"/>
                <w:sz w:val="18"/>
                <w:szCs w:val="18"/>
                <w:color w:val="auto"/>
              </w:rPr>
              <w:t>Level D</w:t>
            </w:r>
          </w:p>
        </w:tc>
        <w:tc>
          <w:tcPr>
            <w:tcW w:w="80" w:type="dxa"/>
            <w:vAlign w:val="bottom"/>
          </w:tcPr>
          <w:p>
            <w:pPr>
              <w:spacing w:after="0"/>
              <w:rPr>
                <w:sz w:val="20"/>
                <w:szCs w:val="20"/>
                <w:color w:val="auto"/>
              </w:rPr>
            </w:pPr>
          </w:p>
        </w:tc>
        <w:tc>
          <w:tcPr>
            <w:tcW w:w="358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BB+/Ba1 or lower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line="268" w:lineRule="auto"/>
        <w:rPr>
          <w:sz w:val="20"/>
          <w:szCs w:val="20"/>
          <w:color w:val="auto"/>
        </w:rPr>
      </w:pPr>
      <w:r>
        <w:rPr>
          <w:rFonts w:ascii="Arial" w:cs="Arial" w:eastAsia="Arial" w:hAnsi="Arial"/>
          <w:sz w:val="17"/>
          <w:szCs w:val="17"/>
          <w:color w:val="auto"/>
        </w:rPr>
        <w:t>For purposes of the foregoing, (i) if neither Moody’s nor S&amp;P shall have in effect a rating for the Index Debt (other than by reason of the circumstances referred to in the last sentence of this definition), then such rating agency shall be deemed to have established a Ratings Level in Level D; (ii) if the ratings established or deemed to have been established by Moody’s and S&amp;P for the Index Debt shall fall within different Ratings Levels, the Ratings Level shall be based on the higher of the two ratings unless one of the two ratings is two or more Ratings Levels lower than the other, in which case the Ratings Level shall be determined by reference to the Ratings Level next below that of the higher of the two ratings; (iii) if only one of S&amp;P and Moody’s shall have in effect a rating for the Index Debt, the Ratings Level shall be determined by reference to the available rating; and (iv) if the ratings established or deemed to have been established by Moody’s and S&amp;P for the Index Debt shall be changed (other than as a result of a change in the rating system of Moody’s or S&amp;P), such change shall be effective as of the date on which it is first announced by the applicable rating agency, irrespective of when notice of such change shall have been furnished by the Company to the Administrative Agent and the Lenders pursuant to Section 5.01 or otherwise. Each change in the Ratings Level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Ratings Level shall be determined by reference to the rating most recently in effect prior to such change or cessation.</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12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sectPr>
      </w:pPr>
    </w:p>
    <w:bookmarkStart w:id="7" w:name="page8"/>
    <w:bookmarkEnd w:id="7"/>
    <w:p>
      <w:pPr>
        <w:ind w:right="80" w:firstLine="1297"/>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10795"/>
                    </a:xfrm>
                    <a:prstGeom prst="rect">
                      <a:avLst/>
                    </a:prstGeom>
                    <a:noFill/>
                  </pic:spPr>
                </pic:pic>
              </a:graphicData>
            </a:graphic>
          </wp:anchor>
        </w:drawing>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approved by the Administrative Agent.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Augmenting Lender</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70"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Revolving Commitment</w:t>
      </w:r>
      <w:r>
        <w:rPr>
          <w:rFonts w:ascii="Arial" w:cs="Arial" w:eastAsia="Arial" w:hAnsi="Arial"/>
          <w:sz w:val="17"/>
          <w:szCs w:val="17"/>
          <w:color w:val="auto"/>
        </w:rPr>
        <w:t>” means, at any time with respect to any Lender, the Commitment of such Lender then in effect minus the Revolving Credit Exposure of such Lender at such time; it being understood and agreed that any Lender’s Swingline Exposure shall not be deemed to be a component of the Revolving Credit Exposure for purposes of calculating the commitment fee under Section 2.12(a).</w:t>
      </w:r>
    </w:p>
    <w:p>
      <w:pPr>
        <w:spacing w:after="0" w:line="166"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w:t>
      </w:r>
      <w:r>
        <w:rPr>
          <w:rFonts w:ascii="Arial" w:cs="Arial" w:eastAsia="Arial" w:hAnsi="Arial"/>
          <w:sz w:val="18"/>
          <w:szCs w:val="18"/>
          <w:color w:val="auto"/>
        </w:rPr>
        <w:t>” means each and any of the following bank services provided to the Company or any Subsidiary by any Lender or any of its Affiliates: (a) credit cards for commercial customers (including, without limitation, commercial credit cards and purchasing cards), (b) stored value cards and (c) treasury management services (including, without limitation, controlled disbursement, automated clearinghouse transactions, return items, overdrafts and interstate depository network services).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Banking Services Agreement</w:t>
      </w:r>
      <w:r>
        <w:rPr>
          <w:rFonts w:ascii="Arial" w:cs="Arial" w:eastAsia="Arial" w:hAnsi="Arial"/>
          <w:sz w:val="16"/>
          <w:szCs w:val="16"/>
          <w:color w:val="auto"/>
        </w:rPr>
        <w:t>” means any agreement entered into by the Company or any Subsidiary in connection with Banking Services.</w:t>
      </w:r>
    </w:p>
    <w:p>
      <w:pPr>
        <w:spacing w:after="0" w:line="248"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means any and all obligations of the Company or any Subsidiary, whether absolute or contingent and howsoever and whensoever created, arising, evidenced or acquired (including all renewals, extensions and modifications thereof and substitutions therefor) in connection with Banking Services.</w:t>
      </w:r>
    </w:p>
    <w:p>
      <w:pPr>
        <w:spacing w:after="0" w:line="181" w:lineRule="exact"/>
        <w:rPr>
          <w:sz w:val="20"/>
          <w:szCs w:val="20"/>
          <w:color w:val="auto"/>
        </w:rPr>
      </w:pPr>
    </w:p>
    <w:p>
      <w:pPr>
        <w:ind w:right="140"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Event</w:t>
      </w:r>
      <w:r>
        <w:rPr>
          <w:rFonts w:ascii="Arial" w:cs="Arial" w:eastAsia="Arial" w:hAnsi="Arial"/>
          <w:sz w:val="17"/>
          <w:szCs w:val="17"/>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the Company or any Subsidiary Borrower.</w:t>
      </w:r>
    </w:p>
    <w:p>
      <w:pPr>
        <w:spacing w:after="0" w:line="225" w:lineRule="exact"/>
        <w:rPr>
          <w:sz w:val="20"/>
          <w:szCs w:val="20"/>
          <w:color w:val="auto"/>
        </w:rPr>
      </w:pPr>
    </w:p>
    <w:p>
      <w:pPr>
        <w:ind w:right="48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w:t>
      </w:r>
      <w:r>
        <w:rPr>
          <w:rFonts w:ascii="Arial" w:cs="Arial" w:eastAsia="Arial" w:hAnsi="Arial"/>
          <w:sz w:val="17"/>
          <w:szCs w:val="17"/>
          <w:color w:val="auto"/>
        </w:rPr>
        <w:t>” means (a) Revolving Loans of the same Type and Class, made, converted or continued on the same date and to the same Borrower and, in the case of Eurocurrency Loans, as to which a single Interest Period is in effect or (b) a Swingline Loan.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Request</w:t>
      </w:r>
      <w:r>
        <w:rPr>
          <w:rFonts w:ascii="Arial" w:cs="Arial" w:eastAsia="Arial" w:hAnsi="Arial"/>
          <w:sz w:val="17"/>
          <w:szCs w:val="17"/>
          <w:color w:val="auto"/>
        </w:rPr>
        <w:t xml:space="preserve">” means (a) with respect to any request for a Revolving Borrowing, a request by any Borrower, together with the Company in the case of a Revolving Borrowing requested by a Subsidiary Borrower, for a Revolving Borrowing in accordance with Section 2.03 and (b) with respect to any request for a Swingline Loan, a request by any Swingline Borrower, together with the Company in the case of a Swingline Loan requested by a Subsidiary Borrower, for a Swingline Loan in accordance with Section 2.05, in any such case, in the form attached hereto as </w:t>
      </w:r>
      <w:r>
        <w:rPr>
          <w:rFonts w:ascii="Arial" w:cs="Arial" w:eastAsia="Arial" w:hAnsi="Arial"/>
          <w:sz w:val="17"/>
          <w:szCs w:val="17"/>
          <w:u w:val="single" w:color="auto"/>
          <w:color w:val="auto"/>
        </w:rPr>
        <w:t>Exhibit I-1</w:t>
      </w:r>
      <w:r>
        <w:rPr>
          <w:rFonts w:ascii="Arial" w:cs="Arial" w:eastAsia="Arial" w:hAnsi="Arial"/>
          <w:sz w:val="17"/>
          <w:szCs w:val="17"/>
          <w:color w:val="auto"/>
        </w:rPr>
        <w: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Subsidiary Agreement</w:t>
      </w:r>
      <w:r>
        <w:rPr>
          <w:rFonts w:ascii="Arial" w:cs="Arial" w:eastAsia="Arial" w:hAnsi="Arial"/>
          <w:sz w:val="18"/>
          <w:szCs w:val="18"/>
          <w:color w:val="auto"/>
        </w:rPr>
        <w:t xml:space="preserve">” means a Borrowing Subsidiary Agreement substantially in the form of </w:t>
      </w:r>
      <w:r>
        <w:rPr>
          <w:rFonts w:ascii="Arial" w:cs="Arial" w:eastAsia="Arial" w:hAnsi="Arial"/>
          <w:sz w:val="18"/>
          <w:szCs w:val="18"/>
          <w:u w:val="single" w:color="auto"/>
          <w:color w:val="auto"/>
        </w:rPr>
        <w:t>Exhibit F-1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Subsidiary Termination</w:t>
      </w:r>
      <w:r>
        <w:rPr>
          <w:rFonts w:ascii="Arial" w:cs="Arial" w:eastAsia="Arial" w:hAnsi="Arial"/>
          <w:sz w:val="18"/>
          <w:szCs w:val="18"/>
          <w:color w:val="auto"/>
        </w:rPr>
        <w:t xml:space="preserve">” means a Borrowing Subsidiary Termination substantially in the form of </w:t>
      </w:r>
      <w:r>
        <w:rPr>
          <w:rFonts w:ascii="Arial" w:cs="Arial" w:eastAsia="Arial" w:hAnsi="Arial"/>
          <w:sz w:val="18"/>
          <w:szCs w:val="18"/>
          <w:u w:val="single" w:color="auto"/>
          <w:color w:val="auto"/>
        </w:rPr>
        <w:t>Exhibit F-2</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Eurocurrency Loan,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also exclude any day on which banks are not open for dealings in the relevant Agreed Currency in the London interbank market or the principal financial center of such Agreed Currency (and, if the Borrowings or LC Disbursements which are the subject of a borrowing, drawing, payment, reimbursement or rate selection are denominated in euro,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also exclude any day on which the TARGET2 payment system is not open for the settlement of payments in euro).</w:t>
      </w:r>
    </w:p>
    <w:p>
      <w:pPr>
        <w:spacing w:after="0" w:line="193"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 obligations on a balance sheet of such Person under GAAP, and the amount of such obligations shall be the capitalized amount thereof determined in accordance with GAAP. The foregoing is subject to Section 1.04(a).</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Person that is a “controlled foreign corporation” within the meaning of section 957 of the Code.</w:t>
      </w:r>
    </w:p>
    <w:p>
      <w:pPr>
        <w:spacing w:after="0" w:line="225"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 Debt</w:t>
      </w:r>
      <w:r>
        <w:rPr>
          <w:rFonts w:ascii="Arial" w:cs="Arial" w:eastAsia="Arial" w:hAnsi="Arial"/>
          <w:sz w:val="18"/>
          <w:szCs w:val="18"/>
          <w:color w:val="auto"/>
        </w:rPr>
        <w:t>” means, with respect to any Person, any Indebtedness or accounts receivable that is owed, or treated as owed for United States federal income tax purposes, by any CFC to such Person.</w:t>
      </w:r>
    </w:p>
    <w:p>
      <w:pPr>
        <w:spacing w:after="0" w:line="170" w:lineRule="exact"/>
        <w:rPr>
          <w:sz w:val="20"/>
          <w:szCs w:val="20"/>
          <w:color w:val="auto"/>
        </w:rPr>
      </w:pPr>
    </w:p>
    <w:p>
      <w:pPr>
        <w:ind w:right="28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 the acquisition of ownership, directly or indirectly, beneficially or of record, by any Person or “group” (within the meaning of the Securities Exchange Act of 1934 and the rules of the SEC thereunder, each as in effect on the date hereof) of Equity Interests representing more than 50% of the aggregate ordinary voting power represented by the issued and outstanding Equity Interests of the Company; (b) within</w:t>
      </w:r>
    </w:p>
    <w:p>
      <w:pPr>
        <w:sectPr>
          <w:pgSz w:w="11900" w:h="16838" w:orient="portrait"/>
          <w:cols w:equalWidth="0" w:num="1">
            <w:col w:w="11420"/>
          </w:cols>
          <w:pgMar w:left="240" w:top="706" w:right="239" w:bottom="0" w:gutter="0" w:footer="0" w:header="0"/>
        </w:sectPr>
      </w:pPr>
    </w:p>
    <w:bookmarkStart w:id="8" w:name="page9"/>
    <w:bookmarkEnd w:id="8"/>
    <w:p>
      <w:pPr>
        <w:spacing w:after="0" w:line="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any period of 24 consecutive months, occupation of a majority of the seats (other than vacant seats) on the board of directors of the Company other than by individuals who were (i) directors at the beginning of such period, (ii) nominated by the board of directors of the Company or (iii) appointed (or, in the case of a vacancy, elected) by directors so nominated, in each case which nomination or appointment (or, in the case of a vacancy, election) to such board of directors was made by individuals referred to in the foregoing clauses (i), (ii) or (iii) constituting at the time of such nomination or appointment (or, in the case of a vacancy, election) at least a majority of such board; (c) the occurrence of a change in control, or other similar provision, as defined in any agreement or instrument evidencing any Material Indebtedness, that has triggered a default under or mandatory prepayment of such Material Indebtedness, which default or mandatory prepayment has not been waived in writing; or (d) the Company ceases to (1) Control, directly or indirectly, any Subsidiary Borrower or (2) own,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directly or indirectly, 100% (other than (x) directors’ qualifying shares; (y) shares issued to foreign nationals to the extent required by applicable law; and</w:t>
      </w:r>
    </w:p>
    <w:p>
      <w:pPr>
        <w:spacing w:after="0" w:line="35" w:lineRule="exact"/>
        <w:rPr>
          <w:sz w:val="20"/>
          <w:szCs w:val="20"/>
          <w:color w:val="auto"/>
        </w:rPr>
      </w:pPr>
    </w:p>
    <w:p>
      <w:pPr>
        <w:ind w:right="160" w:firstLine="8"/>
        <w:spacing w:after="0" w:line="253"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held by a Person on trust for, or otherwise where the beneficial interest is held by, the Company (directly or indirectly)) of the ordinary voting and economic interests in any Subsidiary Borrower’s issued and outstanding Equity Interests unless, in any such case, a Borrowing Subsidiary Termination delivered pursuant to Section 2.23 (i) has become effective with respect to such Subsidiary Borrower or (ii) will become effective with respect to such Subsidiary Borrower substantially concurrently with any transaction permitted hereby pursuant to which such Subsidiary Borrower ceases to be a wholly-owned Subsidiary of the Company.</w:t>
      </w:r>
    </w:p>
    <w:p>
      <w:pPr>
        <w:spacing w:after="0" w:line="191"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2"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Revolving Loans or Swingline Loans.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w:t>
      </w:r>
    </w:p>
    <w:p>
      <w:pPr>
        <w:spacing w:after="0" w:line="225" w:lineRule="exact"/>
        <w:rPr>
          <w:sz w:val="20"/>
          <w:szCs w:val="20"/>
          <w:color w:val="auto"/>
        </w:rPr>
      </w:pPr>
    </w:p>
    <w:p>
      <w:pPr>
        <w:ind w:right="34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Co-Documentation Agent</w:t>
      </w:r>
      <w:r>
        <w:rPr>
          <w:rFonts w:ascii="Arial" w:cs="Arial" w:eastAsia="Arial" w:hAnsi="Arial"/>
          <w:sz w:val="16"/>
          <w:szCs w:val="16"/>
          <w:color w:val="auto"/>
        </w:rPr>
        <w:t>” means each of Barclays Bank PLC, Citibank, N.A., Credit Suisse AG, Cayman Islands Branch, Fifth Third Bank and Morgan Stanley MUFG Loan Partners, LLC in its capacity as co-documentation agent for the credit facility evidenced by this Agreement.</w:t>
      </w:r>
    </w:p>
    <w:p>
      <w:pPr>
        <w:spacing w:after="0" w:line="124" w:lineRule="exact"/>
        <w:rPr>
          <w:sz w:val="20"/>
          <w:szCs w:val="20"/>
          <w:color w:val="auto"/>
        </w:rPr>
      </w:pPr>
    </w:p>
    <w:p>
      <w:pPr>
        <w:ind w:right="8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Collaboration Arrangement</w:t>
      </w:r>
      <w:r>
        <w:rPr>
          <w:rFonts w:ascii="Arial" w:cs="Arial" w:eastAsia="Arial" w:hAnsi="Arial"/>
          <w:sz w:val="17"/>
          <w:szCs w:val="17"/>
          <w:color w:val="auto"/>
        </w:rPr>
        <w:t>” means any license, sublicense, lease, sublease, collaboration agreement or other profit-loss sharing arrangement relating to the discovery, research, development, manufacture or commercialization of any drug, product line or service.</w:t>
      </w:r>
    </w:p>
    <w:p>
      <w:pPr>
        <w:spacing w:after="0" w:line="147"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with respect to each Lender, the commitment of such Lender to make Revolving Loans and to acquire participations in Letters of Credit and Swingline Loans hereunder, expressed as an amount representing the maximum aggregate amount of such Lender’s Revolving Credit Exposure hereunder, as such commitment may be reduced, terminated or increased from time to time in accordance with the terms of this Agreement. The initial amount of each Lender’s Commitment is set forth on </w:t>
      </w:r>
      <w:r>
        <w:rPr>
          <w:rFonts w:ascii="Arial" w:cs="Arial" w:eastAsia="Arial" w:hAnsi="Arial"/>
          <w:sz w:val="17"/>
          <w:szCs w:val="17"/>
          <w:u w:val="single" w:color="auto"/>
          <w:color w:val="auto"/>
        </w:rPr>
        <w:t>Schedule 2.01</w:t>
      </w:r>
      <w:r>
        <w:rPr>
          <w:rFonts w:ascii="Arial" w:cs="Arial" w:eastAsia="Arial" w:hAnsi="Arial"/>
          <w:sz w:val="17"/>
          <w:szCs w:val="17"/>
          <w:color w:val="auto"/>
        </w:rPr>
        <w:t>, or in the Assignment and Assumption or other documentation contemplated hereby pursuant to which such Lender shall have assumed its Commitment, as applicable.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has the meaning assigned to such term in Section 9.01(d).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Regeneron Pharmaceuticals, Inc., a New York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Computation Date</w:t>
      </w:r>
      <w:r>
        <w:rPr>
          <w:rFonts w:ascii="Arial" w:cs="Arial" w:eastAsia="Arial" w:hAnsi="Arial"/>
          <w:sz w:val="18"/>
          <w:szCs w:val="18"/>
          <w:color w:val="auto"/>
        </w:rPr>
        <w:t>” is defined in Section 2.04.</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right="28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with reference to any period and without duplication, an amount equal to (a) Consolidated Net Income,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to the extent deducted in determining Consolidated Net Income, (i) Consolidated Interest Expense, (ii) income tax expenses, (iii) depreciation,</w:t>
      </w:r>
    </w:p>
    <w:p>
      <w:pPr>
        <w:ind w:right="20" w:firstLine="8"/>
        <w:spacing w:after="0" w:line="285" w:lineRule="auto"/>
        <w:tabs>
          <w:tab w:leader="none" w:pos="305" w:val="left"/>
        </w:tabs>
        <w:numPr>
          <w:ilvl w:val="0"/>
          <w:numId w:val="3"/>
        </w:numPr>
        <w:rPr>
          <w:rFonts w:ascii="Arial" w:cs="Arial" w:eastAsia="Arial" w:hAnsi="Arial"/>
          <w:sz w:val="16"/>
          <w:szCs w:val="16"/>
          <w:color w:val="auto"/>
        </w:rPr>
      </w:pPr>
      <w:r>
        <w:rPr>
          <w:rFonts w:ascii="Arial" w:cs="Arial" w:eastAsia="Arial" w:hAnsi="Arial"/>
          <w:sz w:val="16"/>
          <w:szCs w:val="16"/>
          <w:color w:val="auto"/>
        </w:rPr>
        <w:t>amortization, (v) non-cash charges, expenses or losses (including any non-cash charges attributable to impairment of goodwill or other intangible assets or impairment of long-lived assets and non-cash expenses related to equity-based compensation, benefits or incentives), (vi) extraordinary, non-recurring or unusual charges, expenses or losses (including, without limitation, with respect to restructuring activities, consolidations, integration, headcount reductions or other similar actions, including severance charges in respect of employee terminations) and in an aggregate amount not in excess of $50,000,000 during any such period, (vii) losses due to fluctuations in currency exchange rates, (viii) unrealized losses under Swap Agreements, (ix) net after-tax losses (including all fees and expenses or charges relating thereto) on any sale or disposition of any asset of the Company or any of its Subsidiaries outside of the ordinary course of business and net after-tax losses from discontinued operations, (x) net after-tax losses (including all fees and expenses or charges relating thereto) on the retirement or extinguishment of debt, (xi) write-off of non-cash deferred revenue in connection with purchase accounting adjustments applied in respect of any Acquisition (it being understood that such non-cash deferred revenue shall be recognized in such period(s) as it would have been recognized but for such Acquisition), (xii) out-of-pocket fees, expenses and other transaction costs paid to unaffiliated third parties in connection with any actual or proposed Acquisitions, merger, joint venture, Collaboration Arrangements, other investments, sales or dispositions of assets, incurrence of indebtedness and issuance of Equity Interests or other securities by the Company or any of its Subsidiaries, in each case, to the extent incurred within twelve (12) months of the completion</w:t>
      </w:r>
    </w:p>
    <w:p>
      <w:pPr>
        <w:sectPr>
          <w:pgSz w:w="11900" w:h="16926" w:orient="portrait"/>
          <w:cols w:equalWidth="0" w:num="1">
            <w:col w:w="11420"/>
          </w:cols>
          <w:pgMar w:left="240" w:top="125" w:right="239" w:bottom="0" w:gutter="0" w:footer="0" w:header="0"/>
        </w:sectPr>
      </w:pPr>
    </w:p>
    <w:bookmarkStart w:id="9" w:name="page10"/>
    <w:bookmarkEnd w:id="9"/>
    <w:p>
      <w:pPr>
        <w:ind w:right="100"/>
        <w:spacing w:after="0" w:line="284" w:lineRule="auto"/>
        <w:rPr>
          <w:sz w:val="20"/>
          <w:szCs w:val="20"/>
          <w:color w:val="auto"/>
        </w:rPr>
      </w:pPr>
      <w:r>
        <w:rPr>
          <w:rFonts w:ascii="Arial" w:cs="Arial" w:eastAsia="Arial" w:hAnsi="Arial"/>
          <w:sz w:val="16"/>
          <w:szCs w:val="16"/>
          <w:color w:val="auto"/>
        </w:rPr>
        <w:t xml:space="preserve">or abandonment (as applicable) of such transactions and so long as such transactions are not prohibited under the Loan Documents and whether or not consummated, (xiii) charges or losses that are, or could reasonably be expected to be, reimbursed or covered by insurance policies or contractual indemnities and not disputed by the insurer or contractual indemnitor thereunder, in each case so long as such amounts are actually reimbursed to the Company or applicable Subsidiary in cash within two (2) fiscal quarters after the related amount is first added to Consolidated EBITDA pursuant to this clause (xiii) (and if not so reimbursed within two (2) fiscal quarters, such amount shall be deducted from Consolidated EBITDA during the next applicable period), (xiv) acquired in-process research and development expenditures,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to the extent included in Consolidated Net Income, (1) interest income,</w:t>
      </w:r>
    </w:p>
    <w:p>
      <w:pPr>
        <w:spacing w:after="0" w:line="5" w:lineRule="exact"/>
        <w:rPr>
          <w:sz w:val="20"/>
          <w:szCs w:val="20"/>
          <w:color w:val="auto"/>
        </w:rPr>
      </w:pPr>
    </w:p>
    <w:p>
      <w:pPr>
        <w:ind w:right="60" w:firstLine="8"/>
        <w:spacing w:after="0" w:line="267"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income tax credits and refunds (to the extent not netted from income tax expense), (3) any cash payments made during such period in respect of items described in clauses (v) or (xi) above subsequent to the fiscal quarter in which the relevant non-cash expenses or losses were incurred, (4) non-cash or extraordinary, unusual or non-recurring income or gains, (5) gains due to fluctuations in currency exchange rates, (6) unrealized gains under Swap Agreements, (7) net after-tax gains (less all fees and expenses or charges relating thereto) on any sale or disposition of any asset of the Company or any of its Subsidiaries outside of the ordinary course of business and net after-tax gains from discontinued operations (without reduction on account of any amounts added back in clause (b)(ii) of this definition) and (8) any net after-tax gains (less and fees and expenses or charges related thereto) on the retirement or extinguishment of debt, all calculated for the Company and its Subsidiaries in accordance with GAAP on a consolidated basis. For the purposes of calculating Consolidated EBITDA for any period of four consecutive fiscal quarters (each such period, a “</w:t>
      </w:r>
      <w:r>
        <w:rPr>
          <w:rFonts w:ascii="Arial" w:cs="Arial" w:eastAsia="Arial" w:hAnsi="Arial"/>
          <w:sz w:val="17"/>
          <w:szCs w:val="17"/>
          <w:u w:val="single" w:color="auto"/>
          <w:color w:val="auto"/>
        </w:rPr>
        <w:t>Reference Period</w:t>
      </w:r>
      <w:r>
        <w:rPr>
          <w:rFonts w:ascii="Arial" w:cs="Arial" w:eastAsia="Arial" w:hAnsi="Arial"/>
          <w:sz w:val="17"/>
          <w:szCs w:val="17"/>
          <w:color w:val="auto"/>
        </w:rPr>
        <w:t>”), (i) if at any time during such Reference Period the Company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negative) attributable thereto for such Reference Period, and (ii) if during such Reference Period the Company or any Subsidiary shall have made a Material Acquisition and the Consolidated EBITDA attributable to the property that is the subject of such Material Acquisition is positive for such Reference Period, Consolidated EBITDA for such Reference Period shall be calculated after giving pro forma effect thereto as if such Material Acquisition occurred on the first day of such Reference Period. As used in this definition, “</w:t>
      </w:r>
      <w:r>
        <w:rPr>
          <w:rFonts w:ascii="Arial" w:cs="Arial" w:eastAsia="Arial" w:hAnsi="Arial"/>
          <w:sz w:val="16"/>
          <w:szCs w:val="16"/>
          <w:u w:val="single" w:color="auto"/>
          <w:color w:val="auto"/>
        </w:rPr>
        <w:t>Material Acquisition</w:t>
      </w:r>
      <w:r>
        <w:rPr>
          <w:rFonts w:ascii="Arial" w:cs="Arial" w:eastAsia="Arial" w:hAnsi="Arial"/>
          <w:sz w:val="16"/>
          <w:szCs w:val="16"/>
          <w:color w:val="auto"/>
        </w:rPr>
        <w:t>” means any acquisition of property or series of related acquisitions of property by the Company or any Subsidiary that (a) constitutes (i) assets comprising all or substantially all or any significant portion of a business or operating unit of a business, or (ii) all or substantially all of the common stock or other Equity Interests of a Person, and (b) involves the payment of consideration by the Company and its Subsidiaries in excess of $25,000,000 (calculated to include the aggregate amount of Indebtedness assumed in connection with such acquisition); and “</w:t>
      </w:r>
      <w:r>
        <w:rPr>
          <w:rFonts w:ascii="Arial" w:cs="Arial" w:eastAsia="Arial" w:hAnsi="Arial"/>
          <w:sz w:val="16"/>
          <w:szCs w:val="16"/>
          <w:u w:val="single" w:color="auto"/>
          <w:color w:val="auto"/>
        </w:rPr>
        <w:t>Material Disposition</w:t>
      </w:r>
      <w:r>
        <w:rPr>
          <w:rFonts w:ascii="Arial" w:cs="Arial" w:eastAsia="Arial" w:hAnsi="Arial"/>
          <w:sz w:val="16"/>
          <w:szCs w:val="16"/>
          <w:color w:val="auto"/>
        </w:rPr>
        <w:t>” means any sale, transfer or disposition of property of the Company or any Subsidiary or series of related sales, transfers, or dispositions of property of the Company or such Subsidiary (other than any Exclusive License or transactions between or among any of the Loan Parties or any of their Subsidiaries (or any combination thereof)) that yields gross cash proceeds to the Company or any of its Subsidiaries in excess of $25,000,000 in the aggregate on or prior to the consummation thereof (and which, for the avoidance of doubt, shall not include any royalty, earnout, contingent payment or any other deferred payment that may be payable thereafter).</w:t>
      </w:r>
    </w:p>
    <w:p>
      <w:pPr>
        <w:spacing w:after="0" w:line="169" w:lineRule="exact"/>
        <w:rPr>
          <w:sz w:val="20"/>
          <w:szCs w:val="20"/>
          <w:color w:val="auto"/>
        </w:rPr>
      </w:pPr>
    </w:p>
    <w:p>
      <w:pPr>
        <w:ind w:right="60"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means, with reference to any period, the excess of (a) the interest expense (including without limitation interest expense under Capital Lease Obligations that is treated as interest in accordance with GAAP) of the Company and its Subsidiaries calculated on a consolidated basis for such period with respect to all outstanding Indebtedness of the Company and its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minus (b) to the extent included in clause (a) above, (i) non-cash amounts attributable to amortization of financing costs paid in a previous period, (ii) non-cash amounts attributable to amortization of debt discounts or accrued interest payable in kind for such period, and (iii) any break funding payment made pursuant to Section 2.16. In the event that the Company or any Subsidiary shall have completed a Material Acquisition or a Material Disposition since the beginning of the relevant period, Consolidated Interest Expense shall be determined for such period on a pro forma basis as if such acquisition or disposition, and any related incurrence or repayment of Indebtedness, had occurred at the beginning of such period.</w:t>
      </w:r>
    </w:p>
    <w:p>
      <w:pPr>
        <w:spacing w:after="0" w:line="169"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with reference to any period, the net income (or loss) of the Company and its Subsidiaries calculated in accordance with GAAP on a consolidated basis (without duplication)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 any income (or loss) of any Person other than the Company or a Subsidiary, but any such income so excluded may be included in such period or any later period to the extent of any dividends, distributions or other payments actually paid in cash (or to the extent converted into cash) in the relevant period to the Company or any wholly-owned Subsidiary of the Company.</w:t>
      </w:r>
    </w:p>
    <w:p>
      <w:pPr>
        <w:spacing w:after="0" w:line="188"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Worth</w:t>
      </w:r>
      <w:r>
        <w:rPr>
          <w:rFonts w:ascii="Arial" w:cs="Arial" w:eastAsia="Arial" w:hAnsi="Arial"/>
          <w:sz w:val="18"/>
          <w:szCs w:val="18"/>
          <w:color w:val="auto"/>
        </w:rPr>
        <w:t>” means, as of the date of any determination thereof, the consolidated stockholders’ equity of the Company and its Subsidiaries calculated on a consolidated basis in accordance with GAAP.</w:t>
      </w:r>
    </w:p>
    <w:p>
      <w:pPr>
        <w:spacing w:after="0" w:line="170"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as of the date of any determination thereof, total assets of the Company and its Subsidiaries calculated in accordance with GAAP on a consolidated basis as of such date.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Indebtedness</w:t>
      </w:r>
      <w:r>
        <w:rPr>
          <w:rFonts w:ascii="Arial" w:cs="Arial" w:eastAsia="Arial" w:hAnsi="Arial"/>
          <w:sz w:val="16"/>
          <w:szCs w:val="16"/>
          <w:color w:val="auto"/>
        </w:rPr>
        <w:t>” means at any date the sum, without duplication, of (a) the aggregate Indebtedness of the Company and its Subsidiaries (other than intercompany Indebtedness among the Company and its Subsidiaries) that is of a type that would be reflected on a consolidated balance sheet of the Company prepared as of such date in accordance with GAAP, (b) the aggregate amount of Indebtedness of the Company and its Subsidiaries relating to the maximum drawing amount of all letters of credit outstanding and bankers acceptances and (c) Indebtedness of the type referred to in clauses (a) or (b) hereof of another Person (other than the Company or any Subsidiary) guaranteed by the Company or any of its Subsidiaries; provided that Consolidated Total Indebtedness (i) shall not include obligations in respect of letters of credit, bankers acceptances and similar obligations to the extent of the amount of collateral provided therefor as cash and/or cash equivalents and (ii) shall be subject, in all respects, to the limitations and exclusions set forth in the definition of Indebtedness, including as to the calculation of the amount of any limited recourse guarantee under clause (c) above.</w:t>
      </w:r>
    </w:p>
    <w:p>
      <w:pPr>
        <w:spacing w:after="0" w:line="166"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sectPr>
          <w:pgSz w:w="11900" w:h="16838" w:orient="portrait"/>
          <w:cols w:equalWidth="0" w:num="1">
            <w:col w:w="11400"/>
          </w:cols>
          <w:pgMar w:left="240" w:top="125" w:right="259" w:bottom="0" w:gutter="0" w:footer="0" w:header="0"/>
        </w:sectPr>
      </w:pPr>
    </w:p>
    <w:bookmarkStart w:id="10" w:name="page11"/>
    <w:bookmarkEnd w:id="10"/>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w:t>
      </w:r>
      <w:r>
        <w:rPr>
          <w:rFonts w:ascii="Arial" w:cs="Arial" w:eastAsia="Arial" w:hAnsi="Arial"/>
          <w:sz w:val="18"/>
          <w:szCs w:val="18"/>
          <w:color w:val="auto"/>
        </w:rPr>
        <w:t>” means each of Bank of America, N.A. and U.S. Bank National Association in its capacity as co-documentation agent for the credit facility evidenced by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Event</w:t>
      </w:r>
      <w:r>
        <w:rPr>
          <w:rFonts w:ascii="Arial" w:cs="Arial" w:eastAsia="Arial" w:hAnsi="Arial"/>
          <w:sz w:val="16"/>
          <w:szCs w:val="16"/>
          <w:color w:val="auto"/>
        </w:rPr>
        <w:t>” means a Borrowing, the issuance, amendment, renewal or extension of a Letter of Credit, an LC Disbursement or any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foregoing.</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any Issuing Bank, the Swingline Lender or any other Lender.</w:t>
      </w:r>
    </w:p>
    <w:p>
      <w:pPr>
        <w:spacing w:after="0" w:line="225"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CRR</w:t>
      </w:r>
      <w:r>
        <w:rPr>
          <w:rFonts w:ascii="Arial" w:cs="Arial" w:eastAsia="Arial" w:hAnsi="Arial"/>
          <w:sz w:val="18"/>
          <w:szCs w:val="18"/>
          <w:color w:val="auto"/>
        </w:rPr>
        <w:t>” means the Council Regulation (EU) No 575/2013 of the European Parliament and of the Council of 26 June 2013 on prudential requirements for credit institutions and investment firms and amending Regulation (EU) No 648/2012.</w:t>
      </w:r>
    </w:p>
    <w:p>
      <w:pPr>
        <w:spacing w:after="0" w:line="170"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any Lender that (a) has failed, within two (2) Business Days of the date required to be funded or paid, to</w:t>
      </w:r>
    </w:p>
    <w:p>
      <w:pPr>
        <w:spacing w:after="0" w:line="35" w:lineRule="exact"/>
        <w:rPr>
          <w:sz w:val="20"/>
          <w:szCs w:val="20"/>
          <w:color w:val="auto"/>
        </w:rPr>
      </w:pPr>
    </w:p>
    <w:p>
      <w:pPr>
        <w:ind w:firstLine="8"/>
        <w:spacing w:after="0" w:line="267" w:lineRule="auto"/>
        <w:tabs>
          <w:tab w:leader="none" w:pos="21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clause (c) upon such Credit Party’s receipt of such certification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form and substance satisfactory to it and the Administrative Agent, or (d) has become the subject of a Bankruptcy Event.</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Foreign Subsidiary Borrower</w:t>
      </w:r>
      <w:r>
        <w:rPr>
          <w:rFonts w:ascii="Arial" w:cs="Arial" w:eastAsia="Arial" w:hAnsi="Arial"/>
          <w:sz w:val="18"/>
          <w:szCs w:val="18"/>
          <w:color w:val="auto"/>
        </w:rPr>
        <w:t>” means a Foreign Subsidiary Borrower that is organized under the laws of Luxembourg or any other jurisdiction (other than Ireland or the Netherlands) designated from time to time by the Administrative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Loan</w:t>
      </w:r>
      <w:r>
        <w:rPr>
          <w:rFonts w:ascii="Arial" w:cs="Arial" w:eastAsia="Arial" w:hAnsi="Arial"/>
          <w:sz w:val="18"/>
          <w:szCs w:val="18"/>
          <w:color w:val="auto"/>
        </w:rPr>
        <w:t>” means a Revolving Loan denominated in Dollars to a Designated Foreign Subsidiary Borrower.</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means any event, circumstance, condition or other matter disclosed in the reports and other documents furnished to or filed with the SEC by the Company and that are publicly available on or prior to the Effective Date.</w:t>
      </w:r>
    </w:p>
    <w:p>
      <w:pPr>
        <w:spacing w:after="0" w:line="170"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means, with respect to any Person and transaction, a member of the board of directors (or similar governing body) of such Person who does not have any material direct or indirect financial interest in or with respect to such transaction. It is understood and agreed that no such Person shall be deemed to have a material indirect financial interest if such Person would not be deemed to have an “indirect material interest” within the meaning of Item 404(a) of Regulation S-K.</w:t>
      </w:r>
    </w:p>
    <w:p>
      <w:pPr>
        <w:spacing w:after="0" w:line="187" w:lineRule="exact"/>
        <w:rPr>
          <w:sz w:val="20"/>
          <w:szCs w:val="20"/>
          <w:color w:val="auto"/>
        </w:rPr>
      </w:pPr>
    </w:p>
    <w:p>
      <w:pPr>
        <w:ind w:right="10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Disregarded Entity</w:t>
      </w:r>
      <w:r>
        <w:rPr>
          <w:rFonts w:ascii="Arial" w:cs="Arial" w:eastAsia="Arial" w:hAnsi="Arial"/>
          <w:sz w:val="18"/>
          <w:szCs w:val="18"/>
          <w:color w:val="auto"/>
        </w:rPr>
        <w:t>” means any entity treated as disregarded as an entity separate from its owner under Treasury Regulations Section 301.7701-3.</w:t>
      </w:r>
    </w:p>
    <w:p>
      <w:pPr>
        <w:spacing w:after="0" w:line="170"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Amount</w:t>
      </w:r>
      <w:r>
        <w:rPr>
          <w:rFonts w:ascii="Arial" w:cs="Arial" w:eastAsia="Arial" w:hAnsi="Arial"/>
          <w:sz w:val="18"/>
          <w:szCs w:val="18"/>
          <w:color w:val="auto"/>
        </w:rPr>
        <w:t>” of any currency at any date means (i) the amount of such currency if such currency is Dollars or (ii) the equivalent amount thereof in Dollars if such currency is a Foreign Currency, calculated on the basis of the Exchange Rate for such currency, on or as of the most recent Computation Date provided for in Section 2.04.</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Foreign Holdco Subsidiary</w:t>
      </w:r>
      <w:r>
        <w:rPr>
          <w:rFonts w:ascii="Arial" w:cs="Arial" w:eastAsia="Arial" w:hAnsi="Arial"/>
          <w:sz w:val="17"/>
          <w:szCs w:val="17"/>
          <w:color w:val="auto"/>
        </w:rPr>
        <w:t>” means a Domestic Subsidiary (a) substantially all of the assets of which consist of the Equity Interests of one or more CFCs or CFC Debt or (b) that is a Disregarded Entity that holds Equity Interests of one or more CFCs or CFC Debt, in the case of clause (a) above, so long as such Domestic Subsidiary (i) does not conduct any substantial business or activities other than the ownership of such Equity Interests or CFC Debt (except for immaterial assets and activities reasonably related or ancillary thereto) and (ii) does not incur, and is not otherwise liable for, any material Indebtedness or other material liabilities (other than intercompany indebtedness permitted pursuant to Section 6.01(c) and, if such Domestic Subsidiary is a Borrower hereunder, Indebtedness permitted pursuant to Section 6.01(a)).</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organized under the laws of a jurisdiction located in the United States of America.</w:t>
      </w:r>
    </w:p>
    <w:p>
      <w:pPr>
        <w:spacing w:after="0" w:line="225"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Drug Acquisition</w:t>
      </w:r>
      <w:r>
        <w:rPr>
          <w:rFonts w:ascii="Arial" w:cs="Arial" w:eastAsia="Arial" w:hAnsi="Arial"/>
          <w:sz w:val="18"/>
          <w:szCs w:val="18"/>
          <w:color w:val="auto"/>
        </w:rPr>
        <w:t>” means any acquisition (including any license or any acquisition of any license) solely or primarily of all or any portion of the rights in respect of one or more drugs or pharmaceutical products, whether in development or on the market (including related intellectual property), but not of Equity Interests in any Person or any operating business unit.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Dutch Borrower</w:t>
      </w:r>
      <w:r>
        <w:rPr>
          <w:rFonts w:ascii="Arial" w:cs="Arial" w:eastAsia="Arial" w:hAnsi="Arial"/>
          <w:sz w:val="17"/>
          <w:szCs w:val="17"/>
          <w:color w:val="auto"/>
        </w:rPr>
        <w:t>” means (i) the Initial Dutch Borrower and (ii) any other Borrower that is organized under the laws of the Netherlands.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Non-Public Lender</w:t>
      </w:r>
      <w:r>
        <w:rPr>
          <w:rFonts w:ascii="Arial" w:cs="Arial" w:eastAsia="Arial" w:hAnsi="Arial"/>
          <w:sz w:val="18"/>
          <w:szCs w:val="18"/>
          <w:color w:val="auto"/>
        </w:rPr>
        <w:t>” means:</w:t>
      </w:r>
    </w:p>
    <w:p>
      <w:pPr>
        <w:sectPr>
          <w:pgSz w:w="11900" w:h="16838" w:orient="portrait"/>
          <w:cols w:equalWidth="0" w:num="1">
            <w:col w:w="11420"/>
          </w:cols>
          <w:pgMar w:left="240" w:top="125" w:right="239" w:bottom="0" w:gutter="0" w:footer="0" w:header="0"/>
        </w:sectPr>
      </w:pPr>
    </w:p>
    <w:bookmarkStart w:id="11" w:name="page12"/>
    <w:bookmarkEnd w:id="11"/>
    <w:p>
      <w:pPr>
        <w:spacing w:after="0" w:line="69" w:lineRule="exact"/>
        <w:rPr>
          <w:sz w:val="20"/>
          <w:szCs w:val="20"/>
          <w:color w:val="auto"/>
        </w:rPr>
      </w:pPr>
    </w:p>
    <w:p>
      <w:pPr>
        <w:ind w:right="140" w:firstLine="1305"/>
        <w:spacing w:after="0" w:line="264" w:lineRule="auto"/>
        <w:tabs>
          <w:tab w:leader="none" w:pos="1511" w:val="left"/>
        </w:tabs>
        <w:numPr>
          <w:ilvl w:val="0"/>
          <w:numId w:val="6"/>
        </w:numPr>
        <w:rPr>
          <w:rFonts w:ascii="Arial" w:cs="Arial" w:eastAsia="Arial" w:hAnsi="Arial"/>
          <w:sz w:val="18"/>
          <w:szCs w:val="18"/>
          <w:color w:val="auto"/>
        </w:rPr>
      </w:pPr>
      <w:r>
        <w:rPr>
          <w:rFonts w:ascii="Arial" w:cs="Arial" w:eastAsia="Arial" w:hAnsi="Arial"/>
          <w:sz w:val="18"/>
          <w:szCs w:val="18"/>
          <w:color w:val="auto"/>
        </w:rPr>
        <w:t>until the publication of an interpretation of “public” as referred to in the CRR by the relevant authority/ies: an entity that provides repayable funds to a Dutch Borrower for a minimum initial amount of EUR 100,000 (or its equivalent in another currency) or an entity otherwise qualifying as not forming part of the public), and</w:t>
      </w:r>
    </w:p>
    <w:p>
      <w:pPr>
        <w:spacing w:after="0" w:line="181" w:lineRule="exact"/>
        <w:rPr>
          <w:rFonts w:ascii="Arial" w:cs="Arial" w:eastAsia="Arial" w:hAnsi="Arial"/>
          <w:sz w:val="18"/>
          <w:szCs w:val="18"/>
          <w:color w:val="auto"/>
        </w:rPr>
      </w:pPr>
    </w:p>
    <w:p>
      <w:pPr>
        <w:ind w:right="240" w:firstLine="1305"/>
        <w:spacing w:after="0" w:line="277" w:lineRule="auto"/>
        <w:tabs>
          <w:tab w:leader="none" w:pos="1561"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the publication of an interpretation of “public” as referred to in the CRR by the relevant authority/ies: such amount or such criterion as a result of which such entity shall qualify as not forming part of the public.</w:t>
      </w:r>
    </w:p>
    <w:p>
      <w:pPr>
        <w:spacing w:after="0" w:line="170" w:lineRule="exact"/>
        <w:rPr>
          <w:sz w:val="20"/>
          <w:szCs w:val="20"/>
          <w:color w:val="auto"/>
        </w:rPr>
      </w:pPr>
    </w:p>
    <w:p>
      <w:pPr>
        <w:ind w:right="7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w:t>
      </w:r>
      <w:r>
        <w:rPr>
          <w:rFonts w:ascii="Arial" w:cs="Arial" w:eastAsia="Arial" w:hAnsi="Arial"/>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the conditions specified in Section 4.01 are satisfied (or waived in accordance with Section 9.02).</w:t>
      </w:r>
    </w:p>
    <w:p>
      <w:pPr>
        <w:spacing w:after="0" w:line="22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ind w:right="80" w:firstLine="1297"/>
        <w:spacing w:after="0" w:line="24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Electronic System</w:t>
      </w:r>
      <w:r>
        <w:rPr>
          <w:rFonts w:ascii="Arial" w:cs="Arial" w:eastAsia="Arial" w:hAnsi="Arial"/>
          <w:sz w:val="17"/>
          <w:szCs w:val="17"/>
          <w:color w:val="auto"/>
        </w:rPr>
        <w:t>” means any electronic system, including e-mail, e-fax, Intralinks</w:t>
      </w:r>
      <w:r>
        <w:rPr>
          <w:rFonts w:ascii="Arial" w:cs="Arial" w:eastAsia="Arial" w:hAnsi="Arial"/>
          <w:sz w:val="22"/>
          <w:szCs w:val="22"/>
          <w:color w:val="auto"/>
          <w:vertAlign w:val="superscript"/>
        </w:rPr>
        <w:t>®</w:t>
      </w:r>
      <w:r>
        <w:rPr>
          <w:rFonts w:ascii="Arial" w:cs="Arial" w:eastAsia="Arial" w:hAnsi="Arial"/>
          <w:sz w:val="17"/>
          <w:szCs w:val="17"/>
          <w:color w:val="auto"/>
        </w:rPr>
        <w:t>, ClearPar</w:t>
      </w:r>
      <w:r>
        <w:rPr>
          <w:rFonts w:ascii="Arial" w:cs="Arial" w:eastAsia="Arial" w:hAnsi="Arial"/>
          <w:sz w:val="22"/>
          <w:szCs w:val="22"/>
          <w:color w:val="auto"/>
          <w:vertAlign w:val="superscript"/>
        </w:rPr>
        <w:t>®</w:t>
      </w:r>
      <w:r>
        <w:rPr>
          <w:rFonts w:ascii="Arial" w:cs="Arial" w:eastAsia="Arial" w:hAnsi="Arial"/>
          <w:sz w:val="17"/>
          <w:szCs w:val="17"/>
          <w:color w:val="auto"/>
        </w:rPr>
        <w:t>, Debt Domain, Syndtrak and any other Internet or extranet-based site, whether such electronic system is owned, operated or hosted by the Administrative Agent and any Issuing Bank and any of its respective Related Parties or any other Person, providing for access to data protected by passcodes or other security system.</w:t>
      </w:r>
    </w:p>
    <w:p>
      <w:pPr>
        <w:spacing w:after="0" w:line="196"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Foreign Jurisdiction</w:t>
      </w:r>
      <w:r>
        <w:rPr>
          <w:rFonts w:ascii="Arial" w:cs="Arial" w:eastAsia="Arial" w:hAnsi="Arial"/>
          <w:sz w:val="18"/>
          <w:szCs w:val="18"/>
          <w:color w:val="auto"/>
        </w:rPr>
        <w:t>” means the Netherlands, Ireland, Luxembourg and any other jurisdiction that is approved from time to time by the Administrative Agent and each of the Lenders.</w:t>
      </w:r>
    </w:p>
    <w:p>
      <w:pPr>
        <w:spacing w:after="0" w:line="170" w:lineRule="exact"/>
        <w:rPr>
          <w:sz w:val="20"/>
          <w:szCs w:val="20"/>
          <w:color w:val="auto"/>
        </w:rPr>
      </w:pPr>
    </w:p>
    <w:p>
      <w:pPr>
        <w:ind w:right="18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Subsidiary</w:t>
      </w:r>
      <w:r>
        <w:rPr>
          <w:rFonts w:ascii="Arial" w:cs="Arial" w:eastAsia="Arial" w:hAnsi="Arial"/>
          <w:sz w:val="16"/>
          <w:szCs w:val="16"/>
          <w:color w:val="auto"/>
        </w:rPr>
        <w:t>” means (i) the Initial Subsidiary Borrowers, (ii) a Domestic Subsidiary, (iii) any Subsidiary organized under the laws of an Eligible Foreign Jurisdiction and (iv) any other Subsidiary that is approved from time to time by the Administrative Agent and each of the Lenders.</w:t>
      </w:r>
    </w:p>
    <w:p>
      <w:pPr>
        <w:spacing w:after="0" w:line="124"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 binding orders, decrees, judgments, injunctions, written notices or agreements issued, promulgated or entered into by any Governmental Authority, relating to pollution or protection of the environment, preservation or reclamation of natural resources, the management, release or threatened release of any Hazardous Material, or to the protection of human health and safety in respect of Hazardous Materials.</w:t>
      </w:r>
    </w:p>
    <w:p>
      <w:pPr>
        <w:spacing w:after="0" w:line="187"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8"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 Person, and any warrants, options or other similar rights entitling the holder thereof to purchase or acquire any of the foregoing. Notwithstanding the foregoing, (a) Permitted Convertible Notes, (b) Permitted Call Spread Swap Agreements and (c) any Indebtedness that is convertible into Equity Interests and/or cash by reference to the value (howsoever defined or determined) of Equity Interests shall not constitute Equity Interests.</w:t>
      </w:r>
    </w:p>
    <w:p>
      <w:pPr>
        <w:spacing w:after="0" w:line="166" w:lineRule="exact"/>
        <w:rPr>
          <w:sz w:val="20"/>
          <w:szCs w:val="20"/>
          <w:color w:val="auto"/>
        </w:rPr>
      </w:pPr>
    </w:p>
    <w:p>
      <w:pPr>
        <w:ind w:right="3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Equivalent Amount</w:t>
      </w:r>
      <w:r>
        <w:rPr>
          <w:rFonts w:ascii="Arial" w:cs="Arial" w:eastAsia="Arial" w:hAnsi="Arial"/>
          <w:sz w:val="18"/>
          <w:szCs w:val="18"/>
          <w:color w:val="auto"/>
        </w:rPr>
        <w:t>” of any currency with respect to any amount of Dollars at any date means the equivalent in such currency of such amount of Dollars, calculated on the basis of the Exchange Rate for such other currency at 11:00 a.m., London time, on the date on or as of which such amount is to be determined.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jc w:val="both"/>
        <w:ind w:right="6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81" w:lineRule="exact"/>
        <w:rPr>
          <w:sz w:val="20"/>
          <w:szCs w:val="20"/>
          <w:color w:val="auto"/>
        </w:rPr>
      </w:pPr>
    </w:p>
    <w:p>
      <w:pPr>
        <w:ind w:right="40"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w:t>
      </w:r>
    </w:p>
    <w:p>
      <w:pPr>
        <w:ind w:right="40"/>
        <w:spacing w:after="0" w:line="252" w:lineRule="auto"/>
        <w:rPr>
          <w:sz w:val="20"/>
          <w:szCs w:val="20"/>
          <w:color w:val="auto"/>
        </w:rPr>
      </w:pPr>
      <w:r>
        <w:rPr>
          <w:rFonts w:ascii="Arial" w:cs="Arial" w:eastAsia="Arial" w:hAnsi="Arial"/>
          <w:sz w:val="18"/>
          <w:szCs w:val="18"/>
          <w:color w:val="auto"/>
        </w:rPr>
        <w:t>Section 303(d) of ERISA of an application for a waiver of the minimum funding standard with respect to any Plan; (d) the incurrence by the Company or any of its ERISA Affiliates of any liability under Title IV of ERISA with respect to the termination of any Plan; (e) the receipt by the Company or any ERISA Affiliate from the PBGC or a plan administrator of any written notice relating to an intention to terminate any Plan or Plans or to appoint a trustee to administer any Plan; (f) the incurrence by the Company or any of its ERISA Affiliates of any liability with respect to the withdrawal or partial withdrawal of the Company or any of its ERISA Affiliates from any Plan or Multiemployer Plan; or (g) the receipt by the Company or any ERISA Affiliate of any written notice, or the receipt by any Multiemployer Plan from the Company or any ERISA Affiliate of any written notice, concerning the imposition upon the Company or any of its ERISA Affiliates of Withdrawal Liability or a determination that a Multiemployer Plan is, or is expected to be, insolvent or in reorganization, within the meaning of Title IV of ERISA.</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and/or “</w:t>
      </w:r>
      <w:r>
        <w:rPr>
          <w:rFonts w:ascii="Arial" w:cs="Arial" w:eastAsia="Arial" w:hAnsi="Arial"/>
          <w:sz w:val="18"/>
          <w:szCs w:val="18"/>
          <w:u w:val="single" w:color="auto"/>
          <w:color w:val="auto"/>
        </w:rPr>
        <w:t>EUR</w:t>
      </w:r>
      <w:r>
        <w:rPr>
          <w:rFonts w:ascii="Arial" w:cs="Arial" w:eastAsia="Arial" w:hAnsi="Arial"/>
          <w:sz w:val="18"/>
          <w:szCs w:val="18"/>
          <w:color w:val="auto"/>
        </w:rPr>
        <w:t>” means the single currency of the Participating Member States.</w:t>
      </w:r>
    </w:p>
    <w:p>
      <w:pPr>
        <w:spacing w:after="0" w:line="225" w:lineRule="exact"/>
        <w:rPr>
          <w:sz w:val="20"/>
          <w:szCs w:val="20"/>
          <w:color w:val="auto"/>
        </w:rPr>
      </w:pPr>
    </w:p>
    <w:p>
      <w:pPr>
        <w:ind w:right="2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w:t>
      </w:r>
      <w:r>
        <w:rPr>
          <w:rFonts w:ascii="Arial" w:cs="Arial" w:eastAsia="Arial" w:hAnsi="Arial"/>
          <w:sz w:val="16"/>
          <w:szCs w:val="16"/>
          <w:color w:val="auto"/>
        </w:rPr>
        <w:t>”, when used in reference to a currency means an Agreed Currency and when used in reference to any Loan or Borrowing, means that such Loan, or the Loans comprising such Borrowing, bears interest at a rate determined by reference to the Adjusted LIBO Rate.</w:t>
      </w:r>
    </w:p>
    <w:p>
      <w:pPr>
        <w:spacing w:after="0" w:line="124"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Payment Office</w:t>
      </w:r>
      <w:r>
        <w:rPr>
          <w:rFonts w:ascii="Arial" w:cs="Arial" w:eastAsia="Arial" w:hAnsi="Arial"/>
          <w:sz w:val="16"/>
          <w:szCs w:val="16"/>
          <w:color w:val="auto"/>
        </w:rPr>
        <w:t>” of the Administrative Agent means, for each Foreign Currency and each Designated Loan, the office, branch, affiliate or correspondent bank of the Administrative Agent for such currency or Designated Loan, as applicable, as specified from time to time by the</w:t>
      </w:r>
    </w:p>
    <w:p>
      <w:pPr>
        <w:sectPr>
          <w:pgSz w:w="11900" w:h="16908" w:orient="portrait"/>
          <w:cols w:equalWidth="0" w:num="1">
            <w:col w:w="11400"/>
          </w:cols>
          <w:pgMar w:left="240" w:top="125" w:right="259" w:bottom="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Administrative Agent to the Company and each Lender.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22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w:t>
      </w:r>
      <w:r>
        <w:rPr>
          <w:rFonts w:ascii="Arial" w:cs="Arial" w:eastAsia="Arial" w:hAnsi="Arial"/>
          <w:sz w:val="18"/>
          <w:szCs w:val="18"/>
          <w:color w:val="auto"/>
        </w:rPr>
        <w:t>” means, on any day, with respect to any Foreign Currency, the rate at which such Foreign Currency may be exchanged into Dollars, as set forth at approximately 11:00 a.m.,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Local Time, on such date on the Reuters World Currency Page for such Foreign Currency. In the event that such rate does not appear on any Reuters World Currency Page, the Exchange Rate with respect to such Foreign Currency shall be determined by reference to such other publicly available service for displaying exchange rates as may be reasonably selected by the Administrative Agent or, in the event no such service is selected, such Exchange Rate shall instead be calculated on the basis of the arithmetical mean of the buy and sell spot rates of exchange of the Administrative Agent for such Foreign Currency on the London market at 11:00 a.m., Local Time, on such date for the purchase of Dollars with such Foreign Currency, for delivery two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that if at the time of any such determination, for any reason, no such spot rate is being quoted, the Administrative Agent, after consultation with the Company, may use any reasonable method it deems appropriate to determine such rate, and such determination shall be conclusive absent manifest error.</w:t>
      </w:r>
    </w:p>
    <w:p>
      <w:pPr>
        <w:spacing w:after="0" w:line="167"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 any Domestic Foreign Holdco Subsidiary, (b) any Domestic Subsidiary whose Equity Interests are owned directly or indirectly by a CFC, (c) any Subsidiary that is prohibited by applicable law or contractual obligations (other than any contractual obligation in favor of the Company or any of its Subsidiaries) existing on the Effective Date (or, in the case of any newly acquired Subsidiary, in existence at the time of acquisition but not entered into in contemplation thereof) from guaranteeing the Obligations or if guaranteeing the Obligations would require governmental (including regulatory) consent, approval, license or authorization (unless such consent, approval, license or authorization has been obtained) and (d) any captive insurance company.</w:t>
      </w:r>
    </w:p>
    <w:p>
      <w:pPr>
        <w:spacing w:after="0" w:line="193"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178" w:lineRule="exact"/>
        <w:rPr>
          <w:sz w:val="20"/>
          <w:szCs w:val="20"/>
          <w:color w:val="auto"/>
        </w:rPr>
      </w:pPr>
    </w:p>
    <w:p>
      <w:pPr>
        <w:jc w:val="both"/>
        <w:ind w:right="8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jc w:val="both"/>
        <w:ind w:right="60" w:firstLine="8"/>
        <w:spacing w:after="0" w:line="281" w:lineRule="auto"/>
        <w:tabs>
          <w:tab w:leader="none" w:pos="215" w:val="left"/>
        </w:tabs>
        <w:numPr>
          <w:ilvl w:val="0"/>
          <w:numId w:val="7"/>
        </w:numPr>
        <w:rPr>
          <w:rFonts w:ascii="Arial" w:cs="Arial" w:eastAsia="Arial" w:hAnsi="Arial"/>
          <w:sz w:val="16"/>
          <w:szCs w:val="16"/>
          <w:color w:val="auto"/>
        </w:rPr>
      </w:pPr>
      <w:r>
        <w:rPr>
          <w:rFonts w:ascii="Arial" w:cs="Arial" w:eastAsia="Arial" w:hAnsi="Arial"/>
          <w:sz w:val="16"/>
          <w:szCs w:val="16"/>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(including a Participant treated as a Lender pursuant to Section 9.04(c)),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any Borrower under Section 2.19(b)) or</w:t>
      </w:r>
    </w:p>
    <w:p>
      <w:pPr>
        <w:spacing w:after="0" w:line="3" w:lineRule="exact"/>
        <w:rPr>
          <w:rFonts w:ascii="Arial" w:cs="Arial" w:eastAsia="Arial" w:hAnsi="Arial"/>
          <w:sz w:val="16"/>
          <w:szCs w:val="16"/>
          <w:color w:val="auto"/>
        </w:rPr>
      </w:pPr>
    </w:p>
    <w:p>
      <w:pPr>
        <w:ind w:firstLine="8"/>
        <w:spacing w:after="0" w:line="254"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U.S. federal withholding Taxes imposed under FATCA.</w:t>
      </w:r>
    </w:p>
    <w:p>
      <w:pPr>
        <w:spacing w:after="0" w:line="190"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Exclusive License</w:t>
      </w:r>
      <w:r>
        <w:rPr>
          <w:rFonts w:ascii="Arial" w:cs="Arial" w:eastAsia="Arial" w:hAnsi="Arial"/>
          <w:sz w:val="18"/>
          <w:szCs w:val="18"/>
          <w:color w:val="auto"/>
        </w:rPr>
        <w:t>” means any license to develop and commercialize a drug or other product line of any Person with a term greater than five (5) years and made on an exclusive basis.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has the meaning assigned to such term in Section 2.21(b).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Date</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181"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Federal Funds Effective Rate shall be less than zero, such rate shall be deemed to be zero for purposes of this Agreement.</w:t>
      </w:r>
    </w:p>
    <w:p>
      <w:pPr>
        <w:spacing w:after="0" w:line="193"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assistant treasurer, senior vice president-finance or controller of the Company.</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Financials</w:t>
      </w:r>
      <w:r>
        <w:rPr>
          <w:rFonts w:ascii="Arial" w:cs="Arial" w:eastAsia="Arial" w:hAnsi="Arial"/>
          <w:sz w:val="18"/>
          <w:szCs w:val="18"/>
          <w:color w:val="auto"/>
        </w:rPr>
        <w:t>” means the annual or quarterly financial statements of the Company and its consolidated Subsidiaries required to be delivered pursuant to Section 5.01(a) or 5.01(b) and accompanying certificates required to be delivered pursuant to Section 5.01(c).</w:t>
      </w:r>
    </w:p>
    <w:p>
      <w:pPr>
        <w:sectPr>
          <w:pgSz w:w="11900" w:h="16838" w:orient="portrait"/>
          <w:cols w:equalWidth="0" w:num="1">
            <w:col w:w="11400"/>
          </w:cols>
          <w:pgMar w:left="240" w:top="125" w:right="259" w:bottom="0" w:gutter="0" w:footer="0" w:header="0"/>
        </w:sectPr>
      </w:pPr>
    </w:p>
    <w:bookmarkStart w:id="13" w:name="page14"/>
    <w:bookmarkEnd w:id="13"/>
    <w:p>
      <w:pPr>
        <w:spacing w:after="0" w:line="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Currencies</w:t>
      </w:r>
      <w:r>
        <w:rPr>
          <w:rFonts w:ascii="Arial" w:cs="Arial" w:eastAsia="Arial" w:hAnsi="Arial"/>
          <w:sz w:val="18"/>
          <w:szCs w:val="18"/>
          <w:color w:val="auto"/>
        </w:rPr>
        <w:t>” means Agreed Currencies other than Dollars.</w:t>
      </w:r>
    </w:p>
    <w:p>
      <w:pPr>
        <w:spacing w:after="0" w:line="225"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LC Exposure</w:t>
      </w:r>
      <w:r>
        <w:rPr>
          <w:rFonts w:ascii="Arial" w:cs="Arial" w:eastAsia="Arial" w:hAnsi="Arial"/>
          <w:sz w:val="18"/>
          <w:szCs w:val="18"/>
          <w:color w:val="auto"/>
        </w:rPr>
        <w:t>” means, at any time, the sum of (a) the Dollar Amount of the aggregate undrawn and unexpired amount of all outstanding Foreign Currency Letters of Credit at such time plus (b) the aggregate principal Dollar Amount of all LC Disbursements in respect of Foreign Currency Letters of Credit that have not yet been reimbursed at such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Letter of Credit</w:t>
      </w:r>
      <w:r>
        <w:rPr>
          <w:rFonts w:ascii="Arial" w:cs="Arial" w:eastAsia="Arial" w:hAnsi="Arial"/>
          <w:sz w:val="18"/>
          <w:szCs w:val="18"/>
          <w:color w:val="auto"/>
        </w:rPr>
        <w:t>” means a Letter of Credit denominated in a Foreign Currency.</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if the applicable Borrower is a U.S. Person, a Lender that is not a U.S. Person, and (b) if the applicable Borrower is not a U.S. Person, a Lender that is resident or organized under the laws of a jurisdiction other than that in which such Borrower is resident for tax purposes.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Borrower</w:t>
      </w:r>
      <w:r>
        <w:rPr>
          <w:rFonts w:ascii="Arial" w:cs="Arial" w:eastAsia="Arial" w:hAnsi="Arial"/>
          <w:sz w:val="18"/>
          <w:szCs w:val="18"/>
          <w:color w:val="auto"/>
        </w:rPr>
        <w:t>” means any Borrower that is a Foreign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instrumentality, regulatory body, court, central bank or other entity exercising executive, legislative, judicial, taxing, regulatory or administrative powers or functions of or pertaining to government.</w:t>
      </w:r>
    </w:p>
    <w:p>
      <w:pPr>
        <w:spacing w:after="0" w:line="170"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of or by any Person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that the term “Guarantee” shall not include endorsements for collection or deposit in the ordinary course of business. The amount of any Guarantee shall be deemed to be an amount equal to the lesser of (a) the stated or determinable amount of the primary payment obligation in respect of which such Guarantee is made and (b) the maximum amount for which the guaranteeing Person may be liable pursuant to the terms of the instrument embodying such Guarantee, unless such primary payment obligation and the maximum amount for which such guaranteeing Person may be liable are not stated or determinable, in which case the amount of the Guarantee shall be such guaranteeing Person’s maximum reasonably possible liability in respect thereof as reasonably determined by the Company in good faith.</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22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ind w:right="38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IFRS</w:t>
      </w:r>
      <w:r>
        <w:rPr>
          <w:rFonts w:ascii="Arial" w:cs="Arial" w:eastAsia="Arial" w:hAnsi="Arial"/>
          <w:sz w:val="16"/>
          <w:szCs w:val="16"/>
          <w:color w:val="auto"/>
        </w:rPr>
        <w:t>” means the body of pronouncements issued by the International Accounting Standards Board (“</w:t>
      </w:r>
      <w:r>
        <w:rPr>
          <w:rFonts w:ascii="Arial" w:cs="Arial" w:eastAsia="Arial" w:hAnsi="Arial"/>
          <w:sz w:val="16"/>
          <w:szCs w:val="16"/>
          <w:u w:val="single" w:color="auto"/>
          <w:color w:val="auto"/>
        </w:rPr>
        <w:t>IASB</w:t>
      </w:r>
      <w:r>
        <w:rPr>
          <w:rFonts w:ascii="Arial" w:cs="Arial" w:eastAsia="Arial" w:hAnsi="Arial"/>
          <w:sz w:val="16"/>
          <w:szCs w:val="16"/>
          <w:color w:val="auto"/>
        </w:rPr>
        <w:t>”), including International Financial Reporting Standards and interpretations approved by the IASB, International Accounting Standards and Standing Interpretations Committee interpretations approved by the predecessor International Accounting Standards Committee and adapted for use in the European Union.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assigned to such term in the definition of “LIBO Rate”.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Amendment</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without duplication, (a) all obligations of such Person for borrowed money, (b) the principal amount of all obligations of such Person evidenced by bonds, debentures, notes or similar instruments, (c) all obligations of such Person under conditional sale or other title retention agreements relating to property acquired by such Person (excluding trade accounts payable incurred in the ordinary course of business), (d) all obligations of such Person in respect of the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deferred purchase price of property or services (excluding current accounts payable incurred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Person has not assumed or otherwise become liable in respect of such Indebtedness, such obligations shall be deemed to be in an amount equal to the lesser of (i) the amount of such Indebtedness and (ii) fair market value of such property at the time of determination (in the Company’s good faith estimate),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and (j) all</w:t>
      </w:r>
    </w:p>
    <w:p>
      <w:pPr>
        <w:sectPr>
          <w:pgSz w:w="11900" w:h="16932" w:orient="portrait"/>
          <w:cols w:equalWidth="0" w:num="1">
            <w:col w:w="11380"/>
          </w:cols>
          <w:pgMar w:left="240" w:top="125" w:right="279" w:bottom="0" w:gutter="0" w:footer="0" w:header="0"/>
        </w:sectPr>
      </w:pPr>
    </w:p>
    <w:bookmarkStart w:id="14" w:name="page15"/>
    <w:bookmarkEnd w:id="14"/>
    <w:p>
      <w:pPr>
        <w:ind w:right="120"/>
        <w:spacing w:after="0" w:line="284" w:lineRule="auto"/>
        <w:rPr>
          <w:sz w:val="20"/>
          <w:szCs w:val="20"/>
          <w:color w:val="auto"/>
        </w:rPr>
      </w:pPr>
      <w:r>
        <w:rPr>
          <w:rFonts w:ascii="Arial" w:cs="Arial" w:eastAsia="Arial" w:hAnsi="Arial"/>
          <w:sz w:val="16"/>
          <w:szCs w:val="16"/>
          <w:color w:val="auto"/>
        </w:rPr>
        <w:t>obligations of such Person under Sale and Leaseback Transactions. The Indebtedness of any Person shall include the Indebtedness of any other entity (including any partnership in which such Person is a general partner) to the extent such Person is liable therefor by operation of law as a result of such Person’s ownership interest in such entity, except to the extent the terms of such Indebtedness provide that such Person is not liable therefor. The amount of Indebtedness (including any Guarantees constituting Indebtedness) for which recourse is limited either to a specified amount or to an identified asset of such Person shall be deemed to be equal to the lesser of (x) such specified amount and (y) the fair market value of such identified asset as determined by such Person in good faith. Notwithstanding anything to the contrary in this definition, the term “Indebtedness” shall not include (i) deferred or prepaid revenue, (ii) purchase price holdbacks to satisfy warranty or other unperformed obligations of a seller, (iii) obligations arising under any Swap Agreement,</w:t>
      </w:r>
    </w:p>
    <w:p>
      <w:pPr>
        <w:spacing w:after="0" w:line="3" w:lineRule="exact"/>
        <w:rPr>
          <w:sz w:val="20"/>
          <w:szCs w:val="20"/>
          <w:color w:val="auto"/>
        </w:rPr>
      </w:pPr>
    </w:p>
    <w:p>
      <w:pPr>
        <w:jc w:val="both"/>
        <w:ind w:right="40" w:firstLine="8"/>
        <w:spacing w:after="0" w:line="281" w:lineRule="auto"/>
        <w:tabs>
          <w:tab w:leader="none" w:pos="305"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contingent or deferred payment obligations (including, without limitation, any purchase price adjustments, indemnification obligations, reimbursement obligations, funding or investment commitments, or earn-out, non-compete, consulting, royalty, milestone, option, development or other incentive payment obligations) with respect to (A) any Collaboration Arrangement or (B) any Acquisition, disposition, other acquisition of assets or other business combination,</w:t>
      </w:r>
    </w:p>
    <w:p>
      <w:pPr>
        <w:spacing w:after="0" w:line="2" w:lineRule="exact"/>
        <w:rPr>
          <w:rFonts w:ascii="Arial" w:cs="Arial" w:eastAsia="Arial" w:hAnsi="Arial"/>
          <w:sz w:val="16"/>
          <w:szCs w:val="16"/>
          <w:color w:val="auto"/>
        </w:rPr>
      </w:pPr>
    </w:p>
    <w:p>
      <w:pPr>
        <w:ind w:right="900" w:firstLine="8"/>
        <w:spacing w:after="0" w:line="261"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obligations arising under any Permitted Call Spread Swap Agreement and (vi) all obligations of such Person arising under any Tax Abatement Transaction.</w:t>
      </w:r>
    </w:p>
    <w:p>
      <w:pPr>
        <w:spacing w:after="0" w:line="184"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Loan Party under any Loan Document and (b) to the extent not otherwise described in clause (a) hereof, Other Taxes.</w:t>
      </w:r>
    </w:p>
    <w:p>
      <w:pPr>
        <w:spacing w:after="0" w:line="147" w:lineRule="exact"/>
        <w:rPr>
          <w:sz w:val="20"/>
          <w:szCs w:val="20"/>
          <w:color w:val="auto"/>
        </w:rPr>
      </w:pPr>
    </w:p>
    <w:p>
      <w:pPr>
        <w:jc w:val="both"/>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 Debt</w:t>
      </w:r>
      <w:r>
        <w:rPr>
          <w:rFonts w:ascii="Arial" w:cs="Arial" w:eastAsia="Arial" w:hAnsi="Arial"/>
          <w:sz w:val="18"/>
          <w:szCs w:val="18"/>
          <w:color w:val="auto"/>
        </w:rPr>
        <w:t>” means senior, unsecured, long-term indebtedness for borrowed money of the Company that is not guaranteed by any other person or entity or subject to any other credit enhancement.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Information Memorandum</w:t>
      </w:r>
      <w:r>
        <w:rPr>
          <w:rFonts w:ascii="Arial" w:cs="Arial" w:eastAsia="Arial" w:hAnsi="Arial"/>
          <w:sz w:val="16"/>
          <w:szCs w:val="16"/>
          <w:color w:val="auto"/>
        </w:rPr>
        <w:t>” means the Confidential Information Memorandum dated February 19, 2015 relating to the Company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11"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Dutch Borrower</w:t>
      </w:r>
      <w:r>
        <w:rPr>
          <w:rFonts w:ascii="Arial" w:cs="Arial" w:eastAsia="Arial" w:hAnsi="Arial"/>
          <w:sz w:val="18"/>
          <w:szCs w:val="18"/>
          <w:color w:val="auto"/>
        </w:rPr>
        <w:t xml:space="preserve">” means Regeneron Capital International B.V., a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xml:space="preserve"> organized under the laws of the Netherlands, with its statutory seat in Amsterdam, the Netherlands.</w:t>
      </w:r>
    </w:p>
    <w:p>
      <w:pPr>
        <w:spacing w:after="0" w:line="170" w:lineRule="exact"/>
        <w:rPr>
          <w:sz w:val="20"/>
          <w:szCs w:val="20"/>
          <w:color w:val="auto"/>
        </w:rPr>
      </w:pPr>
    </w:p>
    <w:p>
      <w:pPr>
        <w:jc w:val="both"/>
        <w:ind w:right="2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Irish Borrowers</w:t>
      </w:r>
      <w:r>
        <w:rPr>
          <w:rFonts w:ascii="Arial" w:cs="Arial" w:eastAsia="Arial" w:hAnsi="Arial"/>
          <w:sz w:val="18"/>
          <w:szCs w:val="18"/>
          <w:color w:val="auto"/>
        </w:rPr>
        <w:t>” means Regeneron International, an unlimited company incorporated in Ireland with registered number 521246, Regeneron Ireland Holdings, an unlimited company incorporated in Ireland with registered number 519315 and Regeneron Ireland, an unlimited company incorporated in Ireland with registered number 519550.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Subsidiary Borrowers</w:t>
      </w:r>
      <w:r>
        <w:rPr>
          <w:rFonts w:ascii="Arial" w:cs="Arial" w:eastAsia="Arial" w:hAnsi="Arial"/>
          <w:sz w:val="18"/>
          <w:szCs w:val="18"/>
          <w:color w:val="auto"/>
        </w:rPr>
        <w:t>” means Regeneron Healthcare Solutions, Inc, a New York corporation, Regeneron Genetics Center LLC, a Delaware limited liability company, the Initial Dutch Borrower and the Initial Irish Borrowers.</w:t>
      </w:r>
    </w:p>
    <w:p>
      <w:pPr>
        <w:spacing w:after="0" w:line="170"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the applicable Borrower to convert or continue a Revolving Borrowing in accordance with Section 2.08 in the form attached hereto as </w:t>
      </w:r>
      <w:r>
        <w:rPr>
          <w:rFonts w:ascii="Arial" w:cs="Arial" w:eastAsia="Arial" w:hAnsi="Arial"/>
          <w:sz w:val="18"/>
          <w:szCs w:val="18"/>
          <w:u w:val="single" w:color="auto"/>
          <w:color w:val="auto"/>
        </w:rPr>
        <w:t>Exhibit I-2</w:t>
      </w:r>
      <w:r>
        <w:rPr>
          <w:rFonts w:ascii="Arial" w:cs="Arial" w:eastAsia="Arial" w:hAnsi="Arial"/>
          <w:sz w:val="18"/>
          <w:szCs w:val="18"/>
          <w:color w:val="auto"/>
        </w:rPr>
        <w:t>.</w:t>
      </w:r>
    </w:p>
    <w:p>
      <w:pPr>
        <w:spacing w:after="0" w:line="170"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with respect to any ABR Loan (other than a Swingline Loan), the last day of each March, June, September and December and the Maturity Date, (b) with respect to any Eurocurrency Loan, the last day of the Interest Period applicable to the Borrowing 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 and the Maturity Date and (c) with respect to any Swingline Loan, the day that such Loan is required to be repaid and the Maturity Date.</w:t>
      </w:r>
    </w:p>
    <w:p>
      <w:pPr>
        <w:spacing w:after="0" w:line="173"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with respect to any Eurocurrency Borrowing, the period commencing on the date of such Borrowing and ending on the numerically corresponding day in the calendar month that is one, two, three or six months (or, if reasonably satisfactory to the Administrative Agent and each of the Lenders, such other period) thereafter, as the applicable Borrower may elect; </w:t>
      </w:r>
      <w:r>
        <w:rPr>
          <w:rFonts w:ascii="Arial" w:cs="Arial" w:eastAsia="Arial" w:hAnsi="Arial"/>
          <w:sz w:val="16"/>
          <w:szCs w:val="16"/>
          <w:u w:val="single" w:color="auto"/>
          <w:color w:val="auto"/>
        </w:rPr>
        <w:t>provided</w:t>
      </w:r>
      <w:r>
        <w:rPr>
          <w:rFonts w:ascii="Arial" w:cs="Arial" w:eastAsia="Arial" w:hAnsi="Arial"/>
          <w:sz w:val="16"/>
          <w:szCs w:val="16"/>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66"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means, at any time, for any Interest Period, the rate per annum determined by the Administrative Agent (which determination shall be conclusive and binding absent manifest error) to be equal to the rate that results from interpolating on a linear basis between: (a) the LIBOR Screen Rate for the longest period (for which the LIBOR Screen Rate is available for the applicable currency) that is shorter than the Impacted Interest Period and (b) the LIBOR Screen Rate for the shortest period (for which the LIBOR Screen Rate is available for the applicable currency) that exceeds the Impacted Interest Period, in each case, at such time.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Borrower</w:t>
      </w:r>
      <w:r>
        <w:rPr>
          <w:rFonts w:ascii="Arial" w:cs="Arial" w:eastAsia="Arial" w:hAnsi="Arial"/>
          <w:sz w:val="18"/>
          <w:szCs w:val="18"/>
          <w:color w:val="auto"/>
        </w:rPr>
        <w:t>” means (i) the Initial Irish Borrowers and (ii) any other Borrower that is incorporated under the laws of Ireland.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JPMorgan Chase Bank, N.A., Bank of America, N.A. and U.S. Bank National Association and each other Lender designated by the Company as an “Issuing Bank” hereunder that has agreed to such designation (and is reasonably acceptable to the Administrative Agent), each in its capacity as an issuer of Letters of Credit hereunder, and its successors in such capacity as provided in Section 2.06(i).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16" w:gutter="0" w:footer="0" w:header="0"/>
        </w:sectPr>
      </w:pPr>
    </w:p>
    <w:bookmarkStart w:id="15" w:name="page16"/>
    <w:bookmarkEnd w:id="15"/>
    <w:p>
      <w:pPr>
        <w:ind w:right="6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Bookrunner</w:t>
      </w:r>
      <w:r>
        <w:rPr>
          <w:rFonts w:ascii="Arial" w:cs="Arial" w:eastAsia="Arial" w:hAnsi="Arial"/>
          <w:sz w:val="17"/>
          <w:szCs w:val="17"/>
          <w:color w:val="auto"/>
        </w:rPr>
        <w:t>” means each of J.P. Morgan Securities LLC, Merrill Lynch, Pierce, Fenner &amp; Smith Incorporated and U.S. Bank National Association in its capacity as a joint bookrunner and joint lead arranger for the credit facility evidenced by this Agreement.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has the meaning assigned to such term in Section 2.06(j).</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Issuing Bank pursuant to a Letter of Credit.</w:t>
      </w:r>
    </w:p>
    <w:p>
      <w:pPr>
        <w:spacing w:after="0" w:line="225"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(a) the aggregate undrawn Dollar Amount of all outstanding Letters of Credit at such time plus (b) the aggregate Dollar Amount of all LC Disbursements that have not yet been reimbursed by or on behalf of the Company at such time. The LC Exposure of any Lender at any time shall be its Applicable Percentage of the total LC Exposure at such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Notice Date</w:t>
      </w:r>
      <w:r>
        <w:rPr>
          <w:rFonts w:ascii="Arial" w:cs="Arial" w:eastAsia="Arial" w:hAnsi="Arial"/>
          <w:sz w:val="18"/>
          <w:szCs w:val="18"/>
          <w:color w:val="auto"/>
        </w:rPr>
        <w:t>” has the meaning assigned to such term in Section 2.21(b).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Parent</w:t>
      </w:r>
      <w:r>
        <w:rPr>
          <w:rFonts w:ascii="Arial" w:cs="Arial" w:eastAsia="Arial" w:hAnsi="Arial"/>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xml:space="preserve">” means the Persons listed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and any other Person that shall have become a Lender hereunder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2.19, 2.20 or 2.21 or pursuant to an Assignment and Assumption or other documentation contemplated hereby, other than any such Person that ceases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be a party hereto pursuant to an Assignment and Assumption or as otherwise contemplated hereby. Unless the context otherwise requires, the term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“Lenders” includes the Swingline Lender and the Issuing Banks.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225" w:lineRule="exact"/>
        <w:rPr>
          <w:sz w:val="20"/>
          <w:szCs w:val="20"/>
          <w:color w:val="auto"/>
        </w:rPr>
      </w:pPr>
    </w:p>
    <w:p>
      <w:pPr>
        <w:ind w:right="100"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Rate</w:t>
      </w:r>
      <w:r>
        <w:rPr>
          <w:rFonts w:ascii="Arial" w:cs="Arial" w:eastAsia="Arial" w:hAnsi="Arial"/>
          <w:sz w:val="17"/>
          <w:szCs w:val="17"/>
          <w:color w:val="auto"/>
        </w:rPr>
        <w:t>” means, with respect to any Eurocurrency Borrowing denominated in any Agreed Currency and for any applicable Interest Period, the London interbank offered rate as administered by ICE Benchmark Administration (or any other Person that takes over the administration of such rate) for such Agreed Currency for a period equal in length to such Interest Period as displayed on pages LIBOR01 or LIBOR02 of the Reuters screen that displays such rate, or, in the event such rate does not appear on either of such Reuters pages, on any successor or substitute page on such screen that displays such rate, or on the appropriate page of such other information service that publishes such rate as shall be selected by the Administrative Agent from time to time in its reasonable discretion (in each case the “</w:t>
      </w:r>
      <w:r>
        <w:rPr>
          <w:rFonts w:ascii="Arial" w:cs="Arial" w:eastAsia="Arial" w:hAnsi="Arial"/>
          <w:sz w:val="17"/>
          <w:szCs w:val="17"/>
          <w:u w:val="single" w:color="auto"/>
          <w:color w:val="auto"/>
        </w:rPr>
        <w:t>LIBOR Screen Rate</w:t>
      </w:r>
      <w:r>
        <w:rPr>
          <w:rFonts w:ascii="Arial" w:cs="Arial" w:eastAsia="Arial" w:hAnsi="Arial"/>
          <w:sz w:val="17"/>
          <w:szCs w:val="17"/>
          <w:color w:val="auto"/>
        </w:rPr>
        <w:t xml:space="preserve">”) at approximately 11:00 a.m., London time, on the Quotation Day for such Agreed Currency and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LIBOR Screen Rate shall be less than zero, such rate shall be deemed to be zero for the purposes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 LIBOR Screen Rate shall not be available at such time for such Interest Period (the “</w:t>
      </w:r>
      <w:r>
        <w:rPr>
          <w:rFonts w:ascii="Arial" w:cs="Arial" w:eastAsia="Arial" w:hAnsi="Arial"/>
          <w:sz w:val="17"/>
          <w:szCs w:val="17"/>
          <w:u w:val="single" w:color="auto"/>
          <w:color w:val="auto"/>
        </w:rPr>
        <w:t>Impacted Interest Period</w:t>
      </w:r>
      <w:r>
        <w:rPr>
          <w:rFonts w:ascii="Arial" w:cs="Arial" w:eastAsia="Arial" w:hAnsi="Arial"/>
          <w:sz w:val="17"/>
          <w:szCs w:val="17"/>
          <w:color w:val="auto"/>
        </w:rPr>
        <w:t xml:space="preserve">”), then the LIBO Rate for such Agreed Currency and such Interest Period shall be the Interpolated Rate; </w:t>
      </w:r>
      <w:r>
        <w:rPr>
          <w:rFonts w:ascii="Arial" w:cs="Arial" w:eastAsia="Arial" w:hAnsi="Arial"/>
          <w:sz w:val="17"/>
          <w:szCs w:val="17"/>
          <w:u w:val="single" w:color="auto"/>
          <w:color w:val="auto"/>
        </w:rPr>
        <w:t>provided</w:t>
      </w:r>
      <w:r>
        <w:rPr>
          <w:rFonts w:ascii="Arial" w:cs="Arial" w:eastAsia="Arial" w:hAnsi="Arial"/>
          <w:sz w:val="17"/>
          <w:szCs w:val="17"/>
          <w:color w:val="auto"/>
        </w:rPr>
        <w:t>, that, if any Interpolated Rate shall be less than zero, such rate shall be deemed to be zero for the purposes of this Agreement. It is understood and agreed that all of the terms and conditions of this definition of “LIBO Rate” shall be subject to Section 2.14.</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Screen Rate</w:t>
      </w:r>
      <w:r>
        <w:rPr>
          <w:rFonts w:ascii="Arial" w:cs="Arial" w:eastAsia="Arial" w:hAnsi="Arial"/>
          <w:sz w:val="18"/>
          <w:szCs w:val="18"/>
          <w:color w:val="auto"/>
        </w:rPr>
        <w:t>” has the meaning assigned to such term in the definition of “LIBO Rate”.</w:t>
      </w:r>
    </w:p>
    <w:p>
      <w:pPr>
        <w:spacing w:after="0" w:line="225"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asset, (a) any mortgage, deed of trust, lien, pledge, hypothecation, encumbrance, charge or security interest in, on or of such asset and (b) the interest of a vendor or a lessor under any conditional sale agreement, capital lease, ground lease, master lease or title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retention agreement (or any financing lease having substantially the same economic effect as any of the foregoing) relating to such asset.</w:t>
      </w:r>
    </w:p>
    <w:p>
      <w:pPr>
        <w:spacing w:after="0" w:line="225"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each Borrowing Subsidiary Agreement, each Borrowing Subsidiary Termination, the Subsidiary Guaranty, any promissory notes issued pursuant to Section 2.10(e) of this Agreement and any Letter of Credit applications. Any reference in this Agreement or any other Loan Document to a Loan Document shall include all appendices, exhibits or schedules thereto, and all amendments, restatements, supplements or other modifications thereto (including any Incremental Term Loan Amendment), and shall refer to this Agreement or such Loan Document as the same may be in effect at any and all times such reference becomes operative.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Borrowers and the Subsidiary Guarantors.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Borrowers pursuant to this Agreement.</w:t>
      </w:r>
    </w:p>
    <w:p>
      <w:pPr>
        <w:spacing w:after="0" w:line="225" w:lineRule="exact"/>
        <w:rPr>
          <w:sz w:val="20"/>
          <w:szCs w:val="20"/>
          <w:color w:val="auto"/>
        </w:rPr>
      </w:pPr>
    </w:p>
    <w:p>
      <w:pPr>
        <w:jc w:val="both"/>
        <w:ind w:right="32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Local Time</w:t>
      </w:r>
      <w:r>
        <w:rPr>
          <w:rFonts w:ascii="Arial" w:cs="Arial" w:eastAsia="Arial" w:hAnsi="Arial"/>
          <w:sz w:val="16"/>
          <w:szCs w:val="16"/>
          <w:color w:val="auto"/>
        </w:rPr>
        <w:t>” means (i) New York City time in the case of a Loan, Borrowing or LC Disbursement denominated in Dollars (other than Designated Loans) and (ii) local time in the case of a Loan, Borrowing or LC Disbursement denominated in a Foreign Currency and Designated Loans (it being understood that such local time shall mean London, England time unless otherwise notified by the Administrative Agent).</w:t>
      </w:r>
    </w:p>
    <w:p>
      <w:pPr>
        <w:spacing w:after="0" w:line="147"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 Borrower</w:t>
      </w:r>
      <w:r>
        <w:rPr>
          <w:rFonts w:ascii="Arial" w:cs="Arial" w:eastAsia="Arial" w:hAnsi="Arial"/>
          <w:sz w:val="18"/>
          <w:szCs w:val="18"/>
          <w:color w:val="auto"/>
        </w:rPr>
        <w:t>” means any Luxembourg Subsidiary that becomes a Subsidiary Borrower pursuant to Section 2.23 and that has not ceased to be a Subsidiary Borrower pursuant to such Section.</w:t>
      </w:r>
    </w:p>
    <w:p>
      <w:pPr>
        <w:spacing w:after="0" w:line="170" w:lineRule="exact"/>
        <w:rPr>
          <w:sz w:val="20"/>
          <w:szCs w:val="20"/>
          <w:color w:val="auto"/>
        </w:rPr>
      </w:pPr>
    </w:p>
    <w:p>
      <w:pPr>
        <w:ind w:right="20" w:firstLine="129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Luxembourg Insolvency Event</w:t>
      </w:r>
      <w:r>
        <w:rPr>
          <w:rFonts w:ascii="Arial" w:cs="Arial" w:eastAsia="Arial" w:hAnsi="Arial"/>
          <w:sz w:val="16"/>
          <w:szCs w:val="16"/>
          <w:color w:val="auto"/>
        </w:rPr>
        <w:t>” shall mean, with respect to any Luxembourg Borrower, (i) a situation of (</w:t>
      </w:r>
      <w:r>
        <w:rPr>
          <w:rFonts w:ascii="Arial" w:cs="Arial" w:eastAsia="Arial" w:hAnsi="Arial"/>
          <w:sz w:val="16"/>
          <w:szCs w:val="16"/>
          <w:i w:val="1"/>
          <w:iCs w:val="1"/>
          <w:color w:val="auto"/>
        </w:rPr>
        <w:t>cessation de paiements</w:t>
      </w:r>
      <w:r>
        <w:rPr>
          <w:rFonts w:ascii="Arial" w:cs="Arial" w:eastAsia="Arial" w:hAnsi="Arial"/>
          <w:sz w:val="16"/>
          <w:szCs w:val="16"/>
          <w:color w:val="auto"/>
        </w:rPr>
        <w:t>) and absence of access to credit (</w:t>
      </w:r>
      <w:r>
        <w:rPr>
          <w:rFonts w:ascii="Arial" w:cs="Arial" w:eastAsia="Arial" w:hAnsi="Arial"/>
          <w:sz w:val="16"/>
          <w:szCs w:val="16"/>
          <w:i w:val="1"/>
          <w:iCs w:val="1"/>
          <w:color w:val="auto"/>
        </w:rPr>
        <w:t>credit ébranlé</w:t>
      </w:r>
      <w:r>
        <w:rPr>
          <w:rFonts w:ascii="Arial" w:cs="Arial" w:eastAsia="Arial" w:hAnsi="Arial"/>
          <w:sz w:val="16"/>
          <w:szCs w:val="16"/>
          <w:color w:val="auto"/>
        </w:rPr>
        <w:t>) within the meaning of Article 437 of the Luxembourg Commercial Code, (ii) insolvency proceedings (</w:t>
      </w:r>
      <w:r>
        <w:rPr>
          <w:rFonts w:ascii="Arial" w:cs="Arial" w:eastAsia="Arial" w:hAnsi="Arial"/>
          <w:sz w:val="16"/>
          <w:szCs w:val="16"/>
          <w:i w:val="1"/>
          <w:iCs w:val="1"/>
          <w:color w:val="auto"/>
        </w:rPr>
        <w:t>faillite</w:t>
      </w:r>
      <w:r>
        <w:rPr>
          <w:rFonts w:ascii="Arial" w:cs="Arial" w:eastAsia="Arial" w:hAnsi="Arial"/>
          <w:sz w:val="16"/>
          <w:szCs w:val="16"/>
          <w:color w:val="auto"/>
        </w:rPr>
        <w:t>) within the meaning of Articles 437 ff. of the Luxembourg Commercial Code or any other insolvency proceedings pursuant to the Council Regulation (EC) N° 1346/2000 of 29 May 2000 on insolvency proceedings, (iii) controlled management (</w:t>
      </w:r>
      <w:r>
        <w:rPr>
          <w:rFonts w:ascii="Arial" w:cs="Arial" w:eastAsia="Arial" w:hAnsi="Arial"/>
          <w:sz w:val="16"/>
          <w:szCs w:val="16"/>
          <w:i w:val="1"/>
          <w:iCs w:val="1"/>
          <w:color w:val="auto"/>
        </w:rPr>
        <w:t>gestion contrôlée</w:t>
      </w:r>
      <w:r>
        <w:rPr>
          <w:rFonts w:ascii="Arial" w:cs="Arial" w:eastAsia="Arial" w:hAnsi="Arial"/>
          <w:sz w:val="16"/>
          <w:szCs w:val="16"/>
          <w:color w:val="auto"/>
        </w:rPr>
        <w:t>) within the meaning of the grand ducal regulation of 24 May 1935 on controlled management, (iv) voluntary arrangement with creditors (</w:t>
      </w:r>
      <w:r>
        <w:rPr>
          <w:rFonts w:ascii="Arial" w:cs="Arial" w:eastAsia="Arial" w:hAnsi="Arial"/>
          <w:sz w:val="16"/>
          <w:szCs w:val="16"/>
          <w:i w:val="1"/>
          <w:iCs w:val="1"/>
          <w:color w:val="auto"/>
        </w:rPr>
        <w:t>concordat préventif de faillite</w:t>
      </w:r>
      <w:r>
        <w:rPr>
          <w:rFonts w:ascii="Arial" w:cs="Arial" w:eastAsia="Arial" w:hAnsi="Arial"/>
          <w:sz w:val="16"/>
          <w:szCs w:val="16"/>
          <w:color w:val="auto"/>
        </w:rPr>
        <w:t>) within the meaning of the law of 14 April 1886 on arrangements to prevent insolvency, as amended, (v) suspension of payments (</w:t>
      </w:r>
      <w:r>
        <w:rPr>
          <w:rFonts w:ascii="Arial" w:cs="Arial" w:eastAsia="Arial" w:hAnsi="Arial"/>
          <w:sz w:val="16"/>
          <w:szCs w:val="16"/>
          <w:i w:val="1"/>
          <w:iCs w:val="1"/>
          <w:color w:val="auto"/>
        </w:rPr>
        <w:t>sursis de paiement</w:t>
      </w:r>
      <w:r>
        <w:rPr>
          <w:rFonts w:ascii="Arial" w:cs="Arial" w:eastAsia="Arial" w:hAnsi="Arial"/>
          <w:sz w:val="16"/>
          <w:szCs w:val="16"/>
          <w:color w:val="auto"/>
        </w:rPr>
        <w:t>) within the meaning of Articles 593 ff. of the Luxembourg Commercial Code, (vi) voluntary or compulsory winding-up pursuant to the law of 10 August 1915 on commercial companies, as amended or (vii) the appointment of an ad hoc director (</w:t>
      </w:r>
      <w:r>
        <w:rPr>
          <w:rFonts w:ascii="Arial" w:cs="Arial" w:eastAsia="Arial" w:hAnsi="Arial"/>
          <w:sz w:val="16"/>
          <w:szCs w:val="16"/>
          <w:i w:val="1"/>
          <w:iCs w:val="1"/>
          <w:color w:val="auto"/>
        </w:rPr>
        <w:t>administrateur provisoire</w:t>
      </w:r>
      <w:r>
        <w:rPr>
          <w:rFonts w:ascii="Arial" w:cs="Arial" w:eastAsia="Arial" w:hAnsi="Arial"/>
          <w:sz w:val="16"/>
          <w:szCs w:val="16"/>
          <w:color w:val="auto"/>
        </w:rPr>
        <w:t>) by a court in respect of such Luxembourg Borrower or a substantial part of its assets.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 Subsidiary</w:t>
      </w:r>
      <w:r>
        <w:rPr>
          <w:rFonts w:ascii="Arial" w:cs="Arial" w:eastAsia="Arial" w:hAnsi="Arial"/>
          <w:sz w:val="18"/>
          <w:szCs w:val="18"/>
          <w:color w:val="auto"/>
        </w:rPr>
        <w:t>” means any Subsidiary organized under the laws of Luxembourg.</w:t>
      </w:r>
    </w:p>
    <w:p>
      <w:pPr>
        <w:spacing w:after="0" w:line="225" w:lineRule="exact"/>
        <w:rPr>
          <w:sz w:val="20"/>
          <w:szCs w:val="20"/>
          <w:color w:val="auto"/>
        </w:rPr>
      </w:pPr>
    </w:p>
    <w:p>
      <w:pPr>
        <w:ind w:right="4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assets, operations or financial condition of the Company and the Subsidiaries taken as a whole, (b) the ability of (i) the Company to perform its material obligations under this Agreement or (ii) the Loan Parties (taken as</w:t>
      </w:r>
    </w:p>
    <w:p>
      <w:pPr>
        <w:sectPr>
          <w:pgSz w:w="11900" w:h="16838" w:orient="portrait"/>
          <w:cols w:equalWidth="0" w:num="1">
            <w:col w:w="11400"/>
          </w:cols>
          <w:pgMar w:left="240" w:top="125" w:right="259" w:bottom="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a whole) to perform their material obligations under the Loan Documents (taken as a whole) or (c) the material rights or remedies of the Administrative Agent and the Lenders thereunder.</w:t>
      </w:r>
    </w:p>
    <w:p>
      <w:pPr>
        <w:spacing w:after="0" w:line="170"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(other than the Loans and Letters of Credit), or obligations in respect of one or more Swap Agreements, of any one or more of any Borrower or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Material Subsidiary in an aggregate principal amount exceeding $75,000,000. For purposes of determining Material Indebtedness, the “principal amount” of the obligations of any Borrower or any Material Subsidiary in respect of any Swap Agreement at any time shall be the maximum aggregate amount (giving effect to any netting agreements) that such Borrower or such Material Subsidiary would be required to pay if such Swap Agreement were terminated at such time.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Domestic Subsidiary</w:t>
      </w:r>
      <w:r>
        <w:rPr>
          <w:rFonts w:ascii="Arial" w:cs="Arial" w:eastAsia="Arial" w:hAnsi="Arial"/>
          <w:sz w:val="18"/>
          <w:szCs w:val="18"/>
          <w:color w:val="auto"/>
        </w:rPr>
        <w:t>” means each Material Subsidiary that is a Domestic Subsidiary and not an Excluded Subsidiary.</w:t>
      </w:r>
    </w:p>
    <w:p>
      <w:pPr>
        <w:spacing w:after="0" w:line="225" w:lineRule="exact"/>
        <w:rPr>
          <w:sz w:val="20"/>
          <w:szCs w:val="20"/>
          <w:color w:val="auto"/>
        </w:rPr>
      </w:pPr>
    </w:p>
    <w:p>
      <w:pPr>
        <w:ind w:right="22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means each wholly-owned Subsidiary which, as of the most recent fiscal year of the Company (beginning with the fiscal year of the Company ending on or about December 31, 2015), for the period of four consecutive fiscal quarters then ended, for which financial statements have been delivered pursuant to Section 5.01(a), contributed greater than ten percent (10%) of Consolidated EBITDA for such period.</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means March 19, 2020 subject to extension (in the case of each Lender consenting thereto) as provided in Section 2.21.</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xml:space="preserve">”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Company and its Subsidiaries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definition of “Obligations” shall not create or include any guarantee by any Loan Party of any Excluded Swap Obligations of such Loan Party for purposes of determining any obligations of any Loan Party and (ii) obligations arising under Permitted Call Spread Swap Agreements shall not be considered Obligations.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the Treasury.</w:t>
      </w:r>
    </w:p>
    <w:p>
      <w:pPr>
        <w:spacing w:after="0" w:line="225"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87" w:lineRule="exact"/>
        <w:rPr>
          <w:sz w:val="20"/>
          <w:szCs w:val="20"/>
          <w:color w:val="auto"/>
        </w:rPr>
      </w:pPr>
    </w:p>
    <w:p>
      <w:pPr>
        <w:ind w:right="12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Foreign Currency Rate</w:t>
      </w:r>
      <w:r>
        <w:rPr>
          <w:rFonts w:ascii="Arial" w:cs="Arial" w:eastAsia="Arial" w:hAnsi="Arial"/>
          <w:sz w:val="16"/>
          <w:szCs w:val="16"/>
          <w:color w:val="auto"/>
        </w:rPr>
        <w:t>” means, for any amount payable in a Foreign Currency, the rate of interest per annum as determined by the Administrative Agent at which overnight or weekend deposits in the relevant currency (or if such amount due remains unpaid for more than three</w:t>
      </w:r>
    </w:p>
    <w:p>
      <w:pPr>
        <w:ind w:right="20" w:firstLine="8"/>
        <w:spacing w:after="0" w:line="271"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Business Days, then for such other period of time as the Administrative Agent may reasonably determine) for delivery in immediately available and freely transferable funds would be offered by the Administrative Agent to major banks in the interbank market upon request of such major banks for the relevant currency as determined above and in an amount comparable to the unpaid principal amount of the related Credit Event, plus any taxes, levies, imposts, duties, deductions, charges or withholdings (in any such case, other than Excluded Taxes) imposed upon, or charged to, the Administrative Agent by any relevant correspondent bank in respect of such amount in such relevant currency.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9.04(c).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9.04(c).</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adopts or has adopted the euro as its lawful currency in accordance with legislation of the European Union relating to economic and monetary union.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(Title III of Pub. L. 107-56 (signed into law October 26, 2001)).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ectPr>
          <w:pgSz w:w="11900" w:h="16838" w:orient="portrait"/>
          <w:cols w:equalWidth="0" w:num="1">
            <w:col w:w="11400"/>
          </w:cols>
          <w:pgMar w:left="240" w:top="125" w:right="259" w:bottom="0" w:gutter="0" w:footer="0" w:header="0"/>
        </w:sectPr>
      </w:pPr>
    </w:p>
    <w:bookmarkStart w:id="17" w:name="page18"/>
    <w:bookmarkEnd w:id="17"/>
    <w:p>
      <w:pPr>
        <w:ind w:right="180" w:firstLine="129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Call Spread Swap Agreement</w:t>
      </w:r>
      <w:r>
        <w:rPr>
          <w:rFonts w:ascii="Arial" w:cs="Arial" w:eastAsia="Arial" w:hAnsi="Arial"/>
          <w:sz w:val="16"/>
          <w:szCs w:val="16"/>
          <w:color w:val="auto"/>
        </w:rPr>
        <w:t xml:space="preserve">” means (a) any Swap Agreement (including, but not limited to, any bond hedge transaction or capped call transaction) pursuant to which the Company acquires an option requiring the counterparty thereto to deliver to the Company shares of common stock of the Company, the cash value of such shares or a combination thereof from time to time upon exercise of such option and (b) any Swap Agreement pursuant to which the Company issues to the counterparty thereto warrants to acquire common stock of the Company (whether such warrant is settled in shares, cash or a combination thereof), in each case entered into by the Company in connection with the issuance of Permitted Convertible 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terms, conditions and covenants of each such Swap Agreement shall be such as are customary for Swap Agreements of such type (as determined by the Board of Directors of the Company in good faith). For the avoidance of doubt, “Permitted Call Spread Swap Agreement” includes the convertible note hedge and warrant transactions entered into by the Company in connection with the Company’s 1.875% convertible senior notes due October 1, 2016.</w:t>
      </w:r>
    </w:p>
    <w:p>
      <w:pPr>
        <w:spacing w:after="0" w:line="166"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Convertible Notes</w:t>
      </w:r>
      <w:r>
        <w:rPr>
          <w:rFonts w:ascii="Arial" w:cs="Arial" w:eastAsia="Arial" w:hAnsi="Arial"/>
          <w:sz w:val="18"/>
          <w:szCs w:val="18"/>
          <w:color w:val="auto"/>
        </w:rPr>
        <w:t>” means any unsecured notes issued by the Company that are convertible into common stock of the Company, cash or any combination thereof. For the avoidance of doubt, “Permitted Convertible Notes” includes the Company’s 1.875% convertible senior notes due October 1, 2016.</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305"/>
        <w:spacing w:after="0" w:line="277" w:lineRule="auto"/>
        <w:tabs>
          <w:tab w:leader="none" w:pos="15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Liens imposed by law for Taxes that have not yet been paid (to the extent such non-payment does not violate Section 5.04) or are being contested in compliance with Section 5.04, and Liens for unpaid utility charges;</w:t>
      </w:r>
    </w:p>
    <w:p>
      <w:pPr>
        <w:spacing w:after="0" w:line="170" w:lineRule="exact"/>
        <w:rPr>
          <w:rFonts w:ascii="Arial" w:cs="Arial" w:eastAsia="Arial" w:hAnsi="Arial"/>
          <w:sz w:val="18"/>
          <w:szCs w:val="18"/>
          <w:color w:val="auto"/>
        </w:rPr>
      </w:pPr>
    </w:p>
    <w:p>
      <w:pPr>
        <w:ind w:right="540" w:firstLine="1305"/>
        <w:spacing w:after="0" w:line="264" w:lineRule="auto"/>
        <w:tabs>
          <w:tab w:leader="none" w:pos="15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supplier’s and other like Liens imposed by law, arising in the ordinary course of business and securing obligations that are not overdue by more than sixty (60) days or are being contested in compliance with Section 5.04;</w:t>
      </w:r>
    </w:p>
    <w:p>
      <w:pPr>
        <w:spacing w:after="0" w:line="181" w:lineRule="exact"/>
        <w:rPr>
          <w:rFonts w:ascii="Arial" w:cs="Arial" w:eastAsia="Arial" w:hAnsi="Arial"/>
          <w:sz w:val="18"/>
          <w:szCs w:val="18"/>
          <w:color w:val="auto"/>
        </w:rPr>
      </w:pPr>
    </w:p>
    <w:p>
      <w:pPr>
        <w:ind w:right="40" w:firstLine="1305"/>
        <w:spacing w:after="0" w:line="264" w:lineRule="auto"/>
        <w:tabs>
          <w:tab w:leader="none" w:pos="19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connection with workers’ compensation, unemployment insurance and other social security or retirement benefits laws or regulations or employment laws, to secure liability to insurance carriers under insurance or self-insurance arrangements or to secure other public, statutory or regulatory obligations;</w:t>
      </w:r>
    </w:p>
    <w:p>
      <w:pPr>
        <w:spacing w:after="0" w:line="181" w:lineRule="exact"/>
        <w:rPr>
          <w:rFonts w:ascii="Arial" w:cs="Arial" w:eastAsia="Arial" w:hAnsi="Arial"/>
          <w:sz w:val="18"/>
          <w:szCs w:val="18"/>
          <w:color w:val="auto"/>
        </w:rPr>
      </w:pPr>
    </w:p>
    <w:p>
      <w:pPr>
        <w:ind w:right="140" w:firstLine="1305"/>
        <w:spacing w:after="0" w:line="286" w:lineRule="auto"/>
        <w:tabs>
          <w:tab w:leader="none" w:pos="19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pledges and deposits to secure the performance of bids, trade contracts, government contracts, leases, statutory obligations, customer deposits and advances, surety, customs and appeal bonds, performance and completion bonds and other obligations of a like nature, in each case in the ordinary course of business, and Liens to secure letters of credit or bank guarantees supporting any of the foregoing;</w:t>
      </w:r>
    </w:p>
    <w:p>
      <w:pPr>
        <w:spacing w:after="0" w:line="165" w:lineRule="exact"/>
        <w:rPr>
          <w:rFonts w:ascii="Arial" w:cs="Arial" w:eastAsia="Arial" w:hAnsi="Arial"/>
          <w:sz w:val="17"/>
          <w:szCs w:val="17"/>
          <w:color w:val="auto"/>
        </w:rPr>
      </w:pPr>
    </w:p>
    <w:p>
      <w:pPr>
        <w:ind w:right="60" w:firstLine="1305"/>
        <w:spacing w:after="0" w:line="277" w:lineRule="auto"/>
        <w:tabs>
          <w:tab w:leader="none" w:pos="19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clause (k) of Article VII or Liens securing appeal or surety bonds related to such judgments;</w:t>
      </w:r>
    </w:p>
    <w:p>
      <w:pPr>
        <w:spacing w:after="0" w:line="170" w:lineRule="exact"/>
        <w:rPr>
          <w:rFonts w:ascii="Arial" w:cs="Arial" w:eastAsia="Arial" w:hAnsi="Arial"/>
          <w:sz w:val="18"/>
          <w:szCs w:val="18"/>
          <w:color w:val="auto"/>
        </w:rPr>
      </w:pPr>
    </w:p>
    <w:p>
      <w:pPr>
        <w:ind w:right="60" w:firstLine="1305"/>
        <w:spacing w:after="0" w:line="264" w:lineRule="auto"/>
        <w:tabs>
          <w:tab w:leader="none" w:pos="19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charges or encumbrances on real property imposed by law or arising in the ordinary course of business that do not secure any monetary obligations and do not materially detract from the value of the affected property or materially interfere with the ordinary conduct of business of the Company and its Subsidiaries, taken as a whole;</w:t>
      </w:r>
    </w:p>
    <w:p>
      <w:pPr>
        <w:spacing w:after="0" w:line="181" w:lineRule="exact"/>
        <w:rPr>
          <w:rFonts w:ascii="Arial" w:cs="Arial" w:eastAsia="Arial" w:hAnsi="Arial"/>
          <w:sz w:val="18"/>
          <w:szCs w:val="18"/>
          <w:color w:val="auto"/>
        </w:rPr>
      </w:pPr>
    </w:p>
    <w:p>
      <w:pPr>
        <w:ind w:right="240" w:firstLine="1305"/>
        <w:spacing w:after="0" w:line="277" w:lineRule="auto"/>
        <w:tabs>
          <w:tab w:leader="none" w:pos="19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interest or title of a landlord, lessor or sublessor under any lease of real estate or any Lien affecting solely the interest of the landlord, lessor or sublessor;</w:t>
      </w:r>
    </w:p>
    <w:p>
      <w:pPr>
        <w:spacing w:after="0" w:line="170" w:lineRule="exact"/>
        <w:rPr>
          <w:rFonts w:ascii="Arial" w:cs="Arial" w:eastAsia="Arial" w:hAnsi="Arial"/>
          <w:sz w:val="18"/>
          <w:szCs w:val="18"/>
          <w:color w:val="auto"/>
        </w:rPr>
      </w:pPr>
    </w:p>
    <w:p>
      <w:pPr>
        <w:ind w:right="140" w:firstLine="1305"/>
        <w:spacing w:after="0" w:line="286" w:lineRule="auto"/>
        <w:tabs>
          <w:tab w:leader="none" w:pos="19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leases, licenses, subleases or sublicenses (i) that are granted to others and do not adversely interfere in any material respect with the business of the Company and its Subsidiaries as conducted at the time granted, taken as a whole, (ii) between or among any of the Loan Parties or any of their Subsidiaries (or any combination thereof) or (iii) granted to other Persons and permitted under Section 6.03;</w:t>
      </w:r>
    </w:p>
    <w:p>
      <w:pPr>
        <w:spacing w:after="0" w:line="165" w:lineRule="exact"/>
        <w:rPr>
          <w:rFonts w:ascii="Arial" w:cs="Arial" w:eastAsia="Arial" w:hAnsi="Arial"/>
          <w:sz w:val="17"/>
          <w:szCs w:val="17"/>
          <w:color w:val="auto"/>
        </w:rPr>
      </w:pPr>
    </w:p>
    <w:p>
      <w:pPr>
        <w:ind w:firstLine="1305"/>
        <w:spacing w:after="0" w:line="277" w:lineRule="auto"/>
        <w:tabs>
          <w:tab w:leader="none" w:pos="19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purported Liens evidenced by the filing of precautionary UCC financing statements or similar filings relating to operating leases of personal property entered into by the Company or any of its Subsidiaries in the ordinary course of business;</w:t>
      </w:r>
    </w:p>
    <w:p>
      <w:pPr>
        <w:spacing w:after="0" w:line="170" w:lineRule="exact"/>
        <w:rPr>
          <w:rFonts w:ascii="Arial" w:cs="Arial" w:eastAsia="Arial" w:hAnsi="Arial"/>
          <w:sz w:val="18"/>
          <w:szCs w:val="18"/>
          <w:color w:val="auto"/>
        </w:rPr>
      </w:pPr>
    </w:p>
    <w:p>
      <w:pPr>
        <w:ind w:right="280" w:firstLine="1305"/>
        <w:spacing w:after="0" w:line="277" w:lineRule="auto"/>
        <w:tabs>
          <w:tab w:leader="none" w:pos="19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interest or title of a licensor under any license or sublicense entered into by the Company or any Subsidiary as a licensee or sublicensee (i) existing on the date hereof or (ii) in the ordinary course of its business;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with respect to any real property, immaterial title defects or irregularities that do not materially impair the use of such real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property;</w:t>
      </w:r>
    </w:p>
    <w:p>
      <w:pPr>
        <w:spacing w:after="0" w:line="210" w:lineRule="exact"/>
        <w:rPr>
          <w:rFonts w:ascii="Arial" w:cs="Arial" w:eastAsia="Arial" w:hAnsi="Arial"/>
          <w:sz w:val="17"/>
          <w:szCs w:val="17"/>
          <w:color w:val="auto"/>
        </w:rPr>
      </w:pPr>
    </w:p>
    <w:p>
      <w:pPr>
        <w:ind w:right="40" w:firstLine="1305"/>
        <w:spacing w:after="0" w:line="277" w:lineRule="auto"/>
        <w:tabs>
          <w:tab w:leader="none" w:pos="19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Liens on real property, fixtures, equipment, other fixed or capital assets or other related assets in connection with a Tax Abatement Transaction in favor of the Related Municipal Party.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Restructurings</w:t>
      </w:r>
      <w:r>
        <w:rPr>
          <w:rFonts w:ascii="Arial" w:cs="Arial" w:eastAsia="Arial" w:hAnsi="Arial"/>
          <w:sz w:val="16"/>
          <w:szCs w:val="16"/>
          <w:color w:val="auto"/>
        </w:rPr>
        <w:t>” means a transaction or series of transactions pursuant to which direct and indirect Subsidiaries of the Company are converted, restructured or reorganized for tax planning or due to changes or potential changes in any relevant legal or regulatory framework, whether by</w:t>
      </w:r>
    </w:p>
    <w:p>
      <w:pPr>
        <w:ind w:right="60" w:firstLine="8"/>
        <w:spacing w:after="0" w:line="253"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 (ii) acquisition, (iii) contribution, (iv) merger, (v) consolidation, (vi) voluntary dissolution, (vii) liquidation, (viii) recapitalization, (ix) change in identity, form, place of organization, domicile or, to the extent relevant and subject to Section 5.03(b), centre of main interests (as that term is used in Article 3(1) of the Regulation), or (x) otherwise, in each case the result of which may cause a direct or indirect sale, assignment or transfer of Equity Interests and/or other assets between and among the Company and/or various Subsidiaries of the Company, and in each case to the extent the Administrative Agent (acting in its reasonable credit judgment) approves such Permitted Restructuring.</w:t>
      </w:r>
    </w:p>
    <w:p>
      <w:pPr>
        <w:spacing w:after="0" w:line="191" w:lineRule="exact"/>
        <w:rPr>
          <w:sz w:val="20"/>
          <w:szCs w:val="20"/>
          <w:color w:val="auto"/>
        </w:rPr>
      </w:pPr>
    </w:p>
    <w:p>
      <w:pPr>
        <w:ind w:right="7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ectPr>
          <w:pgSz w:w="11900" w:h="16838" w:orient="portrait"/>
          <w:cols w:equalWidth="0" w:num="1">
            <w:col w:w="11420"/>
          </w:cols>
          <w:pgMar w:left="240" w:top="125" w:right="239" w:bottom="0" w:gutter="0" w:footer="0" w:header="0"/>
        </w:sectPr>
      </w:pPr>
    </w:p>
    <w:bookmarkStart w:id="18" w:name="page19"/>
    <w:bookmarkEnd w:id="18"/>
    <w:p>
      <w:pPr>
        <w:ind w:right="2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means Debt Domain, Intralinks, Syndtrak or a substantially similar electronic transmission system.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Pounds Sterling</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jc w:val="both"/>
        <w:ind w:right="1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Indebtedness</w:t>
      </w:r>
      <w:r>
        <w:rPr>
          <w:rFonts w:ascii="Arial" w:cs="Arial" w:eastAsia="Arial" w:hAnsi="Arial"/>
          <w:sz w:val="18"/>
          <w:szCs w:val="18"/>
          <w:color w:val="auto"/>
        </w:rPr>
        <w:t>” means (a) Indebtedness of the Company or any Subsidiary secured by any Lien on any asset(s) of the Company or any Subsidiary and (b) unsecured Indebtedness of any Subsidiary that is not a Borrower or a Subsidiary Guarantor, in each case owing to a Person other than the Company or any Subsidiary.</w:t>
      </w:r>
    </w:p>
    <w:p>
      <w:pPr>
        <w:spacing w:after="0" w:line="181"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publicly announced from time to time by JPMorgan Chase Bank, N.A. as its prime rate in effect at its principal office in New York City; each change in the Prime Rate shall be effective from and including the date such change is publicly announced as being effective.</w:t>
      </w:r>
    </w:p>
    <w:p>
      <w:pPr>
        <w:spacing w:after="0" w:line="181" w:lineRule="exact"/>
        <w:rPr>
          <w:sz w:val="20"/>
          <w:szCs w:val="20"/>
          <w:color w:val="auto"/>
        </w:rPr>
      </w:pPr>
    </w:p>
    <w:p>
      <w:pPr>
        <w:ind w:right="40"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Quotation Day</w:t>
      </w:r>
      <w:r>
        <w:rPr>
          <w:rFonts w:ascii="Arial" w:cs="Arial" w:eastAsia="Arial" w:hAnsi="Arial"/>
          <w:sz w:val="16"/>
          <w:szCs w:val="16"/>
          <w:color w:val="auto"/>
        </w:rPr>
        <w:t>” means, with respect to any Eurocurrency Borrowing for any Interest Period, (i) if the currency is Pounds Sterling, the first day of such Interest Period, (ii) if the currency is euro, the day that is two (2) TARGET2 Days before the first day of such Interest Period, and (iii) for any other currency, two (2) Business Days prior to the commencement of such Interest Period (unless, in each case, market practice differs in the relevant market where the LIBO Rate for such currency is to be determined, in which case the Quotation Day will be determined by the Administrative Agent in accordance with market practice in such market (and if quotations would normally be given on more than one day, then the Quotation Day will be the last of those days)).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(b) any Lender and (c) any Issuing Bank, as applicable.</w:t>
      </w:r>
    </w:p>
    <w:p>
      <w:pPr>
        <w:spacing w:after="0" w:line="225"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 Rate</w:t>
      </w:r>
      <w:r>
        <w:rPr>
          <w:rFonts w:ascii="Arial" w:cs="Arial" w:eastAsia="Arial" w:hAnsi="Arial"/>
          <w:sz w:val="18"/>
          <w:szCs w:val="18"/>
          <w:color w:val="auto"/>
        </w:rPr>
        <w:t>” means the arithmetic mean of the rates (rounded upwards to four decimal places) supplied to the Administrative Agent at its request by the Reference Banks (as the case may be) as of the applicable time on the Quotation Day for Loans in the applicable currency and the applicable Interest Period as the rate at which the relevant Reference Bank could borrow funds in the London (or other applicable) interbank market in the relevant currency and for the relevant period, were it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to do so by asking for and then accepting interbank offers in reasonable market size in that currency and for that period.</w:t>
      </w:r>
    </w:p>
    <w:p>
      <w:pPr>
        <w:spacing w:after="0" w:line="22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means the principal London (or other applicable) offices of JPMorgan Chase Bank, N.A. and such other banks as may be appointed by the Administrative Agent (and agreed by such bank) in consultation with the Company. No Lender shall be obligated to be a Reference Bank without its consent.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w:t>
      </w:r>
      <w:r>
        <w:rPr>
          <w:rFonts w:ascii="Arial" w:cs="Arial" w:eastAsia="Arial" w:hAnsi="Arial"/>
          <w:sz w:val="18"/>
          <w:szCs w:val="18"/>
          <w:color w:val="auto"/>
        </w:rPr>
        <w:t>” means the Council of the European Union Regulation No. 1346/2000 on Insolvency Proceedings.</w:t>
      </w:r>
    </w:p>
    <w:p>
      <w:pPr>
        <w:spacing w:after="0" w:line="225" w:lineRule="exact"/>
        <w:rPr>
          <w:sz w:val="20"/>
          <w:szCs w:val="20"/>
          <w:color w:val="auto"/>
        </w:rPr>
      </w:pPr>
    </w:p>
    <w:p>
      <w:pPr>
        <w:ind w:right="8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Municipal Party</w:t>
      </w:r>
      <w:r>
        <w:rPr>
          <w:rFonts w:ascii="Arial" w:cs="Arial" w:eastAsia="Arial" w:hAnsi="Arial"/>
          <w:sz w:val="18"/>
          <w:szCs w:val="18"/>
          <w:color w:val="auto"/>
        </w:rPr>
        <w:t>” means the industrial development agency or other Governmental Authority party to a Tax Abatement Transaction and, if applicable, any trustee or agent with respect to such Tax Abatement Transaction.</w:t>
      </w:r>
    </w:p>
    <w:p>
      <w:pPr>
        <w:spacing w:after="0" w:line="170"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partners, directors, officers, managers, employees, agents and advisors of such Person and such Person’s Affiliates.</w:t>
      </w:r>
    </w:p>
    <w:p>
      <w:pPr>
        <w:spacing w:after="0" w:line="170"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2.24</w:t>
      </w:r>
      <w:r>
        <w:rPr>
          <w:rFonts w:ascii="Arial" w:cs="Arial" w:eastAsia="Arial" w:hAnsi="Arial"/>
          <w:sz w:val="18"/>
          <w:szCs w:val="18"/>
          <w:color w:val="auto"/>
        </w:rPr>
        <w:t>, at any time, Lenders having Revolving Credit Exposures and unused Commitments representing more than 50% of the sum of the total Revolving Credit Exposures and unused Commitments at such time.</w:t>
      </w:r>
    </w:p>
    <w:p>
      <w:pPr>
        <w:spacing w:after="0" w:line="170" w:lineRule="exact"/>
        <w:rPr>
          <w:sz w:val="20"/>
          <w:szCs w:val="20"/>
          <w:color w:val="auto"/>
        </w:rPr>
      </w:pPr>
    </w:p>
    <w:p>
      <w:pPr>
        <w:ind w:right="26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the chief executive officer, president, a Financial Officer or chief legal officer of the Company or any other Person designated by any such Person in writing to the Administrative Agent and reasonably acceptable to the Administrative Agent.</w:t>
      </w:r>
    </w:p>
    <w:p>
      <w:pPr>
        <w:spacing w:after="0" w:line="147"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 any dividend or other distribution (whether in cash, securities or other property) with respect to any Equity Interests in the Company or any Subsidiary, and (b) any payment (whether in cash, securities or other property), including any sinking fund or similar deposit, on account of the purchase, redemption, retirement, acquisition, cancellation or termination of any Equity Interests in the Company or any option, warrant or other similar right to acquire any such Equity Interests in the Company. Notwithstanding the foregoing, and for the avoidance of doubt, any of the foregoing directly on account of any Permitted Convertible Notes or any Permitted Call Spread Swap Agreement, including (i) any issuance of, conversion of (including any cash payment upon conversion), or payment of any principal or premium on, or payment of any interest with respect to, or any other exercise of rights or performance of obligations under any Permitted Convertible Notes and (ii) any entry into, payment with respect to, or early unwind or settlement of, or any other exercise of rights or performance of obligations under any Permitted Call Spread Swap Agreement, in any such case, shall not constitute a Restricted Payment.</w:t>
      </w:r>
    </w:p>
    <w:p>
      <w:pPr>
        <w:spacing w:after="0" w:line="197"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Revolving Loans, its LC Exposure and its Swingline Exposure at such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pursuant to Section 2.01.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19" w:name="page20"/>
    <w:bookmarkEnd w:id="19"/>
    <w:p>
      <w:pPr>
        <w:ind w:right="4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any sale or other transfer of any property or asset by any Person with the intent to lease such property or asset as lessee.</w:t>
      </w:r>
    </w:p>
    <w:p>
      <w:pPr>
        <w:spacing w:after="0" w:line="170" w:lineRule="exact"/>
        <w:rPr>
          <w:sz w:val="20"/>
          <w:szCs w:val="20"/>
          <w:color w:val="auto"/>
        </w:rPr>
      </w:pPr>
    </w:p>
    <w:p>
      <w:pPr>
        <w:jc w:val="both"/>
        <w:ind w:right="8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Country</w:t>
      </w:r>
      <w:r>
        <w:rPr>
          <w:rFonts w:ascii="Arial" w:cs="Arial" w:eastAsia="Arial" w:hAnsi="Arial"/>
          <w:sz w:val="17"/>
          <w:szCs w:val="17"/>
          <w:color w:val="auto"/>
        </w:rPr>
        <w:t>” means, at any time, a country or territory which is itself the subject or target of any comprehensive Sanctions (which for purposes of illustration and clarification includes, at the time of this Agreement, Crimea, Cuba, Iran, North Korea, Sudan and Syria).</w:t>
      </w:r>
    </w:p>
    <w:p>
      <w:pPr>
        <w:spacing w:after="0" w:line="147" w:lineRule="exact"/>
        <w:rPr>
          <w:sz w:val="20"/>
          <w:szCs w:val="20"/>
          <w:color w:val="auto"/>
        </w:rPr>
      </w:pPr>
    </w:p>
    <w:p>
      <w:pPr>
        <w:jc w:val="both"/>
        <w:ind w:right="8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means, at any time, (a) any Person listed in any Sanctions-related list of designated Persons maintained by OFAC, the U.S. Department of State, the United Nations Security Council, the European Union or any EU member state, (b) any Person operating, organized or resident in a Sanctioned Country or (c) any Person owned or controlled by any such Person or Persons described in the foregoing clauses (a) or (b).</w:t>
      </w:r>
    </w:p>
    <w:p>
      <w:pPr>
        <w:spacing w:after="0" w:line="147"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Her Majesty’s Treasury of the United Kingdom or other relevant sanctions authority.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United States Securities and Exchange Commission or any Governmental Authority succeeding to any of its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w:t>
      </w:r>
    </w:p>
    <w:p>
      <w:pPr>
        <w:spacing w:after="0" w:line="225" w:lineRule="exact"/>
        <w:rPr>
          <w:sz w:val="20"/>
          <w:szCs w:val="20"/>
          <w:color w:val="auto"/>
        </w:rPr>
      </w:pPr>
    </w:p>
    <w:p>
      <w:pPr>
        <w:ind w:right="100"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Ancillary Obligations</w:t>
      </w:r>
      <w:r>
        <w:rPr>
          <w:rFonts w:ascii="Arial" w:cs="Arial" w:eastAsia="Arial" w:hAnsi="Arial"/>
          <w:sz w:val="17"/>
          <w:szCs w:val="17"/>
          <w:color w:val="auto"/>
        </w:rPr>
        <w:t xml:space="preserve">” means all obligations and liabilities (including interest and fees accruing during the pendency of any bankruptcy, insolvency, receivership or other similar proceeding, regardless of whether allowed or allowable in such proceeding) of any of the Subsidiaries, existing on the Effective Date or arising thereafter, direct or indirect, joint or several, absolute or contingent, matured or unmatured, liquidated or unliquidated, secured or unsecured, arising by contract, operation of law or otherwise, to the Lenders or any of their Affiliates under any Swap Agreement or any Banking Services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definition of “Specified Ancillary Obligations” shall not create or include any guarantee by any Loan Party of any Excluded Swap Obligations of such Loan Party for purposes of determining any obligations of any Loan Party and (ii) obligations arising under Permitted Call Spread Swap Agreements shall not be considered Specified Ancillary Obligations.</w:t>
      </w:r>
    </w:p>
    <w:p>
      <w:pPr>
        <w:spacing w:after="0" w:line="178" w:lineRule="exact"/>
        <w:rPr>
          <w:sz w:val="20"/>
          <w:szCs w:val="20"/>
          <w:color w:val="auto"/>
        </w:rPr>
      </w:pPr>
    </w:p>
    <w:p>
      <w:pPr>
        <w:ind w:right="3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Swap Obligation</w:t>
      </w:r>
      <w:r>
        <w:rPr>
          <w:rFonts w:ascii="Arial" w:cs="Arial" w:eastAsia="Arial" w:hAnsi="Arial"/>
          <w:sz w:val="18"/>
          <w:szCs w:val="18"/>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181" w:lineRule="exact"/>
        <w:rPr>
          <w:sz w:val="20"/>
          <w:szCs w:val="20"/>
          <w:color w:val="auto"/>
        </w:rPr>
      </w:pPr>
    </w:p>
    <w:p>
      <w:pPr>
        <w:ind w:right="100"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means a fraction (expressed as a decimal), the numerator of which is the number one and the denominator of which is the number one minus the aggregate of the maximum reserve, liquid asset, fees or similar requirements (including any marginal, special, emergency or supplemental reserves or other requirements) established by any central bank, monetary authority, the Board, the Financial Conduct Authority, the Prudential Regulation Authority, the European Central Bank or other Governmental Authority for any category of deposits or liabilities customarily used to fund loans in the applicable currency, expressed in the case of each such requirement as a decimal. Such reserve, liquid asset, fees or similar requirements shall include those imposed pursuant to Regulation D of the Board. Eurocurrency Loans shall be deemed to be subject to such reserve, liquid asset, fee or similar requirements without benefit of or credit for proration, exemptions or offsets that may be available from time to time to any Lender under any applicable law, rule or regulation, including Regulation D of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Board. The Statutory Reserve Rate shall be adjusted automatically on and as of the effective date of any change in any reserve, liquid asset or similar requirement.</w:t>
      </w:r>
    </w:p>
    <w:p>
      <w:pPr>
        <w:spacing w:after="0" w:line="170"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w:t>
      </w:r>
    </w:p>
    <w:p>
      <w:pPr>
        <w:spacing w:after="0" w:line="225" w:lineRule="exact"/>
        <w:rPr>
          <w:sz w:val="20"/>
          <w:szCs w:val="20"/>
          <w:color w:val="auto"/>
        </w:rPr>
      </w:pPr>
    </w:p>
    <w:p>
      <w:pPr>
        <w:ind w:right="6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Borrower</w:t>
      </w:r>
      <w:r>
        <w:rPr>
          <w:rFonts w:ascii="Arial" w:cs="Arial" w:eastAsia="Arial" w:hAnsi="Arial"/>
          <w:sz w:val="16"/>
          <w:szCs w:val="16"/>
          <w:color w:val="auto"/>
        </w:rPr>
        <w:t>” means (i) Regeneron Healthcare Solutions, Inc, a New York corporation, (ii) Regeneron Genetics Center LLC, a Delaware limited liability company, (iii) the Initial Irish Borrowers, (iv) the Initial Dutch Borrower and (v) any Eligible Subsidiary that becomes a Subsidiary Borrower pursuant to Section 2.23 and, in the case of each of the foregoing, that has not ceased to be a Subsidiary Borrower pursuant to such Section.</w:t>
      </w:r>
    </w:p>
    <w:p>
      <w:pPr>
        <w:spacing w:after="0" w:line="147"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xml:space="preserve">” means each Material Domestic Subsidiary that is a party to the Subsidiary Guaranty. The Subsidiary Guarantors on the Effective Date (if any) are identified as such in </w:t>
      </w:r>
      <w:r>
        <w:rPr>
          <w:rFonts w:ascii="Arial" w:cs="Arial" w:eastAsia="Arial" w:hAnsi="Arial"/>
          <w:sz w:val="18"/>
          <w:szCs w:val="18"/>
          <w:u w:val="single" w:color="auto"/>
          <w:color w:val="auto"/>
        </w:rPr>
        <w:t>Schedule 3.01</w:t>
      </w:r>
      <w:r>
        <w:rPr>
          <w:rFonts w:ascii="Arial" w:cs="Arial" w:eastAsia="Arial" w:hAnsi="Arial"/>
          <w:sz w:val="18"/>
          <w:szCs w:val="18"/>
          <w:color w:val="auto"/>
        </w:rPr>
        <w:t xml:space="preserve"> hereto.</w:t>
      </w:r>
    </w:p>
    <w:p>
      <w:pPr>
        <w:spacing w:after="0" w:line="170"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w:t>
      </w:r>
      <w:r>
        <w:rPr>
          <w:rFonts w:ascii="Arial" w:cs="Arial" w:eastAsia="Arial" w:hAnsi="Arial"/>
          <w:sz w:val="18"/>
          <w:szCs w:val="18"/>
          <w:color w:val="auto"/>
        </w:rPr>
        <w:t xml:space="preserve">” means that certain Guaranty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(including any and all supplements thereto) and executed by each Subsidiary Guarantor party thereto, as amended, restated, supplemented or otherwise modified from time to time.</w:t>
      </w:r>
    </w:p>
    <w:p>
      <w:pPr>
        <w:spacing w:after="0" w:line="170"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Company or the Subsidiaries shall be a Swap Agreement.</w:t>
      </w:r>
    </w:p>
    <w:p>
      <w:pPr>
        <w:spacing w:after="0" w:line="188"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any and all obligations of the Company or any Subsidiary,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ectPr>
          <w:pgSz w:w="11900" w:h="16838" w:orient="portrait"/>
          <w:cols w:equalWidth="0" w:num="1">
            <w:col w:w="11420"/>
          </w:cols>
          <w:pgMar w:left="240" w:top="125" w:right="239" w:bottom="0" w:gutter="0" w:footer="0" w:header="0"/>
        </w:sectPr>
      </w:pPr>
    </w:p>
    <w:bookmarkStart w:id="20" w:name="page21"/>
    <w:bookmarkEnd w:id="20"/>
    <w:p>
      <w:pPr>
        <w:spacing w:after="0" w:line="86"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Borrower</w:t>
      </w:r>
      <w:r>
        <w:rPr>
          <w:rFonts w:ascii="Arial" w:cs="Arial" w:eastAsia="Arial" w:hAnsi="Arial"/>
          <w:sz w:val="18"/>
          <w:szCs w:val="18"/>
          <w:color w:val="auto"/>
        </w:rPr>
        <w:t>” means (a) the Company, (b) the Initial Dutch Borrower and (c) any other Borrower requested by the Company and approved in writing by the Swingline Lender and the Administrative Agent in their discretion.</w:t>
      </w:r>
    </w:p>
    <w:p>
      <w:pPr>
        <w:spacing w:after="0" w:line="170"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Lender at any time shall be its Applicable Percentage of the total Swingline Exposure at such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JPMorgan Chase Bank, N.A., in its capacity as lender of Swingline Loans 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 Loan made pursuant to Section 2.05.</w:t>
      </w:r>
    </w:p>
    <w:p>
      <w:pPr>
        <w:spacing w:after="0" w:line="225"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w:t>
      </w:r>
      <w:r>
        <w:rPr>
          <w:rFonts w:ascii="Arial" w:cs="Arial" w:eastAsia="Arial" w:hAnsi="Arial"/>
          <w:sz w:val="18"/>
          <w:szCs w:val="18"/>
          <w:color w:val="auto"/>
        </w:rPr>
        <w:t>” means the Trans-European Automated Real-time Gross Settlement Express Transfer (TARGET2) payment system (or, if such payment system ceases to be operative, such other payment system (if any) reasonably determined by the Administrative Agent to be a suitable replacement) for the settlement of payments in euro.</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 Day</w:t>
      </w:r>
      <w:r>
        <w:rPr>
          <w:rFonts w:ascii="Arial" w:cs="Arial" w:eastAsia="Arial" w:hAnsi="Arial"/>
          <w:sz w:val="18"/>
          <w:szCs w:val="18"/>
          <w:color w:val="auto"/>
        </w:rPr>
        <w:t>” means a day that TARGET2 is open for the settlement of payments in euro.</w:t>
      </w:r>
    </w:p>
    <w:p>
      <w:pPr>
        <w:spacing w:after="0" w:line="225"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Abatement Transactions</w:t>
      </w:r>
      <w:r>
        <w:rPr>
          <w:rFonts w:ascii="Arial" w:cs="Arial" w:eastAsia="Arial" w:hAnsi="Arial"/>
          <w:sz w:val="17"/>
          <w:szCs w:val="17"/>
          <w:color w:val="auto"/>
        </w:rPr>
        <w:t>” means a transaction between the Company or any of its Subsidiaries, on the one hand, and a Related Municipal Party, on the other hand (and, if applicable, other Person(s)), entered into for the purposes of reducing certain of the Company’s or any Subsidiary’s Tax liabilities through (a) the sale, other transfer, lease or license to such Related Municipal Party of title to or an interest in real property, fixtures, equipment, other fixed or capital assets or other related assets of the Company or such Subsidiary, (b) the granting to such Related Municipal Party of Liens on real property, fixtures, equipment, other fixed or capital assets or other related assets of the Company or such Subsidiary, (c) a Sale and Leaseback Transaction or other transfer and licensing arrangement between the Company or such Subsidiary and such Related Municipal Party (and, if applicable, such other Person(s)) with respect to real property, fixtures, equipment, other fixed or capital assets or other related assets of the Company or such Subsidiary, (d) PILOT agreements or (e) any combination of the foregoing or through arrangements similar thereto.</w:t>
      </w:r>
    </w:p>
    <w:p>
      <w:pPr>
        <w:spacing w:after="0" w:line="179" w:lineRule="exact"/>
        <w:rPr>
          <w:sz w:val="20"/>
          <w:szCs w:val="20"/>
          <w:color w:val="auto"/>
        </w:rPr>
      </w:pPr>
    </w:p>
    <w:p>
      <w:pPr>
        <w:ind w:right="24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has the meaning assigned to such term in Section 6.07(a).</w:t>
      </w:r>
    </w:p>
    <w:p>
      <w:pPr>
        <w:spacing w:after="0" w:line="225" w:lineRule="exact"/>
        <w:rPr>
          <w:sz w:val="20"/>
          <w:szCs w:val="20"/>
          <w:color w:val="auto"/>
        </w:rPr>
      </w:pPr>
    </w:p>
    <w:p>
      <w:pPr>
        <w:ind w:right="24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the execution, delivery and performance by the Loan Parties of this Agreement and the other Loan Documents, the borrowing of Loans and other credit extensions, the use of the proceeds thereof and the issuance of Letters of Credit hereunder.</w:t>
      </w:r>
    </w:p>
    <w:p>
      <w:pPr>
        <w:spacing w:after="0" w:line="147"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“United States person” within the meaning of Section 7701(a)(30) of the Code.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has the meaning assigned to such term in Section 2.17(f)(ii)(B)(3).</w:t>
      </w:r>
    </w:p>
    <w:p>
      <w:pPr>
        <w:spacing w:after="0" w:line="225" w:lineRule="exact"/>
        <w:rPr>
          <w:sz w:val="20"/>
          <w:szCs w:val="20"/>
          <w:color w:val="auto"/>
        </w:rPr>
      </w:pPr>
    </w:p>
    <w:p>
      <w:pPr>
        <w:ind w:right="7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UCC</w:t>
      </w:r>
      <w:r>
        <w:rPr>
          <w:rFonts w:ascii="Arial" w:cs="Arial" w:eastAsia="Arial" w:hAnsi="Arial"/>
          <w:sz w:val="17"/>
          <w:szCs w:val="17"/>
          <w:color w:val="auto"/>
        </w:rPr>
        <w:t>” means the Uniform Commercial Code as in effect from time to time in any applicable jurisdiction or any other laws of any jurisdiction which are required to be applied in connection with the issue of creation, perfection or priority of security interests.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wholly-owned Subsidiary</w:t>
      </w:r>
      <w:r>
        <w:rPr>
          <w:rFonts w:ascii="Arial" w:cs="Arial" w:eastAsia="Arial" w:hAnsi="Arial"/>
          <w:sz w:val="16"/>
          <w:szCs w:val="16"/>
          <w:color w:val="auto"/>
        </w:rPr>
        <w:t>” means a Subsidiary with respect to which 100% of the issued and outstanding Equity Interests are owned directly or indirectly by the Company (other than (x) directors’ qualifying shares; (y) shares issued to foreign nationals to the extent required by applicable law; and (z) shares held by a Person on trust for, or otherwise where the beneficial interest is held by, the Company (directly or indirectly)).</w:t>
      </w:r>
    </w:p>
    <w:p>
      <w:pPr>
        <w:spacing w:after="0" w:line="147"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Revolving Loan</w:t>
      </w:r>
      <w:r>
        <w:rPr>
          <w:rFonts w:ascii="Arial" w:cs="Arial" w:eastAsia="Arial" w:hAnsi="Arial"/>
          <w:sz w:val="18"/>
          <w:szCs w:val="18"/>
          <w:color w:val="auto"/>
        </w:rPr>
        <w:t>”) or by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Eurocurrency Loan</w:t>
      </w:r>
      <w:r>
        <w:rPr>
          <w:rFonts w:ascii="Arial" w:cs="Arial" w:eastAsia="Arial" w:hAnsi="Arial"/>
          <w:sz w:val="18"/>
          <w:szCs w:val="18"/>
          <w:color w:val="auto"/>
        </w:rPr>
        <w:t>”)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Eurocurrency Revolving Loan</w:t>
      </w:r>
      <w:r>
        <w:rPr>
          <w:rFonts w:ascii="Arial" w:cs="Arial" w:eastAsia="Arial" w:hAnsi="Arial"/>
          <w:sz w:val="18"/>
          <w:szCs w:val="18"/>
          <w:color w:val="auto"/>
        </w:rPr>
        <w:t>”). Borrowings also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Revolving Borrowing</w:t>
      </w:r>
      <w:r>
        <w:rPr>
          <w:rFonts w:ascii="Arial" w:cs="Arial" w:eastAsia="Arial" w:hAnsi="Arial"/>
          <w:sz w:val="18"/>
          <w:szCs w:val="18"/>
          <w:color w:val="auto"/>
        </w:rPr>
        <w:t>”) or by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Eurocurrency Borrowing</w:t>
      </w:r>
      <w:r>
        <w:rPr>
          <w:rFonts w:ascii="Arial" w:cs="Arial" w:eastAsia="Arial" w:hAnsi="Arial"/>
          <w:sz w:val="18"/>
          <w:szCs w:val="18"/>
          <w:color w:val="auto"/>
        </w:rPr>
        <w:t>”)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Eurocurrency Revolving Borrowing</w:t>
      </w:r>
      <w:r>
        <w:rPr>
          <w:rFonts w:ascii="Arial" w:cs="Arial" w:eastAsia="Arial" w:hAnsi="Arial"/>
          <w:sz w:val="18"/>
          <w:szCs w:val="18"/>
          <w:color w:val="auto"/>
        </w:rPr>
        <w:t>”).</w:t>
      </w:r>
    </w:p>
    <w:p>
      <w:pPr>
        <w:spacing w:after="0" w:line="187"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w:t>
      </w:r>
    </w:p>
    <w:p>
      <w:pPr>
        <w:sectPr>
          <w:pgSz w:w="11900" w:h="16924" w:orient="portrait"/>
          <w:cols w:equalWidth="0" w:num="1">
            <w:col w:w="11420"/>
          </w:cols>
          <w:pgMar w:left="240" w:top="125" w:right="239" w:bottom="0" w:gutter="0" w:footer="0" w:header="0"/>
        </w:sectPr>
      </w:pPr>
    </w:p>
    <w:bookmarkStart w:id="21" w:name="page22"/>
    <w:bookmarkEnd w:id="21"/>
    <w:p>
      <w:pPr>
        <w:spacing w:after="0" w:line="9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24" w:lineRule="exact"/>
        <w:rPr>
          <w:sz w:val="20"/>
          <w:szCs w:val="20"/>
          <w:color w:val="auto"/>
        </w:rPr>
      </w:pPr>
    </w:p>
    <w:p>
      <w:pPr>
        <w:ind w:right="180" w:firstLine="1297"/>
        <w:spacing w:after="0" w:line="254"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Accounting Terms; GAAP; Pro Forma Calculations</w:t>
      </w:r>
      <w:r>
        <w:rPr>
          <w:rFonts w:ascii="Arial" w:cs="Arial" w:eastAsia="Arial" w:hAnsi="Arial"/>
          <w:sz w:val="18"/>
          <w:szCs w:val="18"/>
          <w:color w:val="auto"/>
        </w:rPr>
        <w:t xml:space="preserve">. (a) Except as otherwise expressly provided herein, all terms of an accounting or financial nature shall be construed in accordance with GAAP,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(i) all terms of 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accounting or financial nature used herein shall be construed, and all computations of amounts and ratios referred to herein shall be made (a) without giving effect to any election under Accounting Standards Codification 825-10-25 (or any other Accounting Standards Codification or Financial Accounting Standard having a similar result or effect) to value any Indebtedness or other liabilities of the Company or any Subsidiary at “fair value”, as defined therein, and</w:t>
      </w:r>
    </w:p>
    <w:p>
      <w:pPr>
        <w:ind w:right="80" w:firstLine="8"/>
        <w:spacing w:after="0" w:line="252"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 any obligations relating to a lease that was accounted for by such Person as an operating lease as of the Effective Date (including, without limitation, any facility lease obligations of the Company and its Subsidiaries related to leases of laboratory and office space at facilities in Tarrytown, New York) and any similar lease entered into after the Effective Date by such Person shall be deemed to be obligations relating to an operating lease and not as Capital Lease Obligations under this Agreement.</w:t>
      </w:r>
    </w:p>
    <w:p>
      <w:pPr>
        <w:spacing w:after="0" w:line="193" w:lineRule="exact"/>
        <w:rPr>
          <w:rFonts w:ascii="Arial" w:cs="Arial" w:eastAsia="Arial" w:hAnsi="Arial"/>
          <w:sz w:val="18"/>
          <w:szCs w:val="18"/>
          <w:color w:val="auto"/>
        </w:rPr>
      </w:pPr>
    </w:p>
    <w:p>
      <w:pPr>
        <w:ind w:firstLine="1305"/>
        <w:spacing w:after="0" w:line="286" w:lineRule="auto"/>
        <w:tabs>
          <w:tab w:leader="none" w:pos="1596"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All pro forma computations required to be made hereunder giving effect to any Acquisition or disposition, or issuance, incurrence or assumption of Indebtedness, or other transaction shall in each case be calculated after giving pro forma effect thereto (and, in the case of any pro forma computation made hereunder, to determine whether such Acquisition, disposition or issuance, incurrence or assumption of Indebtedness or other transaction is permitted to be consummated hereunder) immediately after giving effect to such Acquisition, disposition or issuance, incurrence or assumption of Indebtedness (and to any other such transaction consummated since the first day of the period for which such pro forma computation is being made and on or prior to the date of such computation) as if such transaction had occurred on the first day of the period of four consecutive fiscal quarters ending with the most recent fiscal quarter for which financial statements shall have been delivered pursuant to Section 5.01(a) or 5.01(b) (or, prior to the delivery of any such financial statements, ending with the last fiscal quarter included in the financial statements referred to in Section 3.04(a)), and, to the extent applicable, to the historical earnings and cash flows associated with the assets acquired or disposed of, any related incurrence or reduction of Indebtedness and any related cost savings, operating expense reductions and synergies, all in accordance with (and, in the case of cost savings, operating expense reductions and synergies, to the extent permitted by) Article 11 of Regulation S-X under the Securities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pro forma computation required to be made hereunder shall make or result in any pro forma adjustment to Consolidated EBITDA for any Drug Acquisition or Exclusive License.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right="80" w:firstLine="1297"/>
        <w:spacing w:after="0" w:line="297"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Commitments</w:t>
      </w:r>
      <w:r>
        <w:rPr>
          <w:rFonts w:ascii="Arial" w:cs="Arial" w:eastAsia="Arial" w:hAnsi="Arial"/>
          <w:sz w:val="16"/>
          <w:szCs w:val="16"/>
          <w:color w:val="auto"/>
        </w:rPr>
        <w:t>. Subject to the terms and conditions set forth herein, each Lender (severally and not jointly) agrees to make Revolving Loans to the Borrowers severally in Agreed Currencies from time to time during the Availability Period in an aggregate principal amount that will not result in (a) subject to Sections 2.04 and 2.11(b), the Dollar Amount of such Lender’s Revolving Credit Exposure exceeding such Lender’s Commitment or (b) subject to Sections 2.04 and 2.11(b), the sum of the Dollar Amount of the total Revolving Credit Exposures exceeding the Aggregate Commitment. Within the foregoing limits and subject to the terms and conditions set forth herein, the Borrowers may borrow, prepay and reborrow Revolving Loans.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 xml:space="preserve">. (a) Each Revolving Loan (other than a Swingline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 Any Swingline Loan shall be made in accordance with the procedures set forth in Section 2.05.</w:t>
      </w:r>
    </w:p>
    <w:p>
      <w:pPr>
        <w:spacing w:after="0" w:line="188" w:lineRule="exact"/>
        <w:rPr>
          <w:sz w:val="20"/>
          <w:szCs w:val="20"/>
          <w:color w:val="auto"/>
        </w:rPr>
      </w:pPr>
    </w:p>
    <w:p>
      <w:pPr>
        <w:ind w:left="660" w:firstLine="645"/>
        <w:spacing w:after="0" w:line="269" w:lineRule="auto"/>
        <w:tabs>
          <w:tab w:leader="none" w:pos="1964"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Subject to Section 2.14, each Revolving Borrowing shall be comprised entirely of ABR Loans or Eurocurrency Loans as the relevant Borrower may request in accordance 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ABR Loan shall only be made in Dollars and no ABR Loan shall be made to a Designated Foreign Subsidiary Borrower. Each Swingline Loan shall be an ABR Loan. Each Lender at its option may make any Loan by causing any domestic or foreign branch or Affiliate of such Lender to make such Loan (and in the case of an Affiliate, the provisions of</w:t>
      </w:r>
    </w:p>
    <w:p>
      <w:pPr>
        <w:spacing w:after="0" w:line="2" w:lineRule="exact"/>
        <w:rPr>
          <w:rFonts w:ascii="Arial" w:cs="Arial" w:eastAsia="Arial" w:hAnsi="Arial"/>
          <w:sz w:val="17"/>
          <w:szCs w:val="17"/>
          <w:color w:val="auto"/>
        </w:rPr>
      </w:pPr>
    </w:p>
    <w:p>
      <w:pPr>
        <w:ind w:left="660" w:right="100"/>
        <w:spacing w:after="0" w:line="261" w:lineRule="auto"/>
        <w:rPr>
          <w:rFonts w:ascii="Arial" w:cs="Arial" w:eastAsia="Arial" w:hAnsi="Arial"/>
          <w:sz w:val="17"/>
          <w:szCs w:val="17"/>
          <w:color w:val="auto"/>
        </w:rPr>
      </w:pPr>
      <w:r>
        <w:rPr>
          <w:rFonts w:ascii="Arial" w:cs="Arial" w:eastAsia="Arial" w:hAnsi="Arial"/>
          <w:sz w:val="18"/>
          <w:szCs w:val="18"/>
          <w:color w:val="auto"/>
        </w:rPr>
        <w:t xml:space="preserve">Sections 2.14, 2.15, 2.16 and 2.17 shall apply to such Affiliate to the same extent as to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relevant Borrower to repay such Loan in accordance with the terms of this Agreement.</w:t>
      </w:r>
    </w:p>
    <w:p>
      <w:pPr>
        <w:spacing w:after="0" w:line="183" w:lineRule="exact"/>
        <w:rPr>
          <w:rFonts w:ascii="Arial" w:cs="Arial" w:eastAsia="Arial" w:hAnsi="Arial"/>
          <w:sz w:val="17"/>
          <w:szCs w:val="17"/>
          <w:color w:val="auto"/>
        </w:rPr>
      </w:pPr>
    </w:p>
    <w:p>
      <w:pPr>
        <w:ind w:left="660" w:right="160" w:firstLine="645"/>
        <w:spacing w:after="0" w:line="291" w:lineRule="auto"/>
        <w:tabs>
          <w:tab w:leader="none" w:pos="19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At the commencement of each Interest Period for any Eurocurrency Revolving Borrowing, such Borrowing shall be in an aggregate amount that is an integral multiple of $1,000,000 (or, if such Borrowing is denominated in a Foreign Currency, 1,000,000 units of such currency) and not less than $10,000,000 (or, if such Borrowing is denominated in a Foreign Currency, 10,000,000 units of such currency). At the time that each ABR Revolving Borrowing is made, such Borrowing shall be in an aggregate amount that is an integral multiple of $1,000,000 and not less than $10,000,000;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ABR Revolving Borrowing may be in an aggregate amount that is equal to the entire unused balance of the Aggregate Commitment or that is required to finance the reimbursement of an LC Disbursement as contemplated by Section 2.06(e). Each Swingline Loan shall be in an amount that is an integral multiple of $1,000,000 and not less than $10,000,000. Borrowings of more than one Type</w:t>
      </w:r>
    </w:p>
    <w:p>
      <w:pPr>
        <w:sectPr>
          <w:pgSz w:w="11900" w:h="16932" w:orient="portrait"/>
          <w:cols w:equalWidth="0" w:num="1">
            <w:col w:w="11420"/>
          </w:cols>
          <w:pgMar w:left="240" w:top="125" w:right="239" w:bottom="0" w:gutter="0" w:footer="0" w:header="0"/>
        </w:sectPr>
      </w:pPr>
    </w:p>
    <w:bookmarkStart w:id="22" w:name="page23"/>
    <w:bookmarkEnd w:id="22"/>
    <w:p>
      <w:pPr>
        <w:spacing w:after="0" w:line="96"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 xml:space="preserve">and Class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six (6) Eurocurrency Borrowings outstanding.</w:t>
      </w:r>
    </w:p>
    <w:p>
      <w:pPr>
        <w:spacing w:after="0" w:line="170" w:lineRule="exact"/>
        <w:rPr>
          <w:sz w:val="20"/>
          <w:szCs w:val="20"/>
          <w:color w:val="auto"/>
        </w:rPr>
      </w:pPr>
    </w:p>
    <w:p>
      <w:pPr>
        <w:ind w:left="660" w:right="40" w:firstLine="645"/>
        <w:spacing w:after="0" w:line="277" w:lineRule="auto"/>
        <w:tabs>
          <w:tab w:leader="none" w:pos="1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Credit Event to any Dutch Borrower shall at all times be provided by a Lender that is a Dutch Non-Public Lender.</w:t>
      </w:r>
    </w:p>
    <w:p>
      <w:pPr>
        <w:spacing w:after="0" w:line="225" w:lineRule="exact"/>
        <w:rPr>
          <w:sz w:val="20"/>
          <w:szCs w:val="20"/>
          <w:color w:val="auto"/>
        </w:rPr>
      </w:pPr>
    </w:p>
    <w:p>
      <w:pPr>
        <w:ind w:right="40" w:firstLine="1297"/>
        <w:spacing w:after="0" w:line="290"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Requests for Revolving Borrowings</w:t>
      </w:r>
      <w:r>
        <w:rPr>
          <w:rFonts w:ascii="Arial" w:cs="Arial" w:eastAsia="Arial" w:hAnsi="Arial"/>
          <w:sz w:val="16"/>
          <w:szCs w:val="16"/>
          <w:color w:val="auto"/>
        </w:rPr>
        <w:t>. To request a Revolving Borrowing, the applicable Borrower, together with the Company in the case of a Revolving Borrowing by a Subsidiary Borrower, shall notify the Administrative Agent of such request (a) by irrevocable written notice (via a written Borrowing Request signed by the applicable Borrower, together with the Company in the case of a Revolving Borrowing by a Subsidiary Borrower, promptly followed by telephonic confirmation of such request) in the case of a Eurocurrency Borrowing, not later than 12:00 noon, Local Time, three (3) Business Days (in the case of a Eurocurrency Borrowing denominated in Dollars) or by irrevocable written notice (via a written Borrowing Request signed by such Borrower, together with the Company in the case of a Revolving Borrowing by a Subsidiary Borrower) not later than 12:00 noon, Local Time, four (4) Business Days (in the case of a Eurocurrency Borrowing denominated in a Foreign Currency), in each case before the date of the proposed Borrowing or (b) by telephone in the case of an ABR Borrowing, not later than 11:00 a.m., New York City time, on the date of the proposed Borrowing.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Each such telephonic Borrowing Request shall be irrevocable and shall be confirmed promptly by hand delivery or telecopy to the Administrative Agent of a written Borrowing Request signed by the applicable Borrower, together with the Company in the case of a Revolving Borrowing by a Subsidiary Borrower. Each such telephonic and written Borrowing Request shall specify the following information in compliance with Section 2.02:</w:t>
      </w:r>
    </w:p>
    <w:p>
      <w:pPr>
        <w:spacing w:after="0" w:line="166" w:lineRule="exact"/>
        <w:rPr>
          <w:sz w:val="20"/>
          <w:szCs w:val="20"/>
          <w:color w:val="auto"/>
        </w:rPr>
      </w:pPr>
    </w:p>
    <w:p>
      <w:pPr>
        <w:ind w:left="2620" w:hanging="667"/>
        <w:spacing w:after="0"/>
        <w:tabs>
          <w:tab w:leader="none" w:pos="2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name of the applicable Borrower;</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principal amount of the requested Borrowing;</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a Eurocurrency Borrowing;</w:t>
      </w:r>
    </w:p>
    <w:p>
      <w:pPr>
        <w:spacing w:after="0" w:line="225" w:lineRule="exact"/>
        <w:rPr>
          <w:rFonts w:ascii="Arial" w:cs="Arial" w:eastAsia="Arial" w:hAnsi="Arial"/>
          <w:sz w:val="18"/>
          <w:szCs w:val="18"/>
          <w:color w:val="auto"/>
        </w:rPr>
      </w:pPr>
    </w:p>
    <w:p>
      <w:pPr>
        <w:ind w:left="1300" w:right="160" w:firstLine="653"/>
        <w:spacing w:after="0" w:line="277" w:lineRule="auto"/>
        <w:tabs>
          <w:tab w:leader="none" w:pos="26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a Eurocurrency Borrowing, the Agreed Currency and initial Interest Period to be applicable thereto, which shall be a period contemplated by the definition of the term “Interest Period”; and</w:t>
      </w:r>
    </w:p>
    <w:p>
      <w:pPr>
        <w:spacing w:after="0" w:line="170" w:lineRule="exact"/>
        <w:rPr>
          <w:rFonts w:ascii="Arial" w:cs="Arial" w:eastAsia="Arial" w:hAnsi="Arial"/>
          <w:sz w:val="18"/>
          <w:szCs w:val="18"/>
          <w:color w:val="auto"/>
        </w:rPr>
      </w:pPr>
    </w:p>
    <w:p>
      <w:pPr>
        <w:ind w:left="1300" w:right="340" w:firstLine="653"/>
        <w:spacing w:after="0" w:line="277" w:lineRule="auto"/>
        <w:tabs>
          <w:tab w:leader="none" w:pos="26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location and number of the applicable Borrower’s account to which funds are to be disbursed, which shall comply with the requirements of Section 2.07.</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no election as to the Type of Revolving Borrowing is specified, then, in the case of a Borrowing denominated in Dollars (other than a Designated Loan), the requested Revolving Borrowing shall be an ABR Borrowing. If no Interest Period is specified with respect to any requested Eurocurrency Revolving Borrowing, then the relevant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Determination of Dollar Amounts</w:t>
      </w:r>
      <w:r>
        <w:rPr>
          <w:rFonts w:ascii="Arial" w:cs="Arial" w:eastAsia="Arial" w:hAnsi="Arial"/>
          <w:sz w:val="18"/>
          <w:szCs w:val="18"/>
          <w:color w:val="auto"/>
        </w:rPr>
        <w:t>. The Administrative Agent will determine the Dollar Amount of:</w:t>
      </w:r>
    </w:p>
    <w:p>
      <w:pPr>
        <w:spacing w:after="0" w:line="225" w:lineRule="exact"/>
        <w:rPr>
          <w:sz w:val="20"/>
          <w:szCs w:val="20"/>
          <w:color w:val="auto"/>
        </w:rPr>
      </w:pPr>
    </w:p>
    <w:p>
      <w:pPr>
        <w:ind w:left="660" w:right="20" w:firstLine="645"/>
        <w:spacing w:after="0" w:line="277" w:lineRule="auto"/>
        <w:tabs>
          <w:tab w:leader="none" w:pos="19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Eurocurrency Borrowing as of the date two (2) Business Days prior to the date of such Borrowing or, if applicable, the date of conversion/continuation of any Borrowing as a Eurocurrency Borrowing,</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LC Exposure as of the date of each request for the issuance, amendment, renewal or extension of any Letter of Credit, and</w:t>
      </w:r>
    </w:p>
    <w:p>
      <w:pPr>
        <w:spacing w:after="0" w:line="248" w:lineRule="exact"/>
        <w:rPr>
          <w:rFonts w:ascii="Arial" w:cs="Arial" w:eastAsia="Arial" w:hAnsi="Arial"/>
          <w:sz w:val="16"/>
          <w:szCs w:val="16"/>
          <w:color w:val="auto"/>
        </w:rPr>
      </w:pPr>
    </w:p>
    <w:p>
      <w:pPr>
        <w:ind w:left="660" w:right="120" w:firstLine="645"/>
        <w:spacing w:after="0" w:line="308" w:lineRule="auto"/>
        <w:tabs>
          <w:tab w:leader="none" w:pos="1967"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outstanding Credit Events on and as of the last Business Day of each calendar quarter and, during the continuation of an Event of Default, on any other Business Day elected by the Administrative Agent in its discretion or upon instruction by the Required Lenders.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Each day upon or as of which the Administrative Agent determines Dollar Amounts as described in the preceding clauses (a), (b) and (c) is herein described as a “Computation Date” with respect to each Credit Event for which a Dollar Amount is determined on or as of such day.</w:t>
      </w:r>
    </w:p>
    <w:p>
      <w:pPr>
        <w:spacing w:after="0" w:line="170" w:lineRule="exact"/>
        <w:rPr>
          <w:sz w:val="20"/>
          <w:szCs w:val="20"/>
          <w:color w:val="auto"/>
        </w:rPr>
      </w:pPr>
    </w:p>
    <w:p>
      <w:pPr>
        <w:ind w:right="160" w:firstLine="1297"/>
        <w:spacing w:after="0" w:line="342"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Swingline Loans</w:t>
      </w:r>
      <w:r>
        <w:rPr>
          <w:rFonts w:ascii="Arial" w:cs="Arial" w:eastAsia="Arial" w:hAnsi="Arial"/>
          <w:sz w:val="16"/>
          <w:szCs w:val="16"/>
          <w:color w:val="auto"/>
        </w:rPr>
        <w:t>. (a) Subject to the terms and conditions set forth herein, the Swingline Lender may in its sole discretion make Swingline Loans in Dollars to any Swingline Borrower from time to time during the Availability Period, in an aggregate principal amount at any time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outstanding that will not result in (i) the aggregate principal amount of outstanding Swingline Loans exceeding $25,000,000 or (ii) the Dollar Amount of the total Revolving Credit Exposures exceeding the Aggregate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Swingline Lender shall not be required to make a Swingline Loan to refinance an outstanding Swingline Loan. Within the foregoing limits and subject to the terms and conditions set forth herein, each Swingline Borrower may borrow and reborrow Swingline Loans and prepay any Swingline Loan made to it.</w:t>
      </w:r>
    </w:p>
    <w:p>
      <w:pPr>
        <w:spacing w:after="0" w:line="187" w:lineRule="exact"/>
        <w:rPr>
          <w:sz w:val="20"/>
          <w:szCs w:val="20"/>
          <w:color w:val="auto"/>
        </w:rPr>
      </w:pPr>
    </w:p>
    <w:p>
      <w:pPr>
        <w:ind w:left="660" w:right="120" w:firstLine="645"/>
        <w:spacing w:after="0" w:line="293" w:lineRule="auto"/>
        <w:tabs>
          <w:tab w:leader="none" w:pos="196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request a Swingline Loan, the applicable Swingline Borrower shall notify the Administrative Agent of such request by telephone (confirmed promptly by telecopy to the Administrative Agent of a written Borrowing Request signed by the applicable Swingline Borrower, together with the Company in the case of a request for a Swingline Loan by a Subsidiary Borrower), not later than 1:00 p.m., New York City time, on the day of a proposed Swingline Loan. Each such notice shall be irrevocable and shall specify the requested date (which shall be a Business Day), the applicable Swingline Borrower requesting such Swingline Loan and amount of the requested Swingline Loan. The Administrative Agent will promptly advise the Swingline Lender of any such notice received from any Swingline Borrower. The Swingline Lender</w:t>
      </w:r>
    </w:p>
    <w:p>
      <w:pPr>
        <w:sectPr>
          <w:pgSz w:w="11900" w:h="16934" w:orient="portrait"/>
          <w:cols w:equalWidth="0" w:num="1">
            <w:col w:w="11420"/>
          </w:cols>
          <w:pgMar w:left="240" w:top="125" w:right="239" w:bottom="0" w:gutter="0" w:footer="0" w:header="0"/>
        </w:sectPr>
      </w:pPr>
    </w:p>
    <w:bookmarkStart w:id="23" w:name="page24"/>
    <w:bookmarkEnd w:id="23"/>
    <w:p>
      <w:pPr>
        <w:spacing w:after="0" w:line="106" w:lineRule="exact"/>
        <w:rPr>
          <w:sz w:val="20"/>
          <w:szCs w:val="20"/>
          <w:color w:val="auto"/>
        </w:rPr>
      </w:pPr>
    </w:p>
    <w:p>
      <w:pPr>
        <w:ind w:left="660" w:right="80"/>
        <w:spacing w:after="0" w:line="276" w:lineRule="auto"/>
        <w:rPr>
          <w:sz w:val="20"/>
          <w:szCs w:val="20"/>
          <w:color w:val="auto"/>
        </w:rPr>
      </w:pPr>
      <w:r>
        <w:rPr>
          <w:rFonts w:ascii="Arial" w:cs="Arial" w:eastAsia="Arial" w:hAnsi="Arial"/>
          <w:sz w:val="17"/>
          <w:szCs w:val="17"/>
          <w:color w:val="auto"/>
        </w:rPr>
        <w:t>shall make each Swingline Loan available to the applicable Swingline Borrower by means of a credit to the general deposit account of such Swingline Borrower with the Swingline Lender or to such other account as directed in writing by such Swingline Borrower in the Borrowing Notice (or, in the case of a Swingline Loan made to finance the reimbursement of an LC Disbursement as provided in Section 2.06(e), by remittance to the relevant Issuing Bank) by 3:00 p.m., New York City time, on the requested date of such Swingline Loan. Any Swingline Loan made to finance the reimbursement of an LC Disbursement shall be for the account of the Company.</w:t>
      </w:r>
    </w:p>
    <w:p>
      <w:pPr>
        <w:spacing w:after="0" w:line="173" w:lineRule="exact"/>
        <w:rPr>
          <w:sz w:val="20"/>
          <w:szCs w:val="20"/>
          <w:color w:val="auto"/>
        </w:rPr>
      </w:pPr>
    </w:p>
    <w:p>
      <w:pPr>
        <w:ind w:left="660" w:firstLine="645"/>
        <w:spacing w:after="0" w:line="285" w:lineRule="auto"/>
        <w:tabs>
          <w:tab w:leader="none" w:pos="1967"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Swingline Lender may by written notice given to the Administrative Agent not later than 10:00 a.m., New York City time, on any Business Day require the Lenders to acquire participations on such Business Day in all or a portion of the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 or Loans. Each Lender hereby absolutely and unconditionally agrees, upon receipt of notice as provided above, to pay to the Administrative Agent, for the account of the Swingline Lender, such Lender’s Applicable Percentage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Section 2.07 with respect to Loans made by such Lender (and Section 2.07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the Swingline Lender the amounts so received by it from the Lenders. The Administrative Agent shall notify the applicable Swingline Borrower of any participations in any Swingline Loan acquired pursuant to this paragraph, and thereafter payments made by such Swingline Borrower in respect of such Swingline Loan shall be made to the Administrative Agent and not to the Swingline Lender. Any amounts received by the Swingline Lender from any Swingline Borrower (or other party on behalf of any Swingline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302" w:lineRule="auto"/>
        <w:rPr>
          <w:sz w:val="20"/>
          <w:szCs w:val="20"/>
          <w:color w:val="auto"/>
        </w:rPr>
      </w:pPr>
      <w:r>
        <w:rPr>
          <w:rFonts w:ascii="Arial" w:cs="Arial" w:eastAsia="Arial" w:hAnsi="Arial"/>
          <w:sz w:val="16"/>
          <w:szCs w:val="16"/>
          <w:color w:val="auto"/>
        </w:rPr>
        <w:t xml:space="preserve">Agent to the Lenders that shall have made their payments pursuant to this paragraph and to the Swingline Lender, as their interests may appear;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payment so remitted shall be repaid to the Swingline Lender or to the Administrative Agent, as applicable, if and to the extent such payment is required to be refunded to any Swingline Borrower for any reason. The purchase of participations in a Swingline Loan pursuant to this paragraph shall not relieve any Swingline Borrower of any default in the payment of any Swingline Loan made to such Swingline Borrower.</w:t>
      </w:r>
    </w:p>
    <w:p>
      <w:pPr>
        <w:spacing w:after="0" w:line="154"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Letters of Credit</w:t>
      </w:r>
      <w:r>
        <w:rPr>
          <w:rFonts w:ascii="Arial" w:cs="Arial" w:eastAsia="Arial" w:hAnsi="Arial"/>
          <w:sz w:val="16"/>
          <w:szCs w:val="16"/>
          <w:color w:val="auto"/>
        </w:rPr>
        <w:t xml:space="preserve">. (a) </w:t>
      </w:r>
      <w:r>
        <w:rPr>
          <w:rFonts w:ascii="Arial" w:cs="Arial" w:eastAsia="Arial" w:hAnsi="Arial"/>
          <w:sz w:val="16"/>
          <w:szCs w:val="16"/>
          <w:u w:val="single" w:color="auto"/>
          <w:color w:val="auto"/>
        </w:rPr>
        <w:t>General</w:t>
      </w:r>
      <w:r>
        <w:rPr>
          <w:rFonts w:ascii="Arial" w:cs="Arial" w:eastAsia="Arial" w:hAnsi="Arial"/>
          <w:sz w:val="16"/>
          <w:szCs w:val="16"/>
          <w:color w:val="auto"/>
        </w:rPr>
        <w:t>. Subject to the terms and conditions set forth herein, the Company or any Subsidiary Borrower may request the issuance of Letters of Credit denominated in Agreed Currencies as the applicant thereof for the support of its or its Subsidiaries’ obligations, in a form reasonably acceptable to the Administrative Agent and the relevant Issuing Bank, at any time and from time to time during the Availability Period. In the event of any inconsistency between the terms and conditions of this Agreement and the terms and conditions of any form of letter of credit application or other agreement submitted by the Company or any Subsidiary Borrower to, or entered into by the Company or any Subsidiary Borrower with, the relevant Issuing Bank relating to any Letter of Credit, the terms and conditions of this Agreement shall control. Notwithstanding anything herein to the contrary, no Issuing Bank shall have any obligation hereunder to issue, and shall not issue, any Letter of Credit the proceeds of which would be made available to any Person (i) to fund any activity or business of or with any Sanctioned Person, or in any country or territory that, at the time of such funding, is the subject of any Sanctions or (ii) in any manner that would result in a violation of any Sanctions by any party to this Agreement. The Company unconditionally and irrevocably agrees that, in connection with any Letter of Credit issued for the support of any Subsidiary’s (including any Subsidiary Borrower’s) obligations as provided in the first sentence of this paragraph, the Company will be fully responsible for the reimbursement of LC Disbursements in accordance with the terms hereof, the payment of interest thereon and the payment of fees due under Section 2.12(b) to the same extent as if it were the sole account party in respect of such Letter of Credit (the Company hereby irrevocably waiving any defenses that might otherwise be available to it as a guarantor or surety of the obligations of such a Subsidiary that is an account party in respect of any such Letter of Credit).</w:t>
      </w:r>
    </w:p>
    <w:p>
      <w:pPr>
        <w:spacing w:after="0" w:line="172" w:lineRule="exact"/>
        <w:rPr>
          <w:sz w:val="20"/>
          <w:szCs w:val="20"/>
          <w:color w:val="auto"/>
        </w:rPr>
      </w:pPr>
    </w:p>
    <w:p>
      <w:pPr>
        <w:ind w:left="660" w:right="60" w:firstLine="645"/>
        <w:spacing w:after="0" w:line="286" w:lineRule="auto"/>
        <w:tabs>
          <w:tab w:leader="none" w:pos="1964"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To request the issuance of a Letter of Credit (or the amendment, renewal or extension of an outstanding Letter of Credit), the Company (or applicable Subsidiary Borrower, together with the Company) shall hand deliver or telecopy (or transmit by electronic communication, if arrangements for doing so have been approved by the relevant Issuing Bank) to the relevant Issuing Bank and the Administrative Agent (reasonably in advance of the requested date of issuance, amendment, renewal or extension) a notice signed by the Company (or if such Letter of Credit or amendment, renewal or extension is being requested by a Subsidiary Borrower, signed by such Subsidiary Borrower and the Company)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renew or extend such Letter of Credit. If requested by an Issuing Bank, the Company (or applicable Subsidiary Borrower, together with the Company)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Company shall be deemed to represent and warrant that), after giving effect to such issuance, amendment, renewal or extension (i) subject to Sections 2.04 and 2.11(b), the Dollar Amount of the LC Exposure shall not exceed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spacing w:after="0" w:line="259" w:lineRule="auto"/>
        <w:rPr>
          <w:sz w:val="20"/>
          <w:szCs w:val="20"/>
          <w:color w:val="auto"/>
        </w:rPr>
      </w:pPr>
      <w:r>
        <w:rPr>
          <w:rFonts w:ascii="Arial" w:cs="Arial" w:eastAsia="Arial" w:hAnsi="Arial"/>
          <w:sz w:val="18"/>
          <w:szCs w:val="18"/>
          <w:color w:val="auto"/>
        </w:rPr>
        <w:t>$100,000,000, (ii) subject to Sections 2.04 and 2.11(b), the sum of the Dollar Amount of the total Revolving Credit Exposures shall not exceed the Aggregate Commitment and (iii) subject to Section 2.04, the Dollar Amount of the aggregate face amount of all Letters of Credit issued and then outstanding by any Issuing Bank shall not exceed such Issuing Bank’s Applicable LC Sublimit, unless such excess is consented to, or otherwise waived, by such Issuing Bank in its sole discretion.</w:t>
      </w:r>
    </w:p>
    <w:p>
      <w:pPr>
        <w:spacing w:after="0" w:line="187" w:lineRule="exact"/>
        <w:rPr>
          <w:sz w:val="20"/>
          <w:szCs w:val="20"/>
          <w:color w:val="auto"/>
        </w:rPr>
      </w:pPr>
    </w:p>
    <w:p>
      <w:pPr>
        <w:ind w:left="660" w:right="160" w:firstLine="645"/>
        <w:spacing w:after="0" w:line="302" w:lineRule="auto"/>
        <w:tabs>
          <w:tab w:leader="none" w:pos="196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Each Letter of Credit shall expire (or be subject to termination by notice from the relevant Issuing Bank to the beneficiary thereof) at or prior to the close of business on the earlier of (i) the date one year (or such longer period as may be consented to by the relevant Issuing Bank) after the date of the issuance of such Letter of Credit (or, in the case of any renewal or extension thereof, one year after such renewal or extension) and (ii) the date that is five (5) Business Days prior to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with a one-year</w:t>
      </w:r>
    </w:p>
    <w:p>
      <w:pPr>
        <w:sectPr>
          <w:pgSz w:w="11900" w:h="16945" w:orient="portrait"/>
          <w:cols w:equalWidth="0" w:num="1">
            <w:col w:w="11420"/>
          </w:cols>
          <w:pgMar w:left="240" w:top="125" w:right="239" w:bottom="0" w:gutter="0" w:footer="0" w:header="0"/>
        </w:sectPr>
      </w:pPr>
    </w:p>
    <w:bookmarkStart w:id="24" w:name="page25"/>
    <w:bookmarkEnd w:id="24"/>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tenor may contain customary automatic renewal provisions agreed upon by the Company or the applicable Subsidiary Borrower and the relevant Issuing Bank that provide for the renewal thereof for additional one-year periods (which shall in no event extend beyond the date referenced in clause (ii) above), subject to a right on the part of such Issuing Bank to prevent any such renewal from occurring by giving notice to the beneficiary in advance of any such renewal. Notwithstanding the foregoing, any Letter of Credit may expire no later than one year after the Maturity Date so long as the Company cash collateralizes an amount equal to 105% of the face amount of such Letter of Credit, concurrently with the issuance of such Letter of Credit, in the manner described in Section 2.06(j) and otherwise on terms and conditions reasonably acceptable to the relevant Issuing Bank and the Administrative Agent.</w:t>
      </w:r>
    </w:p>
    <w:p>
      <w:pPr>
        <w:spacing w:after="0" w:line="189" w:lineRule="exact"/>
        <w:rPr>
          <w:sz w:val="20"/>
          <w:szCs w:val="20"/>
          <w:color w:val="auto"/>
        </w:rPr>
      </w:pPr>
    </w:p>
    <w:p>
      <w:pPr>
        <w:ind w:right="120" w:firstLine="645"/>
        <w:spacing w:after="0" w:line="284" w:lineRule="auto"/>
        <w:tabs>
          <w:tab w:leader="none" w:pos="1304"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By the issuance of a Letter of Credit (or an amendment to a Letter of Credit increasing the amount thereof) and without any further action on the part of the relevant Issuing Bank or the Lenders, the relevant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relevant Issuing Bank, such Lender’s Applicable Percentage of each LC Disbursement made by such Issuing Bank and not reimbursed by the Company on the date due as provided in</w:t>
      </w:r>
    </w:p>
    <w:p>
      <w:pPr>
        <w:spacing w:after="0" w:line="4" w:lineRule="exact"/>
        <w:rPr>
          <w:rFonts w:ascii="Arial" w:cs="Arial" w:eastAsia="Arial" w:hAnsi="Arial"/>
          <w:sz w:val="16"/>
          <w:szCs w:val="16"/>
          <w:color w:val="auto"/>
        </w:rPr>
      </w:pPr>
    </w:p>
    <w:p>
      <w:pPr>
        <w:ind w:right="60"/>
        <w:spacing w:after="0" w:line="253" w:lineRule="auto"/>
        <w:rPr>
          <w:rFonts w:ascii="Arial" w:cs="Arial" w:eastAsia="Arial" w:hAnsi="Arial"/>
          <w:sz w:val="16"/>
          <w:szCs w:val="16"/>
          <w:color w:val="auto"/>
        </w:rPr>
      </w:pPr>
      <w:r>
        <w:rPr>
          <w:rFonts w:ascii="Arial" w:cs="Arial" w:eastAsia="Arial" w:hAnsi="Arial"/>
          <w:sz w:val="18"/>
          <w:szCs w:val="18"/>
          <w:color w:val="auto"/>
        </w:rPr>
        <w:t>paragraph (e) of this Section, or of any reimbursement payment required to be refunded to the Company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91" w:lineRule="exact"/>
        <w:rPr>
          <w:rFonts w:ascii="Arial" w:cs="Arial" w:eastAsia="Arial" w:hAnsi="Arial"/>
          <w:sz w:val="16"/>
          <w:szCs w:val="16"/>
          <w:color w:val="auto"/>
        </w:rPr>
      </w:pPr>
    </w:p>
    <w:p>
      <w:pPr>
        <w:ind w:right="20" w:firstLine="645"/>
        <w:spacing w:after="0" w:line="272" w:lineRule="auto"/>
        <w:tabs>
          <w:tab w:leader="none" w:pos="1307"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Reimbursement</w:t>
      </w:r>
      <w:r>
        <w:rPr>
          <w:rFonts w:ascii="Arial" w:cs="Arial" w:eastAsia="Arial" w:hAnsi="Arial"/>
          <w:sz w:val="17"/>
          <w:szCs w:val="17"/>
          <w:color w:val="auto"/>
        </w:rPr>
        <w:t xml:space="preserve">. If the relevant Issuing Bank shall make any LC Disbursement in respect of a Letter of Credit, the Company shall reimburse such LC Disbursement by paying to the Administrative Agent in Dollars the Dollar Amount equal to such LC Disbursement, calculated as of the date such Issuing Bank made such LC Disbursement (or if such Issuing Bank shall so elect in its sole discretion by notice to the Company, in such other Agreed Currency which was paid by such Issuing Bank pursuant to such LC Disbursement in an amount equal to such LC Disbursement) not later than 12:00 noon, Local Time, on the Business Day immediately following the Business Day that the Company shall have received notice of such LC Disbursement;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subject to the conditions to borrowing set forth herein, request in accordance with Section 2.03 or 2.05 that such payment be financed with (i) to</w:t>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the extent such LC Disbursement was made in Dollars, an ABR Revolving Borrowing, Eurocurrency Revolving Borrowing or Swingline Loan in Dollars in an amount equal to such LC Disbursement or (ii) to the extent such LC Disbursement was made in a Foreign Currency, a Eurocurrency Revolving Borrowing in such Foreign Currency in an amount equal to such LC Disbursement and, in each case, to the extent so financed, the Company’s obligation to make such payment shall be discharged and replaced by the resulting ABR Revolving Borrowing, Eurocurrency Revolving Borrowing or Swingline Loan, as applicable. If the Company fails to make such payment when due, the Administrative Agent shall notify each Lender of the applicable LC Disbursement, the payment then due from the Company in respect thereof and such Lender’s Applicable Percentage thereof. Promptly following receipt of such notice, each Lender shall pay to the Administrative Agent its Applicable Percentage of the payment then due from the Company, in the same manner as provided in Section 2.07 with respect to Loans made by such Lender (and Section 2.07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the relevant Issuing Bank the amounts so received by it from the Lenders. Promptly following receipt by the Administrative Agent of any payment from the Company pursuant to this paragraph, the Administrative Agent shall distribute such payment to the relevant Issuing Bank or, to the extent that Lenders have made payments pursuant to this paragraph to reimburse such Issuing Bank, then to such Lenders and such Issuing Bank as their interests may appear. Any payment made by a Lender pursuant to this paragraph to reimburse the relevant Issuing Bank for any LC Disbursement (other than the funding of ABR Revolving Loans or a Swingline Loan as contemplated above) shall not constitute a Loan and shall not relieve the Company of its obligation to reimburse such LC Disbursement. If the Company’s reimbursement of, or obligation to reimburse, any amounts in any Foreign Currency would subject the Administrative Agent, any Issuing Bank or any Lender to any stamp duty, ad valorem charge or similar tax that would not be payable if such reimbursement were made or required to be made in Dollars, the Company shall, at its option, either (x) pay the amount of any such tax requested by the Administrative Agent, the relevant Issuing Bank or the relevant Lender or (y) reimburse each LC Disbursement made in such Foreign Currency in Dollars, in an amount equal to the Equivalent Amount, calculated using the applicable Exchange Rates, on the date such LC Disbursement is made, of such LC Disbursement.</w:t>
      </w:r>
    </w:p>
    <w:p>
      <w:pPr>
        <w:spacing w:after="0" w:line="168" w:lineRule="exact"/>
        <w:rPr>
          <w:sz w:val="20"/>
          <w:szCs w:val="20"/>
          <w:color w:val="auto"/>
        </w:rPr>
      </w:pPr>
    </w:p>
    <w:p>
      <w:pPr>
        <w:ind w:left="1300" w:hanging="65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Company’s obligation to reimburse LC Disbursements as provided in paragraph (e) of this</w:t>
      </w:r>
    </w:p>
    <w:p>
      <w:pPr>
        <w:spacing w:after="0" w:line="2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relevant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Company’s obligations hereunder. Neither the Administrative Agent, the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relevant Issuing</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the relevant Issuing Bank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w:t>
      </w:r>
    </w:p>
    <w:p>
      <w:pPr>
        <w:sectPr>
          <w:pgSz w:w="11900" w:h="16941" w:orient="portrait"/>
          <w:cols w:equalWidth="0" w:num="1">
            <w:col w:w="10740"/>
          </w:cols>
          <w:pgMar w:left="900" w:top="125" w:right="259" w:bottom="0" w:gutter="0" w:footer="0" w:header="0"/>
        </w:sectPr>
      </w:pPr>
    </w:p>
    <w:bookmarkStart w:id="25" w:name="page26"/>
    <w:bookmarkEnd w:id="25"/>
    <w:p>
      <w:pPr>
        <w:spacing w:after="0" w:line="13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3" w:lineRule="exact"/>
        <w:rPr>
          <w:sz w:val="20"/>
          <w:szCs w:val="20"/>
          <w:color w:val="auto"/>
        </w:rPr>
      </w:pPr>
    </w:p>
    <w:p>
      <w:pPr>
        <w:ind w:right="120" w:firstLine="645"/>
        <w:spacing w:after="0" w:line="257" w:lineRule="auto"/>
        <w:tabs>
          <w:tab w:leader="none" w:pos="131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Each Issuing Bank shall, promptly following its receipt thereof, examine all documents purporting to represent a demand for payment under a Letter of Credit. Each Issuing Bank shall promptly notify the Administrative Agent and the Company by telephone (confirmed by telecopy) of such demand for payment and whether such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Company of its obligation to reimburse such Issuing Bank and the Lenders with respect to any such LC Disbursement.</w:t>
      </w:r>
    </w:p>
    <w:p>
      <w:pPr>
        <w:spacing w:after="0" w:line="188" w:lineRule="exact"/>
        <w:rPr>
          <w:rFonts w:ascii="Arial" w:cs="Arial" w:eastAsia="Arial" w:hAnsi="Arial"/>
          <w:sz w:val="18"/>
          <w:szCs w:val="18"/>
          <w:color w:val="auto"/>
        </w:rPr>
      </w:pPr>
    </w:p>
    <w:p>
      <w:pPr>
        <w:ind w:right="40" w:firstLine="645"/>
        <w:spacing w:after="0" w:line="289" w:lineRule="auto"/>
        <w:tabs>
          <w:tab w:leader="none" w:pos="130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any Issuing Bank shall make any LC Disbursement, then, unless the Company shall reimburse such LC Disbursement in full within one Business Day of the date on which such LC Disbursement is made, the unpaid amount thereof shall bear interest, for each day from and including the date such LC Disbursement is made to but excluding the date that the reimbursement is due and payable, at the rate per annum then applicable to ABR Revolving Loans (or in the case such LC Disbursement is denominated in a Foreign Currency, at the Overnight Foreign Currency Rate for such Agreed Currency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then effective Applicable Rate with respect to Eurocurrency Revolving Loans) and such interest shall be due and payable on the date when such reimbursement is payable;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fails to reimburse such LC Disbursement when due pursuant to paragraph (e) of this Section, then Section 2.13(c) shall apply. Interest accrued pursuant to this paragraph shall be for the account of the relevant Issuing Bank, except that interest accrued on and after the date of payment by any Lender pursuant to paragraph (e) of this Section to reimburse such Issuing Bank shall be for the account of such Lender to the extent of such payment.</w:t>
      </w:r>
    </w:p>
    <w:p>
      <w:pPr>
        <w:spacing w:after="0" w:line="166" w:lineRule="exact"/>
        <w:rPr>
          <w:rFonts w:ascii="Arial" w:cs="Arial" w:eastAsia="Arial" w:hAnsi="Arial"/>
          <w:sz w:val="16"/>
          <w:szCs w:val="16"/>
          <w:color w:val="auto"/>
        </w:rPr>
      </w:pPr>
    </w:p>
    <w:p>
      <w:pPr>
        <w:ind w:right="40" w:firstLine="645"/>
        <w:spacing w:after="0" w:line="290" w:lineRule="auto"/>
        <w:tabs>
          <w:tab w:leader="none" w:pos="1318"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Replacement of Issuing Bank</w:t>
      </w:r>
      <w:r>
        <w:rPr>
          <w:rFonts w:ascii="Arial" w:cs="Arial" w:eastAsia="Arial" w:hAnsi="Arial"/>
          <w:sz w:val="16"/>
          <w:szCs w:val="16"/>
          <w:color w:val="auto"/>
        </w:rPr>
        <w:t>. Any Issuing Bank may be replaced at any time by written agreement among the Company, the Administrative Agent, the replaced Issuing Bank and the successor Issuing Bank. The Administrative Agent shall notify the Lenders of any such replacement of any Issuing Bank. At the time any such replacement shall become effective, the Company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w:t>
      </w:r>
    </w:p>
    <w:p>
      <w:pPr>
        <w:spacing w:after="0" w:line="16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respect to Letters of Credit then outstanding and issued by it prior to such replacement, but shall not be required to issue additional Letters of Credit.</w:t>
      </w:r>
    </w:p>
    <w:p>
      <w:pPr>
        <w:spacing w:after="0" w:line="248" w:lineRule="exact"/>
        <w:rPr>
          <w:sz w:val="20"/>
          <w:szCs w:val="20"/>
          <w:color w:val="auto"/>
        </w:rPr>
      </w:pPr>
    </w:p>
    <w:p>
      <w:pPr>
        <w:ind w:firstLine="645"/>
        <w:spacing w:after="0" w:line="284" w:lineRule="auto"/>
        <w:tabs>
          <w:tab w:leader="none" w:pos="1304"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If any Event of Default shall occur and be continuing, on the Business Day that the Company receives notice from the Administrative Agent or the Required Lenders (or, if the maturity of the Loans has been accelerated, Lenders with LC Exposure representing greater than 50% of the total LC Exposure) demanding the deposit of cash collateral pursuant to this paragraph, the Company shall deposit in an account with the Administrative Agent, in the name of the Administrative Agent and for the benefit of the Lenders (the “</w:t>
      </w:r>
      <w:r>
        <w:rPr>
          <w:rFonts w:ascii="Arial" w:cs="Arial" w:eastAsia="Arial" w:hAnsi="Arial"/>
          <w:sz w:val="16"/>
          <w:szCs w:val="16"/>
          <w:u w:val="single" w:color="auto"/>
          <w:color w:val="auto"/>
        </w:rPr>
        <w:t>LC Collateral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Account</w:t>
      </w:r>
      <w:r>
        <w:rPr>
          <w:rFonts w:ascii="Arial" w:cs="Arial" w:eastAsia="Arial" w:hAnsi="Arial"/>
          <w:sz w:val="16"/>
          <w:szCs w:val="16"/>
          <w:color w:val="auto"/>
        </w:rPr>
        <w:t xml:space="preserve">”), an amount in cash equal to 105% of the Dollar Amount of the LC Exposure as of such date plus any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portions of such amount attributable to undrawn Foreign Currency Letters of Credit or LC Disbursements in a Foreign Currency that the Company is not late in reimbursing shall be deposited in the applicable Foreign Currencies in the actual amounts of such undrawn Letters of Credit and LC Disbursements and (ii) the obligation to deposit such cash collateral shall become effective immediately, and such deposit shall become immediately due and payable, without demand or other notice of any kind, upon the occurrence of any Event of Default with respect to the Company described in clause (h) or (i) of Article VII. For the purposes of this paragraph, the Foreign Currency LC Exposure shall be calculated using the applicable Exchange Rate on the date notice demanding cash collateralization is delivered to the Company. The Company also shall deposit cash collateral pursuant to this paragraph as and to the extent required by Section 2.11(b). Such deposit shall be held by the Administrative Agent as collateral for the payment and performance of the Obligations. The Administrative Agent shall have exclusive dominion and control, including the exclusive right of withdrawal, over such account. Other than any interest earned on the investment of such deposits, which investments shall be made at the option of the Company with the consent of the Administrative Agent in its reasonable discretion and at the Company’s risk and expense, such deposits shall not bear interest. Interest or profits, if any, on such investments shall accumulate in such account. Moneys in such account shall be applied by the Administrative Agent to reimburse the relevant Issuing Bank for LC Disbursements for which it has not been reimbursed and, to the extent not so applied, shall be held for the satisfaction of the reimbursement obligations of the Company for the LC Exposure at such time or, if the maturity of the Loans has been accelerated (but subject to the consent of Lenders with LC Exposure representing greater than 50% of the total LC Exposure), be applied to satisfy other Obligations. If the Company is required to provide an amount of cash collateral hereunder as a result of the occurrence of an Event of Default, such amount (to the extent not applied as aforesaid) shall be returned to the Company within three (3) Business Days after all Events of Default have been cured or waived. If the Company is required to provide an amount of cash collateral hereunder pursuant to Section 2.11(b), such amount (to the extent not applied as aforesaid) shall be returned to the Company as and to the extent that, after giving effect to such return, the aggregate Revolving Credit Exposures would not exceed the Aggregate Commitment and no Event of Default shall have occurred and be continuing.</w:t>
      </w:r>
    </w:p>
    <w:p>
      <w:pPr>
        <w:spacing w:after="0" w:line="392" w:lineRule="exact"/>
        <w:rPr>
          <w:rFonts w:ascii="Arial" w:cs="Arial" w:eastAsia="Arial" w:hAnsi="Arial"/>
          <w:sz w:val="16"/>
          <w:szCs w:val="16"/>
          <w:color w:val="auto"/>
        </w:rPr>
      </w:pPr>
    </w:p>
    <w:p>
      <w:pPr>
        <w:ind w:right="120" w:firstLine="645"/>
        <w:spacing w:after="0" w:line="293" w:lineRule="auto"/>
        <w:tabs>
          <w:tab w:leader="none" w:pos="1304"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Issuing Bank Agreements</w:t>
      </w:r>
      <w:r>
        <w:rPr>
          <w:rFonts w:ascii="Arial" w:cs="Arial" w:eastAsia="Arial" w:hAnsi="Arial"/>
          <w:sz w:val="16"/>
          <w:szCs w:val="16"/>
          <w:color w:val="auto"/>
        </w:rPr>
        <w:t>. Each Issuing Bank agrees that, unless otherwise requested by the Administrative Agent, such Issuing Bank shall report in writing to the Administrative Agent (i) on the first Business Day of each week, the daily activity (set forth by day) in respect of Letters of Credit during the immediately preceding week, including all issuances, extensions, amendments and renewals, all expirations and cancellations and all disbursements and reimbursements, (ii) on or prior to each Business Day on which such Issuing Bank expects to issue, amend, renew or extend any Letter of Credit, the date of such issuance, amendment, renewal or extension, and the aggregate face amount of the Letters of Credit to be issued, amended, renewed or extended by it and outstanding after giving effect to such issuance,</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amendment, renewal or extension occurred (and whether the amount thereof changed), it being understood that such Issuing Bank shall not permit any issuance, renewal, extension or amendment resulting in an increase in the amount of any Letter of Credit to occur without first obtaining written</w:t>
      </w:r>
    </w:p>
    <w:p>
      <w:pPr>
        <w:sectPr>
          <w:pgSz w:w="11900" w:h="16975" w:orient="portrait"/>
          <w:cols w:equalWidth="0" w:num="1">
            <w:col w:w="10760"/>
          </w:cols>
          <w:pgMar w:left="900" w:top="125" w:right="239" w:bottom="0" w:gutter="0" w:footer="0" w:header="0"/>
        </w:sectPr>
      </w:pPr>
    </w:p>
    <w:bookmarkStart w:id="26" w:name="page27"/>
    <w:bookmarkEnd w:id="26"/>
    <w:p>
      <w:pPr>
        <w:ind w:left="660" w:right="40"/>
        <w:spacing w:after="0" w:line="297" w:lineRule="auto"/>
        <w:rPr>
          <w:sz w:val="20"/>
          <w:szCs w:val="20"/>
          <w:color w:val="auto"/>
        </w:rPr>
      </w:pPr>
      <w:r>
        <w:rPr>
          <w:rFonts w:ascii="Arial" w:cs="Arial" w:eastAsia="Arial" w:hAnsi="Arial"/>
          <w:sz w:val="16"/>
          <w:szCs w:val="16"/>
          <w:color w:val="auto"/>
        </w:rPr>
        <w:t>confirmation from the Administrative Agent that it is then permitted under this Agreement (such confirmation not to be unreasonably withheld, delayed or conditioned), (iii) on each Business Day on which such Issuing Bank pays any amount in respect of one or more drawings under Letters of Credit, the date of such payment(s) and the amount of such payment(s), (iv) on any Business Day on which the Company fails to reimburse any amount required to be reimbursed to such Issuing Bank on such day, the date of such failure and the amount and currency of such payment in respect of Letters of Credit and (v) on any other Business Day, such other information as the Administrative Agent shall reasonably request.</w:t>
      </w:r>
    </w:p>
    <w:p>
      <w:pPr>
        <w:spacing w:after="0" w:line="158" w:lineRule="exact"/>
        <w:rPr>
          <w:sz w:val="20"/>
          <w:szCs w:val="20"/>
          <w:color w:val="auto"/>
        </w:rPr>
      </w:pPr>
    </w:p>
    <w:p>
      <w:pPr>
        <w:ind w:right="20" w:firstLine="1297"/>
        <w:spacing w:after="0" w:line="285"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Funding of Borrowings</w:t>
      </w:r>
      <w:r>
        <w:rPr>
          <w:rFonts w:ascii="Arial" w:cs="Arial" w:eastAsia="Arial" w:hAnsi="Arial"/>
          <w:sz w:val="16"/>
          <w:szCs w:val="16"/>
          <w:color w:val="auto"/>
        </w:rPr>
        <w:t xml:space="preserve">. (a) Each Lender shall make each Loan to be made by it hereunder on the proposed date thereof by wire transfer of immediately available funds (i) in the case of Loans denominated in Dollars (other than a Designated Loan), by 12:00 noon, New York City time, to the account of the Administrative Agent most recently designated by it for such purpose by notice to the Lenders and (ii) in the case of each Loan denominated in a Foreign Currency and Designated Loans, by 12:00 noon, Local Time, in the city of the Administrative Agent’s Eurocurrency Payment Office for such currency and at such Eurocurrency Payment Office for such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Swingline Loans shall be made as provided in</w:t>
      </w:r>
    </w:p>
    <w:p>
      <w:pPr>
        <w:spacing w:after="0" w:line="2"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Section 2.05. The Administrative Agent will make such Loans available to the relevant Borrower by promptly crediting the amounts so received, in like funds, to (x) an account of such Borrower designated by such Borrower in the applicable Borrowing Request, in the case of Loans denominated in Dollars,</w:t>
      </w:r>
    </w:p>
    <w:p>
      <w:pPr>
        <w:spacing w:after="0" w:line="1" w:lineRule="exact"/>
        <w:rPr>
          <w:sz w:val="20"/>
          <w:szCs w:val="20"/>
          <w:color w:val="auto"/>
        </w:rPr>
      </w:pPr>
    </w:p>
    <w:p>
      <w:pPr>
        <w:ind w:right="60" w:firstLine="8"/>
        <w:spacing w:after="0" w:line="265" w:lineRule="auto"/>
        <w:tabs>
          <w:tab w:leader="none" w:pos="2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an account of such Borrower in the relevant jurisdiction and designated by such Borrower in the applicable Borrowing Request, in the case of Loans denominated in a Foreign Currency or (z) such other account designated by such Borrower in the applicable Borrowing Request and reasonably acceptable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ABR Revolving Loans made to finance the reimbursement of an LC Disbursement as provided in</w:t>
      </w:r>
    </w:p>
    <w:p>
      <w:pPr>
        <w:spacing w:after="0"/>
        <w:rPr>
          <w:rFonts w:ascii="Arial" w:cs="Arial" w:eastAsia="Arial" w:hAnsi="Arial"/>
          <w:sz w:val="17"/>
          <w:szCs w:val="17"/>
          <w:color w:val="auto"/>
        </w:rPr>
      </w:pPr>
      <w:r>
        <w:rPr>
          <w:rFonts w:ascii="Arial" w:cs="Arial" w:eastAsia="Arial" w:hAnsi="Arial"/>
          <w:sz w:val="18"/>
          <w:szCs w:val="18"/>
          <w:color w:val="auto"/>
        </w:rPr>
        <w:t>Section 2.06(e) shall be remitted by the Administrative Agent to the relevant Issuing Bank.</w:t>
      </w:r>
    </w:p>
    <w:p>
      <w:pPr>
        <w:spacing w:after="0" w:line="210" w:lineRule="exact"/>
        <w:rPr>
          <w:rFonts w:ascii="Arial" w:cs="Arial" w:eastAsia="Arial" w:hAnsi="Arial"/>
          <w:sz w:val="17"/>
          <w:szCs w:val="17"/>
          <w:color w:val="auto"/>
        </w:rPr>
      </w:pPr>
    </w:p>
    <w:p>
      <w:pPr>
        <w:ind w:left="660" w:right="20" w:firstLine="645"/>
        <w:spacing w:after="0" w:line="269" w:lineRule="auto"/>
        <w:tabs>
          <w:tab w:leader="none" w:pos="1964" w:val="left"/>
        </w:tabs>
        <w:numPr>
          <w:ilvl w:val="1"/>
          <w:numId w:val="25"/>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Lender prior to the proposed date of any Borrowing (or in the case of an ABR Borrowing, prior to 12:00 noon, New York City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Federal Funds Effective Rate and a rate determined by the Administrative Agent in accordance with banking industry rules on interbank compensation (including without limitation the Overnight Foreign Currency Rate in the case of Loans denominated in a Foreign Currency) or (ii) in the case of such Borrower, the interest rate applicable to ABR Loans. If such Lender pays such amount to the Administrative Agent, then such amount shall constitute such Lender’s Loan included in such Borrowing.</w:t>
      </w:r>
    </w:p>
    <w:p>
      <w:pPr>
        <w:spacing w:after="0" w:line="180" w:lineRule="exact"/>
        <w:rPr>
          <w:sz w:val="20"/>
          <w:szCs w:val="20"/>
          <w:color w:val="auto"/>
        </w:rPr>
      </w:pPr>
    </w:p>
    <w:p>
      <w:pPr>
        <w:ind w:right="40" w:firstLine="1297"/>
        <w:spacing w:after="0" w:line="342"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Interest Elections</w:t>
      </w:r>
      <w:r>
        <w:rPr>
          <w:rFonts w:ascii="Arial" w:cs="Arial" w:eastAsia="Arial" w:hAnsi="Arial"/>
          <w:sz w:val="16"/>
          <w:szCs w:val="16"/>
          <w:color w:val="auto"/>
        </w:rPr>
        <w:t>. (a) Each Revolving Borrowing initially shall be of the Type specified in the applicable Borrowing Request and, in the case of a Eurocurrency Revolving Borrowing, shall have an initial Interest Period as specified in such Borrowing Request. Thereafter,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relevant Borrower may elect to convert such Borrowing to a different Type or to continue such Borrowing and, in the case of a Eurocurrency Revolving Borrowing, may elect Interest Periods therefor, all as provided in this Section.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88" w:lineRule="exact"/>
        <w:rPr>
          <w:sz w:val="20"/>
          <w:szCs w:val="20"/>
          <w:color w:val="auto"/>
        </w:rPr>
      </w:pPr>
    </w:p>
    <w:p>
      <w:pPr>
        <w:ind w:left="660" w:right="20" w:firstLine="645"/>
        <w:spacing w:after="0" w:line="284" w:lineRule="auto"/>
        <w:tabs>
          <w:tab w:leader="none" w:pos="1964" w:val="left"/>
        </w:tabs>
        <w:numPr>
          <w:ilvl w:val="1"/>
          <w:numId w:val="26"/>
        </w:numPr>
        <w:rPr>
          <w:rFonts w:ascii="Arial" w:cs="Arial" w:eastAsia="Arial" w:hAnsi="Arial"/>
          <w:sz w:val="16"/>
          <w:szCs w:val="16"/>
          <w:color w:val="auto"/>
        </w:rPr>
      </w:pPr>
      <w:r>
        <w:rPr>
          <w:rFonts w:ascii="Arial" w:cs="Arial" w:eastAsia="Arial" w:hAnsi="Arial"/>
          <w:sz w:val="16"/>
          <w:szCs w:val="16"/>
          <w:color w:val="auto"/>
        </w:rPr>
        <w:t>To make an election pursuant to this Section, the applicable Borrower shall notify the Administrative Agent of such election (by telephone or irrevocable written notice from such Borrower in the case of a Borrowing denominated in Dollars (other than Designated Loans) or by irrevocable written notice (via an Interest Election Request signed by such Borrower) in the case of a Borrowing denominated in a Foreign Currency or a Designated Loan) by the time that a Borrowing Request would be required under Section 2.03 if such Borrower were requesting a Revolving Borrowing of the Type resulting from such election to be made on the effective date of such election. Each such telephonic Interest Election Request shall be irrevocable and shall be confirmed promptly by hand delivery or telecopy to the Administrative Agent of a written Interest Election Request signed by the relevant Borrower. Notwithstanding any contrary provision herein, this Section shall not be construed to permit any Borrower to</w:t>
      </w:r>
    </w:p>
    <w:p>
      <w:pPr>
        <w:spacing w:after="0" w:line="2" w:lineRule="exact"/>
        <w:rPr>
          <w:rFonts w:ascii="Arial" w:cs="Arial" w:eastAsia="Arial" w:hAnsi="Arial"/>
          <w:sz w:val="16"/>
          <w:szCs w:val="16"/>
          <w:color w:val="auto"/>
        </w:rPr>
      </w:pPr>
    </w:p>
    <w:p>
      <w:pPr>
        <w:ind w:left="880" w:hanging="224"/>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 the currency of any Borrowing, (ii) elect an Interest Period for Eurocurrency Loans that does not comply with Section 2.02(d) or</w:t>
      </w:r>
    </w:p>
    <w:p>
      <w:pPr>
        <w:spacing w:after="0" w:line="21"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convert any Borrowing to a Borrowing of a Type not available under such Borrowing.</w:t>
      </w:r>
    </w:p>
    <w:p>
      <w:pPr>
        <w:spacing w:after="0" w:line="210" w:lineRule="exact"/>
        <w:rPr>
          <w:rFonts w:ascii="Arial" w:cs="Arial" w:eastAsia="Arial" w:hAnsi="Arial"/>
          <w:sz w:val="18"/>
          <w:szCs w:val="18"/>
          <w:color w:val="auto"/>
        </w:rPr>
      </w:pPr>
    </w:p>
    <w:p>
      <w:pPr>
        <w:ind w:left="1960" w:hanging="655"/>
        <w:spacing w:after="0"/>
        <w:tabs>
          <w:tab w:leader="none" w:pos="19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Each telephonic and written Interest Election Request shall specify the following information in compliance with Section 2.02:</w:t>
      </w:r>
    </w:p>
    <w:p>
      <w:pPr>
        <w:spacing w:after="0" w:line="236" w:lineRule="exact"/>
        <w:rPr>
          <w:rFonts w:ascii="Arial" w:cs="Arial" w:eastAsia="Arial" w:hAnsi="Arial"/>
          <w:sz w:val="17"/>
          <w:szCs w:val="17"/>
          <w:color w:val="auto"/>
        </w:rPr>
      </w:pPr>
    </w:p>
    <w:p>
      <w:pPr>
        <w:ind w:left="1300" w:right="140" w:firstLine="653"/>
        <w:spacing w:after="0" w:line="312" w:lineRule="auto"/>
        <w:tabs>
          <w:tab w:leader="none" w:pos="2618"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46" w:lineRule="exact"/>
        <w:rPr>
          <w:rFonts w:ascii="Arial" w:cs="Arial" w:eastAsia="Arial" w:hAnsi="Arial"/>
          <w:sz w:val="16"/>
          <w:szCs w:val="16"/>
          <w:color w:val="auto"/>
        </w:rPr>
      </w:pPr>
    </w:p>
    <w:p>
      <w:pPr>
        <w:ind w:left="2640" w:hanging="687"/>
        <w:spacing w:after="0"/>
        <w:tabs>
          <w:tab w:leader="none" w:pos="2640" w:val="left"/>
        </w:tabs>
        <w:numPr>
          <w:ilvl w:val="2"/>
          <w:numId w:val="28"/>
        </w:numPr>
        <w:rPr>
          <w:rFonts w:ascii="Arial" w:cs="Arial" w:eastAsia="Arial" w:hAnsi="Arial"/>
          <w:sz w:val="17"/>
          <w:szCs w:val="17"/>
          <w:color w:val="auto"/>
        </w:rPr>
      </w:pPr>
      <w:r>
        <w:rPr>
          <w:rFonts w:ascii="Arial" w:cs="Arial" w:eastAsia="Arial" w:hAnsi="Arial"/>
          <w:sz w:val="17"/>
          <w:szCs w:val="17"/>
          <w:color w:val="auto"/>
        </w:rPr>
        <w:t>the effective date of the election made pursuant to such Interest Election Request, which shall be a Business Day;</w:t>
      </w:r>
    </w:p>
    <w:p>
      <w:pPr>
        <w:spacing w:after="0" w:line="236" w:lineRule="exact"/>
        <w:rPr>
          <w:rFonts w:ascii="Arial" w:cs="Arial" w:eastAsia="Arial" w:hAnsi="Arial"/>
          <w:sz w:val="17"/>
          <w:szCs w:val="17"/>
          <w:color w:val="auto"/>
        </w:rPr>
      </w:pPr>
    </w:p>
    <w:p>
      <w:pPr>
        <w:ind w:left="2640" w:hanging="687"/>
        <w:spacing w:after="0"/>
        <w:tabs>
          <w:tab w:leader="none" w:pos="2640" w:val="left"/>
        </w:tabs>
        <w:numPr>
          <w:ilvl w:val="2"/>
          <w:numId w:val="28"/>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Eurocurrency Borrowing; and</w:t>
      </w:r>
    </w:p>
    <w:p>
      <w:pPr>
        <w:spacing w:after="0" w:line="225" w:lineRule="exact"/>
        <w:rPr>
          <w:rFonts w:ascii="Arial" w:cs="Arial" w:eastAsia="Arial" w:hAnsi="Arial"/>
          <w:sz w:val="18"/>
          <w:szCs w:val="18"/>
          <w:color w:val="auto"/>
        </w:rPr>
      </w:pPr>
    </w:p>
    <w:p>
      <w:pPr>
        <w:ind w:left="1300" w:right="60" w:firstLine="653"/>
        <w:spacing w:after="0" w:line="342" w:lineRule="auto"/>
        <w:tabs>
          <w:tab w:leader="none" w:pos="2613" w:val="left"/>
        </w:tabs>
        <w:numPr>
          <w:ilvl w:val="2"/>
          <w:numId w:val="28"/>
        </w:numPr>
        <w:rPr>
          <w:rFonts w:ascii="Arial" w:cs="Arial" w:eastAsia="Arial" w:hAnsi="Arial"/>
          <w:sz w:val="16"/>
          <w:szCs w:val="16"/>
          <w:color w:val="auto"/>
        </w:rPr>
      </w:pPr>
      <w:r>
        <w:rPr>
          <w:rFonts w:ascii="Arial" w:cs="Arial" w:eastAsia="Arial" w:hAnsi="Arial"/>
          <w:sz w:val="16"/>
          <w:szCs w:val="16"/>
          <w:color w:val="auto"/>
        </w:rPr>
        <w:t>if the resulting Borrowing is a Eurocurrency Borrowing, the Interest Period and Agreed Currency to be applicable thereto after giving effect to such election, which Interest Period shall be a period contemplated by the definition of the term “Interest Period”.</w:t>
      </w:r>
    </w:p>
    <w:p>
      <w:pPr>
        <w:spacing w:after="0" w:line="1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If any such Interest Election Request requests a Eurocurrency Borrowing but does not specify an Interest Period, then the applicable Borrower shall be deemed to have selected an Interest Period of one month’s duration.</w:t>
      </w:r>
    </w:p>
    <w:p>
      <w:pPr>
        <w:spacing w:after="0" w:line="170" w:lineRule="exact"/>
        <w:rPr>
          <w:sz w:val="20"/>
          <w:szCs w:val="20"/>
          <w:color w:val="auto"/>
        </w:rPr>
      </w:pPr>
    </w:p>
    <w:p>
      <w:pPr>
        <w:ind w:left="660" w:right="540" w:firstLine="645"/>
        <w:spacing w:after="0" w:line="277" w:lineRule="auto"/>
        <w:tabs>
          <w:tab w:leader="none" w:pos="19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resulting Borrowing.</w:t>
      </w:r>
    </w:p>
    <w:p>
      <w:pPr>
        <w:sectPr>
          <w:pgSz w:w="11900" w:h="16838" w:orient="portrait"/>
          <w:cols w:equalWidth="0" w:num="1">
            <w:col w:w="11420"/>
          </w:cols>
          <w:pgMar w:left="240" w:top="125" w:right="239" w:bottom="123"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27" w:name="page28"/>
    <w:bookmarkEnd w:id="27"/>
    <w:p>
      <w:pPr>
        <w:spacing w:after="0" w:line="24" w:lineRule="exact"/>
        <w:rPr>
          <w:sz w:val="20"/>
          <w:szCs w:val="20"/>
          <w:color w:val="auto"/>
        </w:rPr>
      </w:pPr>
    </w:p>
    <w:p>
      <w:pPr>
        <w:ind w:left="660" w:right="140" w:firstLine="645"/>
        <w:spacing w:after="0" w:line="291" w:lineRule="auto"/>
        <w:tabs>
          <w:tab w:leader="none" w:pos="1967" w:val="left"/>
        </w:tabs>
        <w:numPr>
          <w:ilvl w:val="1"/>
          <w:numId w:val="30"/>
        </w:numPr>
        <w:rPr>
          <w:rFonts w:ascii="Arial" w:cs="Arial" w:eastAsia="Arial" w:hAnsi="Arial"/>
          <w:sz w:val="16"/>
          <w:szCs w:val="16"/>
          <w:color w:val="auto"/>
        </w:rPr>
      </w:pPr>
      <w:r>
        <w:rPr>
          <w:rFonts w:ascii="Arial" w:cs="Arial" w:eastAsia="Arial" w:hAnsi="Arial"/>
          <w:sz w:val="16"/>
          <w:szCs w:val="16"/>
          <w:color w:val="auto"/>
        </w:rPr>
        <w:t>If the relevant Borrower fails to deliver a timely Interest Election Request with respect to a Eurocurrency Revolving Borrowing prior to the end of the Interest Period applicable thereto, then, unless such Borrowing is repaid as provided herein, at the end of such Interest Period</w:t>
      </w:r>
    </w:p>
    <w:p>
      <w:pPr>
        <w:ind w:left="880" w:hanging="224"/>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 case of a Borrowing denominated in Dollars (other than Designated Loans), such Borrowing shall be converted to an ABR Borrowing and</w:t>
      </w:r>
    </w:p>
    <w:p>
      <w:pPr>
        <w:spacing w:after="0" w:line="32" w:lineRule="exact"/>
        <w:rPr>
          <w:rFonts w:ascii="Arial" w:cs="Arial" w:eastAsia="Arial" w:hAnsi="Arial"/>
          <w:sz w:val="16"/>
          <w:szCs w:val="16"/>
          <w:color w:val="auto"/>
        </w:rPr>
      </w:pPr>
    </w:p>
    <w:p>
      <w:pPr>
        <w:ind w:left="660" w:right="20" w:hanging="4"/>
        <w:spacing w:after="0" w:line="278" w:lineRule="auto"/>
        <w:tabs>
          <w:tab w:leader="none" w:pos="925"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 case of a Borrowing denominated in a Foreign Currency or a Designated Loan in respect of which the applicable Borrower shall have failed to deliver an Interest Election Request prior to the third (3</w:t>
      </w:r>
      <w:r>
        <w:rPr>
          <w:rFonts w:ascii="Arial" w:cs="Arial" w:eastAsia="Arial" w:hAnsi="Arial"/>
          <w:sz w:val="20"/>
          <w:szCs w:val="20"/>
          <w:color w:val="auto"/>
          <w:vertAlign w:val="superscript"/>
        </w:rPr>
        <w:t>rd</w:t>
      </w:r>
      <w:r>
        <w:rPr>
          <w:rFonts w:ascii="Arial" w:cs="Arial" w:eastAsia="Arial" w:hAnsi="Arial"/>
          <w:sz w:val="16"/>
          <w:szCs w:val="16"/>
          <w:color w:val="auto"/>
        </w:rPr>
        <w:t>) Business Day preceding the end of such Interest Period, such Borrowing shall automatically continue as a Eurocurrency Borrowing in the same Agreed Currency with an Interest Period of one month unless such Eurocurrency Borrowing is or was repaid in accordance with Section 2.11. Notwithstanding any contrary provision hereof, if an Event of Default has occurred and is continuing and the Administrative Agent, at the request of the Required Lenders, so notifies the Company, then, so long as an Event of Default is continuing (i) no outstanding Revolving Borrowing denominated in Dollars (other than Designated Loans) may be converted to or continued as a Eurocurrency Borrowing, (ii) unless repaid, each Eurocurrency Revolving Borrowing denominated in Dollars (other than Designated Loans) shall be converted to an ABR Borrowing at the end of the Interest Period applicable thereto, but without duplication for interest payments made by any Borrower on such amount and (iii) unless repaid, each Eurocurrency Revolving Borrowing denominated in a Foreign Currency and each Designated Loan shall automatically be continued as a Eurocurrency Borrowing with an Interest Period of one month.</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 (a) Unless previously terminated, the Commitments shall terminate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11" w:lineRule="exact"/>
        <w:rPr>
          <w:sz w:val="20"/>
          <w:szCs w:val="20"/>
          <w:color w:val="auto"/>
        </w:rPr>
      </w:pPr>
    </w:p>
    <w:p>
      <w:pPr>
        <w:ind w:left="660" w:right="20" w:firstLine="645"/>
        <w:spacing w:after="0" w:line="279" w:lineRule="auto"/>
        <w:tabs>
          <w:tab w:leader="none" w:pos="1964"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The Company may at any time terminate, or from time to time reduce, the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reduction of the Commitments shall be in an amount that is an integral multiple of $1,000,000 and not less than $10,000,000 and (ii) the Company shall not terminate or reduce the Commitments if, after giving effect to any concurrent prepayment of the Loans in accordance with Section 2.11, the Dollar Amount of the sum of the Revolving Credit Exposures would exceed the Aggregate Commitment.</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shall notify the Administrative Agent of any election to terminate or reduce the Commitments under</w:t>
      </w:r>
    </w:p>
    <w:p>
      <w:pPr>
        <w:spacing w:after="0" w:line="23" w:lineRule="exact"/>
        <w:rPr>
          <w:sz w:val="20"/>
          <w:szCs w:val="20"/>
          <w:color w:val="auto"/>
        </w:rPr>
      </w:pPr>
    </w:p>
    <w:p>
      <w:pPr>
        <w:ind w:left="660" w:right="40"/>
        <w:spacing w:after="0" w:line="269" w:lineRule="auto"/>
        <w:rPr>
          <w:sz w:val="20"/>
          <w:szCs w:val="20"/>
          <w:color w:val="auto"/>
        </w:rPr>
      </w:pPr>
      <w:r>
        <w:rPr>
          <w:rFonts w:ascii="Arial" w:cs="Arial" w:eastAsia="Arial" w:hAnsi="Arial"/>
          <w:sz w:val="17"/>
          <w:szCs w:val="17"/>
          <w:color w:val="auto"/>
        </w:rPr>
        <w:t xml:space="preserve">paragraph (b)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termination of the Commitments delivered by the Company may state that such notice is conditioned upon the effectiveness of other credit facilities or one or more other events specified therein, in which case such notice may be revoked by the Company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81" w:lineRule="exact"/>
        <w:rPr>
          <w:sz w:val="20"/>
          <w:szCs w:val="20"/>
          <w:color w:val="auto"/>
        </w:rPr>
      </w:pPr>
    </w:p>
    <w:p>
      <w:pPr>
        <w:ind w:right="20" w:firstLine="1297"/>
        <w:spacing w:after="0" w:line="280"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Repayment of Loans; Evidence of Debt</w:t>
      </w:r>
      <w:r>
        <w:rPr>
          <w:rFonts w:ascii="Arial" w:cs="Arial" w:eastAsia="Arial" w:hAnsi="Arial"/>
          <w:sz w:val="17"/>
          <w:szCs w:val="17"/>
          <w:color w:val="auto"/>
        </w:rPr>
        <w:t>. (a) Each Borrower (severally and not jointly) hereby unconditionally promises to pay (i) to the Administrative Agent for the account of each Lender the then unpaid principal amount of each Revolving Loan made to such Borrower on the Maturity Date in the currency of such Loan and (ii) in the case of each Swingline Borrower, to the Swingline Lender the then unpaid principal amount of each Swingline Loan made to such Swingline Borrower on the earlier of the Maturity Date and the first date after such Swingline Loan is made to such Swingline Borrower that is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or last day of a calendar month and is at least two (2) Business Days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after such Swingline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Revolving Borrowing is made, each Swingline Borrower shall repay all Swingline Loans made to such Swingline Borrower then outstanding.</w:t>
      </w:r>
    </w:p>
    <w:p>
      <w:pPr>
        <w:spacing w:after="0" w:line="170" w:lineRule="exact"/>
        <w:rPr>
          <w:sz w:val="20"/>
          <w:szCs w:val="20"/>
          <w:color w:val="auto"/>
        </w:rPr>
      </w:pPr>
    </w:p>
    <w:p>
      <w:pPr>
        <w:ind w:left="660" w:right="240" w:firstLine="645"/>
        <w:spacing w:after="0" w:line="264" w:lineRule="auto"/>
        <w:tabs>
          <w:tab w:leader="none" w:pos="19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181" w:lineRule="exact"/>
        <w:rPr>
          <w:rFonts w:ascii="Arial" w:cs="Arial" w:eastAsia="Arial" w:hAnsi="Arial"/>
          <w:sz w:val="18"/>
          <w:szCs w:val="18"/>
          <w:color w:val="auto"/>
        </w:rPr>
      </w:pPr>
    </w:p>
    <w:p>
      <w:pPr>
        <w:ind w:left="660" w:right="100" w:firstLine="645"/>
        <w:spacing w:after="0" w:line="259" w:lineRule="auto"/>
        <w:tabs>
          <w:tab w:leader="none" w:pos="196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18"/>
          <w:szCs w:val="18"/>
          <w:color w:val="auto"/>
        </w:rPr>
      </w:pPr>
    </w:p>
    <w:p>
      <w:pPr>
        <w:ind w:left="660" w:right="260" w:firstLine="645"/>
        <w:spacing w:after="0" w:line="264" w:lineRule="auto"/>
        <w:tabs>
          <w:tab w:leader="none" w:pos="19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paragraph (b) or (c) of this Section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Obligations.</w:t>
      </w:r>
    </w:p>
    <w:p>
      <w:pPr>
        <w:spacing w:after="0" w:line="181" w:lineRule="exact"/>
        <w:rPr>
          <w:rFonts w:ascii="Arial" w:cs="Arial" w:eastAsia="Arial" w:hAnsi="Arial"/>
          <w:sz w:val="18"/>
          <w:szCs w:val="18"/>
          <w:color w:val="auto"/>
        </w:rPr>
      </w:pPr>
    </w:p>
    <w:p>
      <w:pPr>
        <w:ind w:left="660" w:firstLine="645"/>
        <w:spacing w:after="0" w:line="297" w:lineRule="auto"/>
        <w:tabs>
          <w:tab w:leader="none" w:pos="1967"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Any Lender may request that Loans made by it to any Borrower be evidenced by a promissory note. In such event, the relevant Borrower shall prepare, execute and deliver to such Lender a promissory note payable to the order of such Lender (or, if requested by such Lender, to such Lender and its registered assigns) and in the form attached hereto as </w:t>
      </w:r>
      <w:r>
        <w:rPr>
          <w:rFonts w:ascii="Arial" w:cs="Arial" w:eastAsia="Arial" w:hAnsi="Arial"/>
          <w:sz w:val="16"/>
          <w:szCs w:val="16"/>
          <w:u w:val="single" w:color="auto"/>
          <w:color w:val="auto"/>
        </w:rPr>
        <w:t>Exhibit L</w:t>
      </w:r>
      <w:r>
        <w:rPr>
          <w:rFonts w:ascii="Arial" w:cs="Arial" w:eastAsia="Arial" w:hAnsi="Arial"/>
          <w:sz w:val="16"/>
          <w:szCs w:val="16"/>
          <w:color w:val="auto"/>
        </w:rPr>
        <w:t>. Thereafter, the Loans evidenced by such promissory note and interest thereon shall at all times (including after assignment pursuant to Section 9.04) be represented by one or more promissory notes in such form payable to the payee named therein (or, if any such promissory note is a registered note, to such payee and its registered assigns).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225" w:lineRule="exact"/>
        <w:rPr>
          <w:sz w:val="20"/>
          <w:szCs w:val="20"/>
          <w:color w:val="auto"/>
        </w:rPr>
      </w:pPr>
    </w:p>
    <w:p>
      <w:pPr>
        <w:ind w:left="660" w:right="20" w:firstLine="645"/>
        <w:spacing w:after="0" w:line="288" w:lineRule="auto"/>
        <w:tabs>
          <w:tab w:leader="none" w:pos="1954"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Borrower shall have the right at any time and from time to time to prepay any Borrowing in whole or in part, without premium or penalty (but subject to break funding payments required by Section 2.16) subject to prior notice in accordance with the provisions of this Section 2.11(a). The applicable Borrower shall notify the Administrative Agent (and, in the case of prepayment of a Swingline Loan, the Swingline Lender) of any prepayment hereunder (i) in the case of prepayment of a Eurocurrency Revolving Borrowing denominated in Dollars (other than Designated Loans), by telephonic notice (promptly followed by written confirmation from such Borrower of such request) not later than 11:00 a.m., Local Time, three (3) Business Days before the date of prepayment, (ii) in the case of prepayment of a Eurocurrency Revolving Borrowing denominated in any Foreign Currency and Designated Loans, by written notice from such Borrower (promptly followed by telephonic confirmation of such request) not later than 11:00 a.m., Local Time, four (4) Business Days before the date of prepayment, (iii) in the case of prepayment of an ABR Revolving Borrowing, by telephonic notice (promptly followed by written confirmation from such Borrower of such request) not later than 11:00 a.m., New York City time, on the date of prepayment or (iv) in the case of prepayment of a Swingline Loan, by telephonic notice (promptly</w:t>
      </w:r>
    </w:p>
    <w:p>
      <w:pPr>
        <w:sectPr>
          <w:pgSz w:w="11900" w:h="16863" w:orient="portrait"/>
          <w:cols w:equalWidth="0" w:num="1">
            <w:col w:w="11420"/>
          </w:cols>
          <w:pgMar w:left="240" w:top="341" w:right="239" w:bottom="0" w:gutter="0" w:footer="0" w:header="0"/>
        </w:sectPr>
      </w:pPr>
    </w:p>
    <w:bookmarkStart w:id="28" w:name="page29"/>
    <w:bookmarkEnd w:id="28"/>
    <w:p>
      <w:pPr>
        <w:spacing w:after="0" w:line="72" w:lineRule="exact"/>
        <w:rPr>
          <w:sz w:val="20"/>
          <w:szCs w:val="20"/>
          <w:color w:val="auto"/>
        </w:rPr>
      </w:pPr>
    </w:p>
    <w:p>
      <w:pPr>
        <w:ind w:left="660" w:right="20"/>
        <w:spacing w:after="0" w:line="312" w:lineRule="auto"/>
        <w:rPr>
          <w:sz w:val="20"/>
          <w:szCs w:val="20"/>
          <w:color w:val="auto"/>
        </w:rPr>
      </w:pPr>
      <w:r>
        <w:rPr>
          <w:rFonts w:ascii="Arial" w:cs="Arial" w:eastAsia="Arial" w:hAnsi="Arial"/>
          <w:sz w:val="16"/>
          <w:szCs w:val="16"/>
          <w:color w:val="auto"/>
        </w:rPr>
        <w:t xml:space="preserve">followed by written confirmation from such Borrower of such request) not later than 12:00 noon, New York City time, on the date of prepayment. Each such notice from any Borrower shall be irrevocable and shall specify the prepayment date and the principal amount of each Borrowing or portion thereof to be prepaid by such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of prepayment delivered by any Borrower may state that such notice is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84" w:lineRule="auto"/>
        <w:rPr>
          <w:sz w:val="20"/>
          <w:szCs w:val="20"/>
          <w:color w:val="auto"/>
        </w:rPr>
      </w:pPr>
      <w:r>
        <w:rPr>
          <w:rFonts w:ascii="Arial" w:cs="Arial" w:eastAsia="Arial" w:hAnsi="Arial"/>
          <w:sz w:val="16"/>
          <w:szCs w:val="16"/>
          <w:color w:val="auto"/>
        </w:rPr>
        <w:t>conditioned upon the effectiveness of other credit facilities or one or more other events specified therein, in which case such notice may be revoked by the applicable Borrower (by notice to the Administrative Agent on or prior to the specified effective date) if such condition is not satisfied.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Loans included in the prepaid Borrowing. Prepayments shall be accompanied by (i) accrued interest to the extent required by Section 2.13 and</w:t>
      </w:r>
    </w:p>
    <w:p>
      <w:pPr>
        <w:spacing w:after="0" w:line="5" w:lineRule="exact"/>
        <w:rPr>
          <w:sz w:val="20"/>
          <w:szCs w:val="20"/>
          <w:color w:val="auto"/>
        </w:rPr>
      </w:pPr>
    </w:p>
    <w:p>
      <w:pPr>
        <w:ind w:left="920" w:hanging="264"/>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break funding payments to the extent required by Section 2.16.</w:t>
      </w:r>
    </w:p>
    <w:p>
      <w:pPr>
        <w:spacing w:after="0" w:line="210" w:lineRule="exact"/>
        <w:rPr>
          <w:rFonts w:ascii="Arial" w:cs="Arial" w:eastAsia="Arial" w:hAnsi="Arial"/>
          <w:sz w:val="18"/>
          <w:szCs w:val="18"/>
          <w:color w:val="auto"/>
        </w:rPr>
      </w:pPr>
    </w:p>
    <w:p>
      <w:pPr>
        <w:ind w:left="660" w:firstLine="645"/>
        <w:spacing w:after="0" w:line="289" w:lineRule="auto"/>
        <w:tabs>
          <w:tab w:leader="none" w:pos="1964"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at any time, (i) other than as a result of fluctuations in currency exchange rates, the sum of the aggregate principal Dollar Amount of all of the Revolving Credit Exposures (calculated, with respect to those Credit Events denominated in Foreign Currencies, as of the most recent Computation Date with respect to each such Credit Event) exceeds the Aggregate Commitment or (ii) solely as a result of fluctuations in currency exchange rates, the sum of the aggregate principal Dollar Amount of all of the Revolving Credit Exposures (so calculated) exceeds 105% of the Aggregate Commitment, the Company or the relevant Subsidiary Borrower shall in each case, within one (1) Business Day after receiving notice from the Administrative Agent in respect thereof, repay Borrowings (with respect to any payment made by or required from any Subsidiary Borrower, as directed by such Subsidiary Borrower to repay Borrowings of such Subsidiary Borrower) or cash collateralize LC Exposure in an account with the Administrative Agent pursuant to Section 2.06(j), as applicable, in an aggregate principal amount sufficient to cause the aggregate Dollar Amount of all Revolving Credit Exposures (so calculated) to be less than or equal to the Aggregate Commitment.</w:t>
      </w:r>
    </w:p>
    <w:p>
      <w:pPr>
        <w:spacing w:after="0" w:line="167"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Fees</w:t>
      </w:r>
      <w:r>
        <w:rPr>
          <w:rFonts w:ascii="Arial" w:cs="Arial" w:eastAsia="Arial" w:hAnsi="Arial"/>
          <w:sz w:val="17"/>
          <w:szCs w:val="17"/>
          <w:color w:val="auto"/>
        </w:rPr>
        <w:t xml:space="preserve">. (a) The Company agrees to pay to the Administrative Agent for the account of each Lender a commitment fee, which shall accrue at the applicable Commitment Fee Rate (as specified in the definition of Applicable Rate) on the daily average amount of the Available Revolving Commitment of such Lender during the period from and including the Effective Date to but excluding the date on which such Commitment terminates. Accrued commitment fees shall be payable in arrears on the last day of March, June, September and December of each year and on the date on which the Commitments terminate, commencing on the first such date to occur after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commitment fees accruing after the date on which the Commitments terminate shall be payable on demand. All commitment fees shall be computed on the basis of a year of 360 days and shall be payable for the actual number of days elapsed (including the first day but excluding the last day).</w:t>
      </w:r>
    </w:p>
    <w:p>
      <w:pPr>
        <w:spacing w:after="0" w:line="178" w:lineRule="exact"/>
        <w:rPr>
          <w:sz w:val="20"/>
          <w:szCs w:val="20"/>
          <w:color w:val="auto"/>
        </w:rPr>
      </w:pPr>
    </w:p>
    <w:p>
      <w:pPr>
        <w:ind w:left="660" w:right="40" w:firstLine="645"/>
        <w:spacing w:after="0" w:line="270" w:lineRule="auto"/>
        <w:tabs>
          <w:tab w:leader="none" w:pos="196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Company agrees to pay (i) to the Administrative Agent for the account of each Lender a participation fee with respect to its participations in Letters of Credit, which shall accrue at the same Applicable Rate used to determine the interest rate applicable to Eurocurrency Revolving Loans on the average daily Dollar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relevant Issuing Bank for its own account a fronting fee, which shall accrue at the rate of 0.125% per annum on the average daily Dollar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Commitments and the date on which there ceases to be any LC Exposure, as well as such Issuing Bank’s standard fees and commissions with respect to the issuance, amendment, cancellation, negotiation, transfer, presentment, renewal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80" w:lineRule="auto"/>
        <w:rPr>
          <w:sz w:val="20"/>
          <w:szCs w:val="20"/>
          <w:color w:val="auto"/>
        </w:rPr>
      </w:pPr>
      <w:r>
        <w:rPr>
          <w:rFonts w:ascii="Arial" w:cs="Arial" w:eastAsia="Arial" w:hAnsi="Arial"/>
          <w:sz w:val="16"/>
          <w:szCs w:val="16"/>
          <w:color w:val="auto"/>
        </w:rPr>
        <w:t>or extension of any Letter of Credit or processing of drawings thereunder. Participation fees and fronting fees accrued through and including the last day of March, June, September and December of each year shall be payable on or prior to the third (3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Business Day following such last day,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Participation fees and fronting fees in respect of Letters of Credit denominated in Dollars shall be paid in Dollars, and participation fees and fronting fees in respect of Letters of Credit denominated in a Foreign Currency shall be paid in such Foreign Currency.</w:t>
      </w:r>
    </w:p>
    <w:p>
      <w:pPr>
        <w:spacing w:after="0" w:line="174" w:lineRule="exact"/>
        <w:rPr>
          <w:sz w:val="20"/>
          <w:szCs w:val="20"/>
          <w:color w:val="auto"/>
        </w:rPr>
      </w:pPr>
    </w:p>
    <w:p>
      <w:pPr>
        <w:ind w:left="660" w:right="640" w:firstLine="645"/>
        <w:spacing w:after="0" w:line="277" w:lineRule="auto"/>
        <w:tabs>
          <w:tab w:leader="none" w:pos="196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for its own account, fees payable in the amounts and at the times separately agreed upon between the Company and the Administrative Agent from time to time.</w:t>
      </w:r>
    </w:p>
    <w:p>
      <w:pPr>
        <w:spacing w:after="0" w:line="170" w:lineRule="exact"/>
        <w:rPr>
          <w:rFonts w:ascii="Arial" w:cs="Arial" w:eastAsia="Arial" w:hAnsi="Arial"/>
          <w:sz w:val="18"/>
          <w:szCs w:val="18"/>
          <w:color w:val="auto"/>
        </w:rPr>
      </w:pPr>
    </w:p>
    <w:p>
      <w:pPr>
        <w:jc w:val="both"/>
        <w:ind w:left="660" w:right="140" w:firstLine="645"/>
        <w:spacing w:after="0" w:line="312" w:lineRule="auto"/>
        <w:tabs>
          <w:tab w:leader="none" w:pos="1964"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fees payable hereunder shall be paid on the dates due, in Dollars (except as otherwise expressly provided in this Section 2.12) and immediately available funds, to the Administrative Agent (or to each Issuing Bank, in the case of fees payable to it) for distribution, in the case of commitment fees and participation fees, to the Lenders. Fees paid shall not be refundable under any circumstances.</w:t>
      </w:r>
    </w:p>
    <w:p>
      <w:pPr>
        <w:spacing w:after="0" w:line="147"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Interest</w:t>
      </w:r>
      <w:r>
        <w:rPr>
          <w:rFonts w:ascii="Arial" w:cs="Arial" w:eastAsia="Arial" w:hAnsi="Arial"/>
          <w:sz w:val="18"/>
          <w:szCs w:val="18"/>
          <w:color w:val="auto"/>
        </w:rPr>
        <w:t>. (a) The Loans comprising each ABR Borrowing (including each Swingline Loan) shall bear interest at the Alternate Base Rate plus the Applicable Rate.</w:t>
      </w:r>
    </w:p>
    <w:p>
      <w:pPr>
        <w:spacing w:after="0" w:line="170" w:lineRule="exact"/>
        <w:rPr>
          <w:sz w:val="20"/>
          <w:szCs w:val="20"/>
          <w:color w:val="auto"/>
        </w:rPr>
      </w:pPr>
    </w:p>
    <w:p>
      <w:pPr>
        <w:ind w:left="660" w:right="80" w:firstLine="645"/>
        <w:spacing w:after="0" w:line="277" w:lineRule="auto"/>
        <w:tabs>
          <w:tab w:leader="none" w:pos="1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Loans comprising each Eurocurrency Borrowing shall bear interest at the Adjusted LIBO Rate for the Interest Period in effect for such Borrowing plus the Applicable Rate.</w:t>
      </w:r>
    </w:p>
    <w:p>
      <w:pPr>
        <w:spacing w:after="0" w:line="170" w:lineRule="exact"/>
        <w:rPr>
          <w:rFonts w:ascii="Arial" w:cs="Arial" w:eastAsia="Arial" w:hAnsi="Arial"/>
          <w:sz w:val="18"/>
          <w:szCs w:val="18"/>
          <w:color w:val="auto"/>
        </w:rPr>
      </w:pPr>
    </w:p>
    <w:p>
      <w:pPr>
        <w:ind w:left="660" w:right="40" w:firstLine="645"/>
        <w:spacing w:after="0" w:line="257" w:lineRule="auto"/>
        <w:tabs>
          <w:tab w:leader="none" w:pos="1967"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Notwithstanding the foregoing, if any principal of or interest on any Loan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ectPr>
          <w:pgSz w:w="11900" w:h="16911" w:orient="portrait"/>
          <w:cols w:equalWidth="0" w:num="1">
            <w:col w:w="11420"/>
          </w:cols>
          <w:pgMar w:left="240" w:top="125" w:right="239" w:bottom="0" w:gutter="0" w:footer="0" w:header="0"/>
        </w:sectPr>
      </w:pPr>
    </w:p>
    <w:bookmarkStart w:id="29" w:name="page30"/>
    <w:bookmarkEnd w:id="29"/>
    <w:p>
      <w:pPr>
        <w:spacing w:after="0" w:line="106" w:lineRule="exact"/>
        <w:rPr>
          <w:sz w:val="20"/>
          <w:szCs w:val="20"/>
          <w:color w:val="auto"/>
        </w:rPr>
      </w:pPr>
    </w:p>
    <w:p>
      <w:pPr>
        <w:jc w:val="both"/>
        <w:ind w:left="660" w:firstLine="645"/>
        <w:spacing w:after="0" w:line="291" w:lineRule="auto"/>
        <w:tabs>
          <w:tab w:leader="none" w:pos="1964"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Accrued interest on each Loan shall be payable in arrears on each Interest Payment Date for such Loan and upon termination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paragraph (c) of this Section shall be payable by the applicable Borrower(s) on demand,</w:t>
      </w:r>
    </w:p>
    <w:p>
      <w:pPr>
        <w:ind w:left="660" w:right="280" w:hanging="4"/>
        <w:spacing w:after="0" w:line="281" w:lineRule="auto"/>
        <w:tabs>
          <w:tab w:leader="none" w:pos="925"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the event of any repayment or prepayment of any Loan (other than a prepayment of an ABR Revolving Loan prior to the end of the Availability Period), accrued interest on the principal amount repaid or prepaid shall be payable on the date of such repayment or prepayment and</w:t>
      </w:r>
    </w:p>
    <w:p>
      <w:pPr>
        <w:spacing w:after="0" w:line="1" w:lineRule="exact"/>
        <w:rPr>
          <w:rFonts w:ascii="Arial" w:cs="Arial" w:eastAsia="Arial" w:hAnsi="Arial"/>
          <w:sz w:val="16"/>
          <w:szCs w:val="16"/>
          <w:color w:val="auto"/>
        </w:rPr>
      </w:pPr>
    </w:p>
    <w:p>
      <w:pPr>
        <w:ind w:left="660" w:right="220" w:hanging="4"/>
        <w:spacing w:after="0" w:line="261"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of any conversion of any Eurocurrency Revolving Loan prior to the end of the current Interest Period therefor, accrued interest on such Loan shall be payable on the effective date of such conversion.</w:t>
      </w:r>
    </w:p>
    <w:p>
      <w:pPr>
        <w:spacing w:after="0" w:line="183" w:lineRule="exact"/>
        <w:rPr>
          <w:rFonts w:ascii="Arial" w:cs="Arial" w:eastAsia="Arial" w:hAnsi="Arial"/>
          <w:sz w:val="18"/>
          <w:szCs w:val="18"/>
          <w:color w:val="auto"/>
        </w:rPr>
      </w:pPr>
    </w:p>
    <w:p>
      <w:pPr>
        <w:ind w:left="660" w:right="260" w:firstLine="645"/>
        <w:spacing w:after="0" w:line="264" w:lineRule="auto"/>
        <w:tabs>
          <w:tab w:leader="none" w:pos="1967"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interest hereunder shall be computed on the basis of a year of 360 days, except that interest (i) computed by reference to the Alternate Base Rate at times when the Alternate Base Rate is based on the Prime Rate shall be computed on the basis of a year of 365 days (or 366 days in a leap year) and (ii) for Borrowings denominated in Pounds Sterling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shall be computed on the basis of a year of 365 days,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manifest error.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225" w:lineRule="exact"/>
        <w:rPr>
          <w:sz w:val="20"/>
          <w:szCs w:val="20"/>
          <w:color w:val="auto"/>
        </w:rPr>
      </w:pPr>
    </w:p>
    <w:p>
      <w:pPr>
        <w:ind w:left="660" w:firstLine="645"/>
        <w:spacing w:after="0" w:line="269" w:lineRule="auto"/>
        <w:tabs>
          <w:tab w:leader="none" w:pos="1954"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If at the time that the Administrative Agent shall seek to determine the LIBOR Screen Rate on the Quotation Day for any Interest Period for a Eurocurrency Borrowing the LIBOR Screen Rate shall not be available for such Interest Period and/or for the applicable currency with respect to such Eurocurrency Borrowing for any reason, and the Administrative Agent shall reasonably determine that it is not possible to determine the Interpolated Rate (which conclusion shall be conclusive and binding absent manifest error), then the Reference Bank Rate shall be the LIBO Rate for such Interest Period for such Eurocurrency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Reference Bank Rate shall be less than zero, such rate shall be deemed to be zero for purposes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however, that if less than two Reference Banks shall supply a rate to the Administrative Agent for purposes of determining the LIBO Rate for such Eurocurrency Borrowing, (i) if such Borrowing shall be requested in Dollars (other than Designated Loans), then such Borrowing shall be made as an ABR Borrowing at the Alternate Base Rate and (ii) if such Borrowing shall be requested in any Foreign Currency or if such Borrowing is a Designated Loan, the LIBO Rate shall be equal to the rate determined by the Administrative Agent in its reasonable discretion and consented to in writing by the Company and the Required Lenders (the “</w:t>
      </w:r>
      <w:r>
        <w:rPr>
          <w:rFonts w:ascii="Arial" w:cs="Arial" w:eastAsia="Arial" w:hAnsi="Arial"/>
          <w:sz w:val="17"/>
          <w:szCs w:val="17"/>
          <w:u w:val="single" w:color="auto"/>
          <w:color w:val="auto"/>
        </w:rPr>
        <w:t>Alternative Rate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until such time as the Alternative Rate shall be determined and so consented to by the Company and the Required Lenders, Borrowings shall not be available in such Foreign Currency.</w:t>
      </w:r>
    </w:p>
    <w:p>
      <w:pPr>
        <w:spacing w:after="0" w:line="179" w:lineRule="exact"/>
        <w:rPr>
          <w:rFonts w:ascii="Arial" w:cs="Arial" w:eastAsia="Arial" w:hAnsi="Arial"/>
          <w:sz w:val="17"/>
          <w:szCs w:val="17"/>
          <w:color w:val="auto"/>
        </w:rPr>
      </w:pPr>
    </w:p>
    <w:p>
      <w:pPr>
        <w:ind w:left="1960" w:hanging="655"/>
        <w:spacing w:after="0"/>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prior to the commencement of any Interest Period for a Eurocurrency Borrowing:</w:t>
      </w:r>
    </w:p>
    <w:p>
      <w:pPr>
        <w:spacing w:after="0" w:line="225" w:lineRule="exact"/>
        <w:rPr>
          <w:rFonts w:ascii="Arial" w:cs="Arial" w:eastAsia="Arial" w:hAnsi="Arial"/>
          <w:sz w:val="18"/>
          <w:szCs w:val="18"/>
          <w:color w:val="auto"/>
        </w:rPr>
      </w:pPr>
    </w:p>
    <w:p>
      <w:pPr>
        <w:ind w:left="1300" w:right="280" w:firstLine="653"/>
        <w:spacing w:after="0" w:line="264" w:lineRule="auto"/>
        <w:tabs>
          <w:tab w:leader="none" w:pos="2618"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and binding absent manifest error) that adequate and reasonable means do not exist for ascertaining the Adjusted LIBO Rate or the LIBO Rate, as applicable, for a Loan in the applicable currency or for the applicable Interest Period; or</w:t>
      </w:r>
    </w:p>
    <w:p>
      <w:pPr>
        <w:spacing w:after="0" w:line="181" w:lineRule="exact"/>
        <w:rPr>
          <w:rFonts w:ascii="Arial" w:cs="Arial" w:eastAsia="Arial" w:hAnsi="Arial"/>
          <w:sz w:val="18"/>
          <w:szCs w:val="18"/>
          <w:color w:val="auto"/>
        </w:rPr>
      </w:pPr>
    </w:p>
    <w:p>
      <w:pPr>
        <w:ind w:left="1300" w:right="200" w:firstLine="653"/>
        <w:spacing w:after="0" w:line="264" w:lineRule="auto"/>
        <w:tabs>
          <w:tab w:leader="none" w:pos="262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the Adjusted LIBO Rate or the LIBO Rate, as applicable, for a Loan in the applicable currency or for the applicable Interest Period will not adequately and fairly reflect the cost to such Lenders of making or maintaining their Loans included in such Borrowing for such Interest Period;</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then the Administrative Agent shall give notice thereof to the Company and any applicable Subsidiary Borrower and the Lenders by telephone or telecopy as promptly as practicable thereafter and, until the Administrative Agent notifies the Company and any applicable Subsidiary Borrower and the Lenders that the circumstances giving rise to such notice no longer exist, (i) any Interest Election Request that requests the conversion of any Revolving Borrowing to, or continuation of any Revolving Borrowing as, a Eurocurrency Borrowing in the applicable currency or for the applicable Interest Period, as the case may be, shall be ineffective, (ii) if any Borrowing Request requests a Eurocurrency Revolving Borrowing in Dollars (other than a Designated Loan), such Borrowing shall be made as an ABR Borrowing and (iii) if any Borrowing Request requests a Eurocurrency Borrowing in a Foreign Currency or a Designated Loan, then the LIBO Rate for such Eurocurrency Borrowing shall be the Alternative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circumstances giving rise to such notice affect only one Type of Borrowings, then the other Type of Borrowings shall be permitted.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Increased Costs</w:t>
      </w:r>
      <w:r>
        <w:rPr>
          <w:rFonts w:ascii="Arial" w:cs="Arial" w:eastAsia="Arial" w:hAnsi="Arial"/>
          <w:sz w:val="18"/>
          <w:szCs w:val="18"/>
          <w:color w:val="auto"/>
        </w:rPr>
        <w:t>. (a) If any Change in Law shall:</w:t>
      </w:r>
    </w:p>
    <w:p>
      <w:pPr>
        <w:spacing w:after="0" w:line="225" w:lineRule="exact"/>
        <w:rPr>
          <w:sz w:val="20"/>
          <w:szCs w:val="20"/>
          <w:color w:val="auto"/>
        </w:rPr>
      </w:pPr>
    </w:p>
    <w:p>
      <w:pPr>
        <w:ind w:left="1300" w:right="20" w:firstLine="653"/>
        <w:spacing w:after="0" w:line="286" w:lineRule="auto"/>
        <w:tabs>
          <w:tab w:leader="none" w:pos="2618" w:val="left"/>
        </w:tabs>
        <w:numPr>
          <w:ilvl w:val="0"/>
          <w:numId w:val="42"/>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any Issuing Bank;</w:t>
      </w:r>
    </w:p>
    <w:p>
      <w:pPr>
        <w:spacing w:after="0" w:line="165" w:lineRule="exact"/>
        <w:rPr>
          <w:rFonts w:ascii="Arial" w:cs="Arial" w:eastAsia="Arial" w:hAnsi="Arial"/>
          <w:sz w:val="17"/>
          <w:szCs w:val="17"/>
          <w:color w:val="auto"/>
        </w:rPr>
      </w:pPr>
    </w:p>
    <w:p>
      <w:pPr>
        <w:ind w:left="1300" w:right="240" w:firstLine="653"/>
        <w:spacing w:after="0" w:line="308" w:lineRule="auto"/>
        <w:tabs>
          <w:tab w:leader="none" w:pos="2627" w:val="left"/>
        </w:tabs>
        <w:numPr>
          <w:ilvl w:val="0"/>
          <w:numId w:val="42"/>
        </w:numPr>
        <w:rPr>
          <w:rFonts w:ascii="Arial" w:cs="Arial" w:eastAsia="Arial" w:hAnsi="Arial"/>
          <w:sz w:val="17"/>
          <w:szCs w:val="17"/>
          <w:color w:val="auto"/>
        </w:rPr>
      </w:pPr>
      <w:r>
        <w:rPr>
          <w:rFonts w:ascii="Arial" w:cs="Arial" w:eastAsia="Arial" w:hAnsi="Arial"/>
          <w:sz w:val="17"/>
          <w:szCs w:val="17"/>
          <w:color w:val="auto"/>
        </w:rPr>
        <w:t>impose on any Lender or any Issuing Bank or the London interbank market any other condition, cost or expense (other than Taxes) affecting this Agreement or Loans made by such Lender or any Letter of Credit or participation therein; or</w:t>
      </w:r>
    </w:p>
    <w:p>
      <w:pPr>
        <w:spacing w:after="0" w:line="146" w:lineRule="exact"/>
        <w:rPr>
          <w:rFonts w:ascii="Arial" w:cs="Arial" w:eastAsia="Arial" w:hAnsi="Arial"/>
          <w:sz w:val="17"/>
          <w:szCs w:val="17"/>
          <w:color w:val="auto"/>
        </w:rPr>
      </w:pPr>
    </w:p>
    <w:p>
      <w:pPr>
        <w:ind w:left="1300" w:right="180" w:firstLine="653"/>
        <w:spacing w:after="0" w:line="264" w:lineRule="auto"/>
        <w:tabs>
          <w:tab w:leader="none" w:pos="26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81"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and the result of any of the foregoing shall be to increase the cost to such Lender or such other Recipient of making, continuing, converting into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applicable Borrower will pay to such Lender, such</w:t>
      </w:r>
    </w:p>
    <w:p>
      <w:pPr>
        <w:sectPr>
          <w:pgSz w:w="11900" w:h="16945" w:orient="portrait"/>
          <w:cols w:equalWidth="0" w:num="1">
            <w:col w:w="11420"/>
          </w:cols>
          <w:pgMar w:left="240" w:top="341" w:right="239" w:bottom="0" w:gutter="0" w:footer="0" w:header="0"/>
        </w:sectPr>
      </w:pPr>
    </w:p>
    <w:bookmarkStart w:id="30" w:name="page31"/>
    <w:bookmarkEnd w:id="30"/>
    <w:p>
      <w:pPr>
        <w:spacing w:after="0" w:line="1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Issuing Bank or such other Recipient, as the case may be, such additional amount or amounts as will compensate such Lender, such Issuing Bank or such other Recipient, as the case may be, for such additional costs incurred or reduction suffered as reasonably determined by the Administrative Agent, such Lender or such Issuing Bank (which determination shall be made in good faith (and not on an arbitrary or capricious basis) and generally consistent with similarly situated customers of the Administrative Agent, such Lender or such Issuing Bank, as applicable, under agreements having provisions similar to this Section 2.15, after consideration of such factors as the Administrative Agent, such Lender or such Issuing Bank, as applicable, then reasonably determines to be relevant).</w:t>
      </w:r>
    </w:p>
    <w:p>
      <w:pPr>
        <w:spacing w:after="0" w:line="193" w:lineRule="exact"/>
        <w:rPr>
          <w:sz w:val="20"/>
          <w:szCs w:val="20"/>
          <w:color w:val="auto"/>
        </w:rPr>
      </w:pPr>
    </w:p>
    <w:p>
      <w:pPr>
        <w:ind w:left="660" w:right="80" w:firstLine="645"/>
        <w:spacing w:after="0" w:line="288" w:lineRule="auto"/>
        <w:tabs>
          <w:tab w:leader="none" w:pos="1964"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the Commitments of such Lender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applicable Borrower will pay to such Lender or such Issuing Bank, as the case may be, such additional amount or amounts as will compensate such Lender or such Issuing Bank or such Lender’s or such Issuing Bank’s holding company for any such reduction suffered as reasonably determined by the Administrative Agent, such Lender or such Issuing Bank (which determination shall be made in good faith (and not on an arbitrary or capricious basis) and generally consistent with similarly situated customers of the Administrative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308" w:lineRule="auto"/>
        <w:rPr>
          <w:sz w:val="20"/>
          <w:szCs w:val="20"/>
          <w:color w:val="auto"/>
        </w:rPr>
      </w:pPr>
      <w:r>
        <w:rPr>
          <w:rFonts w:ascii="Arial" w:cs="Arial" w:eastAsia="Arial" w:hAnsi="Arial"/>
          <w:sz w:val="17"/>
          <w:szCs w:val="17"/>
          <w:color w:val="auto"/>
        </w:rPr>
        <w:t>Agent, such Lender or such Issuing Bank, as applicable, under agreements having provisions similar to this Section 2.15, after consideration of such factors as the Administrative Agent, such Lender or such Issuing Bank, as applicable, then reasonably determines to be relevant).</w:t>
      </w:r>
    </w:p>
    <w:p>
      <w:pPr>
        <w:spacing w:after="0" w:line="147" w:lineRule="exact"/>
        <w:rPr>
          <w:sz w:val="20"/>
          <w:szCs w:val="20"/>
          <w:color w:val="auto"/>
        </w:rPr>
      </w:pPr>
    </w:p>
    <w:p>
      <w:pPr>
        <w:ind w:left="660" w:right="120" w:firstLine="645"/>
        <w:spacing w:after="0" w:line="291" w:lineRule="auto"/>
        <w:tabs>
          <w:tab w:leader="none" w:pos="1967" w:val="left"/>
        </w:tabs>
        <w:numPr>
          <w:ilvl w:val="1"/>
          <w:numId w:val="44"/>
        </w:numPr>
        <w:rPr>
          <w:rFonts w:ascii="Arial" w:cs="Arial" w:eastAsia="Arial" w:hAnsi="Arial"/>
          <w:sz w:val="16"/>
          <w:szCs w:val="16"/>
          <w:color w:val="auto"/>
        </w:rPr>
      </w:pPr>
      <w:r>
        <w:rPr>
          <w:rFonts w:ascii="Arial" w:cs="Arial" w:eastAsia="Arial" w:hAnsi="Arial"/>
          <w:sz w:val="16"/>
          <w:szCs w:val="16"/>
          <w:color w:val="auto"/>
        </w:rPr>
        <w:t>A certificate of a Lender or an Issuing Bank setting forth, in reasonable detail, the basis and calculation of the amount or amounts necessary to compensate such Lender or such Issuing Bank or its respective holding company, as the case may be, as specified in paragraph (a) or</w:t>
      </w:r>
    </w:p>
    <w:p>
      <w:pPr>
        <w:ind w:left="920" w:hanging="264"/>
        <w:spacing w:after="0"/>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of this Section shall be delivered to the Company and shall be conclusive absent manifest error. The Company shall pay, or, subject to</w:t>
      </w:r>
    </w:p>
    <w:p>
      <w:pPr>
        <w:spacing w:after="0" w:line="21" w:lineRule="exact"/>
        <w:rPr>
          <w:sz w:val="20"/>
          <w:szCs w:val="20"/>
          <w:color w:val="auto"/>
        </w:rPr>
      </w:pPr>
    </w:p>
    <w:p>
      <w:pPr>
        <w:ind w:left="660" w:right="20"/>
        <w:spacing w:after="0" w:line="261" w:lineRule="auto"/>
        <w:rPr>
          <w:sz w:val="20"/>
          <w:szCs w:val="20"/>
          <w:color w:val="auto"/>
        </w:rPr>
      </w:pPr>
      <w:r>
        <w:rPr>
          <w:rFonts w:ascii="Arial" w:cs="Arial" w:eastAsia="Arial" w:hAnsi="Arial"/>
          <w:sz w:val="18"/>
          <w:szCs w:val="18"/>
          <w:color w:val="auto"/>
        </w:rPr>
        <w:t>Section 2.23(b), cause the other applicable Borrowers to pay, such Lender or such Issuing Bank, as the case may be, the amount shown as due on any such certificate within thirty (30) days after receipt thereof.</w:t>
      </w:r>
    </w:p>
    <w:p>
      <w:pPr>
        <w:spacing w:after="0" w:line="184" w:lineRule="exact"/>
        <w:rPr>
          <w:sz w:val="20"/>
          <w:szCs w:val="20"/>
          <w:color w:val="auto"/>
        </w:rPr>
      </w:pPr>
    </w:p>
    <w:p>
      <w:pPr>
        <w:ind w:left="660" w:right="100" w:firstLine="645"/>
        <w:spacing w:after="0" w:line="255" w:lineRule="auto"/>
        <w:tabs>
          <w:tab w:leader="none" w:pos="19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compensate a Lender or an Issuing Bank pursuant to this Section for any increased costs or reductions incurred more than 120 days prior to the date that such Lender or such Issuing Bank, as the case may be, notifies the Company of the Change in Law giving rise to such increased costs or reductions and of such Lender’s or such Issuing Bank’s intention to claim compensation therefor;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Change in Law giving rise to such increased costs or reductions is retroactive, then the 120-day period referred to above shall be extended to include the period of retroactive effect thereof.</w:t>
      </w:r>
    </w:p>
    <w:p>
      <w:pPr>
        <w:spacing w:after="0" w:line="189" w:lineRule="exact"/>
        <w:rPr>
          <w:sz w:val="20"/>
          <w:szCs w:val="20"/>
          <w:color w:val="auto"/>
        </w:rPr>
      </w:pPr>
    </w:p>
    <w:p>
      <w:pPr>
        <w:ind w:right="60" w:firstLine="1297"/>
        <w:spacing w:after="0" w:line="286"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In the event of (a) the payment of any principal of any Eurocurrency Loan other than on the last day of an Interest Period applicable thereto (including as a result of an Event of Default or as a result of any prepayment pursuant to Section 2.11), (b) the conversion of any Eurocurrency Loan other than on the last day of the Interest Period applicable thereto, (c) the failure to borrow, convert, continue or prepay any Eurocurrency Loan on the date specified in any notice delivered pursuant hereto (regardless of whether such notice may be revoked under</w:t>
      </w:r>
    </w:p>
    <w:p>
      <w:pPr>
        <w:spacing w:after="0" w:line="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Section 2.11(a) and is revoked in accordance therewith) or (d) the assignment of any Eurocurrency Loan other than on the last day of the Interest Period applicable thereto as a result of a request by the Company pursuant to Section 2.19, then, in any such event, the applicable Borrower(s) shall compensate each Lender for the loss, cost and expense attributable to such event (other than loss of anticipated profits).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(but not the Applicable Rate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eurocurrency market. A certificate of any Lender setting forth any amount or amounts that such Lender is entitled to receive pursuant to this Section, and setting forth in reasonable detail the calculations used by such Lender to determine such amount or amounts, shall be delivered to the applicable Borrower and shall be conclusive absent manifest error. The applicable Borrower shall pay such Lender the amount shown as due on any such certificate within thirty (30) days after receipt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Borrower shall be required to compensate a Lender pursuant to this Section for any amounts under this Section 2.16 incurred more than 120 days prior to the date that such Lender notifies such Borrower of such amount and of such Lender’s intention to claim compensation therefor.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2.17(a)) the applicable Recipient receives an amount equal to the sum it would have received had no such deduction or withholding been made.</w:t>
      </w:r>
    </w:p>
    <w:p>
      <w:pPr>
        <w:spacing w:after="0" w:line="192" w:lineRule="exact"/>
        <w:rPr>
          <w:sz w:val="20"/>
          <w:szCs w:val="20"/>
          <w:color w:val="auto"/>
        </w:rPr>
      </w:pPr>
    </w:p>
    <w:p>
      <w:pPr>
        <w:ind w:right="380" w:firstLine="1305"/>
        <w:spacing w:after="0" w:line="308" w:lineRule="auto"/>
        <w:tabs>
          <w:tab w:leader="none" w:pos="1952"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Payment of Other Taxes by the Borrowers</w:t>
      </w:r>
      <w:r>
        <w:rPr>
          <w:rFonts w:ascii="Arial" w:cs="Arial" w:eastAsia="Arial" w:hAnsi="Arial"/>
          <w:sz w:val="17"/>
          <w:szCs w:val="17"/>
          <w:color w:val="auto"/>
        </w:rPr>
        <w:t>. The relevant Borrower shall timely pay to the relevant Governmental Authority in accordance with applicable law, or at the option of the Administrative Agent timely reimburse it for the payment of, any Other Taxes.</w:t>
      </w:r>
    </w:p>
    <w:p>
      <w:pPr>
        <w:spacing w:after="0" w:line="146" w:lineRule="exact"/>
        <w:rPr>
          <w:rFonts w:ascii="Arial" w:cs="Arial" w:eastAsia="Arial" w:hAnsi="Arial"/>
          <w:sz w:val="17"/>
          <w:szCs w:val="17"/>
          <w:color w:val="auto"/>
        </w:rPr>
      </w:pPr>
    </w:p>
    <w:p>
      <w:pPr>
        <w:jc w:val="both"/>
        <w:ind w:right="100" w:firstLine="1305"/>
        <w:spacing w:after="0" w:line="342" w:lineRule="auto"/>
        <w:tabs>
          <w:tab w:leader="none" w:pos="1955"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As soon as practicable after any payment of Taxes by any Loan Party or by the Administrative Agent to a Governmental Authority pursuant to this Section 2.17, such Loan Party shall deliver to the Administrative Agent or the Administrative Agent shall deliver to</w:t>
      </w:r>
    </w:p>
    <w:p>
      <w:pPr>
        <w:sectPr>
          <w:pgSz w:w="11900" w:h="16975" w:orient="portrait"/>
          <w:cols w:equalWidth="0" w:num="1">
            <w:col w:w="11420"/>
          </w:cols>
          <w:pgMar w:left="240" w:top="125" w:right="239" w:bottom="0" w:gutter="0" w:footer="0" w:header="0"/>
        </w:sectPr>
      </w:pPr>
    </w:p>
    <w:bookmarkStart w:id="31" w:name="page32"/>
    <w:bookmarkEnd w:id="31"/>
    <w:p>
      <w:pPr>
        <w:spacing w:after="0" w:line="10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applicable Loan Party, as the case may be, the original or a certified copy of a receipt issued by such Governmental Authority evidencing such payment, a copy of the return reporting such payment or other evidence of such payment reasonably satisfactory to the Administrative Agent or the applicable Loan Party, as the case may be.</w:t>
      </w:r>
    </w:p>
    <w:p>
      <w:pPr>
        <w:spacing w:after="0" w:line="181" w:lineRule="exact"/>
        <w:rPr>
          <w:sz w:val="20"/>
          <w:szCs w:val="20"/>
          <w:color w:val="auto"/>
        </w:rPr>
      </w:pPr>
    </w:p>
    <w:p>
      <w:pPr>
        <w:ind w:firstLine="1305"/>
        <w:spacing w:after="0" w:line="255" w:lineRule="auto"/>
        <w:tabs>
          <w:tab w:leader="none" w:pos="195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Indemnification by the Loan Parties</w:t>
      </w:r>
      <w:r>
        <w:rPr>
          <w:rFonts w:ascii="Arial" w:cs="Arial" w:eastAsia="Arial" w:hAnsi="Arial"/>
          <w:sz w:val="18"/>
          <w:szCs w:val="18"/>
          <w:color w:val="auto"/>
        </w:rPr>
        <w:t>. The Loan Parties shall indemnify each Recipient, within 10 days after demand therefor, for the full amount of any Indemnified Taxes (including Indemnified Taxes imposed or asserted on or attributable to amounts payable under this Section 2.17) payable or paid by such Recipient or required to be withheld or deducted from a payment to such Recipient and any reasonable and documented out-of-pocket expenses arising therefrom or with respect thereto, whether or not such Indemnified Taxes were correctly or legally imposed or asserted by the relevant Governmental Authority. A certificate setting forth in reasonable detail the basis and calculation of the amount of such payment or liability delivered to the relevant Borrower by a Lender (with a copy to the Administrative Agent), or by the Administrative Agent on its own behalf or on behalf of a Lender, shall be conclusive absent manifest error.</w:t>
      </w:r>
    </w:p>
    <w:p>
      <w:pPr>
        <w:spacing w:after="0" w:line="189" w:lineRule="exact"/>
        <w:rPr>
          <w:rFonts w:ascii="Arial" w:cs="Arial" w:eastAsia="Arial" w:hAnsi="Arial"/>
          <w:sz w:val="18"/>
          <w:szCs w:val="18"/>
          <w:color w:val="auto"/>
        </w:rPr>
      </w:pPr>
    </w:p>
    <w:p>
      <w:pPr>
        <w:ind w:firstLine="1305"/>
        <w:spacing w:after="0" w:line="289" w:lineRule="auto"/>
        <w:tabs>
          <w:tab w:leader="none" w:pos="195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Indemnification by the Lenders</w:t>
      </w:r>
      <w:r>
        <w:rPr>
          <w:rFonts w:ascii="Arial" w:cs="Arial" w:eastAsia="Arial" w:hAnsi="Arial"/>
          <w:sz w:val="16"/>
          <w:szCs w:val="16"/>
          <w:color w:val="auto"/>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69" w:lineRule="auto"/>
        <w:tabs>
          <w:tab w:leader="none" w:pos="1949"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Status of Lenders</w:t>
      </w:r>
      <w:r>
        <w:rPr>
          <w:rFonts w:ascii="Arial" w:cs="Arial" w:eastAsia="Arial" w:hAnsi="Arial"/>
          <w:sz w:val="17"/>
          <w:szCs w:val="17"/>
          <w:color w:val="auto"/>
        </w:rPr>
        <w:t>. (i) 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any Borrower or the Administrative Agent as will permit such payments to be made without withholding or at a reduced rate of withholding. In addition, any Lender, if reasonably requested by any Borrower or the Administrative Agent, shall deliver such other documentation prescribed by applicable law or reasonably requested by any Borrower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(it being understood that the Borrowers shall be given a reasonable opportunity to reimburse such Lender with respect to such cost or expense) or would materially prejudice the legal or commercial position of such Lender.</w:t>
      </w:r>
    </w:p>
    <w:p>
      <w:pPr>
        <w:spacing w:after="0" w:line="183" w:lineRule="exact"/>
        <w:rPr>
          <w:sz w:val="20"/>
          <w:szCs w:val="20"/>
          <w:color w:val="auto"/>
        </w:rPr>
      </w:pPr>
    </w:p>
    <w:p>
      <w:pPr>
        <w:ind w:left="2640" w:hanging="687"/>
        <w:spacing w:after="0"/>
        <w:tabs>
          <w:tab w:leader="none" w:pos="2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any Borrower is a U.S. Person:</w:t>
      </w:r>
    </w:p>
    <w:p>
      <w:pPr>
        <w:spacing w:after="0" w:line="225" w:lineRule="exact"/>
        <w:rPr>
          <w:sz w:val="20"/>
          <w:szCs w:val="20"/>
          <w:color w:val="auto"/>
        </w:rPr>
      </w:pPr>
    </w:p>
    <w:p>
      <w:pPr>
        <w:ind w:left="1300" w:right="100" w:firstLine="653"/>
        <w:spacing w:after="0" w:line="259" w:lineRule="auto"/>
        <w:tabs>
          <w:tab w:leader="none" w:pos="261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Lender that is a U.S. Person shall deliver to each such Borrower and the Administrative Agent on or prior to the date on which such Lender becomes a Lender under this Agreement (and from time to time thereafter upon the reasonable request of any such Borrower or the Administrative Agent), duly executed originals of IRS Form W-9 certifying that such Lender is exempt from U.S. federal backup withholding tax;</w:t>
      </w:r>
    </w:p>
    <w:p>
      <w:pPr>
        <w:spacing w:after="0" w:line="186" w:lineRule="exact"/>
        <w:rPr>
          <w:rFonts w:ascii="Arial" w:cs="Arial" w:eastAsia="Arial" w:hAnsi="Arial"/>
          <w:sz w:val="18"/>
          <w:szCs w:val="18"/>
          <w:color w:val="auto"/>
        </w:rPr>
      </w:pPr>
    </w:p>
    <w:p>
      <w:pPr>
        <w:ind w:left="1300" w:right="20" w:firstLine="653"/>
        <w:spacing w:after="0" w:line="259" w:lineRule="auto"/>
        <w:tabs>
          <w:tab w:leader="none" w:pos="260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each such Borrower and the Administrative Agent (in such number of copies as shall be requested by the recipient) on or prior to the date on which such Foreign Lender becomes a Lender under this Agreement (and from time to time thereafter upon the reasonable request of each such Borrower or the Administrative Agent), whichever of the following is applicable:</w:t>
      </w:r>
    </w:p>
    <w:p>
      <w:pPr>
        <w:spacing w:after="0" w:line="187" w:lineRule="exact"/>
        <w:rPr>
          <w:sz w:val="20"/>
          <w:szCs w:val="20"/>
          <w:color w:val="auto"/>
        </w:rPr>
      </w:pPr>
    </w:p>
    <w:p>
      <w:pPr>
        <w:ind w:left="1960" w:right="20" w:hanging="7"/>
        <w:spacing w:after="0" w:line="255" w:lineRule="auto"/>
        <w:tabs>
          <w:tab w:leader="none" w:pos="2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duly executed originals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93" w:lineRule="exact"/>
        <w:rPr>
          <w:rFonts w:ascii="Arial" w:cs="Arial" w:eastAsia="Arial" w:hAnsi="Arial"/>
          <w:sz w:val="18"/>
          <w:szCs w:val="18"/>
          <w:color w:val="auto"/>
        </w:rPr>
      </w:pPr>
    </w:p>
    <w:p>
      <w:pPr>
        <w:ind w:left="1960" w:right="420" w:hanging="7"/>
        <w:spacing w:after="0" w:line="277" w:lineRule="auto"/>
        <w:tabs>
          <w:tab w:leader="none" w:pos="2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a Foreign Lender claiming that its extension of credit will generate U.S. effectively connected income, duly executed originals of IRS Form W-8ECI;</w:t>
      </w:r>
    </w:p>
    <w:p>
      <w:pPr>
        <w:spacing w:after="0" w:line="170" w:lineRule="exact"/>
        <w:rPr>
          <w:rFonts w:ascii="Arial" w:cs="Arial" w:eastAsia="Arial" w:hAnsi="Arial"/>
          <w:sz w:val="18"/>
          <w:szCs w:val="18"/>
          <w:color w:val="auto"/>
        </w:rPr>
      </w:pPr>
    </w:p>
    <w:p>
      <w:pPr>
        <w:ind w:left="2200" w:hanging="247"/>
        <w:spacing w:after="0"/>
        <w:tabs>
          <w:tab w:leader="none" w:pos="22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w:t>
      </w:r>
    </w:p>
    <w:p>
      <w:pPr>
        <w:spacing w:after="0" w:line="46" w:lineRule="exact"/>
        <w:rPr>
          <w:rFonts w:ascii="Arial" w:cs="Arial" w:eastAsia="Arial" w:hAnsi="Arial"/>
          <w:sz w:val="16"/>
          <w:szCs w:val="16"/>
          <w:color w:val="auto"/>
        </w:rPr>
      </w:pPr>
    </w:p>
    <w:p>
      <w:pPr>
        <w:ind w:left="1960" w:right="16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(x) a certificate substantially in the form of </w:t>
      </w:r>
      <w:r>
        <w:rPr>
          <w:rFonts w:ascii="Arial" w:cs="Arial" w:eastAsia="Arial" w:hAnsi="Arial"/>
          <w:sz w:val="18"/>
          <w:szCs w:val="18"/>
          <w:u w:val="single" w:color="auto"/>
          <w:color w:val="auto"/>
        </w:rPr>
        <w:t>Exhibit H-1</w:t>
      </w:r>
      <w:r>
        <w:rPr>
          <w:rFonts w:ascii="Arial" w:cs="Arial" w:eastAsia="Arial" w:hAnsi="Arial"/>
          <w:sz w:val="18"/>
          <w:szCs w:val="18"/>
          <w:color w:val="auto"/>
        </w:rPr>
        <w:t xml:space="preserve"> to the effect that such Foreign Lender is not a “bank” within the meaning of Section 881(c)(3)(A) of the Code, a “10 percent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220"/>
        <w:spacing w:after="0" w:line="264" w:lineRule="auto"/>
        <w:rPr>
          <w:sz w:val="20"/>
          <w:szCs w:val="20"/>
          <w:color w:val="auto"/>
        </w:rPr>
      </w:pPr>
      <w:r>
        <w:rPr>
          <w:rFonts w:ascii="Arial" w:cs="Arial" w:eastAsia="Arial" w:hAnsi="Arial"/>
          <w:sz w:val="18"/>
          <w:szCs w:val="18"/>
          <w:color w:val="auto"/>
        </w:rPr>
        <w:t>shareholder” of such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originals of IRS Form W-8BEN or IRS Form W-8BEN-E; or</w:t>
      </w:r>
    </w:p>
    <w:p>
      <w:pPr>
        <w:spacing w:after="0" w:line="181" w:lineRule="exact"/>
        <w:rPr>
          <w:sz w:val="20"/>
          <w:szCs w:val="20"/>
          <w:color w:val="auto"/>
        </w:rPr>
      </w:pPr>
    </w:p>
    <w:p>
      <w:pPr>
        <w:ind w:left="1960" w:right="40" w:hanging="7"/>
        <w:spacing w:after="0" w:line="302" w:lineRule="auto"/>
        <w:tabs>
          <w:tab w:leader="none" w:pos="2215"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to the extent a Foreign Lender is not the beneficial owner, executed originals of IRS Form W-8IMY, accompanied by IRS Form W-8ECI, IRS Form W-8BEN or IRS Form W-8BEN-E, a U.S. Tax Compliance Certificate substantially in the form of </w:t>
      </w:r>
      <w:r>
        <w:rPr>
          <w:rFonts w:ascii="Arial" w:cs="Arial" w:eastAsia="Arial" w:hAnsi="Arial"/>
          <w:sz w:val="16"/>
          <w:szCs w:val="16"/>
          <w:u w:val="single" w:color="auto"/>
          <w:color w:val="auto"/>
        </w:rPr>
        <w:t>Exhibit H-2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H-3</w:t>
      </w:r>
      <w:r>
        <w:rPr>
          <w:rFonts w:ascii="Arial" w:cs="Arial" w:eastAsia="Arial" w:hAnsi="Arial"/>
          <w:sz w:val="16"/>
          <w:szCs w:val="16"/>
          <w:color w:val="auto"/>
        </w:rPr>
        <w:t xml:space="preserve">, IRS Form W-9, and/or other certification documents from each beneficial owner,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Foreign Lender is a partnership and one or more direct or indirect partners of such Foreign Lender are claiming</w:t>
      </w:r>
    </w:p>
    <w:p>
      <w:pPr>
        <w:sectPr>
          <w:pgSz w:w="11900" w:h="16945" w:orient="portrait"/>
          <w:cols w:equalWidth="0" w:num="1">
            <w:col w:w="11420"/>
          </w:cols>
          <w:pgMar w:left="240" w:top="125" w:right="239" w:bottom="0" w:gutter="0" w:footer="0" w:header="0"/>
        </w:sectPr>
      </w:pPr>
    </w:p>
    <w:bookmarkStart w:id="32" w:name="page33"/>
    <w:bookmarkEnd w:id="32"/>
    <w:p>
      <w:pPr>
        <w:spacing w:after="0" w:line="137" w:lineRule="exact"/>
        <w:rPr>
          <w:sz w:val="20"/>
          <w:szCs w:val="20"/>
          <w:color w:val="auto"/>
        </w:rPr>
      </w:pPr>
    </w:p>
    <w:p>
      <w:pPr>
        <w:ind w:left="1960" w:right="120"/>
        <w:spacing w:after="0" w:line="277" w:lineRule="auto"/>
        <w:rPr>
          <w:sz w:val="20"/>
          <w:szCs w:val="20"/>
          <w:color w:val="auto"/>
        </w:rPr>
      </w:pPr>
      <w:r>
        <w:rPr>
          <w:rFonts w:ascii="Arial" w:cs="Arial" w:eastAsia="Arial" w:hAnsi="Arial"/>
          <w:sz w:val="18"/>
          <w:szCs w:val="18"/>
          <w:color w:val="auto"/>
        </w:rPr>
        <w:t xml:space="preserve">the portfolio interest exemption, such Foreign Lender may provide a U.S. Tax Compliance Certificate substantially in the form of </w:t>
      </w:r>
      <w:r>
        <w:rPr>
          <w:rFonts w:ascii="Arial" w:cs="Arial" w:eastAsia="Arial" w:hAnsi="Arial"/>
          <w:sz w:val="18"/>
          <w:szCs w:val="18"/>
          <w:u w:val="single" w:color="auto"/>
          <w:color w:val="auto"/>
        </w:rPr>
        <w:t>Exhibit H-4</w:t>
      </w:r>
      <w:r>
        <w:rPr>
          <w:rFonts w:ascii="Arial" w:cs="Arial" w:eastAsia="Arial" w:hAnsi="Arial"/>
          <w:sz w:val="18"/>
          <w:szCs w:val="18"/>
          <w:color w:val="auto"/>
        </w:rPr>
        <w:t xml:space="preserve"> on behalf of each such direct and indirect partner;</w:t>
      </w:r>
    </w:p>
    <w:p>
      <w:pPr>
        <w:spacing w:after="0" w:line="170" w:lineRule="exact"/>
        <w:rPr>
          <w:sz w:val="20"/>
          <w:szCs w:val="20"/>
          <w:color w:val="auto"/>
        </w:rPr>
      </w:pPr>
    </w:p>
    <w:p>
      <w:pPr>
        <w:ind w:left="1300" w:firstLine="653"/>
        <w:spacing w:after="0" w:line="293" w:lineRule="auto"/>
        <w:tabs>
          <w:tab w:leader="none" w:pos="2607"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each such Borrower and the Administrative Agent (in such number of copies as shall be requested by the recipient) on or prior to the date on which such Foreign Lender becomes a Lender under this Agreement (and from time to time thereafter upon the reasonable request of any such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each such Borrower or the Administrative Agent to determine the withholding or deduction required to be made; and</w:t>
      </w:r>
    </w:p>
    <w:p>
      <w:pPr>
        <w:spacing w:after="0" w:line="164" w:lineRule="exact"/>
        <w:rPr>
          <w:rFonts w:ascii="Arial" w:cs="Arial" w:eastAsia="Arial" w:hAnsi="Arial"/>
          <w:sz w:val="16"/>
          <w:szCs w:val="16"/>
          <w:color w:val="auto"/>
        </w:rPr>
      </w:pPr>
    </w:p>
    <w:p>
      <w:pPr>
        <w:ind w:left="1300" w:right="60" w:firstLine="653"/>
        <w:spacing w:after="0" w:line="289" w:lineRule="auto"/>
        <w:tabs>
          <w:tab w:leader="none" w:pos="2617"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each such Borrower and the Administrative Agent at the time or times prescribed by law and at such time or times reasonably requested by any such Borrower or the Administrative Agent such documentation prescribed by applicable law (including as prescribed by Section 1471(b)(3)(C)(i) of the Code) and such additional documentation reasonably requested by any such Borrower or the Administrative Agent as may be necessary for each such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6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70" w:lineRule="exact"/>
        <w:rPr>
          <w:sz w:val="20"/>
          <w:szCs w:val="20"/>
          <w:color w:val="auto"/>
        </w:rPr>
      </w:pPr>
    </w:p>
    <w:p>
      <w:pPr>
        <w:ind w:right="20" w:firstLine="1305"/>
        <w:spacing w:after="0" w:line="302" w:lineRule="auto"/>
        <w:tabs>
          <w:tab w:leader="none" w:pos="196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66" w:lineRule="exact"/>
        <w:rPr>
          <w:sz w:val="20"/>
          <w:szCs w:val="20"/>
          <w:color w:val="auto"/>
        </w:rPr>
      </w:pPr>
    </w:p>
    <w:p>
      <w:pPr>
        <w:ind w:firstLine="1305"/>
        <w:spacing w:after="0" w:line="264" w:lineRule="auto"/>
        <w:tabs>
          <w:tab w:leader="none" w:pos="195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For purposes of this Section 2.17, the term “Lender” includes each Issuing Bank and the term “applicable law”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includes FATCA.</w:t>
      </w:r>
    </w:p>
    <w:p>
      <w:pPr>
        <w:spacing w:after="0" w:line="210" w:lineRule="exact"/>
        <w:rPr>
          <w:rFonts w:ascii="Arial" w:cs="Arial" w:eastAsia="Arial" w:hAnsi="Arial"/>
          <w:sz w:val="16"/>
          <w:szCs w:val="16"/>
          <w:color w:val="auto"/>
        </w:rPr>
      </w:pPr>
    </w:p>
    <w:p>
      <w:pPr>
        <w:ind w:right="100" w:firstLine="1305"/>
        <w:spacing w:after="0" w:line="257" w:lineRule="auto"/>
        <w:tabs>
          <w:tab w:leader="none" w:pos="1953"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Luxembourg Registration Duty</w:t>
      </w:r>
      <w:r>
        <w:rPr>
          <w:rFonts w:ascii="Arial" w:cs="Arial" w:eastAsia="Arial" w:hAnsi="Arial"/>
          <w:sz w:val="18"/>
          <w:szCs w:val="18"/>
          <w:color w:val="auto"/>
        </w:rPr>
        <w:t>. In order to not unnecessarily cause application of Luxembourg’s registration duty applicable to documents in writing evidencing an obligation to pay, neither the Administrative Agent nor any Lender will take any action to file or register this Agreement or any of the Loan Documents with applicable Luxembourg authorities which would cause such registration duty to be payable unless the Administrative Agent reasonably deems such action necessary or advisable in connection with the protection of rights or pursuit of remedies during the continuance of an Event of Default.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225" w:lineRule="exact"/>
        <w:rPr>
          <w:sz w:val="20"/>
          <w:szCs w:val="20"/>
          <w:color w:val="auto"/>
        </w:rPr>
      </w:pPr>
    </w:p>
    <w:p>
      <w:pPr>
        <w:ind w:left="660" w:firstLine="645"/>
        <w:spacing w:after="0" w:line="286" w:lineRule="auto"/>
        <w:tabs>
          <w:tab w:leader="none" w:pos="1954" w:val="left"/>
        </w:tabs>
        <w:numPr>
          <w:ilvl w:val="0"/>
          <w:numId w:val="57"/>
        </w:numPr>
        <w:rPr>
          <w:rFonts w:ascii="Arial" w:cs="Arial" w:eastAsia="Arial" w:hAnsi="Arial"/>
          <w:sz w:val="16"/>
          <w:szCs w:val="16"/>
          <w:color w:val="auto"/>
        </w:rPr>
      </w:pPr>
      <w:r>
        <w:rPr>
          <w:rFonts w:ascii="Arial" w:cs="Arial" w:eastAsia="Arial" w:hAnsi="Arial"/>
          <w:sz w:val="16"/>
          <w:szCs w:val="16"/>
          <w:color w:val="auto"/>
        </w:rPr>
        <w:t>Each Borrower shall make each payment required to be made by it hereunder (whether of principal, interest, fees or reimbursement of LC Disbursements, or of amounts payable under Section 2.15, 2.16 or 2.17, or otherwise) prior to (i) in the case of payments denominated in Dollars (other than in respect of Designated Loans), 2:00 p.m., New York City time and (ii) in the case of payments denominated in a Foreign Currency or in respect of Designated Loans, 1:00 p.m., Local Time, in the city of the Administrative Agent’s Eurocurrency Payment Office for such currency or Designated Loan, as applicable, in each case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euro, in euro) and (ii) to the Administrative Agent at its offices at 10 South Dearborn Street, Chicago, Illinois 60603 or, in the case of a Credit Event denominated in a Foreign Currency or a Designated Loan, the Administrative Agent’s Eurocurrency Payment Office for such currency or Designated Loan, as applicable, except payments to be made directly to any Issuing Bank or the Swingline Lender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342" w:lineRule="auto"/>
        <w:rPr>
          <w:sz w:val="20"/>
          <w:szCs w:val="20"/>
          <w:color w:val="auto"/>
        </w:rPr>
      </w:pPr>
      <w:r>
        <w:rPr>
          <w:rFonts w:ascii="Arial" w:cs="Arial" w:eastAsia="Arial" w:hAnsi="Arial"/>
          <w:sz w:val="16"/>
          <w:szCs w:val="16"/>
          <w:color w:val="auto"/>
        </w:rPr>
        <w:t>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w:t>
      </w:r>
    </w:p>
    <w:p>
      <w:pPr>
        <w:sectPr>
          <w:pgSz w:w="11900" w:h="16975" w:orient="portrait"/>
          <w:cols w:equalWidth="0" w:num="1">
            <w:col w:w="11400"/>
          </w:cols>
          <w:pgMar w:left="240" w:top="125" w:right="259" w:bottom="0" w:gutter="0" w:footer="0" w:header="0"/>
        </w:sectPr>
      </w:pPr>
    </w:p>
    <w:bookmarkStart w:id="33" w:name="page34"/>
    <w:bookmarkEnd w:id="33"/>
    <w:p>
      <w:pPr>
        <w:ind w:left="660" w:right="40"/>
        <w:spacing w:after="0" w:line="273" w:lineRule="auto"/>
        <w:rPr>
          <w:sz w:val="20"/>
          <w:szCs w:val="20"/>
          <w:color w:val="auto"/>
        </w:rPr>
      </w:pPr>
      <w:r>
        <w:rPr>
          <w:rFonts w:ascii="Arial" w:cs="Arial" w:eastAsia="Arial" w:hAnsi="Arial"/>
          <w:sz w:val="17"/>
          <w:szCs w:val="17"/>
          <w:color w:val="auto"/>
        </w:rPr>
        <w:t>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Arial" w:cs="Arial" w:eastAsia="Arial" w:hAnsi="Arial"/>
          <w:sz w:val="17"/>
          <w:szCs w:val="17"/>
          <w:u w:val="single" w:color="auto"/>
          <w:color w:val="auto"/>
        </w:rPr>
        <w:t>Original Currency</w:t>
      </w:r>
      <w:r>
        <w:rPr>
          <w:rFonts w:ascii="Arial" w:cs="Arial" w:eastAsia="Arial" w:hAnsi="Arial"/>
          <w:sz w:val="17"/>
          <w:szCs w:val="17"/>
          <w:color w:val="auto"/>
        </w:rPr>
        <w:t>”) no longer exists or the applicable Borrower is not able to make payment required to be made by it hereunder to the Administrative Agent for the account of the Lenders in such Original Currency, then all payments to be made by such Borrower hereunder in such currency shall instead be made when due in Dollars in an amount equal to the Dollar Amount (as of the date of repayment) of such payment due, it being the intention of the parties hereto that the Borrowers take all risks of the imposition of any such currency control or exchange regulations.</w:t>
      </w:r>
    </w:p>
    <w:p>
      <w:pPr>
        <w:spacing w:after="0" w:line="178" w:lineRule="exact"/>
        <w:rPr>
          <w:sz w:val="20"/>
          <w:szCs w:val="20"/>
          <w:color w:val="auto"/>
        </w:rPr>
      </w:pPr>
    </w:p>
    <w:p>
      <w:pPr>
        <w:ind w:left="660" w:right="20" w:firstLine="645"/>
        <w:spacing w:after="0" w:line="276" w:lineRule="auto"/>
        <w:tabs>
          <w:tab w:leader="none" w:pos="1964"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660" w:firstLine="645"/>
        <w:spacing w:after="0" w:line="268" w:lineRule="auto"/>
        <w:tabs>
          <w:tab w:leader="none" w:pos="1964"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Subject to Section 2.23(b), if any Lender shall, by exercising any right of set-off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relating to any Obligations owed by such Borrower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80" w:lineRule="exact"/>
        <w:rPr>
          <w:rFonts w:ascii="Arial" w:cs="Arial" w:eastAsia="Arial" w:hAnsi="Arial"/>
          <w:sz w:val="17"/>
          <w:szCs w:val="17"/>
          <w:color w:val="auto"/>
        </w:rPr>
      </w:pPr>
    </w:p>
    <w:p>
      <w:pPr>
        <w:ind w:left="660" w:right="300" w:firstLine="645"/>
        <w:spacing w:after="0" w:line="277" w:lineRule="auto"/>
        <w:tabs>
          <w:tab w:leader="none" w:pos="1967"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the Company or the relevant Subsidiary Borrower prior to the date on which any payment is due to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71" w:lineRule="auto"/>
        <w:rPr>
          <w:sz w:val="20"/>
          <w:szCs w:val="20"/>
          <w:color w:val="auto"/>
        </w:rPr>
      </w:pPr>
      <w:r>
        <w:rPr>
          <w:rFonts w:ascii="Arial" w:cs="Arial" w:eastAsia="Arial" w:hAnsi="Arial"/>
          <w:sz w:val="17"/>
          <w:szCs w:val="17"/>
          <w:color w:val="auto"/>
        </w:rPr>
        <w:t>Administrative Agent for the account of the Lenders or the Issuing Banks hereunder that such Borrower will not make such payment, the Administrative Agent may assume that such Borrower has made such payment on such date in accordance herewith and may, in reliance upon such assumption, distribute to the Lenders or the Issuing Banks, as the case may be, the amount due. In such event, if such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(including without limitation the Overnight Foreign Currency Rate in the case of Loans denominated in a Foreign Currency).</w:t>
      </w:r>
    </w:p>
    <w:p>
      <w:pPr>
        <w:spacing w:after="0" w:line="179" w:lineRule="exact"/>
        <w:rPr>
          <w:sz w:val="20"/>
          <w:szCs w:val="20"/>
          <w:color w:val="auto"/>
        </w:rPr>
      </w:pPr>
    </w:p>
    <w:p>
      <w:pPr>
        <w:ind w:left="660" w:right="240" w:firstLine="645"/>
        <w:spacing w:after="0" w:line="286" w:lineRule="auto"/>
        <w:tabs>
          <w:tab w:leader="none" w:pos="1961" w:val="left"/>
        </w:tabs>
        <w:numPr>
          <w:ilvl w:val="1"/>
          <w:numId w:val="59"/>
        </w:numPr>
        <w:rPr>
          <w:rFonts w:ascii="Arial" w:cs="Arial" w:eastAsia="Arial" w:hAnsi="Arial"/>
          <w:sz w:val="16"/>
          <w:szCs w:val="16"/>
          <w:color w:val="auto"/>
        </w:rPr>
      </w:pPr>
      <w:r>
        <w:rPr>
          <w:rFonts w:ascii="Arial" w:cs="Arial" w:eastAsia="Arial" w:hAnsi="Arial"/>
          <w:sz w:val="16"/>
          <w:szCs w:val="16"/>
          <w:color w:val="auto"/>
        </w:rPr>
        <w:t>If any Lender shall fail to make any payment required to be made by it pursuant to Section 2.05(c), 2.06(d) or (e), 2.07(b), 2.18(e) or 9.03(c), then the Administrative Agent may, in its discretion (notwithstanding any contrary provision hereof), (i) apply any amounts thereafter received by the Administrative Agent for the account of such Lender and for the benefit of the Administrative Agent, the Swingline Lender or the Issuing Banks to satisfy such Lender’s obligations to it under such Section until all such unsatisfied obligations are fully paid and/or</w:t>
      </w:r>
    </w:p>
    <w:p>
      <w:pPr>
        <w:spacing w:after="0" w:line="1" w:lineRule="exact"/>
        <w:rPr>
          <w:rFonts w:ascii="Arial" w:cs="Arial" w:eastAsia="Arial" w:hAnsi="Arial"/>
          <w:sz w:val="16"/>
          <w:szCs w:val="16"/>
          <w:color w:val="auto"/>
        </w:rPr>
      </w:pPr>
    </w:p>
    <w:p>
      <w:pPr>
        <w:ind w:left="660" w:right="60" w:hanging="4"/>
        <w:spacing w:after="0" w:line="255" w:lineRule="auto"/>
        <w:tabs>
          <w:tab w:leader="none" w:pos="925" w:val="left"/>
        </w:tabs>
        <w:numPr>
          <w:ilvl w:val="0"/>
          <w:numId w:val="60"/>
        </w:numPr>
        <w:rPr>
          <w:rFonts w:ascii="Arial" w:cs="Arial" w:eastAsia="Arial" w:hAnsi="Arial"/>
          <w:sz w:val="18"/>
          <w:szCs w:val="18"/>
          <w:color w:val="auto"/>
        </w:rPr>
      </w:pPr>
      <w:r>
        <w:rPr>
          <w:rFonts w:ascii="Arial" w:cs="Arial" w:eastAsia="Arial" w:hAnsi="Arial"/>
          <w:sz w:val="18"/>
          <w:szCs w:val="18"/>
          <w:color w:val="auto"/>
        </w:rPr>
        <w:t>hold any such amounts in a segregated account over which the Administrative Agent shall have exclusive control as cash collateral for, and application to, any future funding obligations of such Lender under any such Section; in the case of each of clauses (i) and (ii) above, in any order as determined by the Administrative Agent in its discretion.</w:t>
      </w:r>
    </w:p>
    <w:p>
      <w:pPr>
        <w:spacing w:after="0" w:line="190"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 xml:space="preserve">SECTION 2.19. </w:t>
      </w:r>
      <w:r>
        <w:rPr>
          <w:rFonts w:ascii="Arial" w:cs="Arial" w:eastAsia="Arial" w:hAnsi="Arial"/>
          <w:sz w:val="17"/>
          <w:szCs w:val="17"/>
          <w:u w:val="single" w:color="auto"/>
          <w:color w:val="auto"/>
        </w:rPr>
        <w:t>Mitigation Obligations; Replacement of Lenders</w:t>
      </w:r>
      <w:r>
        <w:rPr>
          <w:rFonts w:ascii="Arial" w:cs="Arial" w:eastAsia="Arial" w:hAnsi="Arial"/>
          <w:sz w:val="17"/>
          <w:szCs w:val="17"/>
          <w:color w:val="auto"/>
        </w:rPr>
        <w:t>. (a) If any Lender requests compensation under Section 2.15, or if any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good faith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w:t>
      </w:r>
    </w:p>
    <w:p>
      <w:pPr>
        <w:spacing w:after="0" w:line="178" w:lineRule="exact"/>
        <w:rPr>
          <w:sz w:val="20"/>
          <w:szCs w:val="20"/>
          <w:color w:val="auto"/>
        </w:rPr>
      </w:pPr>
    </w:p>
    <w:p>
      <w:pPr>
        <w:ind w:left="660" w:firstLine="645"/>
        <w:spacing w:after="0" w:line="288" w:lineRule="auto"/>
        <w:tabs>
          <w:tab w:leader="none" w:pos="1964"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Section 2.15, (ii) any Borrower is required to pay any Indemnified Taxes or additional amounts to any Lender or any Governmental Authority for the account of any Lender pursuant to Section 2.17 or (iii) any Lender becomes a Defaulting Lender, then the Company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the Loan 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to the extent such consent would be required pursuant to Section 9.04(b), the Company shall have received the prior written consent of the Administrative Agent (and if a Commitment is being assigned, the Swingline Lender and the Issuing Banks), which consent shall not unreasonably be withheld, delayed or conditioned, (ii) such Lender shall have received payment of an amount equal to the outstanding principal of its Loans and participations in LC Disbursements and Swingline Loans, accrued interest thereon, accrued fees and all other amounts payable to it</w:t>
      </w:r>
    </w:p>
    <w:p>
      <w:pPr>
        <w:sectPr>
          <w:pgSz w:w="11900" w:h="16838" w:orient="portrait"/>
          <w:cols w:equalWidth="0" w:num="1">
            <w:col w:w="11420"/>
          </w:cols>
          <w:pgMar w:left="240" w:top="125" w:right="239" w:bottom="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0" w:gutter="0" w:footer="0" w:header="0"/>
          <w:type w:val="continuous"/>
        </w:sectPr>
      </w:pPr>
    </w:p>
    <w:bookmarkStart w:id="34" w:name="page35"/>
    <w:bookmarkEnd w:id="34"/>
    <w:p>
      <w:pPr>
        <w:ind w:left="6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hereunder (including amounts payable pursuant to Section 2.16), from the assignee (to the extent of such outstanding principal and accrued interest and fees) or the Company or relevant Subsidiary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w:t>
      </w:r>
    </w:p>
    <w:p>
      <w:pPr>
        <w:spacing w:after="0" w:line="158" w:lineRule="exact"/>
        <w:rPr>
          <w:sz w:val="20"/>
          <w:szCs w:val="20"/>
          <w:color w:val="auto"/>
        </w:rPr>
      </w:pPr>
    </w:p>
    <w:p>
      <w:pPr>
        <w:ind w:right="20" w:firstLine="1297"/>
        <w:spacing w:after="0" w:line="282" w:lineRule="auto"/>
        <w:rPr>
          <w:sz w:val="20"/>
          <w:szCs w:val="20"/>
          <w:color w:val="auto"/>
        </w:rPr>
      </w:pPr>
      <w:r>
        <w:rPr>
          <w:rFonts w:ascii="Arial" w:cs="Arial" w:eastAsia="Arial" w:hAnsi="Arial"/>
          <w:sz w:val="16"/>
          <w:szCs w:val="16"/>
          <w:color w:val="auto"/>
        </w:rPr>
        <w:t xml:space="preserve">SECTION 2.20. </w:t>
      </w:r>
      <w:r>
        <w:rPr>
          <w:rFonts w:ascii="Arial" w:cs="Arial" w:eastAsia="Arial" w:hAnsi="Arial"/>
          <w:sz w:val="16"/>
          <w:szCs w:val="16"/>
          <w:u w:val="single" w:color="auto"/>
          <w:color w:val="auto"/>
        </w:rPr>
        <w:t>Expansion Option</w:t>
      </w:r>
      <w:r>
        <w:rPr>
          <w:rFonts w:ascii="Arial" w:cs="Arial" w:eastAsia="Arial" w:hAnsi="Arial"/>
          <w:sz w:val="16"/>
          <w:szCs w:val="16"/>
          <w:color w:val="auto"/>
        </w:rPr>
        <w:t>. The Company may from time to time elect to increase the Commitments or enter into one or more tranches of term loans (each an “</w:t>
      </w:r>
      <w:r>
        <w:rPr>
          <w:rFonts w:ascii="Arial" w:cs="Arial" w:eastAsia="Arial" w:hAnsi="Arial"/>
          <w:sz w:val="16"/>
          <w:szCs w:val="16"/>
          <w:u w:val="single" w:color="auto"/>
          <w:color w:val="auto"/>
        </w:rPr>
        <w:t>Incremental Term Loan</w:t>
      </w:r>
      <w:r>
        <w:rPr>
          <w:rFonts w:ascii="Arial" w:cs="Arial" w:eastAsia="Arial" w:hAnsi="Arial"/>
          <w:sz w:val="16"/>
          <w:szCs w:val="16"/>
          <w:color w:val="auto"/>
        </w:rPr>
        <w:t>”), in each case in minimum increments of $50,000,000 so long as, after giving effect thereto, the aggregate amount of such increases and all such Incremental Term Loans does not exceed $250,000,000. The Company may arrange for any such increase or tranche to be provided by one or more Lenders (each Lender so agreeing to an increase in its Commitment, or to participate in such Incremental Term Loans,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or by one or more new banks, financial institutions or other entities (each such new bank, financial institution or other entity, an “</w:t>
      </w:r>
      <w:r>
        <w:rPr>
          <w:rFonts w:ascii="Arial" w:cs="Arial" w:eastAsia="Arial" w:hAnsi="Arial"/>
          <w:sz w:val="16"/>
          <w:szCs w:val="16"/>
          <w:u w:val="single" w:color="auto"/>
          <w:color w:val="auto"/>
        </w:rPr>
        <w:t>Augmenting 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Ineligible Institution may be an Augmenting Lender), which agree to increase their existing Commitments, or to participate in such Incremental Term Loans, or provide new Commitments,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Augmenting Lender, shall be subject to the approval of the Company, the Administrative Agent and, if the Augmenting Lender is providing new or increased Revolving Commitments, the Swingline Lender and the Issuing Banks (such approvals not to be unreasonably withheld, delayed or conditioned) and (ii) (x) in the case of an Increasing Lender, the Company and such Increasing Lender execute an agreement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and (y) in the case of an Augmenting Lender, the Company and such Augmenting Lender execute an agreement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No consent of any Lender (other than the Lenders participating in the increase or any Incremental Term Loan) shall be required for any increase in Commitments or Incremental Term Loan pursuant to this Section 2.20. Increases and new Commitments and Incremental Term Loans created pursuant to this Section 2.20 shall become effective on the date agreed by the Company, the Administrative Agent and the relevant Increasing Lenders or Augmenting Lenders, and the Administrative Agent shall notify each Lender thereof. Notwithstanding the foregoing, no increase in the Commitments (or in the Commitment of any Lender) or tranche of Incremental Term Loans shall become effective under this paragraph unless, (i) on the proposed date of the effectiveness of such increase or Incremental Term Loans, (A) the conditions set forth in paragraphs (a) and (b) of Section 4.02 shall be satisfied or waived by the Required Lenders and the Administrative Agent shall have received a certificate on behalf of the Company to that effect dated such date and executed by a Responsible Officer of the Company and (B) the Company shall be in compliance (on a pro forma basis) with the covenants contained in Section 6.07 and (ii) to the extent reasonably requested by the Administrative Agent, the Administrative Agent shall have received documents and opinions of the same type, to the extent applicable, as those delivered on the Effective Date as to the organizational power and authority of the Borrowers to borrow hereunder after giving effect to such increase (or to the extent the resolutions delivered on the Effective Date approve such matters, a certification from the Borrowers (or the Company on behalf of the Borrowers) that the resolutions delivered on the Effective Date remain in full force and effect and have not been amended or otherwise modified since the adoption thereof). On the effective date of any increase in the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w:t>
      </w:r>
    </w:p>
    <w:p>
      <w:pPr>
        <w:spacing w:after="0" w:line="12" w:lineRule="exact"/>
        <w:rPr>
          <w:sz w:val="20"/>
          <w:szCs w:val="20"/>
          <w:color w:val="auto"/>
        </w:rPr>
      </w:pPr>
    </w:p>
    <w:p>
      <w:pPr>
        <w:ind w:left="5620" w:right="4660" w:hanging="5612"/>
        <w:spacing w:after="0" w:line="555" w:lineRule="auto"/>
        <w:tabs>
          <w:tab w:leader="none" w:pos="269"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except in the case of any Incremental Term Loans, each of the relevant Borrowers shall be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deemed to have repaid and reborrowed all outstanding Revolving Loans owed by such Borrower as of the date of any increase in the Commitments (with such reborrowing to consist of the Types of Revolving Loans, with related Interest Periods if applicable, specified in a notice delivered by the applicable Borrower, together with the Company, in accordance with the requirements of Section 2.03). The deemed payments made pursuant to clause (ii) of the immediately preceding sentence shall be accompanied by payment of all accrued interest on the amount prepaid and, in respect of each Eurocurrency Loan, shall be subject to indemnification by the applicable Borrower(s) pursuant to the provisions of Section 2.16 if the deemed payment occurs other than on the last day of the related Interest Periods. The Incremental Term Loans (a) shall rank pari passu in right of payment with the Revolving Loans, (b) shall not mature earlier than the Maturity Date (but may have amortization and/or customary prepayments prior to such date) and (c) shall be treated substantially the same as (and in any event no more favorably than) the Revolving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terms and conditions applicable to any tranche of Incremental Term Loans maturing after the Maturity Date may provide for material additional or different financial or other covenants or prepayment requirements applicable only during periods after the Maturity Date and (ii) the Incremental Term Loans may be priced differently (whether in the form of interest rate margin, upfront fees, original issue discount, call protection or otherwise) than the Revolving Loans. Incremental Term Loans may be made hereunder pursuant to an amendment or restatement (an “</w:t>
      </w:r>
      <w:r>
        <w:rPr>
          <w:rFonts w:ascii="Arial" w:cs="Arial" w:eastAsia="Arial" w:hAnsi="Arial"/>
          <w:sz w:val="16"/>
          <w:szCs w:val="16"/>
          <w:u w:val="single" w:color="auto"/>
          <w:color w:val="auto"/>
        </w:rPr>
        <w:t>Incremental Term Loan Amendment</w:t>
      </w:r>
      <w:r>
        <w:rPr>
          <w:rFonts w:ascii="Arial" w:cs="Arial" w:eastAsia="Arial" w:hAnsi="Arial"/>
          <w:sz w:val="16"/>
          <w:szCs w:val="16"/>
          <w:color w:val="auto"/>
        </w:rPr>
        <w:t>”) of this Agreement and, as appropriate, the other Loan Documents, executed by the Borrowers,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2.20. Nothing contained in this Section 2.20 shall constitute, or otherwise be deemed to be, a commitment on the part of any Lender to increase its Commitment hereunder, or provide Incremental Term Loans, at any time.</w:t>
      </w:r>
    </w:p>
    <w:p>
      <w:pPr>
        <w:spacing w:after="0" w:line="3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Extension of Maturity Date</w:t>
      </w:r>
      <w:r>
        <w:rPr>
          <w:rFonts w:ascii="Arial" w:cs="Arial" w:eastAsia="Arial" w:hAnsi="Arial"/>
          <w:sz w:val="18"/>
          <w:szCs w:val="18"/>
          <w:color w:val="auto"/>
        </w:rPr>
        <w:t>.</w:t>
      </w:r>
    </w:p>
    <w:p>
      <w:pPr>
        <w:spacing w:after="0" w:line="225" w:lineRule="exact"/>
        <w:rPr>
          <w:sz w:val="20"/>
          <w:szCs w:val="20"/>
          <w:color w:val="auto"/>
        </w:rPr>
      </w:pPr>
    </w:p>
    <w:p>
      <w:pPr>
        <w:ind w:left="660" w:right="60" w:firstLine="645"/>
        <w:spacing w:after="0" w:line="259" w:lineRule="auto"/>
        <w:tabs>
          <w:tab w:leader="none" w:pos="195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Requests for Extension</w:t>
      </w:r>
      <w:r>
        <w:rPr>
          <w:rFonts w:ascii="Arial" w:cs="Arial" w:eastAsia="Arial" w:hAnsi="Arial"/>
          <w:sz w:val="18"/>
          <w:szCs w:val="18"/>
          <w:color w:val="auto"/>
        </w:rPr>
        <w:t>. The Company may, by notice to the Administrative Agent (who shall promptly notify the Lenders) at any time (each such date, an “</w:t>
      </w:r>
      <w:r>
        <w:rPr>
          <w:rFonts w:ascii="Arial" w:cs="Arial" w:eastAsia="Arial" w:hAnsi="Arial"/>
          <w:sz w:val="18"/>
          <w:szCs w:val="18"/>
          <w:u w:val="single" w:color="auto"/>
          <w:color w:val="auto"/>
        </w:rPr>
        <w:t>Extension Date</w:t>
      </w:r>
      <w:r>
        <w:rPr>
          <w:rFonts w:ascii="Arial" w:cs="Arial" w:eastAsia="Arial" w:hAnsi="Arial"/>
          <w:sz w:val="18"/>
          <w:szCs w:val="18"/>
          <w:color w:val="auto"/>
        </w:rPr>
        <w:t>”), request that each Lender extend such Lender’s Maturity Date to the date that is one year after the Maturity Date then in effect for such Lender (the “</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provided that any such request shall be made no later than 30 days prior to the applicable Existing Maturity Date.</w:t>
      </w:r>
    </w:p>
    <w:p>
      <w:pPr>
        <w:spacing w:after="0" w:line="186" w:lineRule="exact"/>
        <w:rPr>
          <w:rFonts w:ascii="Arial" w:cs="Arial" w:eastAsia="Arial" w:hAnsi="Arial"/>
          <w:sz w:val="18"/>
          <w:szCs w:val="18"/>
          <w:color w:val="auto"/>
        </w:rPr>
      </w:pPr>
    </w:p>
    <w:p>
      <w:pPr>
        <w:ind w:left="660" w:right="20" w:firstLine="645"/>
        <w:spacing w:after="0" w:line="290" w:lineRule="auto"/>
        <w:tabs>
          <w:tab w:leader="none" w:pos="1964"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Lender Elections to Extend</w:t>
      </w:r>
      <w:r>
        <w:rPr>
          <w:rFonts w:ascii="Arial" w:cs="Arial" w:eastAsia="Arial" w:hAnsi="Arial"/>
          <w:sz w:val="16"/>
          <w:szCs w:val="16"/>
          <w:color w:val="auto"/>
        </w:rPr>
        <w:t>. Each Lender, acting in its sole and individual discretion, shall, by notice to the Administrative Agent given not later than the date that is 15 days after the date on which the Administrative Agent received the Company’s extension request (the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 Date</w:t>
      </w:r>
      <w:r>
        <w:rPr>
          <w:rFonts w:ascii="Arial" w:cs="Arial" w:eastAsia="Arial" w:hAnsi="Arial"/>
          <w:sz w:val="16"/>
          <w:szCs w:val="16"/>
          <w:color w:val="auto"/>
        </w:rPr>
        <w:t>”), advise the Administrative Agent whether or not such Lender agrees to such extension (each Lender that determines to so extend its Maturity Date, an “</w:t>
      </w:r>
      <w:r>
        <w:rPr>
          <w:rFonts w:ascii="Arial" w:cs="Arial" w:eastAsia="Arial" w:hAnsi="Arial"/>
          <w:sz w:val="16"/>
          <w:szCs w:val="16"/>
          <w:u w:val="single" w:color="auto"/>
          <w:color w:val="auto"/>
        </w:rPr>
        <w:t>Extending Lender</w:t>
      </w:r>
      <w:r>
        <w:rPr>
          <w:rFonts w:ascii="Arial" w:cs="Arial" w:eastAsia="Arial" w:hAnsi="Arial"/>
          <w:sz w:val="16"/>
          <w:szCs w:val="16"/>
          <w:color w:val="auto"/>
        </w:rPr>
        <w:t>”). Each Lender that determines not to so extend its Maturity Date (a “</w:t>
      </w:r>
      <w:r>
        <w:rPr>
          <w:rFonts w:ascii="Arial" w:cs="Arial" w:eastAsia="Arial" w:hAnsi="Arial"/>
          <w:sz w:val="16"/>
          <w:szCs w:val="16"/>
          <w:u w:val="single" w:color="auto"/>
          <w:color w:val="auto"/>
        </w:rPr>
        <w:t>Non-Extending Lender</w:t>
      </w:r>
      <w:r>
        <w:rPr>
          <w:rFonts w:ascii="Arial" w:cs="Arial" w:eastAsia="Arial" w:hAnsi="Arial"/>
          <w:sz w:val="16"/>
          <w:szCs w:val="16"/>
          <w:color w:val="auto"/>
        </w:rPr>
        <w:t>”) shall notify the Administrative Agent of such fact promptly after such determination (but in any event no later than the Lender Notice Date), and any Lender that does not so advise the Administrative Agent on or before the Lender Notice Date shall be deemed to be a Non-Extending Lender. The election of any Lender to agree to such extension shall not obligate any other Lender to so agree, and it is understood and agreed that no Lender shall have any obligation whatsoever to agree to any request made by the Company for extension of the Maturity Date.</w:t>
      </w:r>
    </w:p>
    <w:p>
      <w:pPr>
        <w:sectPr>
          <w:pgSz w:w="11900" w:h="16838" w:orient="portrait"/>
          <w:cols w:equalWidth="0" w:num="1">
            <w:col w:w="11420"/>
          </w:cols>
          <w:pgMar w:left="240" w:top="733" w:right="239" w:bottom="0" w:gutter="0" w:footer="0" w:header="0"/>
        </w:sectPr>
      </w:pPr>
    </w:p>
    <w:bookmarkStart w:id="35" w:name="page36"/>
    <w:bookmarkEnd w:id="35"/>
    <w:p>
      <w:pPr>
        <w:spacing w:after="0" w:line="86" w:lineRule="exact"/>
        <w:rPr>
          <w:sz w:val="20"/>
          <w:szCs w:val="20"/>
          <w:color w:val="auto"/>
        </w:rPr>
      </w:pPr>
    </w:p>
    <w:p>
      <w:pPr>
        <w:jc w:val="both"/>
        <w:ind w:left="660" w:right="100" w:firstLine="645"/>
        <w:spacing w:after="0" w:line="264" w:lineRule="auto"/>
        <w:tabs>
          <w:tab w:leader="none" w:pos="196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Notification by Administrative Agent</w:t>
      </w:r>
      <w:r>
        <w:rPr>
          <w:rFonts w:ascii="Arial" w:cs="Arial" w:eastAsia="Arial" w:hAnsi="Arial"/>
          <w:sz w:val="18"/>
          <w:szCs w:val="18"/>
          <w:color w:val="auto"/>
        </w:rPr>
        <w:t>. The Administrative Agent shall notify the Company of each Lender’s determination under this Section no later than the date that is 15 days prior to the applicable Extension Date (or, if such date is not a Business Day, on the next preceding Business Day).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firstLine="645"/>
        <w:spacing w:after="0" w:line="268" w:lineRule="auto"/>
        <w:tabs>
          <w:tab w:leader="none" w:pos="1964"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Additional Commitment Lenders</w:t>
      </w:r>
      <w:r>
        <w:rPr>
          <w:rFonts w:ascii="Arial" w:cs="Arial" w:eastAsia="Arial" w:hAnsi="Arial"/>
          <w:sz w:val="17"/>
          <w:szCs w:val="17"/>
          <w:color w:val="auto"/>
        </w:rPr>
        <w:t>. The Company shall have the right, but shall not be obligated, on or before the applicable Maturity Date for any Non-Extending Lender to replace such Non-Extending Lender with, and add as “Lenders” under this Agreement in place thereof, one or more financial institutions that are not Ineligible Institutions (each, an “</w:t>
      </w:r>
      <w:r>
        <w:rPr>
          <w:rFonts w:ascii="Arial" w:cs="Arial" w:eastAsia="Arial" w:hAnsi="Arial"/>
          <w:sz w:val="17"/>
          <w:szCs w:val="17"/>
          <w:u w:val="single" w:color="auto"/>
          <w:color w:val="auto"/>
        </w:rPr>
        <w:t>Additional Commitment Lender</w:t>
      </w:r>
      <w:r>
        <w:rPr>
          <w:rFonts w:ascii="Arial" w:cs="Arial" w:eastAsia="Arial" w:hAnsi="Arial"/>
          <w:sz w:val="17"/>
          <w:szCs w:val="17"/>
          <w:color w:val="auto"/>
        </w:rPr>
        <w:t>”) approved by the Administrative Agent in accordance with the procedures provided in Section 2.19(b), each of which Additional Commitment Lenders shall have entered into an Assignment and Assumption (in accordance with and subject to the restrictions contained in Section 9.04, with the Company or replacement Lender obligated to pay any applicable processing or recordation fee) with such Non-Extending Lender, pursuant to which such Additional Commitment Lenders shall, effective on or before the applicable Maturity Date for such Non-Extending Lender, assume a Commitment (and, if any such Additional Commitment Lender is already a Lender, its Commitment shall be in addition to such Lender’s Commitment hereunder on such date). Prior to any Non-Extending Lender being replaced by one or more Additional Commitment Lenders pursuant hereto, such Non-Extending Lender may elect, in its sole discretion, by giving irrevocable notice thereof to the Administrative Agent and the Company (which notice shall set forth such Lender’s new Maturity Date), to become an Extending Lender. The Administrative Agent may effect such amendments to this Agreement as are reasonably necessary to provide for any such extensions with the consent of the Company but without the consent of any other Lenders.</w:t>
      </w:r>
    </w:p>
    <w:p>
      <w:pPr>
        <w:spacing w:after="0" w:line="187" w:lineRule="exact"/>
        <w:rPr>
          <w:rFonts w:ascii="Arial" w:cs="Arial" w:eastAsia="Arial" w:hAnsi="Arial"/>
          <w:sz w:val="17"/>
          <w:szCs w:val="17"/>
          <w:color w:val="auto"/>
        </w:rPr>
      </w:pPr>
    </w:p>
    <w:p>
      <w:pPr>
        <w:ind w:left="660" w:right="120" w:firstLine="645"/>
        <w:spacing w:after="0" w:line="257" w:lineRule="auto"/>
        <w:tabs>
          <w:tab w:leader="none" w:pos="196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Effective Date of Extension</w:t>
      </w:r>
      <w:r>
        <w:rPr>
          <w:rFonts w:ascii="Arial" w:cs="Arial" w:eastAsia="Arial" w:hAnsi="Arial"/>
          <w:sz w:val="18"/>
          <w:szCs w:val="18"/>
          <w:color w:val="auto"/>
        </w:rPr>
        <w:t>. Effective as of the applicable Extension Date, the Maturity Date of each Extending Lender and of each Additional Commitment Lender shall be extended to the date that is one year after the Existing Maturity Date (except that, if such date is not a Business Day, such Maturity Date as so extended shall be the next preceding Business Day) and each Additional Commitment Lender shall thereupon become a “Lender” for all purposes of this Agreement and shall be bound by the provisions of this Agreement as a Lender hereunder and shall have the obligations of a Lender hereunder.</w:t>
      </w:r>
    </w:p>
    <w:p>
      <w:pPr>
        <w:spacing w:after="0" w:line="188" w:lineRule="exact"/>
        <w:rPr>
          <w:rFonts w:ascii="Arial" w:cs="Arial" w:eastAsia="Arial" w:hAnsi="Arial"/>
          <w:sz w:val="18"/>
          <w:szCs w:val="18"/>
          <w:color w:val="auto"/>
        </w:rPr>
      </w:pPr>
    </w:p>
    <w:p>
      <w:pPr>
        <w:ind w:left="660" w:right="120" w:firstLine="645"/>
        <w:spacing w:after="0" w:line="264" w:lineRule="auto"/>
        <w:tabs>
          <w:tab w:leader="none" w:pos="196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Extension</w:t>
      </w:r>
      <w:r>
        <w:rPr>
          <w:rFonts w:ascii="Arial" w:cs="Arial" w:eastAsia="Arial" w:hAnsi="Arial"/>
          <w:sz w:val="18"/>
          <w:szCs w:val="18"/>
          <w:color w:val="auto"/>
        </w:rPr>
        <w:t>. Notwithstanding the foregoing, (x) no more than two (2) extensions of the Maturity Date shall be permitted hereunder and (y) any extension of any Maturity Date pursuant to this Section 2.21 shall not be effective with respect to any Extending Lender unless:</w:t>
      </w:r>
    </w:p>
    <w:p>
      <w:pPr>
        <w:spacing w:after="0" w:line="181" w:lineRule="exact"/>
        <w:rPr>
          <w:rFonts w:ascii="Arial" w:cs="Arial" w:eastAsia="Arial" w:hAnsi="Arial"/>
          <w:sz w:val="18"/>
          <w:szCs w:val="18"/>
          <w:color w:val="auto"/>
        </w:rPr>
      </w:pPr>
    </w:p>
    <w:p>
      <w:pPr>
        <w:ind w:left="1300" w:right="140" w:firstLine="653"/>
        <w:spacing w:after="0" w:line="277" w:lineRule="auto"/>
        <w:tabs>
          <w:tab w:leader="none" w:pos="2618"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applicable Extension Date and immediately after giving effect thereto;</w:t>
      </w:r>
    </w:p>
    <w:p>
      <w:pPr>
        <w:spacing w:after="0" w:line="170" w:lineRule="exact"/>
        <w:rPr>
          <w:rFonts w:ascii="Arial" w:cs="Arial" w:eastAsia="Arial" w:hAnsi="Arial"/>
          <w:sz w:val="18"/>
          <w:szCs w:val="18"/>
          <w:color w:val="auto"/>
        </w:rPr>
      </w:pPr>
    </w:p>
    <w:p>
      <w:pPr>
        <w:ind w:left="1300" w:right="100" w:firstLine="653"/>
        <w:spacing w:after="0" w:line="257" w:lineRule="auto"/>
        <w:tabs>
          <w:tab w:leader="none" w:pos="2627"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representations and warranties of the Borrowers set forth in this Agreement (excluding the representations and warranties set forth in Sections 3.04(b) and 3.06(a)) are true and correct in all material respects (or, in the case of any representation or warranty qualified by materiality or Material Adverse Effect, in all respects) on and as of the applicable Extension Date and after giving effect thereto, as though made on and as of such date (or, if any such representation or warranty is expressly stated to have been made as of a specific date, as of such specific date); and</w:t>
      </w:r>
    </w:p>
    <w:p>
      <w:pPr>
        <w:spacing w:after="0" w:line="188" w:lineRule="exact"/>
        <w:rPr>
          <w:rFonts w:ascii="Arial" w:cs="Arial" w:eastAsia="Arial" w:hAnsi="Arial"/>
          <w:sz w:val="18"/>
          <w:szCs w:val="18"/>
          <w:color w:val="auto"/>
        </w:rPr>
      </w:pPr>
    </w:p>
    <w:p>
      <w:pPr>
        <w:ind w:left="1300" w:right="100" w:firstLine="653"/>
        <w:spacing w:after="0" w:line="279" w:lineRule="auto"/>
        <w:tabs>
          <w:tab w:leader="none" w:pos="2637"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Administrative Agent shall have received a certificate from the Company signed by a Responsible Officer of the Company, delivered on behalf of the Company, (A) certifying the accuracy of the foregoing clause (i) and (B) certifying and attaching the resolutions adopted by each Borrower approving or consenting to such extension (or to the extent the resolutions delivered on the Effective Date approve such matters, a certification from the Borrowers (or the Company on behalf of the Borrowers)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60"/>
        <w:spacing w:after="0" w:line="277" w:lineRule="auto"/>
        <w:rPr>
          <w:sz w:val="20"/>
          <w:szCs w:val="20"/>
          <w:color w:val="auto"/>
        </w:rPr>
      </w:pPr>
      <w:r>
        <w:rPr>
          <w:rFonts w:ascii="Arial" w:cs="Arial" w:eastAsia="Arial" w:hAnsi="Arial"/>
          <w:sz w:val="18"/>
          <w:szCs w:val="18"/>
          <w:color w:val="auto"/>
        </w:rPr>
        <w:t>that the resolutions delivered on the Effective Date remain in full force and effect and have not been amended or otherwise modified since the adoption thereof).</w:t>
      </w:r>
    </w:p>
    <w:p>
      <w:pPr>
        <w:spacing w:after="0" w:line="170" w:lineRule="exact"/>
        <w:rPr>
          <w:sz w:val="20"/>
          <w:szCs w:val="20"/>
          <w:color w:val="auto"/>
        </w:rPr>
      </w:pPr>
    </w:p>
    <w:p>
      <w:pPr>
        <w:ind w:left="660" w:firstLine="645"/>
        <w:spacing w:after="0" w:line="272" w:lineRule="auto"/>
        <w:tabs>
          <w:tab w:leader="none" w:pos="1977"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Maturity Date for Non-Extending Lenders</w:t>
      </w:r>
      <w:r>
        <w:rPr>
          <w:rFonts w:ascii="Arial" w:cs="Arial" w:eastAsia="Arial" w:hAnsi="Arial"/>
          <w:sz w:val="17"/>
          <w:szCs w:val="17"/>
          <w:color w:val="auto"/>
        </w:rPr>
        <w:t>. On the Maturity Date of each Non-Extending Lender, (i) the Commitment of each Non-Extending Lender shall automatically terminate and (ii) the Company shall repay such Non-Extending Lender in accordance with Section 2.10 (and shall pay to such Non-Extending Lender all of the other Obligations owing to it under this Agreement) and after giving effect thereto shall prepay any Revolving Loans outstanding on such date (and pay any additional amounts required pursuant to Section 2.16) to the extent necessary to keep outstanding Revolving Loans ratable with any revised Applicable Percentages of the respective Lenders effective as of such date, and the Administrative Agent shall administer any necessary reallocation of the Revolving Credit Exposures (without regard to any minimum borrowing, pro rata borrowing and/or pro rata payment requirements contained elsewhere in this Agreement).</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This Section shall supersede any provisions in Section 2.18 or Section 9.02 to the contrary.</w:t>
      </w:r>
    </w:p>
    <w:p>
      <w:pPr>
        <w:spacing w:after="0" w:line="225"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 xml:space="preserve">SECTION 2.22. </w:t>
      </w:r>
      <w:r>
        <w:rPr>
          <w:rFonts w:ascii="Arial" w:cs="Arial" w:eastAsia="Arial" w:hAnsi="Arial"/>
          <w:sz w:val="16"/>
          <w:szCs w:val="16"/>
          <w:u w:val="single" w:color="auto"/>
          <w:color w:val="auto"/>
        </w:rPr>
        <w:t>Judgment Currency</w:t>
      </w:r>
      <w:r>
        <w:rPr>
          <w:rFonts w:ascii="Arial" w:cs="Arial" w:eastAsia="Arial" w:hAnsi="Arial"/>
          <w:sz w:val="16"/>
          <w:szCs w:val="16"/>
          <w:color w:val="auto"/>
        </w:rPr>
        <w:t>. If for the purposes of obtaining judgment in any court it is necessary to convert a sum due from any Borrower hereunder in the currency expressed to be payable herein (the “</w:t>
      </w:r>
      <w:r>
        <w:rPr>
          <w:rFonts w:ascii="Arial" w:cs="Arial" w:eastAsia="Arial" w:hAnsi="Arial"/>
          <w:sz w:val="16"/>
          <w:szCs w:val="16"/>
          <w:u w:val="single" w:color="auto"/>
          <w:color w:val="auto"/>
        </w:rPr>
        <w:t>specified currency</w:t>
      </w:r>
      <w:r>
        <w:rPr>
          <w:rFonts w:ascii="Arial" w:cs="Arial" w:eastAsia="Arial" w:hAnsi="Arial"/>
          <w:sz w:val="16"/>
          <w:szCs w:val="16"/>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each Borrower in respect of any sum due to any Lender or the Administrative Agent by such Borrower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by such Borrower, as the case may be, in the specified currency and (b) any amounts shared with other Lenders relating to amounts owed by such Borrower as a result of allocations of such</w:t>
      </w:r>
    </w:p>
    <w:p>
      <w:pPr>
        <w:sectPr>
          <w:pgSz w:w="11900" w:h="16924" w:orient="portrait"/>
          <w:cols w:equalWidth="0" w:num="1">
            <w:col w:w="11420"/>
          </w:cols>
          <w:pgMar w:left="240" w:top="125" w:right="239" w:bottom="0" w:gutter="0" w:footer="0" w:header="0"/>
        </w:sectPr>
      </w:pPr>
    </w:p>
    <w:bookmarkStart w:id="36" w:name="page37"/>
    <w:bookmarkEnd w:id="36"/>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excess as a disproportionate payment to such Lender under Section 2.18, such Lender or the Administrative Agent, as the case may be, agrees to remit such excess to such Borrower.</w:t>
      </w:r>
    </w:p>
    <w:p>
      <w:pPr>
        <w:spacing w:after="0" w:line="170" w:lineRule="exact"/>
        <w:rPr>
          <w:sz w:val="20"/>
          <w:szCs w:val="20"/>
          <w:color w:val="auto"/>
        </w:rPr>
      </w:pPr>
    </w:p>
    <w:p>
      <w:pPr>
        <w:ind w:right="160" w:firstLine="1297"/>
        <w:spacing w:after="0" w:line="272" w:lineRule="auto"/>
        <w:rPr>
          <w:sz w:val="20"/>
          <w:szCs w:val="20"/>
          <w:color w:val="auto"/>
        </w:rPr>
      </w:pPr>
      <w:r>
        <w:rPr>
          <w:rFonts w:ascii="Arial" w:cs="Arial" w:eastAsia="Arial" w:hAnsi="Arial"/>
          <w:sz w:val="17"/>
          <w:szCs w:val="17"/>
          <w:color w:val="auto"/>
        </w:rPr>
        <w:t xml:space="preserve">SECTION 2.23. </w:t>
      </w:r>
      <w:r>
        <w:rPr>
          <w:rFonts w:ascii="Arial" w:cs="Arial" w:eastAsia="Arial" w:hAnsi="Arial"/>
          <w:sz w:val="17"/>
          <w:szCs w:val="17"/>
          <w:u w:val="single" w:color="auto"/>
          <w:color w:val="auto"/>
        </w:rPr>
        <w:t>Designation of Subsidiary Borrowers</w:t>
      </w:r>
      <w:r>
        <w:rPr>
          <w:rFonts w:ascii="Arial" w:cs="Arial" w:eastAsia="Arial" w:hAnsi="Arial"/>
          <w:sz w:val="17"/>
          <w:szCs w:val="17"/>
          <w:color w:val="auto"/>
        </w:rPr>
        <w:t>. (a) On the Effective Date, and subject to the satisfaction of the conditions set forth in Section 4.01, the Initial Subsidiary Borrowers shall become Subsidiary Borrowers party to this Agreement until the Company shall have executed and delivered to the Administrative Agent a Borrowing Subsidiary Termination with respect to any such Subsidiary in accordance with the terms and conditions of this Section 2.23, whereupon such Subsidiary shall cease to be a Subsidiary Borrower and a party to this Agreement or any other Loan Document. After the Effective Date, the Company may at any time and from time to time designate any Eligible Subsidiary as a Subsidiary Borrower by delivery to the Administrative Agent of a Borrowing Subsidiary Agreement executed by such Subsidiary and the Company and the satisfaction of the other conditions precedent set forth in Section 4.03, and upon such delivery and satisfaction such Subsidiary shall for 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 xml:space="preserve">purposes of this Agreement be a Subsidiary Borrower and a party to this Agreement. Each Subsidiary Borrower shall remain a Subsidiary Borrower until the Company shall have executed and delivered to the Administrative Agent a Borrowing Subsidiary Termination with respect to such Subsidiary, whereupon such Subsidiary shall cease to be a Subsidiary Borrower and a party to this Agreement. Notwithstanding the preceding sentence, no Borrowing Subsidiary Termination will become effective as to any Subsidiary Borrower at a time when any principal of or interest on any Loan to such Borrower shall be outstanding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Borrowing Subsidiary Termination shall be effective to terminate the right of such Subsidiary Borrower to make further Borrowings under this Agreement. As soon as practicable upon receipt of a Borrowing Subsidiary Agreement, the Administrative Agent shall furnish a copy thereof to each Lender. Each Subsidiary of the Company that is or becomes a Subsidiary Borrower pursuant to this Section 2.23 hereby irrevocably appoints the Company as its non-exclusive agent for all purposes relevant to this Agreement and each of the other Loan Documents, including (i) the giving and receipt of notices, (ii) the execution and delivery of all documents, instruments and certificates contemplated herein and all modifications hereto (other than any Borrowing Request, Interest Election Request, request for Swingline Loans, request for the issuance, amendment, renewal or extension of a Letter of Credit or prepayment notice), and (iii) the receipt of the proceeds of any Loans made by the Lenders to any such Subsidiary Borrower hereunder, but such appointment does not limit the right of each Subsidiary Borrower to take these actions directly for its own account; provided that in the event that the Administrative Agent shall receive conflicting instructions from the Company and a Subsidiary Borrower, the Administrative Agent shall follow the instruction of the Company.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provided that any such appointment by a Subsidiary Borrower and any actions taken by the Company in such capacity shall be subject in all respects to Section 2.23(b). Subject to Section 2.23(b), any notice, demand, consent, acknowledgement, direction, certification or other communication delivered to the Company in accordance with the terms of this Agreement shall be deemed to have been delivered to each Subsidiary Borrower.</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 Notwithstanding anything set forth herein or in any other Loan Document to the contrary, (i) other than as expressly set forth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solely with respect to the Company, the parties hereto agree that the Obligations of the Borrowers are several in nature (and not the joint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Borrowers), including any obligations of Borrowers hereunder to make payments of principal and interest regarding the Loans, and (ii) the parties agree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Subsidiary Borrowers are not obligated to pay or otherwise liable for, and do not guaranty, collaterally support or otherwise have any responsibility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any such case, either directly or indirectly, whether as a primary obligor, guarantor, indemnitor or otherwise) with respect to, any Obligations or Specified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Ancillary Obligations of the Company, any Subsidiary Guarantor or any other Subsidiary Borrower.</w:t>
      </w:r>
    </w:p>
    <w:p>
      <w:pPr>
        <w:spacing w:after="0" w:line="211"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 xml:space="preserve">SECTION 2.24.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70" w:lineRule="exact"/>
        <w:rPr>
          <w:sz w:val="20"/>
          <w:szCs w:val="20"/>
          <w:color w:val="auto"/>
        </w:rPr>
      </w:pPr>
    </w:p>
    <w:p>
      <w:pPr>
        <w:ind w:left="1940" w:hanging="635"/>
        <w:spacing w:after="0"/>
        <w:tabs>
          <w:tab w:leader="none" w:pos="19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fees shall cease to accrue on the unfunded portion of the Commitment of such Defaulting Lender pursuant to Section 2.12(a);</w:t>
      </w:r>
    </w:p>
    <w:p>
      <w:pPr>
        <w:spacing w:after="0" w:line="236" w:lineRule="exact"/>
        <w:rPr>
          <w:rFonts w:ascii="Arial" w:cs="Arial" w:eastAsia="Arial" w:hAnsi="Arial"/>
          <w:sz w:val="17"/>
          <w:szCs w:val="17"/>
          <w:color w:val="auto"/>
        </w:rPr>
      </w:pPr>
    </w:p>
    <w:p>
      <w:pPr>
        <w:ind w:left="660" w:right="140" w:firstLine="645"/>
        <w:spacing w:after="0" w:line="302" w:lineRule="auto"/>
        <w:tabs>
          <w:tab w:leader="none" w:pos="1964"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the Commitment and Revolving Credit Exposure of such Defaulting Lender shall not be included in determining whether the Required Lenders have taken or may take any action hereunder (including any consent to any amendment, waiver or other modification pursuant to Section 9.02); </w:t>
      </w:r>
      <w:r>
        <w:rPr>
          <w:rFonts w:ascii="Arial" w:cs="Arial" w:eastAsia="Arial" w:hAnsi="Arial"/>
          <w:sz w:val="16"/>
          <w:szCs w:val="16"/>
          <w:u w:val="single" w:color="auto"/>
          <w:color w:val="auto"/>
        </w:rPr>
        <w:t>provided</w:t>
      </w:r>
      <w:r>
        <w:rPr>
          <w:rFonts w:ascii="Arial" w:cs="Arial" w:eastAsia="Arial" w:hAnsi="Arial"/>
          <w:sz w:val="16"/>
          <w:szCs w:val="16"/>
          <w:color w:val="auto"/>
        </w:rPr>
        <w:t>, that, except as otherwise provided in Section 9.02, this clause (b) shall not apply to the vote of a Defaulting Lender in the case of an amendment, waiver or other modification requiring the consent of such Lender or each Lender directly affected thereby;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any Swingline Exposure or LC Exposure exists at the time such Lender becomes a Defaulting Lender then:</w:t>
      </w:r>
    </w:p>
    <w:p>
      <w:pPr>
        <w:spacing w:after="0" w:line="225" w:lineRule="exact"/>
        <w:rPr>
          <w:rFonts w:ascii="Arial" w:cs="Arial" w:eastAsia="Arial" w:hAnsi="Arial"/>
          <w:sz w:val="18"/>
          <w:szCs w:val="18"/>
          <w:color w:val="auto"/>
        </w:rPr>
      </w:pPr>
    </w:p>
    <w:p>
      <w:pPr>
        <w:ind w:left="1300" w:right="20" w:firstLine="653"/>
        <w:spacing w:after="0" w:line="302" w:lineRule="auto"/>
        <w:tabs>
          <w:tab w:leader="none" w:pos="2618"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or any part of the Swingline Exposure and LC Exposure of such Defaulting Lender shall be reallocated among the non-Defaulting Lenders in accordance with their respective Applicable Percentages but only to the extent that (A) no Default or Event of Default shall be continuing at the time of such reallocation and (B) the sum of all non-Defaulting Lenders’ Revolving Credit Exposures plus such Defaulting Lender’s Swingline Exposure and LC Exposure does not exceed the total of all non-Defaulting Lenders’ Commitments;</w:t>
      </w:r>
    </w:p>
    <w:p>
      <w:pPr>
        <w:spacing w:after="0" w:line="154" w:lineRule="exact"/>
        <w:rPr>
          <w:rFonts w:ascii="Arial" w:cs="Arial" w:eastAsia="Arial" w:hAnsi="Arial"/>
          <w:sz w:val="16"/>
          <w:szCs w:val="16"/>
          <w:color w:val="auto"/>
        </w:rPr>
      </w:pPr>
    </w:p>
    <w:p>
      <w:pPr>
        <w:ind w:left="2640" w:hanging="687"/>
        <w:spacing w:after="0"/>
        <w:tabs>
          <w:tab w:leader="none" w:pos="26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if the reallocation described in clause (i) above cannot, or can only partially, be effected, the Company shall within one</w:t>
      </w:r>
    </w:p>
    <w:p>
      <w:pPr>
        <w:spacing w:after="0" w:line="46" w:lineRule="exact"/>
        <w:rPr>
          <w:rFonts w:ascii="Arial" w:cs="Arial" w:eastAsia="Arial" w:hAnsi="Arial"/>
          <w:sz w:val="16"/>
          <w:szCs w:val="16"/>
          <w:color w:val="auto"/>
        </w:rPr>
      </w:pPr>
    </w:p>
    <w:p>
      <w:pPr>
        <w:ind w:left="130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(1) Business Day following notice by the Administrative Agent (x)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prepay such Swingline Exposure and (y) </w:t>
      </w:r>
      <w:r>
        <w:rPr>
          <w:rFonts w:ascii="Arial" w:cs="Arial" w:eastAsia="Arial" w:hAnsi="Arial"/>
          <w:sz w:val="18"/>
          <w:szCs w:val="18"/>
          <w:u w:val="single" w:color="auto"/>
          <w:color w:val="auto"/>
        </w:rPr>
        <w:t>second</w:t>
      </w:r>
      <w:r>
        <w:rPr>
          <w:rFonts w:ascii="Arial" w:cs="Arial" w:eastAsia="Arial" w:hAnsi="Arial"/>
          <w:sz w:val="18"/>
          <w:szCs w:val="18"/>
          <w:color w:val="auto"/>
        </w:rPr>
        <w:t>, cash collateralize for the benefit of each relevant Issuing Bank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89" w:lineRule="exact"/>
        <w:rPr>
          <w:rFonts w:ascii="Arial" w:cs="Arial" w:eastAsia="Arial" w:hAnsi="Arial"/>
          <w:sz w:val="16"/>
          <w:szCs w:val="16"/>
          <w:color w:val="auto"/>
        </w:rPr>
      </w:pPr>
    </w:p>
    <w:p>
      <w:pPr>
        <w:jc w:val="both"/>
        <w:ind w:left="1300" w:right="220" w:firstLine="653"/>
        <w:spacing w:after="0" w:line="286" w:lineRule="auto"/>
        <w:tabs>
          <w:tab w:leader="none" w:pos="2637" w:val="left"/>
        </w:tabs>
        <w:numPr>
          <w:ilvl w:val="1"/>
          <w:numId w:val="68"/>
        </w:numPr>
        <w:rPr>
          <w:rFonts w:ascii="Arial" w:cs="Arial" w:eastAsia="Arial" w:hAnsi="Arial"/>
          <w:sz w:val="17"/>
          <w:szCs w:val="17"/>
          <w:color w:val="auto"/>
        </w:rPr>
      </w:pPr>
      <w:r>
        <w:rPr>
          <w:rFonts w:ascii="Arial" w:cs="Arial" w:eastAsia="Arial" w:hAnsi="Arial"/>
          <w:sz w:val="17"/>
          <w:szCs w:val="17"/>
          <w:color w:val="auto"/>
        </w:rPr>
        <w:t>if the Company cash collateralizes any portion of such Defaulting Lender’s LC Exposure pursuant to clause (ii) above, the Borrowers shall not be required to pay any fees to such Defaulting Lender pursuant to Section 2.12(b) with respect to such Defaulting Lender’s LC Exposure during the period such Defaulting Lender’s LC Exposure is cash collateralized;</w:t>
      </w:r>
    </w:p>
    <w:p>
      <w:pPr>
        <w:spacing w:after="0" w:line="165" w:lineRule="exact"/>
        <w:rPr>
          <w:rFonts w:ascii="Arial" w:cs="Arial" w:eastAsia="Arial" w:hAnsi="Arial"/>
          <w:sz w:val="17"/>
          <w:szCs w:val="17"/>
          <w:color w:val="auto"/>
        </w:rPr>
      </w:pPr>
    </w:p>
    <w:p>
      <w:pPr>
        <w:ind w:left="1300" w:right="120" w:firstLine="653"/>
        <w:spacing w:after="0" w:line="264" w:lineRule="auto"/>
        <w:tabs>
          <w:tab w:leader="none" w:pos="2613"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the LC Exposure of the non-Defaulting Lenders is reallocated pursuant to clause (i) above, then the fees payable to the Lenders pursuant to Section 2.12(a) and Section 2.12(b) shall be adjusted in accordance with such non-Defaulting Lenders’ Applicable Percentages; and</w:t>
      </w:r>
    </w:p>
    <w:p>
      <w:pPr>
        <w:sectPr>
          <w:pgSz w:w="11900" w:h="16918" w:orient="portrait"/>
          <w:cols w:equalWidth="0" w:num="1">
            <w:col w:w="11420"/>
          </w:cols>
          <w:pgMar w:left="240" w:top="125" w:right="239" w:bottom="0" w:gutter="0" w:footer="0" w:header="0"/>
        </w:sectPr>
      </w:pPr>
    </w:p>
    <w:bookmarkStart w:id="37" w:name="page38"/>
    <w:bookmarkEnd w:id="37"/>
    <w:p>
      <w:pPr>
        <w:ind w:left="1300" w:right="240" w:firstLine="653"/>
        <w:spacing w:after="0" w:line="279" w:lineRule="auto"/>
        <w:tabs>
          <w:tab w:leader="none" w:pos="2604" w:val="left"/>
        </w:tabs>
        <w:numPr>
          <w:ilvl w:val="1"/>
          <w:numId w:val="69"/>
        </w:numPr>
        <w:rPr>
          <w:rFonts w:ascii="Arial" w:cs="Arial" w:eastAsia="Arial" w:hAnsi="Arial"/>
          <w:sz w:val="17"/>
          <w:szCs w:val="17"/>
          <w:color w:val="auto"/>
        </w:rPr>
      </w:pPr>
      <w:r>
        <w:rPr>
          <w:rFonts w:ascii="Arial" w:cs="Arial" w:eastAsia="Arial" w:hAnsi="Arial"/>
          <w:sz w:val="17"/>
          <w:szCs w:val="17"/>
          <w:color w:val="auto"/>
        </w:rPr>
        <w:t>if all or any portion of such Defaulting Lender’s LC Exposure is neither reallocated nor cash collateralized pursuant to clause (i) or (ii) above, then, without prejudice to any rights or remedies of the relevant Issuing Bank or any other Lender hereunder, all letter of credit fees payable under Section 2.12(b) with respect to such Defaulting Lender’s LC Exposure shall be payable to such Issuing Bank until and to the extent that such LC Exposure is reallocated and/or cash collateralized; and</w:t>
      </w:r>
    </w:p>
    <w:p>
      <w:pPr>
        <w:spacing w:after="0" w:line="171" w:lineRule="exact"/>
        <w:rPr>
          <w:rFonts w:ascii="Arial" w:cs="Arial" w:eastAsia="Arial" w:hAnsi="Arial"/>
          <w:sz w:val="17"/>
          <w:szCs w:val="17"/>
          <w:color w:val="auto"/>
        </w:rPr>
      </w:pPr>
    </w:p>
    <w:p>
      <w:pPr>
        <w:ind w:left="660" w:right="360" w:firstLine="645"/>
        <w:spacing w:after="0" w:line="255" w:lineRule="auto"/>
        <w:tabs>
          <w:tab w:leader="none" w:pos="19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so long as such Lender is a Defaulting Lender, the Swingline Lender shall not be required to fund any Swingline Loan and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Company in accordance with Section 2.24(c), and participating interests in any such newly made Swingline Loan or any newly issued or increased Letter of Credit shall be allocated among non-Defaulting Lenders in a manner consistent with Section 2.24(c)(i) (and such Defaulting Lender shall not participate therein).</w:t>
      </w:r>
    </w:p>
    <w:p>
      <w:pPr>
        <w:spacing w:after="0" w:line="193"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If (i) a Bankruptcy Event with respect to a Lender Parent shall occur following the date hereof and for so long as such event shall continue or (ii) the Swingline Lender or any Issuing Bank has a good faith belief that any Lender has defaulted in fulfilling its obligations under one or more other agreements in which such Lender commits to extend credit, the Swingline Lender shall not be required to fund any Swingline Loan and no Issuing Bank shall be required to issue, amend or increase any Letter of Credit,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560"/>
        <w:spacing w:after="0" w:line="342" w:lineRule="auto"/>
        <w:rPr>
          <w:sz w:val="20"/>
          <w:szCs w:val="20"/>
          <w:color w:val="auto"/>
        </w:rPr>
      </w:pPr>
      <w:r>
        <w:rPr>
          <w:rFonts w:ascii="Arial" w:cs="Arial" w:eastAsia="Arial" w:hAnsi="Arial"/>
          <w:sz w:val="16"/>
          <w:szCs w:val="16"/>
          <w:color w:val="auto"/>
        </w:rPr>
        <w:t>unless the Swingline Lender or the relevant Issuing Bank, as the case may be, shall have entered into arrangements with the Company or such Lender, reasonably satisfactory to the Swingline Lender or such Issuing Bank, as the case may be, to defease any risk to it in respect of such Lender hereunder.</w:t>
      </w:r>
    </w:p>
    <w:p>
      <w:pPr>
        <w:spacing w:after="0" w:line="124"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 xml:space="preserve">In the event that the Administrative Agent, the Company, the Swingline Lender and each Issuing Bank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a Borrower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on behalf of itself and its Subsidiaries, and each Subsidiary Borrower, solely with respect to itself, severally represent and warrant to the Lenders that:</w:t>
      </w:r>
    </w:p>
    <w:p>
      <w:pPr>
        <w:spacing w:after="0" w:line="170" w:lineRule="exact"/>
        <w:rPr>
          <w:sz w:val="20"/>
          <w:szCs w:val="20"/>
          <w:color w:val="auto"/>
        </w:rPr>
      </w:pPr>
    </w:p>
    <w:p>
      <w:pPr>
        <w:ind w:firstLine="1297"/>
        <w:spacing w:after="0" w:line="267"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Powers; Subsidiaries</w:t>
      </w:r>
      <w:r>
        <w:rPr>
          <w:rFonts w:ascii="Arial" w:cs="Arial" w:eastAsia="Arial" w:hAnsi="Arial"/>
          <w:sz w:val="17"/>
          <w:szCs w:val="17"/>
          <w:color w:val="auto"/>
        </w:rPr>
        <w:t xml:space="preserve">. Each of the Loan Parties and the Material Subsidiaries is duly organized or incorporated, as the case may be, validly existing and in good standing (to the extent the concept is applicable in such jurisdiction) under the laws of the jurisdiction of its organization, has all requisite organizational power and authority to carry on its business as now conducted and, except where the failure to do so could not reasonably be expected to result in a Material Adverse Effect, is qualified to do business in, and (to the extent the concept is applicable in such jurisdiction) is in good standing in, every jurisdiction where its ownership, lease or operation of properties or the conduct of its business requires such qualification. </w:t>
      </w:r>
      <w:r>
        <w:rPr>
          <w:rFonts w:ascii="Arial" w:cs="Arial" w:eastAsia="Arial" w:hAnsi="Arial"/>
          <w:sz w:val="17"/>
          <w:szCs w:val="17"/>
          <w:u w:val="single" w:color="auto"/>
          <w:color w:val="auto"/>
        </w:rPr>
        <w:t>Schedule 3.01</w:t>
      </w:r>
      <w:r>
        <w:rPr>
          <w:rFonts w:ascii="Arial" w:cs="Arial" w:eastAsia="Arial" w:hAnsi="Arial"/>
          <w:sz w:val="17"/>
          <w:szCs w:val="17"/>
          <w:color w:val="auto"/>
        </w:rPr>
        <w:t xml:space="preserve"> hereto identifies each Subsidiary as of the Effective Date, noting whether such Subsidiary is a Material Domestic Subsidiary and/or a Material Subsidiary as of the Effective Date, the jurisdiction of its incorporation or organization, as the case may be, the percentage of issued and outstanding shares of each class of its capital stock or other equity interests owned by the Company and the other Subsidiaries and, if such percentage is not 100% (excluding (i) directors’ qualifying shares and (ii) shares issued to foreign nationals to the extent required by applicable law), a description of each class issued and outstanding. All of the outstanding shares of capital stock and other equity interests of each Subsidiary Borrower and Material Subsidiary are validly issued and outstanding and fully paid and nonassessable and all such shares and other equity interests indicated on </w:t>
      </w:r>
      <w:r>
        <w:rPr>
          <w:rFonts w:ascii="Arial" w:cs="Arial" w:eastAsia="Arial" w:hAnsi="Arial"/>
          <w:sz w:val="17"/>
          <w:szCs w:val="17"/>
          <w:u w:val="single" w:color="auto"/>
          <w:color w:val="auto"/>
        </w:rPr>
        <w:t>Schedule 3.01</w:t>
      </w:r>
      <w:r>
        <w:rPr>
          <w:rFonts w:ascii="Arial" w:cs="Arial" w:eastAsia="Arial" w:hAnsi="Arial"/>
          <w:sz w:val="17"/>
          <w:szCs w:val="17"/>
          <w:color w:val="auto"/>
        </w:rPr>
        <w:t xml:space="preserve"> as owned by the Company or another Subsidiary are owned, beneficially and of record, by the Company or any Subsidiary free and clear of all Liens, other than Liens permitted pursuant to Section 6.02. Except for Disclosed Matters or as set forth in Schedule 3.01, as of the Effective Date, there are no outstanding commitments or other obligations of any Borrower or any Material Subsidiary to issue, and no options, warrants or other rights of any Person to acquire, any shares of any class of capital stock or other equity interests of any Borrower or any Material Subsidiary. Each Subsidiary Borrower organized or incorporated under the laws of a European Union jurisdiction shall cause its centre of main interests (as that term is used in Article 3(1) of the Regulation) to be situated in such jurisdiction (or in any Eligible Foreign Jurisdiction) for the purposes of the Regulation, unless failure to do so could not reasonably be expected to have a material adverse effect on the rights of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Lenders or the Administrative Agent in any enforcement or insolvency proceedings relating to any Loan Document.</w:t>
      </w:r>
    </w:p>
    <w:p>
      <w:pPr>
        <w:spacing w:after="0" w:line="225"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The Transactions are within each Loan Party’s organizational powers and have 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 (a)(i) applicable bankruptcy, insolvency, examinership, reorganization, moratorium or other laws affecting creditors’ rights generally,</w:t>
      </w:r>
    </w:p>
    <w:p>
      <w:pPr>
        <w:spacing w:after="0" w:line="2" w:lineRule="exact"/>
        <w:rPr>
          <w:sz w:val="20"/>
          <w:szCs w:val="20"/>
          <w:color w:val="auto"/>
        </w:rPr>
      </w:pPr>
    </w:p>
    <w:p>
      <w:pPr>
        <w:ind w:right="160" w:firstLine="8"/>
        <w:spacing w:after="0" w:line="271" w:lineRule="auto"/>
        <w:tabs>
          <w:tab w:leader="none" w:pos="265" w:val="left"/>
        </w:tabs>
        <w:numPr>
          <w:ilvl w:val="0"/>
          <w:numId w:val="71"/>
        </w:numPr>
        <w:rPr>
          <w:rFonts w:ascii="Arial" w:cs="Arial" w:eastAsia="Arial" w:hAnsi="Arial"/>
          <w:sz w:val="17"/>
          <w:szCs w:val="17"/>
          <w:color w:val="auto"/>
        </w:rPr>
      </w:pPr>
      <w:r>
        <w:rPr>
          <w:rFonts w:ascii="Arial" w:cs="Arial" w:eastAsia="Arial" w:hAnsi="Arial"/>
          <w:sz w:val="17"/>
          <w:szCs w:val="17"/>
          <w:color w:val="auto"/>
        </w:rPr>
        <w:t>general principles of equity, regardless of whether considered in a proceeding in equity or at law and (iii) requirements of reasonableness, good faith and fair dealing and (b) solely with respect to any Foreign Subsidiary, (i) the time barring of claims under applicable legislation, (ii) defenses of set-off or counterclaim, (iii) other matters which are set out as qualifications or reservations as to matters of general law in any legal opinion in respect of any Loan Document delivered to the Administrative Agent or the Lenders and (iv) the making of registrations, filings, endorsements, notarizations, stampings and/or notifications, if any, of the Loan Documents as described in any legal opinion delivered to the Administrative Agent or the Lenders.</w:t>
      </w:r>
    </w:p>
    <w:p>
      <w:pPr>
        <w:sectPr>
          <w:pgSz w:w="11900" w:h="16838" w:orient="portrait"/>
          <w:cols w:equalWidth="0" w:num="1">
            <w:col w:w="11420"/>
          </w:cols>
          <w:pgMar w:left="240" w:top="341" w:right="239" w:bottom="0" w:gutter="0" w:footer="0" w:header="0"/>
        </w:sectPr>
      </w:pPr>
    </w:p>
    <w:bookmarkStart w:id="38" w:name="page39"/>
    <w:bookmarkEnd w:id="38"/>
    <w:p>
      <w:pPr>
        <w:spacing w:after="0" w:line="106" w:lineRule="exact"/>
        <w:rPr>
          <w:sz w:val="20"/>
          <w:szCs w:val="20"/>
          <w:color w:val="auto"/>
        </w:rPr>
      </w:pPr>
    </w:p>
    <w:p>
      <w:pPr>
        <w:ind w:right="60" w:firstLine="1297"/>
        <w:spacing w:after="0" w:line="287"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 do not require any consent or approval of, registration or filing with, or any other action by, any Governmental Authority, except such as have been, or will be by the time required, obtained or made and are, or will be by the time required, in full force and effect, (b) will not violate in any material respect any applicable material law or regulation or the charter, by-laws or other organizational documents of any Loan Party or any Material Subsidiary or any material order of any Governmental Authority binding upon any Loan Party or any of the Material Subsidiaries or its assets, (c) will not violate in any material respect or result in a default under any indenture, material agreement or other material instrument binding upon the Company or any of its Material Subsidiaries or its assets, or give rise to a right thereunder to require any payment to be made by the Company or any of its Material Subsidiaries, except, in the case of this clause (c), for any such violations, defaults or rights that could not reasonably be expected to result in a Material Adverse Effect, and (d) will not result in the creation or imposition of any Lien on any asset of the Company or any of its Material Subsidiaries, other than requirements to provide cash collateral under this Agreement. There is no works council with jurisdiction over the Transactions as envisaged by any Loan Document to which a Dutch Subsidiary Borrower is a party and there is no obligation for such Dutch Subsidiary Borrower to establish a works council pursuant to the Works Council Act (</w:t>
      </w:r>
      <w:r>
        <w:rPr>
          <w:rFonts w:ascii="Arial" w:cs="Arial" w:eastAsia="Arial" w:hAnsi="Arial"/>
          <w:sz w:val="16"/>
          <w:szCs w:val="16"/>
          <w:i w:val="1"/>
          <w:iCs w:val="1"/>
          <w:color w:val="auto"/>
        </w:rPr>
        <w:t>Wet op de Ondernemingsraden</w:t>
      </w:r>
      <w:r>
        <w:rPr>
          <w:rFonts w:ascii="Arial" w:cs="Arial" w:eastAsia="Arial" w:hAnsi="Arial"/>
          <w:sz w:val="16"/>
          <w:szCs w:val="16"/>
          <w:color w:val="auto"/>
        </w:rPr>
        <w:t>).</w:t>
      </w:r>
    </w:p>
    <w:p>
      <w:pPr>
        <w:spacing w:after="0" w:line="173" w:lineRule="exact"/>
        <w:rPr>
          <w:sz w:val="20"/>
          <w:szCs w:val="20"/>
          <w:color w:val="auto"/>
        </w:rPr>
      </w:pPr>
    </w:p>
    <w:p>
      <w:pPr>
        <w:ind w:right="180" w:firstLine="1297"/>
        <w:spacing w:after="0" w:line="302"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Financial Condition; No Material Adverse Change</w:t>
      </w:r>
      <w:r>
        <w:rPr>
          <w:rFonts w:ascii="Arial" w:cs="Arial" w:eastAsia="Arial" w:hAnsi="Arial"/>
          <w:sz w:val="16"/>
          <w:szCs w:val="16"/>
          <w:color w:val="auto"/>
        </w:rPr>
        <w:t>. (a) The Company has heretofore furnished to the Lenders its consolidated balance sheet and statements of operations, stockholders equity and cash flows as of and for the fiscal year ended December 31, 2014 reported on by PricewaterhouseCoopers LLP, independent public accountants. Such financial statements present fairly, in all material respects, the financial position and results of operations and cash flows of the Company and its consolidated Subsidiaries as of such dates and for such periods in accordance with GAAP.</w:t>
      </w:r>
    </w:p>
    <w:p>
      <w:pPr>
        <w:spacing w:after="0" w:line="154" w:lineRule="exact"/>
        <w:rPr>
          <w:sz w:val="20"/>
          <w:szCs w:val="20"/>
          <w:color w:val="auto"/>
        </w:rPr>
      </w:pPr>
    </w:p>
    <w:p>
      <w:pPr>
        <w:ind w:left="660" w:right="500" w:firstLine="645"/>
        <w:spacing w:after="0" w:line="308" w:lineRule="auto"/>
        <w:tabs>
          <w:tab w:leader="none" w:pos="1964" w:val="left"/>
        </w:tabs>
        <w:numPr>
          <w:ilvl w:val="0"/>
          <w:numId w:val="72"/>
        </w:numPr>
        <w:rPr>
          <w:rFonts w:ascii="Arial" w:cs="Arial" w:eastAsia="Arial" w:hAnsi="Arial"/>
          <w:sz w:val="17"/>
          <w:szCs w:val="17"/>
          <w:color w:val="auto"/>
        </w:rPr>
      </w:pPr>
      <w:r>
        <w:rPr>
          <w:rFonts w:ascii="Arial" w:cs="Arial" w:eastAsia="Arial" w:hAnsi="Arial"/>
          <w:sz w:val="17"/>
          <w:szCs w:val="17"/>
          <w:color w:val="auto"/>
        </w:rPr>
        <w:t>As of the Effective Date and excluding any Disclosed Matters, since December 31, 2014, there has been no material adverse change in the business, assets, operations or financial condition of the Company and its Subsidiaries, taken as a whole.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225" w:lineRule="exact"/>
        <w:rPr>
          <w:sz w:val="20"/>
          <w:szCs w:val="20"/>
          <w:color w:val="auto"/>
        </w:rPr>
      </w:pPr>
    </w:p>
    <w:p>
      <w:pPr>
        <w:ind w:left="660" w:right="720" w:firstLine="645"/>
        <w:spacing w:after="0" w:line="277" w:lineRule="auto"/>
        <w:tabs>
          <w:tab w:leader="none" w:pos="1954"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for Liens permitted pursuant to Section 6.02, each of the Company and its Subsidiaries has good title to, or (to the knowledge of the Company) valid leasehold interests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all its real and personal property (other than intellectual property, which is subject to Section 3.05(b)) material to its business, except as could not reasonably be expected to result in a Material Adverse Effect.</w:t>
      </w:r>
    </w:p>
    <w:p>
      <w:pPr>
        <w:spacing w:after="0" w:line="170" w:lineRule="exact"/>
        <w:rPr>
          <w:sz w:val="20"/>
          <w:szCs w:val="20"/>
          <w:color w:val="auto"/>
        </w:rPr>
      </w:pPr>
    </w:p>
    <w:p>
      <w:pPr>
        <w:ind w:left="660" w:right="160" w:firstLine="645"/>
        <w:spacing w:after="0" w:line="279" w:lineRule="auto"/>
        <w:tabs>
          <w:tab w:leader="none" w:pos="1964" w:val="left"/>
        </w:tabs>
        <w:numPr>
          <w:ilvl w:val="0"/>
          <w:numId w:val="74"/>
        </w:numPr>
        <w:rPr>
          <w:rFonts w:ascii="Arial" w:cs="Arial" w:eastAsia="Arial" w:hAnsi="Arial"/>
          <w:sz w:val="17"/>
          <w:szCs w:val="17"/>
          <w:color w:val="auto"/>
        </w:rPr>
      </w:pPr>
      <w:r>
        <w:rPr>
          <w:rFonts w:ascii="Arial" w:cs="Arial" w:eastAsia="Arial" w:hAnsi="Arial"/>
          <w:sz w:val="17"/>
          <w:szCs w:val="17"/>
          <w:color w:val="auto"/>
        </w:rPr>
        <w:t>Except for Disclosed Matters or as could not reasonably be expected to result in a Material Adverse Effect, (i) each of the Company and its Subsidiaries owns or is licensed to use (subject to the knowledge-qualified infringement representation in this Section 3.05(b)) all trademarks, trade names, copyrights, patents and other intellectual property material to its business, and (ii) the use thereof by the Company and its Subsidiaries, to the Company’s knowledge, does not infringe upon the rights of any other Person.</w:t>
      </w:r>
    </w:p>
    <w:p>
      <w:pPr>
        <w:spacing w:after="0" w:line="171"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Litigation and Environmental Matters</w:t>
      </w:r>
      <w:r>
        <w:rPr>
          <w:rFonts w:ascii="Arial" w:cs="Arial" w:eastAsia="Arial" w:hAnsi="Arial"/>
          <w:sz w:val="18"/>
          <w:szCs w:val="18"/>
          <w:color w:val="auto"/>
        </w:rPr>
        <w:t>. (a) As of the Effective Date and except for Disclosed Matters, there are no actions, suits, proceedings or investigations by or before any arbitrator or Governmental Authority pending against or, to the knowledge of the Company, threatened in writing against or affecting the Company or any of its Subsidiaries (i) that could reasonably be expected to result in a Material Adverse Effect or (ii) that involve this Agreement or the Transactions.</w:t>
      </w:r>
    </w:p>
    <w:p>
      <w:pPr>
        <w:spacing w:after="0" w:line="187" w:lineRule="exact"/>
        <w:rPr>
          <w:sz w:val="20"/>
          <w:szCs w:val="20"/>
          <w:color w:val="auto"/>
        </w:rPr>
      </w:pPr>
    </w:p>
    <w:p>
      <w:pPr>
        <w:ind w:left="660" w:right="220" w:firstLine="645"/>
        <w:spacing w:after="0" w:line="279" w:lineRule="auto"/>
        <w:tabs>
          <w:tab w:leader="none" w:pos="1964" w:val="left"/>
        </w:tabs>
        <w:numPr>
          <w:ilvl w:val="0"/>
          <w:numId w:val="75"/>
        </w:numPr>
        <w:rPr>
          <w:rFonts w:ascii="Arial" w:cs="Arial" w:eastAsia="Arial" w:hAnsi="Arial"/>
          <w:sz w:val="17"/>
          <w:szCs w:val="17"/>
          <w:color w:val="auto"/>
        </w:rPr>
      </w:pPr>
      <w:r>
        <w:rPr>
          <w:rFonts w:ascii="Arial" w:cs="Arial" w:eastAsia="Arial" w:hAnsi="Arial"/>
          <w:sz w:val="17"/>
          <w:szCs w:val="17"/>
          <w:color w:val="auto"/>
        </w:rPr>
        <w:t>Except with respect to Disclosed Matters and other matters that could not reasonably be expected to result in a Material Adverse Effect, the Company and its Subsidiaries (i) are in compliance with all applicable Environmental Laws (which compliance includes possession of and compliance with all permits, licenses or other approvals required under applicable Environmental Laws), (ii) are not subject to any Environmental Liability or (iii) have not received written notice of any claim with respect to any Environmental Liability.</w:t>
      </w:r>
    </w:p>
    <w:p>
      <w:pPr>
        <w:spacing w:after="0" w:line="171"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of the Company and its Subsidiaries is in compliance with all laws, regulations and orders of any Governmental Authority applicable to it or its property, except (i) for Disclosed Matters or (ii) where the failure to do so could not reasonably be expected to result in a Material Adverse Effect. The entry into this Agreement by the Irish Borrowers and the performance by the Irish Borrowers of the transactions contemplated hereby and the obligations incurred hereunder by the Irish Borrowers does not constitute the provision of financial assistance by the Irish Borrowers within the meaning of Section 60 of the Companies Act, 1963 of Ireland. The prohibition contained in Section 31 of the Companies Act, 1990 of Ireland does not apply to this Agreement or the transactions contemplated thereby by reason of the fact that the Irish Borrowers and each other company whose liabilities are hereby guaranteed are members of a group of companies consisting of a holding company and its subsidiaries within the meaning of Section 155(1) of the Companies Act, 1963 of Ireland.</w:t>
      </w:r>
    </w:p>
    <w:p>
      <w:pPr>
        <w:spacing w:after="0" w:line="192" w:lineRule="exact"/>
        <w:rPr>
          <w:sz w:val="20"/>
          <w:szCs w:val="20"/>
          <w:color w:val="auto"/>
        </w:rPr>
      </w:pPr>
    </w:p>
    <w:p>
      <w:pPr>
        <w:ind w:right="900" w:firstLine="1297"/>
        <w:spacing w:after="0" w:line="342"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Investment Company Status</w:t>
      </w:r>
      <w:r>
        <w:rPr>
          <w:rFonts w:ascii="Arial" w:cs="Arial" w:eastAsia="Arial" w:hAnsi="Arial"/>
          <w:sz w:val="16"/>
          <w:szCs w:val="16"/>
          <w:color w:val="auto"/>
        </w:rPr>
        <w:t>. Neither the Company nor any of its Subsidiaries is required to be registered as an “investment company” as defined in the Investment Company Act of 1940 or subject to regulation as an “investment company” thereunder.</w:t>
      </w:r>
    </w:p>
    <w:p>
      <w:pPr>
        <w:spacing w:after="0" w:line="124"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Taxes</w:t>
      </w:r>
      <w:r>
        <w:rPr>
          <w:rFonts w:ascii="Arial" w:cs="Arial" w:eastAsia="Arial" w:hAnsi="Arial"/>
          <w:sz w:val="17"/>
          <w:szCs w:val="17"/>
          <w:color w:val="auto"/>
        </w:rPr>
        <w:t>. Each of the Company and its Subsidiaries has timely filed or caused to be filed all federal income Tax returns and all other material Tax returns and reports required to have been filed by it and has paid, caused to be paid or made a provision for the payment of, all federal income Taxes and all other material Taxes required to have been paid by it, except (a) Taxes that are being contested in good faith by appropriate proceedings and for which the Company or such Subsidiary, as applicable, has set aside on its books adequate reserves in accordance with GAAP or (b) to the extent that the failure to do so could not reasonably be expected to result in a Material Adverse Effect.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1297"/>
        <w:spacing w:after="0" w:line="308"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ERISA</w:t>
      </w:r>
      <w:r>
        <w:rPr>
          <w:rFonts w:ascii="Arial" w:cs="Arial" w:eastAsia="Arial" w:hAnsi="Arial"/>
          <w:sz w:val="17"/>
          <w:szCs w:val="17"/>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47"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Disclosure</w:t>
      </w:r>
      <w:r>
        <w:rPr>
          <w:rFonts w:ascii="Arial" w:cs="Arial" w:eastAsia="Arial" w:hAnsi="Arial"/>
          <w:sz w:val="16"/>
          <w:szCs w:val="16"/>
          <w:color w:val="auto"/>
        </w:rPr>
        <w:t>. All written information (including the information set forth in the Information Memorandum) and all information that is formally presented at a general meeting (which may be a telephonic meeting) of the Lenders, other than any projections, estimates, forecasts and other forward-looking information and information of a general economic or industry-specific nature furnished by or on behalf of the Company or any Subsidiary to the Administrative Agent or any Lender pursuant to or in connection with this Agreement or any other Loan Document, when taken as a</w:t>
      </w:r>
    </w:p>
    <w:p>
      <w:pPr>
        <w:sectPr>
          <w:pgSz w:w="11900" w:h="16945" w:orient="portrait"/>
          <w:cols w:equalWidth="0" w:num="1">
            <w:col w:w="11420"/>
          </w:cols>
          <w:pgMar w:left="240" w:top="125" w:right="239" w:bottom="0" w:gutter="0" w:footer="0" w:header="0"/>
        </w:sectPr>
      </w:pPr>
    </w:p>
    <w:bookmarkStart w:id="39" w:name="page40"/>
    <w:bookmarkEnd w:id="39"/>
    <w:p>
      <w:pPr>
        <w:spacing w:after="0" w:line="255" w:lineRule="auto"/>
        <w:rPr>
          <w:sz w:val="20"/>
          <w:szCs w:val="20"/>
          <w:color w:val="auto"/>
        </w:rPr>
      </w:pPr>
      <w:r>
        <w:rPr>
          <w:rFonts w:ascii="Arial" w:cs="Arial" w:eastAsia="Arial" w:hAnsi="Arial"/>
          <w:sz w:val="18"/>
          <w:szCs w:val="18"/>
          <w:color w:val="auto"/>
        </w:rPr>
        <w:t xml:space="preserve">whole and after giving effect to all supplements and updates thereto, does not (when furnished) contain any untrue statement of material fact or omit to state a material fact necessary in order to make the statements contained therein not materially misleading (when taken as a whole) in light of the circumstances under which such statements are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forecasts or projections, the Company represents only that such information was prepared in good faith based upon assumptions believed by the Company to be reasonable at the time prepared (it being understood by the Administrative Agent and the Lenders that any such projections are not to be viewed as facts and are subject to significant uncertainties and contingencies, many of which are beyond the control of the Company or its Subsidiaries, that no assurances can be given that such projections will be realized and that actual results may differ materially from such projections).</w:t>
      </w:r>
    </w:p>
    <w:p>
      <w:pPr>
        <w:spacing w:after="0" w:line="189" w:lineRule="exact"/>
        <w:rPr>
          <w:sz w:val="20"/>
          <w:szCs w:val="20"/>
          <w:color w:val="auto"/>
        </w:rPr>
      </w:pPr>
    </w:p>
    <w:p>
      <w:pPr>
        <w:ind w:right="380" w:firstLine="1297"/>
        <w:spacing w:after="0" w:line="308"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Federal Reserve Regulations</w:t>
      </w:r>
      <w:r>
        <w:rPr>
          <w:rFonts w:ascii="Arial" w:cs="Arial" w:eastAsia="Arial" w:hAnsi="Arial"/>
          <w:sz w:val="17"/>
          <w:szCs w:val="17"/>
          <w:color w:val="auto"/>
        </w:rPr>
        <w:t>. No part of the proceeds of any Loan have been used or will be used, whether directly or indirectly, for any purpose that entails a violation of any of the Regulations of the Board, including Regulations T, U and X.</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No Default</w:t>
      </w:r>
      <w:r>
        <w:rPr>
          <w:rFonts w:ascii="Arial" w:cs="Arial" w:eastAsia="Arial" w:hAnsi="Arial"/>
          <w:sz w:val="18"/>
          <w:szCs w:val="18"/>
          <w:color w:val="auto"/>
        </w:rPr>
        <w:t>. No Default has occurred and is continuing.</w:t>
      </w:r>
    </w:p>
    <w:p>
      <w:pPr>
        <w:spacing w:after="0" w:line="225"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has implemented and maintains in effect policies and is implementing procedures reasonably designed to achieve compliance by the Company, its Subsidiaries and their respective directors, officers, employees and agents with Anti-Corruption Laws and applicable Sanctions, and the Company, its Subsidiaries and their respective officers and employees and to the knowledge of the Company its directors and agents, are in compliance with Anti-Corruption Laws and applicable Sanctions in all material respects. None of (a) the Company, any Subsidiary or to the knowledge of the Company or such Subsidiary any of their respective directors, officers or employees, or (b) to the knowledge of the Company, any agent of the Company or any Subsidiary that will act in any capacity in connection with or benefit from the credit facility established hereby, is a Sanctioned Person. No Borrowing or Letter of Credit, use of proceeds or other Transactions will violate any Anti-Corruption Law or applicable Sanctions.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Effective Date</w:t>
      </w:r>
      <w:r>
        <w:rPr>
          <w:rFonts w:ascii="Arial" w:cs="Arial" w:eastAsia="Arial" w:hAnsi="Arial"/>
          <w:sz w:val="17"/>
          <w:szCs w:val="17"/>
          <w:color w:val="auto"/>
        </w:rPr>
        <w:t>. The obligations of the Lenders to make Loans and of the Issuing Banks to issue Letters of Credit hereunder shall not become effective until the date on which each of the following conditions is satisfied (or waived in accordance with Section 9.02):</w:t>
      </w:r>
    </w:p>
    <w:p>
      <w:pPr>
        <w:spacing w:after="0" w:line="147" w:lineRule="exact"/>
        <w:rPr>
          <w:sz w:val="20"/>
          <w:szCs w:val="20"/>
          <w:color w:val="auto"/>
        </w:rPr>
      </w:pPr>
    </w:p>
    <w:p>
      <w:pPr>
        <w:jc w:val="both"/>
        <w:ind w:left="660" w:right="40" w:firstLine="645"/>
        <w:spacing w:after="0" w:line="264" w:lineRule="auto"/>
        <w:tabs>
          <w:tab w:leader="none" w:pos="195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(i) from each party hereto either (A) a counterpart of this Agreement signed on behalf of such party or (B) written evidence reasonably satisfactory to the Administrative Agent (which may include telecopy or electronic transmission of a signed signature page of this Agreement) that such party has signed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700"/>
        <w:spacing w:after="0" w:line="277" w:lineRule="auto"/>
        <w:rPr>
          <w:sz w:val="20"/>
          <w:szCs w:val="20"/>
          <w:color w:val="auto"/>
        </w:rPr>
      </w:pPr>
      <w:r>
        <w:rPr>
          <w:rFonts w:ascii="Arial" w:cs="Arial" w:eastAsia="Arial" w:hAnsi="Arial"/>
          <w:sz w:val="18"/>
          <w:szCs w:val="18"/>
          <w:color w:val="auto"/>
        </w:rPr>
        <w:t xml:space="preserve">counterpart of this Agreement and (ii) duly executed copies of the Loan Documents and such other certificates, documents, instruments and agreements, in each case, to the extent described in the list of documents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70" w:lineRule="exact"/>
        <w:rPr>
          <w:sz w:val="20"/>
          <w:szCs w:val="20"/>
          <w:color w:val="auto"/>
        </w:rPr>
      </w:pPr>
    </w:p>
    <w:p>
      <w:pPr>
        <w:ind w:left="660" w:firstLine="645"/>
        <w:spacing w:after="0" w:line="255" w:lineRule="auto"/>
        <w:tabs>
          <w:tab w:leader="none" w:pos="19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Administrative Agent shall have received a favorable written opinion (addressed to the Administrative Agent and the Lenders and dated the Effective Date) of each of (i) Skadden, Arps Slate, Meagher &amp; Flom LLP, special New York counsel for the Company, (ii) Arthur Cox, special Irish counsel for the Initial Irish Borrowers, and (iii) Baker &amp; McKenzie Amsterdam N.V., special Dutch counsel for the Initial Dutch Borrower, in each case in form and substance reasonably satisfactory to the Administrative Agent and covering such customary matters relating to the Loan Parties, the Loan Documents or the Transactions as the Administrative Agent shall reasonably request. The Company and the other Borrowers hereby request such counsels to deliver such opinions.</w:t>
      </w:r>
    </w:p>
    <w:p>
      <w:pPr>
        <w:spacing w:after="0" w:line="193" w:lineRule="exact"/>
        <w:rPr>
          <w:rFonts w:ascii="Arial" w:cs="Arial" w:eastAsia="Arial" w:hAnsi="Arial"/>
          <w:sz w:val="18"/>
          <w:szCs w:val="18"/>
          <w:color w:val="auto"/>
        </w:rPr>
      </w:pPr>
    </w:p>
    <w:p>
      <w:pPr>
        <w:ind w:left="660" w:right="160" w:firstLine="645"/>
        <w:spacing w:after="0" w:line="297" w:lineRule="auto"/>
        <w:tabs>
          <w:tab w:leader="none" w:pos="1967"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such documents and certificates relating to the organization, existence and good standing of the initial Loan Parties in their respective jurisdictions of organization, the authorization of the Transactions and any other legal matters relating to such Loan Parties (which shall include, in the case of any Initial Irish Borrower, where applicable, evidence that such Loan Party has complied with Section 60 of the Companies Act 1963 of Ireland), the Loan Documents or the Transactions, all in form and substance reasonably satisfactory to the Administrative Agent and its counsel and as further described in the list of documents identified in Section B of </w:t>
      </w:r>
      <w:r>
        <w:rPr>
          <w:rFonts w:ascii="Arial" w:cs="Arial" w:eastAsia="Arial" w:hAnsi="Arial"/>
          <w:sz w:val="16"/>
          <w:szCs w:val="16"/>
          <w:u w:val="single" w:color="auto"/>
          <w:color w:val="auto"/>
        </w:rPr>
        <w:t>Exhibit E</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left="660" w:right="140" w:firstLine="645"/>
        <w:spacing w:after="0" w:line="273" w:lineRule="auto"/>
        <w:tabs>
          <w:tab w:leader="none" w:pos="1964"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a certificate, dated the Effective Date and signed by a Responsible Officer of the Company, certifying on behalf of the Company (i) that the representations and warranties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are true and correct in all material respects (or, in the case of any representation or warranty qualified by materiality or Material Adverse Effect, in all respects) as of such date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as of such earlier date and (ii) that no Default or Event of Default has occurred and is continuing as of such date.</w:t>
      </w:r>
    </w:p>
    <w:p>
      <w:pPr>
        <w:spacing w:after="0" w:line="178" w:lineRule="exact"/>
        <w:rPr>
          <w:rFonts w:ascii="Arial" w:cs="Arial" w:eastAsia="Arial" w:hAnsi="Arial"/>
          <w:sz w:val="17"/>
          <w:szCs w:val="17"/>
          <w:color w:val="auto"/>
        </w:rPr>
      </w:pPr>
    </w:p>
    <w:p>
      <w:pPr>
        <w:ind w:left="660" w:right="600" w:firstLine="645"/>
        <w:spacing w:after="0" w:line="286" w:lineRule="auto"/>
        <w:tabs>
          <w:tab w:leader="none" w:pos="1967"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Administrative Agent shall have received all fees and other amounts due and payable on or prior to the Effective Date, including, to the extent invoiced at least one (1) Business Day prior to the Effective Date, reimbursement or payment of all reasonable and documented out-of-pocket expenses required to be reimbursed or paid by the Company 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shall notify the Company and the Lenders of the Effective Date, and such notice shall be conclusive and binding.</w:t>
      </w:r>
    </w:p>
    <w:p>
      <w:pPr>
        <w:spacing w:after="0" w:line="225" w:lineRule="exact"/>
        <w:rPr>
          <w:sz w:val="20"/>
          <w:szCs w:val="20"/>
          <w:color w:val="auto"/>
        </w:rPr>
      </w:pPr>
    </w:p>
    <w:p>
      <w:pPr>
        <w:ind w:right="360" w:firstLine="1297"/>
        <w:spacing w:after="0" w:line="26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(other than a conversion or continuation of any Loans), and of the Issuing Banks to issue, amend, renew or extend any Letter of Credit, is subject to the satisfaction (or waiver of in accordance with Section 9.02) of the following conditions:</w:t>
      </w:r>
    </w:p>
    <w:p>
      <w:pPr>
        <w:spacing w:after="0" w:line="181" w:lineRule="exact"/>
        <w:rPr>
          <w:sz w:val="20"/>
          <w:szCs w:val="20"/>
          <w:color w:val="auto"/>
        </w:rPr>
      </w:pPr>
    </w:p>
    <w:p>
      <w:pPr>
        <w:jc w:val="both"/>
        <w:ind w:left="660" w:right="160" w:firstLine="645"/>
        <w:spacing w:after="0" w:line="264" w:lineRule="auto"/>
        <w:tabs>
          <w:tab w:leader="none" w:pos="195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representations and warranties of the Borrowers set forth in this Agreement (excluding the representations and warranties set forth in Sections 3.04(b) and 3.06(a)) shall be true and correct in all material respects (or, in the case of any representation or warranty qualified by materiality or Material Adverse Effect, in all respects) on and as of the date of such Borrowing</w:t>
      </w:r>
    </w:p>
    <w:p>
      <w:pPr>
        <w:sectPr>
          <w:pgSz w:w="11900" w:h="16838" w:orient="portrait"/>
          <w:cols w:equalWidth="0" w:num="1">
            <w:col w:w="11420"/>
          </w:cols>
          <w:pgMar w:left="240" w:top="125" w:right="239" w:bottom="123"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40" w:name="page41"/>
    <w:bookmarkEnd w:id="40"/>
    <w:p>
      <w:pPr>
        <w:ind w:left="660" w:right="260"/>
        <w:spacing w:after="0" w:line="286" w:lineRule="auto"/>
        <w:rPr>
          <w:sz w:val="20"/>
          <w:szCs w:val="20"/>
          <w:color w:val="auto"/>
        </w:rPr>
      </w:pPr>
      <w:r>
        <w:rPr>
          <w:rFonts w:ascii="Arial" w:cs="Arial" w:eastAsia="Arial" w:hAnsi="Arial"/>
          <w:sz w:val="17"/>
          <w:szCs w:val="17"/>
          <w:color w:val="auto"/>
        </w:rPr>
        <w:t>or the date of issuance, amendment, renewal or extension of such Letter of Credit, as applicable, except to the extent that such representations and warranties specifically refer to an earlier date, in which case they shall be true and correct in all material respects (or, in the case of any representation or warranty qualified by materiality or Material Adverse Effect, in all respects) as of such earlier date.</w:t>
      </w:r>
    </w:p>
    <w:p>
      <w:pPr>
        <w:spacing w:after="0" w:line="166" w:lineRule="exact"/>
        <w:rPr>
          <w:sz w:val="20"/>
          <w:szCs w:val="20"/>
          <w:color w:val="auto"/>
        </w:rPr>
      </w:pPr>
    </w:p>
    <w:p>
      <w:pPr>
        <w:ind w:left="660" w:right="280" w:firstLine="645"/>
        <w:spacing w:after="0" w:line="277" w:lineRule="auto"/>
        <w:tabs>
          <w:tab w:leader="none" w:pos="19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applicable, no Default or Event of Default shall have occurred and be continuing.</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Each Borrowing (other than a conversion or continuation of any Loans) and each issuance, amendment, renewal or extension of a Letter of Credit shall be deemed to constitute a representation and warranty by the Borrowers on the date thereof as to the matters specified in paragraphs (a) and (b) of this Section.</w:t>
      </w:r>
    </w:p>
    <w:p>
      <w:pPr>
        <w:spacing w:after="0" w:line="124"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Designation of a Subsidiary Borrower</w:t>
      </w:r>
      <w:r>
        <w:rPr>
          <w:rFonts w:ascii="Arial" w:cs="Arial" w:eastAsia="Arial" w:hAnsi="Arial"/>
          <w:sz w:val="18"/>
          <w:szCs w:val="18"/>
          <w:color w:val="auto"/>
        </w:rPr>
        <w:t>. After the Effective Date, the designation of a Subsidiary Borrower pursuant to Section 2.23 is subject to the condition precedent that the Company or such proposed Subsidiary Borrower shall have furnished or caused to be furnished to the Administrative Agent:</w:t>
      </w:r>
    </w:p>
    <w:p>
      <w:pPr>
        <w:spacing w:after="0" w:line="181" w:lineRule="exact"/>
        <w:rPr>
          <w:sz w:val="20"/>
          <w:szCs w:val="20"/>
          <w:color w:val="auto"/>
        </w:rPr>
      </w:pPr>
    </w:p>
    <w:p>
      <w:pPr>
        <w:ind w:left="660" w:right="220" w:firstLine="645"/>
        <w:spacing w:after="0" w:line="257" w:lineRule="auto"/>
        <w:tabs>
          <w:tab w:leader="none" w:pos="1954"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Copies, certified by the Secretary or Assistant Secretary (or other appropriate officer, manager or director) of such Subsidiary, of its Board of Directors’ (or other governing body’s) resolutions (and, to the extent necessary, shareholder resolutions) approving the Borrowing Subsidiary Agreement and any other Loan Documents to which such Subsidiary is becoming a party and such documents and certificates as the Administrative Agent or its counsel may reasonably request relating to the organization, existence and good standing of such Subsidiary in its jurisdiction of organization;</w:t>
      </w:r>
    </w:p>
    <w:p>
      <w:pPr>
        <w:spacing w:after="0" w:line="188" w:lineRule="exact"/>
        <w:rPr>
          <w:rFonts w:ascii="Arial" w:cs="Arial" w:eastAsia="Arial" w:hAnsi="Arial"/>
          <w:sz w:val="18"/>
          <w:szCs w:val="18"/>
          <w:color w:val="auto"/>
        </w:rPr>
      </w:pPr>
    </w:p>
    <w:p>
      <w:pPr>
        <w:ind w:left="660" w:right="80" w:firstLine="645"/>
        <w:spacing w:after="0" w:line="257" w:lineRule="auto"/>
        <w:tabs>
          <w:tab w:leader="none" w:pos="19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incumbency certificate, certified by the Secretary or Assistant Secretary (or other appropriate officer, manager or director) of such Subsidiary, which shall identify by name and title and bear the signature of the officers, managers, directors and other persons of such Subsidiary authorized to request Borrowings hereunder and sign the Borrowing Subsidiary Agreement and the other Loan Documents to which such Subsidiary is becoming a party, upon which certificate the Administrative Agent and the Lenders shall be entitled to rely until informed of any change in writing by the Company or such Subsidiary;</w:t>
      </w:r>
    </w:p>
    <w:p>
      <w:pPr>
        <w:spacing w:after="0" w:line="188" w:lineRule="exact"/>
        <w:rPr>
          <w:rFonts w:ascii="Arial" w:cs="Arial" w:eastAsia="Arial" w:hAnsi="Arial"/>
          <w:sz w:val="18"/>
          <w:szCs w:val="18"/>
          <w:color w:val="auto"/>
        </w:rPr>
      </w:pPr>
    </w:p>
    <w:p>
      <w:pPr>
        <w:ind w:left="660" w:right="60" w:firstLine="645"/>
        <w:spacing w:after="0" w:line="257" w:lineRule="auto"/>
        <w:tabs>
          <w:tab w:leader="none" w:pos="1967" w:val="left"/>
        </w:tabs>
        <w:numPr>
          <w:ilvl w:val="0"/>
          <w:numId w:val="80"/>
        </w:numPr>
        <w:rPr>
          <w:rFonts w:ascii="Arial" w:cs="Arial" w:eastAsia="Arial" w:hAnsi="Arial"/>
          <w:sz w:val="18"/>
          <w:szCs w:val="18"/>
          <w:color w:val="auto"/>
        </w:rPr>
      </w:pPr>
      <w:r>
        <w:rPr>
          <w:rFonts w:ascii="Arial" w:cs="Arial" w:eastAsia="Arial" w:hAnsi="Arial"/>
          <w:sz w:val="18"/>
          <w:szCs w:val="18"/>
          <w:color w:val="auto"/>
        </w:rPr>
        <w:t>Opinions of counsel to such Subsidiary, in form and substance reasonably satisfactory to the Administrative Agent and its counsel, with respect to the laws of its jurisdiction of organization and such other customary matters as are reasonably requested by counsel to the Administrative Agent (but, in any case, limited to the types of matters covered in the legal opinions delivered pursuant to Section 4.01, in the case of a jurisdiction of a Borrower in respect of which a legal opinion was delivered pursuant to Section 4.01) and addressed to the Administrative Agent and the Lenders; and</w:t>
      </w:r>
    </w:p>
    <w:p>
      <w:pPr>
        <w:spacing w:after="0" w:line="188" w:lineRule="exact"/>
        <w:rPr>
          <w:rFonts w:ascii="Arial" w:cs="Arial" w:eastAsia="Arial" w:hAnsi="Arial"/>
          <w:sz w:val="18"/>
          <w:szCs w:val="18"/>
          <w:color w:val="auto"/>
        </w:rPr>
      </w:pPr>
    </w:p>
    <w:p>
      <w:pPr>
        <w:ind w:left="660" w:right="140" w:firstLine="645"/>
        <w:spacing w:after="0" w:line="277" w:lineRule="auto"/>
        <w:tabs>
          <w:tab w:leader="none" w:pos="19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promissory notes requested by any Lender pursuant to Section 2.10(e), and any other instruments and documents reasonably requested by the Administrative Agent.</w:t>
      </w:r>
    </w:p>
    <w:p>
      <w:pPr>
        <w:spacing w:after="0" w:line="170" w:lineRule="exact"/>
        <w:rPr>
          <w:rFonts w:ascii="Arial" w:cs="Arial" w:eastAsia="Arial" w:hAnsi="Arial"/>
          <w:sz w:val="18"/>
          <w:szCs w:val="18"/>
          <w:color w:val="auto"/>
        </w:rPr>
      </w:pPr>
    </w:p>
    <w:p>
      <w:pPr>
        <w:ind w:left="660" w:right="140" w:firstLine="645"/>
        <w:spacing w:after="0" w:line="264" w:lineRule="auto"/>
        <w:tabs>
          <w:tab w:leader="none" w:pos="1967"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documentation and other information that is reasonably requested by the Administrative Agent or any of the Lenders (acting through the Administrative Agent) in connection with requirements by regulatory authorities under applicable “know-your-customer” and anti-money laundering rules and regulations, including the Patriot Act; provided that 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60"/>
        <w:spacing w:after="0" w:line="277" w:lineRule="auto"/>
        <w:rPr>
          <w:sz w:val="20"/>
          <w:szCs w:val="20"/>
          <w:color w:val="auto"/>
        </w:rPr>
      </w:pPr>
      <w:r>
        <w:rPr>
          <w:rFonts w:ascii="Arial" w:cs="Arial" w:eastAsia="Arial" w:hAnsi="Arial"/>
          <w:sz w:val="18"/>
          <w:szCs w:val="18"/>
          <w:color w:val="auto"/>
        </w:rPr>
        <w:t>such request shall be made no later than three (3) Business Days after written notice by the Company to the Administrative Agent of such designation pursuant to Section 2.23.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right="220" w:firstLine="1297"/>
        <w:spacing w:after="0" w:line="302" w:lineRule="auto"/>
        <w:rPr>
          <w:sz w:val="20"/>
          <w:szCs w:val="20"/>
          <w:color w:val="auto"/>
        </w:rPr>
      </w:pPr>
      <w:r>
        <w:rPr>
          <w:rFonts w:ascii="Arial" w:cs="Arial" w:eastAsia="Arial" w:hAnsi="Arial"/>
          <w:sz w:val="16"/>
          <w:szCs w:val="16"/>
          <w:color w:val="auto"/>
        </w:rPr>
        <w:t>Until the Commitments have expired or been terminated and the principal of and interest on each Loan and all fees due and payable hereunder shall have been paid in full (other than Obligations expressly stated to survive such payment and termination) and all Letters of Credit shall have expired or terminated, in each case, without any pending draw (or shall have been cash collateralized or backstopped pursuant to arrangements reasonably satisfactory to the Administrative Agent), and all LC Disbursements shall have been reimbursed, the Company covenants and agrees with the Lenders that:</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Financial Statements and Other Information</w:t>
      </w:r>
      <w:r>
        <w:rPr>
          <w:rFonts w:ascii="Arial" w:cs="Arial" w:eastAsia="Arial" w:hAnsi="Arial"/>
          <w:sz w:val="17"/>
          <w:szCs w:val="17"/>
          <w:color w:val="auto"/>
        </w:rPr>
        <w:t>. The Company will furnish to the Administrative Agent for distribution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each Lender:</w:t>
      </w:r>
    </w:p>
    <w:p>
      <w:pPr>
        <w:spacing w:after="0" w:line="211" w:lineRule="exact"/>
        <w:rPr>
          <w:sz w:val="20"/>
          <w:szCs w:val="20"/>
          <w:color w:val="auto"/>
        </w:rPr>
      </w:pPr>
    </w:p>
    <w:p>
      <w:pPr>
        <w:ind w:left="660" w:right="60" w:firstLine="645"/>
        <w:spacing w:after="0" w:line="272" w:lineRule="auto"/>
        <w:tabs>
          <w:tab w:leader="none" w:pos="1954" w:val="left"/>
        </w:tabs>
        <w:numPr>
          <w:ilvl w:val="0"/>
          <w:numId w:val="81"/>
        </w:numPr>
        <w:rPr>
          <w:rFonts w:ascii="Arial" w:cs="Arial" w:eastAsia="Arial" w:hAnsi="Arial"/>
          <w:sz w:val="17"/>
          <w:szCs w:val="17"/>
          <w:color w:val="auto"/>
        </w:rPr>
      </w:pPr>
      <w:r>
        <w:rPr>
          <w:rFonts w:ascii="Arial" w:cs="Arial" w:eastAsia="Arial" w:hAnsi="Arial"/>
          <w:sz w:val="17"/>
          <w:szCs w:val="17"/>
          <w:color w:val="auto"/>
        </w:rPr>
        <w:t>within ninety (90) days after the end of each fiscal year of the Company, its audited consolidated balance sheet and related statements of operations, stockholders’ equity and cash flows as of the end of and for such year, setting forth in each case in comparative form the figures for the previous fiscal year, prepared in accordance with GAAP consistently applied, with such audited balance sheet and related consolidated financial statements reported on by PricewaterhouseCoopers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w:t>
      </w:r>
    </w:p>
    <w:p>
      <w:pPr>
        <w:spacing w:after="0" w:line="177" w:lineRule="exact"/>
        <w:rPr>
          <w:rFonts w:ascii="Arial" w:cs="Arial" w:eastAsia="Arial" w:hAnsi="Arial"/>
          <w:sz w:val="17"/>
          <w:szCs w:val="17"/>
          <w:color w:val="auto"/>
        </w:rPr>
      </w:pPr>
    </w:p>
    <w:p>
      <w:pPr>
        <w:ind w:left="660" w:firstLine="645"/>
        <w:spacing w:after="0" w:line="255" w:lineRule="auto"/>
        <w:tabs>
          <w:tab w:leader="none" w:pos="19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within forty-five (45) days after the end of each of the first three fiscal quarters of each fiscal year of the Company, its consolidated balance sheet and related statements of operations and cash flows as of the end of and for such fiscal quarter and the period commencing at the beginning of such fiscal year and ending with such fiscal quarter, setting forth in each case in comparative form the figures for the corresponding period or periods of (or, in the case of the balance sheet, as of the end of) the previous fiscal year, all certified on behalf of the Company by a Financial Officer of the Company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ectPr>
          <w:pgSz w:w="11900" w:h="16838" w:orient="portrait"/>
          <w:cols w:equalWidth="0" w:num="1">
            <w:col w:w="11420"/>
          </w:cols>
          <w:pgMar w:left="240" w:top="341" w:right="239" w:bottom="64" w:gutter="0" w:footer="0" w:header="0"/>
        </w:sectPr>
      </w:pPr>
    </w:p>
    <w:bookmarkStart w:id="41" w:name="page42"/>
    <w:bookmarkEnd w:id="41"/>
    <w:p>
      <w:pPr>
        <w:spacing w:after="0" w:line="137" w:lineRule="exact"/>
        <w:rPr>
          <w:sz w:val="20"/>
          <w:szCs w:val="20"/>
          <w:color w:val="auto"/>
        </w:rPr>
      </w:pPr>
    </w:p>
    <w:p>
      <w:pPr>
        <w:ind w:left="660" w:right="40" w:firstLine="645"/>
        <w:spacing w:after="0" w:line="272" w:lineRule="auto"/>
        <w:tabs>
          <w:tab w:leader="none" w:pos="1967" w:val="left"/>
        </w:tabs>
        <w:numPr>
          <w:ilvl w:val="0"/>
          <w:numId w:val="82"/>
        </w:numPr>
        <w:rPr>
          <w:rFonts w:ascii="Arial" w:cs="Arial" w:eastAsia="Arial" w:hAnsi="Arial"/>
          <w:sz w:val="17"/>
          <w:szCs w:val="17"/>
          <w:color w:val="auto"/>
        </w:rPr>
      </w:pPr>
      <w:r>
        <w:rPr>
          <w:rFonts w:ascii="Arial" w:cs="Arial" w:eastAsia="Arial" w:hAnsi="Arial"/>
          <w:sz w:val="17"/>
          <w:szCs w:val="17"/>
          <w:color w:val="auto"/>
        </w:rPr>
        <w:t>concurrently with any delivery of financial statements under clause (a) or (b) above, a certificate of a Financial Officer of the Company, delivered on behalf of the Company, (i) certifying as to whether, to the knowledge of such Financial Officer, a Default has occurred and is continuing and, if a Default has occurred that is continuing, specifying the details thereof and any action taken or proposed to be taken with respect thereto, (ii) setting forth reasonably detailed calculations demonstrating compliance with Section 6.07 and (iii) to the extent that any change in GAAP or application thereof has a material impact on the financial statements accompanying such certificate and such change and impact has not been noted in such financial statements, stating whether any such change in GAAP or in the application thereof has occurred since the date of the audited financial statements referred to in Section 3.04 and, if 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change has occurred, specifying the effect of such change on such financial statements accompanying such certificate;</w:t>
      </w:r>
    </w:p>
    <w:p>
      <w:pPr>
        <w:spacing w:after="0" w:line="225" w:lineRule="exact"/>
        <w:rPr>
          <w:sz w:val="20"/>
          <w:szCs w:val="20"/>
          <w:color w:val="auto"/>
        </w:rPr>
      </w:pPr>
    </w:p>
    <w:p>
      <w:pPr>
        <w:ind w:left="660" w:right="40" w:firstLine="645"/>
        <w:spacing w:after="0" w:line="312" w:lineRule="auto"/>
        <w:tabs>
          <w:tab w:leader="none" w:pos="1964" w:val="left"/>
        </w:tabs>
        <w:numPr>
          <w:ilvl w:val="0"/>
          <w:numId w:val="83"/>
        </w:numPr>
        <w:rPr>
          <w:rFonts w:ascii="Arial" w:cs="Arial" w:eastAsia="Arial" w:hAnsi="Arial"/>
          <w:sz w:val="16"/>
          <w:szCs w:val="16"/>
          <w:color w:val="auto"/>
        </w:rPr>
      </w:pPr>
      <w:r>
        <w:rPr>
          <w:rFonts w:ascii="Arial" w:cs="Arial" w:eastAsia="Arial" w:hAnsi="Arial"/>
          <w:sz w:val="16"/>
          <w:szCs w:val="16"/>
          <w:color w:val="auto"/>
        </w:rPr>
        <w:t>promptly after the same become publicly available, copies of all annual, regular, periodic and special reports, proxy statements and registration statements (i) filed by the Company with the SEC (or any Governmental Authority succeeding to any or all of the functions of the SEC) or with any national securities exchange, or (ii) distributed by the Company to its shareholders generally, as the case may be;</w:t>
      </w:r>
    </w:p>
    <w:p>
      <w:pPr>
        <w:spacing w:after="0" w:line="146" w:lineRule="exact"/>
        <w:rPr>
          <w:rFonts w:ascii="Arial" w:cs="Arial" w:eastAsia="Arial" w:hAnsi="Arial"/>
          <w:sz w:val="16"/>
          <w:szCs w:val="16"/>
          <w:color w:val="auto"/>
        </w:rPr>
      </w:pPr>
    </w:p>
    <w:p>
      <w:pPr>
        <w:ind w:left="660" w:firstLine="645"/>
        <w:spacing w:after="0" w:line="277" w:lineRule="auto"/>
        <w:tabs>
          <w:tab w:leader="none" w:pos="1967"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promptly after Moody’s or S&amp;P shall have announced a change in the rating established or deemed to have been established for the Index Debt, written notice of such rating change; and</w:t>
      </w:r>
    </w:p>
    <w:p>
      <w:pPr>
        <w:spacing w:after="0" w:line="170" w:lineRule="exact"/>
        <w:rPr>
          <w:rFonts w:ascii="Arial" w:cs="Arial" w:eastAsia="Arial" w:hAnsi="Arial"/>
          <w:sz w:val="18"/>
          <w:szCs w:val="18"/>
          <w:color w:val="auto"/>
        </w:rPr>
      </w:pPr>
    </w:p>
    <w:p>
      <w:pPr>
        <w:ind w:left="660" w:right="160" w:firstLine="645"/>
        <w:spacing w:after="0" w:line="264" w:lineRule="auto"/>
        <w:tabs>
          <w:tab w:leader="none" w:pos="1961"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Company or any Subsidiary, or compliance with the terms of this Agreement, as the Administrative Agent or by any Lender (acting through the Administrative Agent) may reasonably request.</w:t>
      </w:r>
    </w:p>
    <w:p>
      <w:pPr>
        <w:spacing w:after="0" w:line="181"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Documents required to be delivered pursuant to clauses (a), (b) and (d) of this Section 5.01 (A) may be delivered electronically and (B) shall be deemed to have been delivered on the date on which such documents are (i) filed for public availability on the SEC’s Electronic Data Gathering and Retrieval System, (ii) posted or the Company provides a link thereto on http://www.regeneron.com or http://www.investor.regeneron.com or at another website identified in a notice from the Company and accessible by the Lenders without charge; or (iii) posted on the Company’s behalf on an Internet or intranet website, if any, to which the Administrative Agent has access (whether a commercial, third-party website or whether sponsored by the Administrative Agent).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Notices of Material Events</w:t>
      </w:r>
      <w:r>
        <w:rPr>
          <w:rFonts w:ascii="Arial" w:cs="Arial" w:eastAsia="Arial" w:hAnsi="Arial"/>
          <w:sz w:val="17"/>
          <w:szCs w:val="17"/>
          <w:color w:val="auto"/>
        </w:rPr>
        <w:t>. The Company will furnish to the Administrative Agent (for distribution to each Lender)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 notice of the following, promptly after a Responsible Officer of the Company having actual knowledge thereof:</w:t>
      </w:r>
    </w:p>
    <w:p>
      <w:pPr>
        <w:spacing w:after="0" w:line="211" w:lineRule="exact"/>
        <w:rPr>
          <w:sz w:val="20"/>
          <w:szCs w:val="20"/>
          <w:color w:val="auto"/>
        </w:rPr>
      </w:pPr>
    </w:p>
    <w:p>
      <w:pPr>
        <w:ind w:left="1940" w:hanging="635"/>
        <w:spacing w:after="0"/>
        <w:tabs>
          <w:tab w:leader="none" w:pos="19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ind w:left="660" w:right="340" w:firstLine="645"/>
        <w:spacing w:after="0" w:line="308" w:lineRule="auto"/>
        <w:tabs>
          <w:tab w:leader="none" w:pos="1964"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filing or commencement of any action, suit or proceeding by or before any arbitrator or Governmental Authority against or affecting the Company or any Subsidiary thereof that could reasonably be expected to result in a Material Adverse Effect;</w:t>
      </w:r>
    </w:p>
    <w:p>
      <w:pPr>
        <w:spacing w:after="0" w:line="146" w:lineRule="exact"/>
        <w:rPr>
          <w:rFonts w:ascii="Arial" w:cs="Arial" w:eastAsia="Arial" w:hAnsi="Arial"/>
          <w:sz w:val="17"/>
          <w:szCs w:val="17"/>
          <w:color w:val="auto"/>
        </w:rPr>
      </w:pPr>
    </w:p>
    <w:p>
      <w:pPr>
        <w:ind w:left="660" w:right="160" w:firstLine="645"/>
        <w:spacing w:after="0" w:line="277" w:lineRule="auto"/>
        <w:tabs>
          <w:tab w:leader="none" w:pos="196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a Material Adverse Effect;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225"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Each notice delivered under this Section shall be accompanied by a statement of a Responsible Officer of the Company setting forth in reasonable detail the event or development requiring such notice and any action taken or proposed to be taken with respect thereto. Information required to be delivered pursuant to clause (b), (c) and (d) of this Section shall be deemed to have been delivered if such information, or one or more annual, quarterly, current or other reports containing such information, is (i) filed for public availability on the SEC’s Electronic Data Gathering and Retrieval System, (ii) posted or the Company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provides a link thereto on http://www.regeneron.com or http://www.investor.regeneron.com; or (iii) posted on the Company’s behalf on an Internet or intranet website, if any, to which the Administrative Agent and the Lenders have access (whether a commercial, third-party website or whether sponsored by the Administrative Agent). Information required to be delivered pursuant to this Section may also be delivered by electronic communications pursuant to procedures approved by the Administrative Agent.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w:t>
      </w:r>
    </w:p>
    <w:p>
      <w:pPr>
        <w:spacing w:after="0" w:line="225" w:lineRule="exact"/>
        <w:rPr>
          <w:sz w:val="20"/>
          <w:szCs w:val="20"/>
          <w:color w:val="auto"/>
        </w:rPr>
      </w:pPr>
    </w:p>
    <w:p>
      <w:pPr>
        <w:ind w:left="660" w:right="140" w:firstLine="645"/>
        <w:spacing w:after="0" w:line="291" w:lineRule="auto"/>
        <w:tabs>
          <w:tab w:leader="none" w:pos="1954"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The Company will, and will cause each other Loan Party and each of the Material Subsidiaries to, do or cause to be done (i) all things necessary to preserve, renew and keep in full force and effect its legal existence and (ii) take, or cause to be taken, all reasonable actions to preserve, renew and keep in full force and effect the rights, qualifications, licenses, permits, privileges, franchises, governmental authorizations and intellectual property rights material to the conduct of the business of the Company and its Subsidiaries taken as a whole, and maintain all requisite authority to conduct its business in each jurisdiction in which its business is conducted, except, in the case of this clause (ii), to the extent failure to do so could not reasonably be expected to result in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Section 5.03 shall not prohibit any Permitted Restructurings, merger, consolidation, disposition, liquidation, dissolution or other transaction permitted under Section 6.03.</w:t>
      </w:r>
    </w:p>
    <w:p>
      <w:pPr>
        <w:spacing w:after="0" w:line="167" w:lineRule="exact"/>
        <w:rPr>
          <w:rFonts w:ascii="Arial" w:cs="Arial" w:eastAsia="Arial" w:hAnsi="Arial"/>
          <w:sz w:val="16"/>
          <w:szCs w:val="16"/>
          <w:color w:val="auto"/>
        </w:rPr>
      </w:pPr>
    </w:p>
    <w:p>
      <w:pPr>
        <w:ind w:left="660" w:right="20" w:firstLine="645"/>
        <w:spacing w:after="0" w:line="279" w:lineRule="auto"/>
        <w:tabs>
          <w:tab w:leader="none" w:pos="1964" w:val="left"/>
        </w:tabs>
        <w:numPr>
          <w:ilvl w:val="0"/>
          <w:numId w:val="85"/>
        </w:numPr>
        <w:rPr>
          <w:rFonts w:ascii="Arial" w:cs="Arial" w:eastAsia="Arial" w:hAnsi="Arial"/>
          <w:sz w:val="17"/>
          <w:szCs w:val="17"/>
          <w:color w:val="auto"/>
        </w:rPr>
      </w:pPr>
      <w:r>
        <w:rPr>
          <w:rFonts w:ascii="Arial" w:cs="Arial" w:eastAsia="Arial" w:hAnsi="Arial"/>
          <w:sz w:val="17"/>
          <w:szCs w:val="17"/>
          <w:color w:val="auto"/>
        </w:rPr>
        <w:t>Each Subsidiary Borrower organized or incorporated under the laws of a European Union jurisdiction shall cause its centre of main interests (as that term is used in Article 3(1) of the Regulation) to be situated in such jurisdiction (or in any Eligible Foreign Jurisdiction) for the purposes of the Regulation, unless failure to do so could not reasonably be expected to have a material adverse effect on the rights of the Lenders or the Administrative Agent in any enforcement or insolvency proceedings relating to any Loan Document.</w:t>
      </w:r>
    </w:p>
    <w:p>
      <w:pPr>
        <w:spacing w:after="0" w:line="171"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Payment of Taxes</w:t>
      </w:r>
      <w:r>
        <w:rPr>
          <w:rFonts w:ascii="Arial" w:cs="Arial" w:eastAsia="Arial" w:hAnsi="Arial"/>
          <w:sz w:val="16"/>
          <w:szCs w:val="16"/>
          <w:color w:val="auto"/>
        </w:rPr>
        <w:t>. The Company will, and will cause each of its Subsidiaries to, pay its Tax liabilities that, if not paid, could reasonably be expected to result in a Material Adverse Effect before the same shall become delinquent or in default, except where Taxes that are being</w:t>
      </w:r>
    </w:p>
    <w:p>
      <w:pPr>
        <w:sectPr>
          <w:pgSz w:w="11900" w:h="16975" w:orient="portrait"/>
          <w:cols w:equalWidth="0" w:num="1">
            <w:col w:w="11420"/>
          </w:cols>
          <w:pgMar w:left="240" w:top="125" w:right="239" w:bottom="0" w:gutter="0" w:footer="0" w:header="0"/>
        </w:sectPr>
      </w:pPr>
    </w:p>
    <w:bookmarkStart w:id="42" w:name="page43"/>
    <w:bookmarkEnd w:id="42"/>
    <w:p>
      <w:pPr>
        <w:ind w:right="80"/>
        <w:spacing w:after="0" w:line="277" w:lineRule="auto"/>
        <w:rPr>
          <w:sz w:val="20"/>
          <w:szCs w:val="20"/>
          <w:color w:val="auto"/>
        </w:rPr>
      </w:pPr>
      <w:r>
        <w:rPr>
          <w:rFonts w:ascii="Arial" w:cs="Arial" w:eastAsia="Arial" w:hAnsi="Arial"/>
          <w:sz w:val="18"/>
          <w:szCs w:val="18"/>
          <w:color w:val="auto"/>
        </w:rPr>
        <w:t>contested in good faith by appropriate proceedings and for which the Company or such Subsidiary, as applicable, has set aside on its books adequate reserves in accordance with GAAP.</w:t>
      </w:r>
    </w:p>
    <w:p>
      <w:pPr>
        <w:spacing w:after="0" w:line="170"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Maintenance of Properties; Insurance</w:t>
      </w:r>
      <w:r>
        <w:rPr>
          <w:rFonts w:ascii="Arial" w:cs="Arial" w:eastAsia="Arial" w:hAnsi="Arial"/>
          <w:sz w:val="16"/>
          <w:szCs w:val="16"/>
          <w:color w:val="auto"/>
        </w:rPr>
        <w:t>. The Company will, and will cause each of its Subsidiaries to, (a) keep and maintain all tangible property material to the conduct of its business in good working order and condition, ordinary wear and tear and casualty excepted and except</w:t>
      </w:r>
    </w:p>
    <w:p>
      <w:pPr>
        <w:ind w:right="40" w:firstLine="8"/>
        <w:spacing w:after="0" w:line="254" w:lineRule="auto"/>
        <w:tabs>
          <w:tab w:leader="none" w:pos="2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pursuant to transactions permitted by Section 6.03 or (ii) where the failure to do so could not reasonably be expected to result in a Material Adverse Effect, and (b) maintain, in all material respects, with carriers reasonably believed by the Company to be financially sound and reputable or through reasonable and adequate self-insurance insurance in such amounts and against such risks and such other hazards, as is customarily maintained by companies engaged in the same or similar businesses operating in the same or similar locations.</w:t>
      </w:r>
    </w:p>
    <w:p>
      <w:pPr>
        <w:spacing w:after="0" w:line="190"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Books and Records; Inspection Rights</w:t>
      </w:r>
      <w:r>
        <w:rPr>
          <w:rFonts w:ascii="Arial" w:cs="Arial" w:eastAsia="Arial" w:hAnsi="Arial"/>
          <w:sz w:val="18"/>
          <w:szCs w:val="18"/>
          <w:color w:val="auto"/>
        </w:rPr>
        <w:t>. The Company will, and will cause each of its Material Subsidiaries to, keep proper books of record and account in which full, true and correct entries in conformity in all material respects with applicable law are made of all material financial dealings and transactions in relation to its business and activities and, subject to Section 5.01(b), in form permitting financial statements conforming with GAAP or IFRS (as applicable) to be derived therefrom. The Company will, and will cause each of its Subsidiaries to, permit any representatives designated by the Administrative Agent, at reasonable times upon reasonable prior written notice, to visit and inspect its properties, to examine and make extracts from its books and records and to discuss its affairs, finances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and condition with its Financial Officers and, provided that the Company or such Subsidiary is afforded the opportunity to participate in such discussion, its independent accountants, all at such reasonable times and as often as reasonably requested;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Event of Default has occurred and is continuing, the Company shall not be required to reimburse the Administrative Agent or any of its representatives for fees, costs and expenses in connection with the Administrative Agent’s exercise of such rights set forth in this sentence more than one time in any calendar year. The Company acknowledges that, subject to Section 9.12, the Administrative Agent, after exercising its rights of inspection, may prepare and distribute to the Lenders certain reports pertaining to the Company and its Subsidiaries’ assets for internal use by the Administrative Agent and the Lenders. Notwithstanding anything to the contrary in this Section 5.06, neither the Company nor any of its Subsidiaries will be required to disclose, permit the inspection, examination or making of extracts, or discussion of, any documents, information or other matter that (i) constitutes non-financial trade secrets or non-financial proprietary information, (ii) in respect of which disclosure to the Administrative Agent (or any designated representative) is then prohibited by law, rule or regulation or any agreement binding on the Company or any of its Subsidiaries or (iii) is subject to attorney-client or similar privilege or constitutes attorney work-product.</w:t>
      </w:r>
    </w:p>
    <w:p>
      <w:pPr>
        <w:spacing w:after="0" w:line="169"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will, and will cause each of its Subsidiaries to, comply with all laws, rules, regulations and orders of any Governmental Authority applicable to it or its property (including without limitation Environmental Laws and, in the case of each Irish Borrower, Section 60 of the Companies Act 1963 of Ireland), except where the failure to do so could not reasonably be expected to result in a Material Adverse Effect. The Company will maintain in effect and enforce policies and is implementing and will maintain procedures reasonably designed to achieve compliance by the Company, its Subsidiaries and their respective directors, officers, employees and agents with Anti-Corruption Laws and applicable Sanctions.</w:t>
      </w:r>
    </w:p>
    <w:p>
      <w:pPr>
        <w:spacing w:after="0" w:line="193"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Use of Proceeds</w:t>
      </w:r>
      <w:r>
        <w:rPr>
          <w:rFonts w:ascii="Arial" w:cs="Arial" w:eastAsia="Arial" w:hAnsi="Arial"/>
          <w:sz w:val="17"/>
          <w:szCs w:val="17"/>
          <w:color w:val="auto"/>
        </w:rPr>
        <w:t>. The proceeds of the Loans will be used only to finance the working capital needs, and for general corporate or other lawful purposes, of the Company and its Subsidiaries. No part of the proceeds of any Loan will be used, whether directly or indirectly, for any purpose that entails a violation of any of the Regulations of the Board, including Regulations T, U and X. No Borrower will request any Borrowing or Letter of Credit, and no Borrower shall use, and the Company shall procure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79"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Subsidiary Guaranty</w:t>
      </w:r>
      <w:r>
        <w:rPr>
          <w:rFonts w:ascii="Arial" w:cs="Arial" w:eastAsia="Arial" w:hAnsi="Arial"/>
          <w:sz w:val="18"/>
          <w:szCs w:val="18"/>
          <w:color w:val="auto"/>
        </w:rPr>
        <w:t>. Within forty-five (45) days (or such later date as may be agreed upon by the Administrative Agent) after which financial statements have been delivered pursuant to Section 5.01(a) and any Person qualifies as a Material Domestic Subsidiary pursuant to the definition of “Material Subsidiary” in accordance with the calculations in such financial statements, the Company shall provide the Administrative Agent with written notice thereof and shall cause each such Subsidiary to execute and deliver to the Administrative Agent the Subsidiary Guaranty (or a joinder thereto in the form contemplated thereby) pursuant to which such Subsidiary agrees to be bound by the terms and provisions thereof, such Subsidiary Guaranty (or joinder thereto) to be accompanied by requisite organizational resolutions, other organizational documentation and legal opinions as may be reasonably requested by the Administrative Agent (with any such opinion so requested to be in form and substance reasonably satisfactory to the Administrative Agent but, in any case, limited to the types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matters covered in the legal opinions delivered pursuant to Section 4.01). Notwithstanding the foregoing no Excluded Subsidiary shall be required to become a Subsidiary Guarantor.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Until the Commitments have expired or terminated and the principal of and interest on each Loan and all fees payable hereunder have been paid in full (other than Obligations expressly stated to survive such payment and termination) and all Letters of Credit have expired or terminated, in each case, without any pending draw (or shall have been cash collateralized or backstopped pursuant to arrangements reasonably satisfactory to the Administrative Agent), and all LC Disbursements shall have been reimbursed, the Company covenants and agrees with the Lenders that: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Indebtedness</w:t>
      </w:r>
      <w:r>
        <w:rPr>
          <w:rFonts w:ascii="Arial" w:cs="Arial" w:eastAsia="Arial" w:hAnsi="Arial"/>
          <w:sz w:val="16"/>
          <w:szCs w:val="16"/>
          <w:color w:val="auto"/>
        </w:rPr>
        <w:t>. The Company will not, and will not permit any Subsidiary to, create, incur, assume or permit to exist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Indebtedness, except:</w:t>
      </w:r>
    </w:p>
    <w:p>
      <w:pPr>
        <w:sectPr>
          <w:pgSz w:w="11900" w:h="16838" w:orient="portrait"/>
          <w:cols w:equalWidth="0" w:num="1">
            <w:col w:w="11420"/>
          </w:cols>
          <w:pgMar w:left="240" w:top="125" w:right="239" w:bottom="0" w:gutter="0" w:footer="0" w:header="0"/>
        </w:sectPr>
      </w:pPr>
    </w:p>
    <w:bookmarkStart w:id="43" w:name="page44"/>
    <w:bookmarkEnd w:id="43"/>
    <w:p>
      <w:pPr>
        <w:spacing w:after="0" w:line="137" w:lineRule="exact"/>
        <w:rPr>
          <w:sz w:val="20"/>
          <w:szCs w:val="20"/>
          <w:color w:val="auto"/>
        </w:rPr>
      </w:pPr>
    </w:p>
    <w:p>
      <w:pPr>
        <w:ind w:left="1280" w:hanging="635"/>
        <w:spacing w:after="0"/>
        <w:tabs>
          <w:tab w:leader="none" w:pos="12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Obligations and any Specified Ancillary Obligations;</w:t>
      </w:r>
    </w:p>
    <w:p>
      <w:pPr>
        <w:spacing w:after="0" w:line="225" w:lineRule="exact"/>
        <w:rPr>
          <w:rFonts w:ascii="Arial" w:cs="Arial" w:eastAsia="Arial" w:hAnsi="Arial"/>
          <w:sz w:val="18"/>
          <w:szCs w:val="18"/>
          <w:color w:val="auto"/>
        </w:rPr>
      </w:pPr>
    </w:p>
    <w:p>
      <w:pPr>
        <w:ind w:right="160" w:firstLine="645"/>
        <w:spacing w:after="0" w:line="259" w:lineRule="auto"/>
        <w:tabs>
          <w:tab w:leader="none" w:pos="1304"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Indebtedness existing on the date hereof and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and amendments, modifications, extensions, refinancings, renewals and replacements of any such Indebtedness that does not increase the outstanding principal amount thereof (other than with respect to unpaid accrued interest and premium thereon, any committed or undrawn amounts and underwriting discounts, fees, commissions, premiums and expenses associated with such Indebtedness);</w:t>
      </w:r>
    </w:p>
    <w:p>
      <w:pPr>
        <w:spacing w:after="0" w:line="186" w:lineRule="exact"/>
        <w:rPr>
          <w:rFonts w:ascii="Arial" w:cs="Arial" w:eastAsia="Arial" w:hAnsi="Arial"/>
          <w:sz w:val="18"/>
          <w:szCs w:val="18"/>
          <w:color w:val="auto"/>
        </w:rPr>
      </w:pPr>
    </w:p>
    <w:p>
      <w:pPr>
        <w:ind w:left="1300" w:hanging="655"/>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Indebtedness of the Company to any Subsidiary and of any Subsidiary to the Company or any other Subsidiary;</w:t>
      </w:r>
    </w:p>
    <w:p>
      <w:pPr>
        <w:spacing w:after="0" w:line="225" w:lineRule="exact"/>
        <w:rPr>
          <w:rFonts w:ascii="Arial" w:cs="Arial" w:eastAsia="Arial" w:hAnsi="Arial"/>
          <w:sz w:val="18"/>
          <w:szCs w:val="18"/>
          <w:color w:val="auto"/>
        </w:rPr>
      </w:pPr>
    </w:p>
    <w:p>
      <w:pPr>
        <w:ind w:right="20" w:firstLine="645"/>
        <w:spacing w:after="0" w:line="277" w:lineRule="auto"/>
        <w:tabs>
          <w:tab w:leader="none" w:pos="1304" w:val="left"/>
        </w:tabs>
        <w:numPr>
          <w:ilvl w:val="0"/>
          <w:numId w:val="87"/>
        </w:numPr>
        <w:rPr>
          <w:rFonts w:ascii="Arial" w:cs="Arial" w:eastAsia="Arial" w:hAnsi="Arial"/>
          <w:sz w:val="18"/>
          <w:szCs w:val="18"/>
          <w:color w:val="auto"/>
        </w:rPr>
      </w:pPr>
      <w:r>
        <w:rPr>
          <w:rFonts w:ascii="Arial" w:cs="Arial" w:eastAsia="Arial" w:hAnsi="Arial"/>
          <w:sz w:val="18"/>
          <w:szCs w:val="18"/>
          <w:color w:val="auto"/>
        </w:rPr>
        <w:t>Guarantees by the Company of Indebtedness or other obligations of any Subsidiary and by any Subsidiary of Indebtedness or other obligations of the Company or any other Subsidiary;</w:t>
      </w:r>
    </w:p>
    <w:p>
      <w:pPr>
        <w:spacing w:after="0" w:line="170" w:lineRule="exact"/>
        <w:rPr>
          <w:rFonts w:ascii="Arial" w:cs="Arial" w:eastAsia="Arial" w:hAnsi="Arial"/>
          <w:sz w:val="18"/>
          <w:szCs w:val="18"/>
          <w:color w:val="auto"/>
        </w:rPr>
      </w:pPr>
    </w:p>
    <w:p>
      <w:pPr>
        <w:ind w:right="80" w:firstLine="645"/>
        <w:spacing w:after="0" w:line="273" w:lineRule="auto"/>
        <w:tabs>
          <w:tab w:leader="none" w:pos="1307"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Indebtedness of the Company or any Subsidiary incurred to finance the acquisition, construction, repair, replacement, lease or improvement of any fixed or capital assets, including Capital Lease Obligations and any Indebtedness assumed in connection with the acquisition of any such assets or secured by a Lien on any such assets prior to the acquisition thereof, and amendments, modifications, extensions, refinancings, renewals and replacements of any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is incurred prior to or within 180 days after such acquisition or the completion of such construction, repair, replacement, lease or improvement and (ii) the aggregate outstanding principal amount of Indebtedness permitted by this clause (e) shall not exceed $75,000,000 at any time outstanding;</w:t>
      </w:r>
    </w:p>
    <w:p>
      <w:pPr>
        <w:spacing w:after="0" w:line="178" w:lineRule="exact"/>
        <w:rPr>
          <w:rFonts w:ascii="Arial" w:cs="Arial" w:eastAsia="Arial" w:hAnsi="Arial"/>
          <w:sz w:val="17"/>
          <w:szCs w:val="17"/>
          <w:color w:val="auto"/>
        </w:rPr>
      </w:pPr>
    </w:p>
    <w:p>
      <w:pPr>
        <w:ind w:left="1300" w:hanging="655"/>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Indebtedness of the Company or any Subsidiary as an account party in respect of letters of credit or bank guarantees;</w:t>
      </w:r>
    </w:p>
    <w:p>
      <w:pPr>
        <w:spacing w:after="0" w:line="225" w:lineRule="exact"/>
        <w:rPr>
          <w:rFonts w:ascii="Arial" w:cs="Arial" w:eastAsia="Arial" w:hAnsi="Arial"/>
          <w:sz w:val="18"/>
          <w:szCs w:val="18"/>
          <w:color w:val="auto"/>
        </w:rPr>
      </w:pPr>
    </w:p>
    <w:p>
      <w:pPr>
        <w:ind w:right="540" w:firstLine="645"/>
        <w:spacing w:after="0" w:line="277" w:lineRule="auto"/>
        <w:tabs>
          <w:tab w:leader="none" w:pos="1317" w:val="left"/>
        </w:tabs>
        <w:numPr>
          <w:ilvl w:val="0"/>
          <w:numId w:val="87"/>
        </w:numPr>
        <w:rPr>
          <w:rFonts w:ascii="Arial" w:cs="Arial" w:eastAsia="Arial" w:hAnsi="Arial"/>
          <w:sz w:val="18"/>
          <w:szCs w:val="18"/>
          <w:color w:val="auto"/>
        </w:rPr>
      </w:pPr>
      <w:r>
        <w:rPr>
          <w:rFonts w:ascii="Arial" w:cs="Arial" w:eastAsia="Arial" w:hAnsi="Arial"/>
          <w:sz w:val="18"/>
          <w:szCs w:val="18"/>
          <w:color w:val="auto"/>
        </w:rPr>
        <w:t>unfunded pension fund and other employee benefit plan obligations and liabilities to the extent they are permitted to remain unfunded under applicable law;</w:t>
      </w:r>
    </w:p>
    <w:p>
      <w:pPr>
        <w:spacing w:after="0" w:line="170" w:lineRule="exact"/>
        <w:rPr>
          <w:rFonts w:ascii="Arial" w:cs="Arial" w:eastAsia="Arial" w:hAnsi="Arial"/>
          <w:sz w:val="18"/>
          <w:szCs w:val="18"/>
          <w:color w:val="auto"/>
        </w:rPr>
      </w:pPr>
    </w:p>
    <w:p>
      <w:pPr>
        <w:ind w:left="1300" w:hanging="655"/>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Indebtedness representing deferred compensation to employees incurred in the ordinary course of business;</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5"/>
        <w:spacing w:after="0" w:line="308" w:lineRule="auto"/>
        <w:tabs>
          <w:tab w:leader="none" w:pos="1318" w:val="left"/>
        </w:tabs>
        <w:numPr>
          <w:ilvl w:val="0"/>
          <w:numId w:val="88"/>
        </w:numPr>
        <w:rPr>
          <w:rFonts w:ascii="Arial" w:cs="Arial" w:eastAsia="Arial" w:hAnsi="Arial"/>
          <w:sz w:val="17"/>
          <w:szCs w:val="17"/>
          <w:color w:val="auto"/>
        </w:rPr>
      </w:pPr>
      <w:r>
        <w:rPr>
          <w:rFonts w:ascii="Arial" w:cs="Arial" w:eastAsia="Arial" w:hAnsi="Arial"/>
          <w:sz w:val="17"/>
          <w:szCs w:val="17"/>
          <w:color w:val="auto"/>
        </w:rPr>
        <w:t>Guarantees, surety bonds or performance bonds securing the performance of the Company or any of its Subsidiaries, in each case incurred or assumed in connection with an Acquisition or disposition or other acquisition of assets not prohibited hereunder;</w:t>
      </w:r>
    </w:p>
    <w:p>
      <w:pPr>
        <w:spacing w:after="0" w:line="146" w:lineRule="exact"/>
        <w:rPr>
          <w:rFonts w:ascii="Arial" w:cs="Arial" w:eastAsia="Arial" w:hAnsi="Arial"/>
          <w:sz w:val="17"/>
          <w:szCs w:val="17"/>
          <w:color w:val="auto"/>
        </w:rPr>
      </w:pPr>
    </w:p>
    <w:p>
      <w:pPr>
        <w:ind w:right="140" w:firstLine="645"/>
        <w:spacing w:after="0" w:line="264" w:lineRule="auto"/>
        <w:tabs>
          <w:tab w:leader="none" w:pos="130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Indebtedness of the Company or any of its Subsidiaries in respect of performance bonds, bid bonds, appeal bonds, surety bonds and similar obligations, in each case provided in the ordinary course of business, including guarantees or obligations with respect to letters of credit supporting such performance bonds, bid bonds, appeal bonds, surety bonds and similar obligations;</w:t>
      </w:r>
    </w:p>
    <w:p>
      <w:pPr>
        <w:spacing w:after="0" w:line="181" w:lineRule="exact"/>
        <w:rPr>
          <w:rFonts w:ascii="Arial" w:cs="Arial" w:eastAsia="Arial" w:hAnsi="Arial"/>
          <w:sz w:val="18"/>
          <w:szCs w:val="18"/>
          <w:color w:val="auto"/>
        </w:rPr>
      </w:pPr>
    </w:p>
    <w:p>
      <w:pPr>
        <w:ind w:firstLine="645"/>
        <w:spacing w:after="0" w:line="286" w:lineRule="auto"/>
        <w:tabs>
          <w:tab w:leader="none" w:pos="1304"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Indebtedness arising from the honoring by a bank or other financial institution of a check, draft or similar instrument drawn against insufficient funds in the ordinary course of business or otherwise in respect of any netting services, overdrafts and related liabilities arising from treasury, depository and cash management services or in connection with any automated clearing-house transfers of funds;</w:t>
      </w:r>
    </w:p>
    <w:p>
      <w:pPr>
        <w:spacing w:after="0" w:line="165" w:lineRule="exact"/>
        <w:rPr>
          <w:rFonts w:ascii="Arial" w:cs="Arial" w:eastAsia="Arial" w:hAnsi="Arial"/>
          <w:sz w:val="17"/>
          <w:szCs w:val="17"/>
          <w:color w:val="auto"/>
        </w:rPr>
      </w:pPr>
    </w:p>
    <w:p>
      <w:pPr>
        <w:ind w:left="1320" w:hanging="675"/>
        <w:spacing w:after="0"/>
        <w:tabs>
          <w:tab w:leader="none" w:pos="1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Indebtedness in respect to judgments or awards under circumstances not giving rise to an Event of Default;</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Indebtedness in respect of obligations that are being contested in accordance with Section 5.04;</w:t>
      </w:r>
    </w:p>
    <w:p>
      <w:pPr>
        <w:spacing w:after="0" w:line="225" w:lineRule="exact"/>
        <w:rPr>
          <w:rFonts w:ascii="Arial" w:cs="Arial" w:eastAsia="Arial" w:hAnsi="Arial"/>
          <w:sz w:val="18"/>
          <w:szCs w:val="18"/>
          <w:color w:val="auto"/>
        </w:rPr>
      </w:pPr>
    </w:p>
    <w:p>
      <w:pPr>
        <w:ind w:right="40" w:firstLine="645"/>
        <w:spacing w:after="0" w:line="264" w:lineRule="auto"/>
        <w:tabs>
          <w:tab w:leader="none" w:pos="130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Indebtedness consisting of (i) deferred payments or financing of insurance premiums incurred in the ordinary course of business of the Company or any of its Subsidiaries and (ii) take or pay obligations contained in any supply agreement entered into in the ordinary course of business;</w:t>
      </w:r>
    </w:p>
    <w:p>
      <w:pPr>
        <w:spacing w:after="0" w:line="181" w:lineRule="exact"/>
        <w:rPr>
          <w:rFonts w:ascii="Arial" w:cs="Arial" w:eastAsia="Arial" w:hAnsi="Arial"/>
          <w:sz w:val="18"/>
          <w:szCs w:val="18"/>
          <w:color w:val="auto"/>
        </w:rPr>
      </w:pPr>
    </w:p>
    <w:p>
      <w:pPr>
        <w:ind w:right="60" w:firstLine="645"/>
        <w:spacing w:after="0" w:line="342" w:lineRule="auto"/>
        <w:tabs>
          <w:tab w:leader="none" w:pos="1304"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Indebtedness representing deferred compensation, severance, pension, and health and welfare retirement benefits or the equivalent to current and former employees of the Company and its Subsidiaries incurred in the ordinary course of business or existing on the Effective Date;</w:t>
      </w:r>
    </w:p>
    <w:p>
      <w:pPr>
        <w:spacing w:after="0" w:line="123" w:lineRule="exact"/>
        <w:rPr>
          <w:rFonts w:ascii="Arial" w:cs="Arial" w:eastAsia="Arial" w:hAnsi="Arial"/>
          <w:sz w:val="16"/>
          <w:szCs w:val="16"/>
          <w:color w:val="auto"/>
        </w:rPr>
      </w:pPr>
    </w:p>
    <w:p>
      <w:pPr>
        <w:ind w:right="120" w:firstLine="645"/>
        <w:spacing w:after="0" w:line="277" w:lineRule="auto"/>
        <w:tabs>
          <w:tab w:leader="none" w:pos="1304" w:val="left"/>
        </w:tabs>
        <w:numPr>
          <w:ilvl w:val="0"/>
          <w:numId w:val="88"/>
        </w:numPr>
        <w:rPr>
          <w:rFonts w:ascii="Arial" w:cs="Arial" w:eastAsia="Arial" w:hAnsi="Arial"/>
          <w:sz w:val="18"/>
          <w:szCs w:val="18"/>
          <w:color w:val="auto"/>
        </w:rPr>
      </w:pPr>
      <w:r>
        <w:rPr>
          <w:rFonts w:ascii="Arial" w:cs="Arial" w:eastAsia="Arial" w:hAnsi="Arial"/>
          <w:sz w:val="18"/>
          <w:szCs w:val="18"/>
          <w:color w:val="auto"/>
        </w:rPr>
        <w:t>customer advances or deposits or other endorsements for collection, deposit or negotiation and warranties of products or services, in each case received or incurred in the ordinary course of business;</w:t>
      </w:r>
    </w:p>
    <w:p>
      <w:pPr>
        <w:spacing w:after="0" w:line="170" w:lineRule="exact"/>
        <w:rPr>
          <w:rFonts w:ascii="Arial" w:cs="Arial" w:eastAsia="Arial" w:hAnsi="Arial"/>
          <w:sz w:val="18"/>
          <w:szCs w:val="18"/>
          <w:color w:val="auto"/>
        </w:rPr>
      </w:pPr>
    </w:p>
    <w:p>
      <w:pPr>
        <w:ind w:firstLine="645"/>
        <w:spacing w:after="0" w:line="255" w:lineRule="auto"/>
        <w:tabs>
          <w:tab w:leader="none" w:pos="1304"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Priority Indebtedness (excluding any Indebtedness (i) that is otherwise permitted by any other clause of this Section 6.01 and (ii) to the extent secured by a Lien, that is secured by a Lien permitted by Section 6.02 (other than by clause (s) thereof)) in an aggregate outstanding principal amount not to exceed, at the time of incurrence of any such Priority Indebtedness and when taken together with the aggregate outstanding amount of other obligations secured by a Lien pursuant to Section 6.02(s)(ii), fifteen percent (15%) of the Company’s Consolidated Net Worth (determined as of the last day of the most recent fiscal quarter for which financial statements shall have been delivered pursuant to Section 5.01(a) or Section 5.01(b) (or, prior to the delivery of any such financial statements, ending with the last fiscal quarter included in the financial statements referred to in Section 3.04(a));</w:t>
      </w:r>
    </w:p>
    <w:p>
      <w:pPr>
        <w:spacing w:after="0" w:line="189" w:lineRule="exact"/>
        <w:rPr>
          <w:rFonts w:ascii="Arial" w:cs="Arial" w:eastAsia="Arial" w:hAnsi="Arial"/>
          <w:sz w:val="18"/>
          <w:szCs w:val="18"/>
          <w:color w:val="auto"/>
        </w:rPr>
      </w:pPr>
    </w:p>
    <w:p>
      <w:pPr>
        <w:ind w:right="260" w:firstLine="645"/>
        <w:spacing w:after="0" w:line="342" w:lineRule="auto"/>
        <w:tabs>
          <w:tab w:leader="none" w:pos="1314" w:val="left"/>
        </w:tabs>
        <w:numPr>
          <w:ilvl w:val="0"/>
          <w:numId w:val="88"/>
        </w:numPr>
        <w:rPr>
          <w:rFonts w:ascii="Arial" w:cs="Arial" w:eastAsia="Arial" w:hAnsi="Arial"/>
          <w:sz w:val="16"/>
          <w:szCs w:val="16"/>
          <w:color w:val="auto"/>
        </w:rPr>
      </w:pPr>
      <w:r>
        <w:rPr>
          <w:rFonts w:ascii="Arial" w:cs="Arial" w:eastAsia="Arial" w:hAnsi="Arial"/>
          <w:sz w:val="16"/>
          <w:szCs w:val="16"/>
          <w:color w:val="auto"/>
        </w:rPr>
        <w:t>unsecured Indebtedness of the Company or any other Loan Party so long as at the time of and immediately after giving effect (including giving effect on a pro forma basis) to the incurrence of such Indebtedness (i) no Default or Event of Default shall have occurred and be</w:t>
      </w:r>
    </w:p>
    <w:p>
      <w:pPr>
        <w:spacing w:after="0" w:line="1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continuing and (ii) the Company shall be in compliance with the financial covenants set forth in Section 6.07;</w:t>
      </w:r>
    </w:p>
    <w:p>
      <w:pPr>
        <w:spacing w:after="0" w:line="225" w:lineRule="exact"/>
        <w:rPr>
          <w:sz w:val="20"/>
          <w:szCs w:val="20"/>
          <w:color w:val="auto"/>
        </w:rPr>
      </w:pPr>
    </w:p>
    <w:p>
      <w:pPr>
        <w:ind w:left="1300" w:hanging="655"/>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other Indebtedness in an aggregate outstanding principal amount not to exceed $50,000,000; and</w:t>
      </w:r>
    </w:p>
    <w:p>
      <w:pPr>
        <w:spacing w:after="0" w:line="225" w:lineRule="exact"/>
        <w:rPr>
          <w:rFonts w:ascii="Arial" w:cs="Arial" w:eastAsia="Arial" w:hAnsi="Arial"/>
          <w:sz w:val="18"/>
          <w:szCs w:val="18"/>
          <w:color w:val="auto"/>
        </w:rPr>
      </w:pPr>
    </w:p>
    <w:p>
      <w:pPr>
        <w:ind w:right="140" w:firstLine="645"/>
        <w:spacing w:after="0" w:line="342" w:lineRule="auto"/>
        <w:tabs>
          <w:tab w:leader="none" w:pos="1304"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Indebtedness assumed by the Company or any Subsidiary in connection with any Acquisition or other acquisition of any property or assets or Indebtedness of any Person that becomes a Subsidiary after the Effective Date in a transaction not prohibited hereby, and amendments,</w:t>
      </w:r>
    </w:p>
    <w:p>
      <w:pPr>
        <w:sectPr>
          <w:pgSz w:w="11900" w:h="16975" w:orient="portrait"/>
          <w:cols w:equalWidth="0" w:num="1">
            <w:col w:w="10760"/>
          </w:cols>
          <w:pgMar w:left="900" w:top="125" w:right="239" w:bottom="0" w:gutter="0" w:footer="0" w:header="0"/>
        </w:sectPr>
      </w:pPr>
    </w:p>
    <w:bookmarkStart w:id="44" w:name="page45"/>
    <w:bookmarkEnd w:id="44"/>
    <w:p>
      <w:pPr>
        <w:ind w:left="660" w:right="140"/>
        <w:spacing w:after="0" w:line="342" w:lineRule="auto"/>
        <w:rPr>
          <w:sz w:val="20"/>
          <w:szCs w:val="20"/>
          <w:color w:val="auto"/>
        </w:rPr>
      </w:pPr>
      <w:r>
        <w:rPr>
          <w:rFonts w:ascii="Arial" w:cs="Arial" w:eastAsia="Arial" w:hAnsi="Arial"/>
          <w:sz w:val="16"/>
          <w:szCs w:val="16"/>
          <w:color w:val="auto"/>
        </w:rPr>
        <w:t>modifications, extensions, refinancings, renewals and replacements of any such Indebtedness; provided that (i) such Indebtedness is not incurred in contemplation of such acquisition and (ii) the aggregate outstanding principal amount of such Indebtedness does not exceed $200,000,000.</w:t>
      </w:r>
    </w:p>
    <w:p>
      <w:pPr>
        <w:spacing w:after="0" w:line="124"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Company will not, and will not permit any Subsidiary to, create, incur, assume or permit to exist any Lien on any property or asset now owned or hereafter acquired by it except:</w:t>
      </w:r>
    </w:p>
    <w:p>
      <w:pPr>
        <w:spacing w:after="0" w:line="170" w:lineRule="exact"/>
        <w:rPr>
          <w:sz w:val="20"/>
          <w:szCs w:val="20"/>
          <w:color w:val="auto"/>
        </w:rPr>
      </w:pPr>
    </w:p>
    <w:p>
      <w:pPr>
        <w:ind w:left="1940" w:hanging="635"/>
        <w:spacing w:after="0"/>
        <w:tabs>
          <w:tab w:leader="none" w:pos="1940" w:val="left"/>
        </w:tabs>
        <w:numPr>
          <w:ilvl w:val="1"/>
          <w:numId w:val="90"/>
        </w:numPr>
        <w:rPr>
          <w:rFonts w:ascii="Arial" w:cs="Arial" w:eastAsia="Arial" w:hAnsi="Arial"/>
          <w:sz w:val="17"/>
          <w:szCs w:val="17"/>
          <w:color w:val="auto"/>
        </w:rPr>
      </w:pPr>
      <w:r>
        <w:rPr>
          <w:rFonts w:ascii="Arial" w:cs="Arial" w:eastAsia="Arial" w:hAnsi="Arial"/>
          <w:sz w:val="17"/>
          <w:szCs w:val="17"/>
          <w:color w:val="auto"/>
        </w:rPr>
        <w:t>Liens (if any) created pursuant to any Loan Document including with respect to any obligation to provide cash collateral;</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jc w:val="both"/>
        <w:ind w:left="660" w:firstLine="645"/>
        <w:spacing w:after="0" w:line="288" w:lineRule="auto"/>
        <w:tabs>
          <w:tab w:leader="none" w:pos="1967"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the Company or any Subsidiary existing on the date hereof and set forth in </w:t>
      </w:r>
      <w:r>
        <w:rPr>
          <w:rFonts w:ascii="Arial" w:cs="Arial" w:eastAsia="Arial" w:hAnsi="Arial"/>
          <w:sz w:val="16"/>
          <w:szCs w:val="16"/>
          <w:u w:val="single" w:color="auto"/>
          <w:color w:val="auto"/>
        </w:rPr>
        <w:t>Schedule 6.02</w:t>
      </w:r>
      <w:r>
        <w:rPr>
          <w:rFonts w:ascii="Arial" w:cs="Arial" w:eastAsia="Arial" w:hAnsi="Arial"/>
          <w:sz w:val="16"/>
          <w:szCs w:val="16"/>
          <w:color w:val="auto"/>
        </w:rPr>
        <w:t xml:space="preserve"> and any amendments, modifications, extensions, renewals, refinancings and replacements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shall not apply to any other property or asset of the Company or any Subsidiary other than improvements thereon and proceeds from the disposition of such property or asset and</w:t>
      </w:r>
    </w:p>
    <w:p>
      <w:pPr>
        <w:ind w:left="660" w:right="200" w:hanging="4"/>
        <w:spacing w:after="0" w:line="255" w:lineRule="auto"/>
        <w:tabs>
          <w:tab w:leader="none" w:pos="92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amount secured or benefited thereby is not increased (other than as permitted by Section 6.01) and amendments, modifications, extensions, refinancings, renewals and replacements thereof that do not increase the outstanding principal amount thereof (other than as permitted by Section 6.01);</w:t>
      </w:r>
    </w:p>
    <w:p>
      <w:pPr>
        <w:spacing w:after="0" w:line="190" w:lineRule="exact"/>
        <w:rPr>
          <w:rFonts w:ascii="Arial" w:cs="Arial" w:eastAsia="Arial" w:hAnsi="Arial"/>
          <w:sz w:val="18"/>
          <w:szCs w:val="18"/>
          <w:color w:val="auto"/>
        </w:rPr>
      </w:pPr>
    </w:p>
    <w:p>
      <w:pPr>
        <w:ind w:left="660" w:right="20" w:firstLine="645"/>
        <w:spacing w:after="0" w:line="270" w:lineRule="auto"/>
        <w:tabs>
          <w:tab w:leader="none" w:pos="1964" w:val="left"/>
        </w:tabs>
        <w:numPr>
          <w:ilvl w:val="1"/>
          <w:numId w:val="91"/>
        </w:numPr>
        <w:rPr>
          <w:rFonts w:ascii="Arial" w:cs="Arial" w:eastAsia="Arial" w:hAnsi="Arial"/>
          <w:sz w:val="17"/>
          <w:szCs w:val="17"/>
          <w:color w:val="auto"/>
        </w:rPr>
      </w:pPr>
      <w:r>
        <w:rPr>
          <w:rFonts w:ascii="Arial" w:cs="Arial" w:eastAsia="Arial" w:hAnsi="Arial"/>
          <w:sz w:val="17"/>
          <w:szCs w:val="17"/>
          <w:color w:val="auto"/>
        </w:rPr>
        <w:t xml:space="preserve">any Lien existing on any property or asset prior to the acquisition thereof by the Company or any Subsidiary or existing on any property or asset of any Person that becomes a Subsidiary after the date hereof prior to the time such Person becomes a Subsidiary and any amendments, modifications, extensions, renewals and replacements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is not created in contemplation of or in connection with such acquisition or such Person becoming a Subsidiary, as the case may be, (ii) such Lien shall not apply to any other property or assets of the Company or any Subsidiary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and (iii) such Lien shall secure only those obligations which it secures on the date of such acquisition or the date such Person becomes a Subsidiary, as the case may be, and amendments, modifications, extensions, refinancings, renewals and replacements thereof that do not increase the outstanding principal amount thereof (other than as permitted by Section 6.01);</w:t>
      </w:r>
    </w:p>
    <w:p>
      <w:pPr>
        <w:spacing w:after="0" w:line="177" w:lineRule="exact"/>
        <w:rPr>
          <w:rFonts w:ascii="Arial" w:cs="Arial" w:eastAsia="Arial" w:hAnsi="Arial"/>
          <w:sz w:val="17"/>
          <w:szCs w:val="17"/>
          <w:color w:val="auto"/>
        </w:rPr>
      </w:pPr>
    </w:p>
    <w:p>
      <w:pPr>
        <w:ind w:left="660" w:right="280" w:firstLine="645"/>
        <w:spacing w:after="0" w:line="291" w:lineRule="auto"/>
        <w:tabs>
          <w:tab w:leader="none" w:pos="1967"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Liens on fixed or capital assets (including capital leases) acquired (including as a replacement), constructed, repaired, leased or improved by the Company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Liens secure Indebtedness or Capital Lease Obligations permitted by clause</w:t>
      </w:r>
    </w:p>
    <w:p>
      <w:pPr>
        <w:ind w:left="900" w:hanging="244"/>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of Section 6.01, (ii) such Liens and the Indebtedness secured thereby are incurred prior to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within 180 days after such acquisition or lease or the completion of such construction, replacement, repair or improvement and (iii) such Liens shall not apply to any other property or assets of the Company or any Subsidiary other than improvements thereon, replacements and products thereof, additions and accessions thereto or proceeds from the disposition of such property or assets and customary security deposits; provided that individual financings of equipment provided by one lender (or a syndicate of lenders) may be cross-collateralized to other financings of equipment provided by such lender (or syndicate);</w:t>
      </w:r>
    </w:p>
    <w:p>
      <w:pPr>
        <w:spacing w:after="0" w:line="188" w:lineRule="exact"/>
        <w:rPr>
          <w:sz w:val="20"/>
          <w:szCs w:val="20"/>
          <w:color w:val="auto"/>
        </w:rPr>
      </w:pPr>
    </w:p>
    <w:p>
      <w:pPr>
        <w:ind w:left="660" w:right="220" w:firstLine="645"/>
        <w:spacing w:after="0" w:line="277" w:lineRule="auto"/>
        <w:tabs>
          <w:tab w:leader="none" w:pos="1961"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Liens granted by a Subsidiary that is not a Loan Party in favor of the Company or another Loan Party in respect of Indebtedness owed by such Subsidiary to the Company or such other Loan Party;</w:t>
      </w:r>
    </w:p>
    <w:p>
      <w:pPr>
        <w:spacing w:after="0" w:line="170" w:lineRule="exact"/>
        <w:rPr>
          <w:rFonts w:ascii="Arial" w:cs="Arial" w:eastAsia="Arial" w:hAnsi="Arial"/>
          <w:sz w:val="18"/>
          <w:szCs w:val="18"/>
          <w:color w:val="auto"/>
        </w:rPr>
      </w:pPr>
    </w:p>
    <w:p>
      <w:pPr>
        <w:ind w:left="660" w:right="220" w:firstLine="645"/>
        <w:spacing w:after="0" w:line="277" w:lineRule="auto"/>
        <w:tabs>
          <w:tab w:leader="none" w:pos="1977"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Liens arising out of any conditional sale, title retention, consignment or other similar arrangements for the sale of goods entered into by the Company or any of its Subsidiaries the ordinary course of business;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Liens securing Indebtedness permitted hereunder to finance insurance premiums solely to the extent of such premiums;</w:t>
      </w:r>
    </w:p>
    <w:p>
      <w:pPr>
        <w:spacing w:after="0" w:line="236" w:lineRule="exact"/>
        <w:rPr>
          <w:rFonts w:ascii="Arial" w:cs="Arial" w:eastAsia="Arial" w:hAnsi="Arial"/>
          <w:sz w:val="17"/>
          <w:szCs w:val="17"/>
          <w:color w:val="auto"/>
        </w:rPr>
      </w:pPr>
    </w:p>
    <w:p>
      <w:pPr>
        <w:ind w:left="660" w:right="240" w:firstLine="645"/>
        <w:spacing w:after="0" w:line="259" w:lineRule="auto"/>
        <w:tabs>
          <w:tab w:leader="none" w:pos="1978" w:val="left"/>
        </w:tabs>
        <w:numPr>
          <w:ilvl w:val="0"/>
          <w:numId w:val="93"/>
        </w:numPr>
        <w:rPr>
          <w:rFonts w:ascii="Arial" w:cs="Arial" w:eastAsia="Arial" w:hAnsi="Arial"/>
          <w:sz w:val="18"/>
          <w:szCs w:val="18"/>
          <w:color w:val="auto"/>
        </w:rPr>
      </w:pPr>
      <w:r>
        <w:rPr>
          <w:rFonts w:ascii="Arial" w:cs="Arial" w:eastAsia="Arial" w:hAnsi="Arial"/>
          <w:sz w:val="18"/>
          <w:szCs w:val="18"/>
          <w:color w:val="auto"/>
        </w:rPr>
        <w:t>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186" w:lineRule="exact"/>
        <w:rPr>
          <w:rFonts w:ascii="Arial" w:cs="Arial" w:eastAsia="Arial" w:hAnsi="Arial"/>
          <w:sz w:val="18"/>
          <w:szCs w:val="18"/>
          <w:color w:val="auto"/>
        </w:rPr>
      </w:pPr>
    </w:p>
    <w:p>
      <w:pPr>
        <w:ind w:left="660" w:right="340" w:firstLine="645"/>
        <w:spacing w:after="0" w:line="277" w:lineRule="auto"/>
        <w:tabs>
          <w:tab w:leader="none" w:pos="1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left="660" w:right="380" w:firstLine="645"/>
        <w:spacing w:after="0" w:line="277" w:lineRule="auto"/>
        <w:tabs>
          <w:tab w:leader="none" w:pos="1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Liens on any cash earnest money deposits made by the Company or any of its Subsidiaries in connection with an Acquisition, including, without limitation, in connection with any letter of intent or purchase agreement relating thereto;</w:t>
      </w:r>
    </w:p>
    <w:p>
      <w:pPr>
        <w:spacing w:after="0" w:line="170" w:lineRule="exact"/>
        <w:rPr>
          <w:rFonts w:ascii="Arial" w:cs="Arial" w:eastAsia="Arial" w:hAnsi="Arial"/>
          <w:sz w:val="18"/>
          <w:szCs w:val="18"/>
          <w:color w:val="auto"/>
        </w:rPr>
      </w:pPr>
    </w:p>
    <w:p>
      <w:pPr>
        <w:ind w:left="660" w:right="420" w:firstLine="645"/>
        <w:spacing w:after="0" w:line="277" w:lineRule="auto"/>
        <w:tabs>
          <w:tab w:leader="none" w:pos="1978"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Liens in connection with the sale or transfer of any assets in a transaction permitted under Section 6.03, customary rights and restrictions contained in agreements relating to such sale or transfer pending the completion thereof;</w:t>
      </w:r>
    </w:p>
    <w:p>
      <w:pPr>
        <w:spacing w:after="0" w:line="170" w:lineRule="exact"/>
        <w:rPr>
          <w:rFonts w:ascii="Arial" w:cs="Arial" w:eastAsia="Arial" w:hAnsi="Arial"/>
          <w:sz w:val="18"/>
          <w:szCs w:val="18"/>
          <w:color w:val="auto"/>
        </w:rPr>
      </w:pPr>
    </w:p>
    <w:p>
      <w:pPr>
        <w:ind w:left="660" w:right="600" w:firstLine="645"/>
        <w:spacing w:after="0" w:line="277" w:lineRule="auto"/>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Liens in the nature of the right of setoff in favor of counterparties to contractual agreements with the Loan Parties (i) in the ordinary course of business or (ii) otherwise permitted hereunder other than in connection with Indebtedness;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dispositions and other sales of assets permitted under Section 6.03;</w:t>
      </w:r>
    </w:p>
    <w:p>
      <w:pPr>
        <w:spacing w:after="0" w:line="225" w:lineRule="exact"/>
        <w:rPr>
          <w:rFonts w:ascii="Arial" w:cs="Arial" w:eastAsia="Arial" w:hAnsi="Arial"/>
          <w:sz w:val="18"/>
          <w:szCs w:val="18"/>
          <w:color w:val="auto"/>
        </w:rPr>
      </w:pPr>
    </w:p>
    <w:p>
      <w:pPr>
        <w:ind w:left="660" w:right="40" w:firstLine="645"/>
        <w:spacing w:after="0" w:line="277" w:lineRule="auto"/>
        <w:tabs>
          <w:tab w:leader="none" w:pos="1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the extent constituting a Lien, Liens with respect to repurchase obligations in the ordinary course of business in connection with the cash management activities of the Company or any Subsidiary;</w:t>
      </w:r>
    </w:p>
    <w:p>
      <w:pPr>
        <w:spacing w:after="0" w:line="170" w:lineRule="exact"/>
        <w:rPr>
          <w:rFonts w:ascii="Arial" w:cs="Arial" w:eastAsia="Arial" w:hAnsi="Arial"/>
          <w:sz w:val="18"/>
          <w:szCs w:val="18"/>
          <w:color w:val="auto"/>
        </w:rPr>
      </w:pPr>
    </w:p>
    <w:p>
      <w:pPr>
        <w:ind w:left="660" w:right="400" w:firstLine="645"/>
        <w:spacing w:after="0" w:line="342" w:lineRule="auto"/>
        <w:tabs>
          <w:tab w:leader="none" w:pos="1964" w:val="left"/>
        </w:tabs>
        <w:numPr>
          <w:ilvl w:val="0"/>
          <w:numId w:val="93"/>
        </w:numPr>
        <w:rPr>
          <w:rFonts w:ascii="Arial" w:cs="Arial" w:eastAsia="Arial" w:hAnsi="Arial"/>
          <w:sz w:val="16"/>
          <w:szCs w:val="16"/>
          <w:color w:val="auto"/>
        </w:rPr>
      </w:pPr>
      <w:r>
        <w:rPr>
          <w:rFonts w:ascii="Arial" w:cs="Arial" w:eastAsia="Arial" w:hAnsi="Arial"/>
          <w:sz w:val="16"/>
          <w:szCs w:val="16"/>
          <w:color w:val="auto"/>
        </w:rPr>
        <w:t>Liens that are contractual rights of set-off (i) relating to the establishment of depositary relations with banks or other financial institutions not given in connection with the issuance of Indebtedness, or (ii) relating to pooled deposit or sweep accounts of any Loan Party</w:t>
      </w:r>
    </w:p>
    <w:p>
      <w:pPr>
        <w:sectPr>
          <w:pgSz w:w="11900" w:h="16838" w:orient="portrait"/>
          <w:cols w:equalWidth="0" w:num="1">
            <w:col w:w="11400"/>
          </w:cols>
          <w:pgMar w:left="240" w:top="125" w:right="259" w:bottom="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00"/>
          </w:cols>
          <w:pgMar w:left="240" w:top="125" w:right="259" w:bottom="0" w:gutter="0" w:footer="0" w:header="0"/>
          <w:type w:val="continuous"/>
        </w:sectPr>
      </w:pPr>
    </w:p>
    <w:bookmarkStart w:id="45" w:name="page46"/>
    <w:bookmarkEnd w:id="45"/>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660" w:right="160"/>
        <w:spacing w:after="0" w:line="277" w:lineRule="auto"/>
        <w:rPr>
          <w:sz w:val="20"/>
          <w:szCs w:val="20"/>
          <w:color w:val="auto"/>
        </w:rPr>
      </w:pPr>
      <w:r>
        <w:rPr>
          <w:rFonts w:ascii="Arial" w:cs="Arial" w:eastAsia="Arial" w:hAnsi="Arial"/>
          <w:sz w:val="18"/>
          <w:szCs w:val="18"/>
          <w:color w:val="auto"/>
        </w:rPr>
        <w:t>or any Subsidiary to permit satisfaction of overdraft or similar obligations incurred in the ordinary course of business of the any such Loan Party or Subsidiary;</w:t>
      </w:r>
    </w:p>
    <w:p>
      <w:pPr>
        <w:spacing w:after="0" w:line="170" w:lineRule="exact"/>
        <w:rPr>
          <w:sz w:val="20"/>
          <w:szCs w:val="20"/>
          <w:color w:val="auto"/>
        </w:rPr>
      </w:pPr>
    </w:p>
    <w:p>
      <w:pPr>
        <w:ind w:left="660" w:right="40" w:firstLine="645"/>
        <w:spacing w:after="0" w:line="277" w:lineRule="auto"/>
        <w:tabs>
          <w:tab w:leader="none" w:pos="1964"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Lien (and rights of set-off) arising under Section 24 or 25 of the general terms and conditions (</w:t>
      </w:r>
      <w:r>
        <w:rPr>
          <w:rFonts w:ascii="Arial" w:cs="Arial" w:eastAsia="Arial" w:hAnsi="Arial"/>
          <w:sz w:val="18"/>
          <w:szCs w:val="18"/>
          <w:i w:val="1"/>
          <w:iCs w:val="1"/>
          <w:color w:val="auto"/>
        </w:rPr>
        <w:t>algemene bankvoorwaarden</w:t>
      </w:r>
      <w:r>
        <w:rPr>
          <w:rFonts w:ascii="Arial" w:cs="Arial" w:eastAsia="Arial" w:hAnsi="Arial"/>
          <w:sz w:val="18"/>
          <w:szCs w:val="18"/>
          <w:color w:val="auto"/>
        </w:rPr>
        <w:t>) of any member of the Dutch Bankers’ Association (</w:t>
      </w:r>
      <w:r>
        <w:rPr>
          <w:rFonts w:ascii="Arial" w:cs="Arial" w:eastAsia="Arial" w:hAnsi="Arial"/>
          <w:sz w:val="18"/>
          <w:szCs w:val="18"/>
          <w:i w:val="1"/>
          <w:iCs w:val="1"/>
          <w:color w:val="auto"/>
        </w:rPr>
        <w:t>nederlandse vereniging van Banken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right="180" w:firstLine="645"/>
        <w:spacing w:after="0" w:line="264" w:lineRule="auto"/>
        <w:tabs>
          <w:tab w:leader="none" w:pos="1974"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Liens of sellers of goods to any Loan Party and any of their respective Subsidiaries arising under Article 2 of the UCC or similar provisions of applicable law in the ordinary course of business, covering only the goods sold and securing only the unpaid purchase price for such goods and related expenses;</w:t>
      </w:r>
    </w:p>
    <w:p>
      <w:pPr>
        <w:spacing w:after="0" w:line="181" w:lineRule="exact"/>
        <w:rPr>
          <w:rFonts w:ascii="Arial" w:cs="Arial" w:eastAsia="Arial" w:hAnsi="Arial"/>
          <w:sz w:val="18"/>
          <w:szCs w:val="18"/>
          <w:color w:val="auto"/>
        </w:rPr>
      </w:pPr>
    </w:p>
    <w:p>
      <w:pPr>
        <w:ind w:left="660" w:right="20" w:firstLine="645"/>
        <w:spacing w:after="0" w:line="255" w:lineRule="auto"/>
        <w:tabs>
          <w:tab w:leader="none" w:pos="1971"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Liens securing (i) Indebtedness described in clause (a) of the definition of Priority Indebtedness and permitted to be incurred under Section 6.01(q) and (ii) other obligations (excluding any Indebtedness) of the Company or any Subsidiary, in an aggregate outstanding amount, for the foregoing clauses (i) and (ii) taken together, not to exceed, at the time such Liens are created and when taken together with the aggregate outstanding principal amount of Indebtedness incurred pursuant to Section 6.01(q), fifteen percent (15%) of the Company’s Consolidated Net Worth (determined as of the last day of the most recent fiscal quarter for which financial statements shall have been delivered pursuant to Section 5.01(a) or Section 5.01(b) (or, prior to the delivery of any such financial statements, ending with the last fiscal quarter included in the financial statements referred to in Section 3.04(a));</w:t>
      </w:r>
    </w:p>
    <w:p>
      <w:pPr>
        <w:spacing w:after="0" w:line="189" w:lineRule="exact"/>
        <w:rPr>
          <w:rFonts w:ascii="Arial" w:cs="Arial" w:eastAsia="Arial" w:hAnsi="Arial"/>
          <w:sz w:val="18"/>
          <w:szCs w:val="18"/>
          <w:color w:val="auto"/>
        </w:rPr>
      </w:pPr>
    </w:p>
    <w:p>
      <w:pPr>
        <w:ind w:left="660" w:right="40" w:firstLine="645"/>
        <w:spacing w:after="0" w:line="342" w:lineRule="auto"/>
        <w:tabs>
          <w:tab w:leader="none" w:pos="1964" w:val="left"/>
        </w:tabs>
        <w:numPr>
          <w:ilvl w:val="0"/>
          <w:numId w:val="94"/>
        </w:numPr>
        <w:rPr>
          <w:rFonts w:ascii="Arial" w:cs="Arial" w:eastAsia="Arial" w:hAnsi="Arial"/>
          <w:sz w:val="16"/>
          <w:szCs w:val="16"/>
          <w:color w:val="auto"/>
        </w:rPr>
      </w:pPr>
      <w:r>
        <w:rPr>
          <w:rFonts w:ascii="Arial" w:cs="Arial" w:eastAsia="Arial" w:hAnsi="Arial"/>
          <w:sz w:val="16"/>
          <w:szCs w:val="16"/>
          <w:color w:val="auto"/>
        </w:rPr>
        <w:t>Liens in favor of a credit card or debit card processor arising in the ordinary course of business under any processor agreement and relating solely to the amounts paid or payable thereunder, or customary deposits on reserve held by such credit card or debit card processor;</w:t>
      </w:r>
    </w:p>
    <w:p>
      <w:pPr>
        <w:spacing w:after="0" w:line="123" w:lineRule="exact"/>
        <w:rPr>
          <w:rFonts w:ascii="Arial" w:cs="Arial" w:eastAsia="Arial" w:hAnsi="Arial"/>
          <w:sz w:val="16"/>
          <w:szCs w:val="16"/>
          <w:color w:val="auto"/>
        </w:rPr>
      </w:pPr>
    </w:p>
    <w:p>
      <w:pPr>
        <w:ind w:left="660" w:firstLine="645"/>
        <w:spacing w:after="0" w:line="277" w:lineRule="auto"/>
        <w:tabs>
          <w:tab w:leader="none" w:pos="1964" w:val="left"/>
        </w:tabs>
        <w:numPr>
          <w:ilvl w:val="0"/>
          <w:numId w:val="94"/>
        </w:numPr>
        <w:rPr>
          <w:rFonts w:ascii="Arial" w:cs="Arial" w:eastAsia="Arial" w:hAnsi="Arial"/>
          <w:sz w:val="18"/>
          <w:szCs w:val="18"/>
          <w:color w:val="auto"/>
        </w:rPr>
      </w:pPr>
      <w:r>
        <w:rPr>
          <w:rFonts w:ascii="Arial" w:cs="Arial" w:eastAsia="Arial" w:hAnsi="Arial"/>
          <w:sz w:val="18"/>
          <w:szCs w:val="18"/>
          <w:color w:val="auto"/>
        </w:rPr>
        <w:t>pledges or deposits to secure Indebtedness permitted to be incurred under Section 6.01(f) so long as the aggregate principal amount of such Indebtedness so secured does not exceed $50,000,000;</w:t>
      </w:r>
    </w:p>
    <w:p>
      <w:pPr>
        <w:spacing w:after="0" w:line="170" w:lineRule="exact"/>
        <w:rPr>
          <w:rFonts w:ascii="Arial" w:cs="Arial" w:eastAsia="Arial" w:hAnsi="Arial"/>
          <w:sz w:val="18"/>
          <w:szCs w:val="18"/>
          <w:color w:val="auto"/>
        </w:rPr>
      </w:pPr>
    </w:p>
    <w:p>
      <w:pPr>
        <w:ind w:left="660" w:right="640" w:firstLine="645"/>
        <w:spacing w:after="0" w:line="277" w:lineRule="auto"/>
        <w:tabs>
          <w:tab w:leader="none" w:pos="1964" w:val="left"/>
        </w:tabs>
        <w:numPr>
          <w:ilvl w:val="0"/>
          <w:numId w:val="94"/>
        </w:numPr>
        <w:rPr>
          <w:rFonts w:ascii="Arial" w:cs="Arial" w:eastAsia="Arial" w:hAnsi="Arial"/>
          <w:sz w:val="18"/>
          <w:szCs w:val="18"/>
          <w:color w:val="auto"/>
        </w:rPr>
      </w:pPr>
      <w:r>
        <w:rPr>
          <w:rFonts w:ascii="Arial" w:cs="Arial" w:eastAsia="Arial" w:hAnsi="Arial"/>
          <w:sz w:val="18"/>
          <w:szCs w:val="18"/>
          <w:color w:val="auto"/>
        </w:rPr>
        <w:t>pledges or transfers of collateral to support bilateral mark-to-market security arrangements in respect of uncleared swap or derivative transactions; and</w:t>
      </w:r>
    </w:p>
    <w:p>
      <w:pPr>
        <w:spacing w:after="0" w:line="170" w:lineRule="exact"/>
        <w:rPr>
          <w:rFonts w:ascii="Arial" w:cs="Arial" w:eastAsia="Arial" w:hAnsi="Arial"/>
          <w:sz w:val="18"/>
          <w:szCs w:val="18"/>
          <w:color w:val="auto"/>
        </w:rPr>
      </w:pPr>
    </w:p>
    <w:p>
      <w:pPr>
        <w:ind w:left="660" w:right="240" w:firstLine="645"/>
        <w:spacing w:after="0" w:line="277" w:lineRule="auto"/>
        <w:tabs>
          <w:tab w:leader="none" w:pos="1977"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Liens on assets of the Company and its Subsidiaries not otherwise permitted above so long as the aggregate principal amount of the Indebtedness and other obligations subject to such Liens does not at any time exceed $50,000,000.</w:t>
      </w:r>
    </w:p>
    <w:p>
      <w:pPr>
        <w:spacing w:after="0" w:line="170" w:lineRule="exact"/>
        <w:rPr>
          <w:sz w:val="20"/>
          <w:szCs w:val="20"/>
          <w:color w:val="auto"/>
        </w:rPr>
      </w:pPr>
    </w:p>
    <w:p>
      <w:pPr>
        <w:ind w:right="160" w:firstLine="1297"/>
        <w:spacing w:after="0" w:line="279"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Fundamental Changes and Asset Sales</w:t>
      </w:r>
      <w:r>
        <w:rPr>
          <w:rFonts w:ascii="Arial" w:cs="Arial" w:eastAsia="Arial" w:hAnsi="Arial"/>
          <w:sz w:val="17"/>
          <w:szCs w:val="17"/>
          <w:color w:val="auto"/>
        </w:rPr>
        <w:t>. (a) The Company will not, and will not permit any Subsidiary to, merge into or consolidate with any other Person, or permit any other Person to merge into or consolidate with it, or sell, transfer, lease or otherwise dispose of (in one transaction or in a series of transactions, including pursuant to a Sale and Leaseback Transaction) all or substantially all of the assets of the Company and its Subsidiaries (taken as a whole) (whether now owned or hereafter acquired), or liquidate or dissolve, except that:</w:t>
      </w:r>
    </w:p>
    <w:p>
      <w:pPr>
        <w:spacing w:after="0" w:line="171" w:lineRule="exact"/>
        <w:rPr>
          <w:sz w:val="20"/>
          <w:szCs w:val="20"/>
          <w:color w:val="auto"/>
        </w:rPr>
      </w:pPr>
    </w:p>
    <w:p>
      <w:pPr>
        <w:ind w:left="1300" w:right="260" w:firstLine="653"/>
        <w:spacing w:after="0" w:line="259" w:lineRule="auto"/>
        <w:tabs>
          <w:tab w:leader="none" w:pos="2618"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at the time thereof and immediately after giving effect thereto no Event of Default shall have occurred and be continuing, any Person (other than the Company or any of its Subsidiaries) may merge or consolidate with the Company or any of its Subsidiaries; provided that any such merger or consolidation involving (A) subject to the following clause (B), a Borrower must result in such Borrower as the surviving entity,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80" w:firstLine="5"/>
        <w:spacing w:after="0" w:line="277" w:lineRule="auto"/>
        <w:tabs>
          <w:tab w:leader="none" w:pos="158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must result in the Company as the surviving entity and (C) a Subsidiary Guarantor must result in such Subsidiary Guarantor as the surviving entity;</w:t>
      </w:r>
    </w:p>
    <w:p>
      <w:pPr>
        <w:spacing w:after="0" w:line="170" w:lineRule="exact"/>
        <w:rPr>
          <w:rFonts w:ascii="Arial" w:cs="Arial" w:eastAsia="Arial" w:hAnsi="Arial"/>
          <w:sz w:val="18"/>
          <w:szCs w:val="18"/>
          <w:color w:val="auto"/>
        </w:rPr>
      </w:pPr>
    </w:p>
    <w:p>
      <w:pPr>
        <w:ind w:left="1300" w:right="240" w:firstLine="653"/>
        <w:spacing w:after="0" w:line="259" w:lineRule="auto"/>
        <w:tabs>
          <w:tab w:leader="none" w:pos="2627"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Subsidiary may merge into or consolidate with a Loan Party in a transaction in which the surviving entity is such Loan Party (provided that any such merger involving (A) a Borrower must result in such Borrower as the surviving entity (unless also involving the Company, in which case, subclause (B) shall also apply) and (B) the Company must result in the Company as the surviving entity);</w:t>
      </w:r>
    </w:p>
    <w:p>
      <w:pPr>
        <w:spacing w:after="0" w:line="186" w:lineRule="exact"/>
        <w:rPr>
          <w:rFonts w:ascii="Arial" w:cs="Arial" w:eastAsia="Arial" w:hAnsi="Arial"/>
          <w:sz w:val="18"/>
          <w:szCs w:val="18"/>
          <w:color w:val="auto"/>
        </w:rPr>
      </w:pPr>
    </w:p>
    <w:p>
      <w:pPr>
        <w:ind w:left="1300" w:right="60" w:firstLine="653"/>
        <w:spacing w:after="0" w:line="277" w:lineRule="auto"/>
        <w:tabs>
          <w:tab w:leader="none" w:pos="2637"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Subsidiary that is not a Loan Party may merge into or consolidate with, or sell, transfer, lease or otherwise dispose of any or all of its assets to, another Subsidiary that is not a Loan Party;</w:t>
      </w:r>
    </w:p>
    <w:p>
      <w:pPr>
        <w:spacing w:after="0" w:line="170" w:lineRule="exact"/>
        <w:rPr>
          <w:rFonts w:ascii="Arial" w:cs="Arial" w:eastAsia="Arial" w:hAnsi="Arial"/>
          <w:sz w:val="18"/>
          <w:szCs w:val="18"/>
          <w:color w:val="auto"/>
        </w:rPr>
      </w:pPr>
    </w:p>
    <w:p>
      <w:pPr>
        <w:ind w:left="1300" w:right="80" w:firstLine="653"/>
        <w:spacing w:after="0" w:line="277" w:lineRule="auto"/>
        <w:tabs>
          <w:tab w:leader="none" w:pos="2613"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Subsidiary may sell, transfer, lease or otherwise dispose of any or all of its assets to a Loan Party (in connection with a liquidation, winding up or dissolution or otherwise);</w:t>
      </w:r>
    </w:p>
    <w:p>
      <w:pPr>
        <w:spacing w:after="0" w:line="170" w:lineRule="exact"/>
        <w:rPr>
          <w:rFonts w:ascii="Arial" w:cs="Arial" w:eastAsia="Arial" w:hAnsi="Arial"/>
          <w:sz w:val="18"/>
          <w:szCs w:val="18"/>
          <w:color w:val="auto"/>
        </w:rPr>
      </w:pPr>
    </w:p>
    <w:p>
      <w:pPr>
        <w:ind w:left="1300" w:right="80" w:firstLine="653"/>
        <w:spacing w:after="0" w:line="312" w:lineRule="auto"/>
        <w:tabs>
          <w:tab w:leader="none" w:pos="2604" w:val="left"/>
        </w:tabs>
        <w:numPr>
          <w:ilvl w:val="1"/>
          <w:numId w:val="96"/>
        </w:numPr>
        <w:rPr>
          <w:rFonts w:ascii="Arial" w:cs="Arial" w:eastAsia="Arial" w:hAnsi="Arial"/>
          <w:sz w:val="16"/>
          <w:szCs w:val="16"/>
          <w:color w:val="auto"/>
        </w:rPr>
      </w:pPr>
      <w:r>
        <w:rPr>
          <w:rFonts w:ascii="Arial" w:cs="Arial" w:eastAsia="Arial" w:hAnsi="Arial"/>
          <w:sz w:val="16"/>
          <w:szCs w:val="16"/>
          <w:color w:val="auto"/>
        </w:rPr>
        <w:t>any Subsidiary that is not a Loan Party may liquidate, wind up or dissolve (A) if the Company determines in good faith that such liquidation, winding up or dissolution is in the best interests of the Company and is not materially disadvantageous to the Lenders or (B) to the extent undertaken in good faith for the purpose of improving the overall tax efficiency of the Company and its Subsidiaries;</w:t>
      </w:r>
    </w:p>
    <w:p>
      <w:pPr>
        <w:spacing w:after="0" w:line="146" w:lineRule="exact"/>
        <w:rPr>
          <w:rFonts w:ascii="Arial" w:cs="Arial" w:eastAsia="Arial" w:hAnsi="Arial"/>
          <w:sz w:val="16"/>
          <w:szCs w:val="16"/>
          <w:color w:val="auto"/>
        </w:rPr>
      </w:pPr>
    </w:p>
    <w:p>
      <w:pPr>
        <w:ind w:left="2620" w:hanging="667"/>
        <w:spacing w:after="0"/>
        <w:tabs>
          <w:tab w:leader="none" w:pos="26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Company and its Subsidiaries may consummate Permitted Restructurings;</w:t>
      </w:r>
    </w:p>
    <w:p>
      <w:pPr>
        <w:spacing w:after="0" w:line="225" w:lineRule="exact"/>
        <w:rPr>
          <w:rFonts w:ascii="Arial" w:cs="Arial" w:eastAsia="Arial" w:hAnsi="Arial"/>
          <w:sz w:val="18"/>
          <w:szCs w:val="18"/>
          <w:color w:val="auto"/>
        </w:rPr>
      </w:pPr>
    </w:p>
    <w:p>
      <w:pPr>
        <w:ind w:left="1300" w:right="500" w:firstLine="653"/>
        <w:spacing w:after="0" w:line="264" w:lineRule="auto"/>
        <w:tabs>
          <w:tab w:leader="none" w:pos="2623"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Company and its Subsidiaries may enter into, terminate or modify leases, subleases, licenses and sublicenses of technology and other property (A) in the ordinary course of business or (B) between or among any Loan Parties and any of their Subsidiaries (or any combination thereof); and</w:t>
      </w:r>
    </w:p>
    <w:p>
      <w:pPr>
        <w:spacing w:after="0" w:line="181" w:lineRule="exact"/>
        <w:rPr>
          <w:rFonts w:ascii="Arial" w:cs="Arial" w:eastAsia="Arial" w:hAnsi="Arial"/>
          <w:sz w:val="18"/>
          <w:szCs w:val="18"/>
          <w:color w:val="auto"/>
        </w:rPr>
      </w:pPr>
    </w:p>
    <w:p>
      <w:pPr>
        <w:ind w:left="2640" w:hanging="687"/>
        <w:spacing w:after="0"/>
        <w:tabs>
          <w:tab w:leader="none" w:pos="26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Company and its Subsidiaries may incur Liens permitted under Section 6.02.</w:t>
      </w:r>
    </w:p>
    <w:p>
      <w:pPr>
        <w:spacing w:after="0" w:line="225" w:lineRule="exact"/>
        <w:rPr>
          <w:sz w:val="20"/>
          <w:szCs w:val="20"/>
          <w:color w:val="auto"/>
        </w:rPr>
      </w:pPr>
    </w:p>
    <w:p>
      <w:pPr>
        <w:ind w:left="660" w:right="240" w:firstLine="645"/>
        <w:spacing w:after="0" w:line="312" w:lineRule="auto"/>
        <w:tabs>
          <w:tab w:leader="none" w:pos="1964"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Company will not, and will not permit any of its Subsidiaries to, engage to any material extent in any business substantially different from businesses of the type conducted by the Company and its Subsidiaries (taken as a whole) on the Effective Date and businesses reasonably related, ancillary, similar, complementary or synergistic thereto or reasonable extensions, development or expansion thereof.</w:t>
      </w:r>
    </w:p>
    <w:p>
      <w:pPr>
        <w:sectPr>
          <w:pgSz w:w="11900" w:h="16844" w:orient="portrait"/>
          <w:cols w:equalWidth="0" w:num="1">
            <w:col w:w="11420"/>
          </w:cols>
          <w:pgMar w:left="240" w:top="733" w:right="239" w:bottom="0" w:gutter="0" w:footer="0" w:header="0"/>
        </w:sectPr>
      </w:pPr>
    </w:p>
    <w:bookmarkStart w:id="46" w:name="page47"/>
    <w:bookmarkEnd w:id="46"/>
    <w:p>
      <w:pPr>
        <w:ind w:right="120" w:firstLine="1297"/>
        <w:spacing w:after="0" w:line="25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Swap Agreements</w:t>
      </w:r>
      <w:r>
        <w:rPr>
          <w:rFonts w:ascii="Arial" w:cs="Arial" w:eastAsia="Arial" w:hAnsi="Arial"/>
          <w:sz w:val="18"/>
          <w:szCs w:val="18"/>
          <w:color w:val="auto"/>
        </w:rPr>
        <w:t>. The Company will not, and will not permit any of its Subsidiaries to, enter into any Swap Agreement, except (a) Swap Agreements entered into to hedge or mitigate risks to which the Company or any Subsidiary has actual exposure (other than those in respect of Equity Interests of the Company or any of its Subsidiaries), (b) Swap Agreements entered into in order to effectively cap, collar or exchange interest rates (from fixed to floating rates, from one floating rate to another floating rate or otherwise) with respect to any interest-bearing liability or investment of the Company or any Subsidiary and (c) Permitted Call Spread Swap Agreements.</w:t>
      </w:r>
    </w:p>
    <w:p>
      <w:pPr>
        <w:spacing w:after="0" w:line="188"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The Company will not, and will not permit any of its Subsidiaries to, sell, lease or otherwise transfer any property or assets to, or purchase, lease or otherwise acquire any property or assets from, or otherwise engage in any other transactions with, any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its Affiliates, except (a) transactions on terms and conditions not materially less favorable to the Company or such Subsidiary than could be obtained on an arm’s-length basis from a Person that is not an Affiliate for a comparable transaction, (b) transactions between or among the Company and its Subsidiaries (or an entity that becomes a Subsidiary of the Company as a result of such transaction) (or any combination thereof), (c) the payment of customary fees to directors of the Company or any of its Subsidiaries, and customary compensation, reasonable out-of-pocket expense reimbursement and indemnification (including the provision of directors and officers insurance) of, and other employment agreements and arrangements, employee benefit plans and stock incentive plans paid to, future, present or past directors, officers, managers and employees of the Company or any of its Subsidiaries, (d) transactions undertaken in good faith for the purpose of improving the overall tax efficiency of the Company and its Subsidiaries, (e) loans, advances and other transactions to the extent permitted by the terms of this Agreement, including without limitation any Restricted Payment permitted by Section 6.06 and transactions permitted by Section 6.03, (f) issuances of Equity Interests to Affiliates and the registration rights associated therewith, (g) any Collaboration Arrangement or any other license, sublicense, lease or sublease (i) in existence on the Effective Date (together with any amendments, restatements, extensions, replacements or other modifications thereto that are not materially adverse to the interests of the Lenders in their capacities as such), (ii) in the ordinary course of business or (iii) substantially consistent with past practices, (h) transactions with Affiliates that are Disclosed Matters, (i) transactions pursuant to agreements in effect on the Effective Date (together with any amendments, restatements, extensions, replacements or other modifications thereto that are not materially adverse to the interests of the Lenders in their capacities as such), (j) transactions with joint ventures for the purchase or sale of property or other assets and services entered into in the ordinary course of business and investments in joint ventures, (k) transactions approved by a majority of Disinterested Directors of the Company or of the applicable Subsidiary in good faith and (l) any transactions or series of related transactions with respect to which the aggregate consideration paid, or fair market value of property Disposed of, by the Company and its Subsidiaries is less than $2,000,000.</w:t>
      </w:r>
    </w:p>
    <w:p>
      <w:pPr>
        <w:spacing w:after="0" w:line="175" w:lineRule="exact"/>
        <w:rPr>
          <w:sz w:val="20"/>
          <w:szCs w:val="20"/>
          <w:color w:val="auto"/>
        </w:rPr>
      </w:pPr>
    </w:p>
    <w:p>
      <w:pPr>
        <w:ind w:right="80" w:firstLine="1297"/>
        <w:spacing w:after="0" w:line="286"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The Company will not, and will not permit any of its Subsidiaries to, make, directly or indirectly, any Restricted Payment, except (a) the Company may pay dividends or make other Restricted Payments with respect to its Equity Interests payable solely in additional Equity Interests, (b) the Company may repurchase Equity Interests upon the exercise of stock options or warrants if such Equity Interests represent a portion of the exercise price of such options or warrants or with the proceeds received from the substantially concurrent issue of new Equity Interests,</w:t>
      </w:r>
    </w:p>
    <w:p>
      <w:pPr>
        <w:spacing w:after="0" w:line="2" w:lineRule="exact"/>
        <w:rPr>
          <w:sz w:val="20"/>
          <w:szCs w:val="20"/>
          <w:color w:val="auto"/>
        </w:rPr>
      </w:pPr>
    </w:p>
    <w:p>
      <w:pPr>
        <w:ind w:firstLine="8"/>
        <w:spacing w:after="0" w:line="267" w:lineRule="auto"/>
        <w:tabs>
          <w:tab w:leader="none" w:pos="245"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Company may make cash payments (i) on securities convertible into or exchangeable for Equity Interests in the Company in accordance with their terms or (ii) in lieu of the issuance of fractional Equity Interests in connection with any dividend, split or combination thereof or the exercise of warrants, options or other securities convertible into or exchangeable for Equity Interests in the Company, (d) Subsidiaries may (i) make dividends or other distributions to their respective equityholders with respect to their Equity Interests (which distributions shall be (x) made on at least a ratable basis to any such equityholders that are Loan Parties and (y) in the case of a Subsidiary that is not a wholly-owned Subsidiary, made on at least a ratable basis to any such equityholders that are the Company or a Subsidiary), (ii) make other Restricted Payments to any Loan Party (either directly or indirectly through one or more Subsidiaries that are not Loan Parties) and (iii) make any Restricted Payments that the Company would have otherwise been permitted to make pursuant to this Section 6.06, (e) the Company may make Restricted Payments (i) for the repurchase, retirement or other acquisition or retirement for value of Equity Interests of the Company from any future, present or former employee, officer, director or manager or consultant of the Company or any Subsidiary upon the death, disability, retirement or termination of employment of any such Person or (ii) pursuant to and in accordance with any agreement (including any employment agreement), stock option or stock ownership plans, incentive plans or other benefit plans, in each case for future, present or former directors, officers, managers or employees of the Company and its Subsidiaries (including, without limitation, in respect of tax withholding or other similar tax obligation related to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 xml:space="preserve">foregoing) and (f) the Company and its Subsidiaries may make any other Restricted Payment so long as no Event of Default has occurred and is continuing prior to making such Restricted Payment or would arise immediately after giving effect (including giving effect on a pro forma basis) thereto and the aggregate amount of all such Restricted Payments pursuant to this clause (f) during any fiscal year of the Company does not exceed $75,000,000;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Dollar limitation shall not be applicable, and such Restricted Payment shall not count against such Dollar limitation, if at the time of the making of such Restricted Payment and immediately after giving effect (on a pro forma basis) thereto, the Total Leverage Ratio is equal to or less than 2.75 to 1.00.</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Financial Covenants</w:t>
      </w:r>
      <w:r>
        <w:rPr>
          <w:rFonts w:ascii="Arial" w:cs="Arial" w:eastAsia="Arial" w:hAnsi="Arial"/>
          <w:sz w:val="18"/>
          <w:szCs w:val="18"/>
          <w:color w:val="auto"/>
        </w:rPr>
        <w:t>.</w:t>
      </w:r>
    </w:p>
    <w:p>
      <w:pPr>
        <w:spacing w:after="0" w:line="225" w:lineRule="exact"/>
        <w:rPr>
          <w:sz w:val="20"/>
          <w:szCs w:val="20"/>
          <w:color w:val="auto"/>
        </w:rPr>
      </w:pPr>
    </w:p>
    <w:p>
      <w:pPr>
        <w:ind w:left="660" w:right="20" w:firstLine="645"/>
        <w:spacing w:after="0" w:line="283" w:lineRule="auto"/>
        <w:tabs>
          <w:tab w:leader="none" w:pos="1954"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Maximum Total Leverage Ratio</w:t>
      </w:r>
      <w:r>
        <w:rPr>
          <w:rFonts w:ascii="Arial" w:cs="Arial" w:eastAsia="Arial" w:hAnsi="Arial"/>
          <w:sz w:val="16"/>
          <w:szCs w:val="16"/>
          <w:color w:val="auto"/>
        </w:rPr>
        <w:t>. The Company will not permit the ratio (the “</w:t>
      </w:r>
      <w:r>
        <w:rPr>
          <w:rFonts w:ascii="Arial" w:cs="Arial" w:eastAsia="Arial" w:hAnsi="Arial"/>
          <w:sz w:val="16"/>
          <w:szCs w:val="16"/>
          <w:u w:val="single" w:color="auto"/>
          <w:color w:val="auto"/>
        </w:rPr>
        <w:t>Total Leverage Ratio</w:t>
      </w:r>
      <w:r>
        <w:rPr>
          <w:rFonts w:ascii="Arial" w:cs="Arial" w:eastAsia="Arial" w:hAnsi="Arial"/>
          <w:sz w:val="16"/>
          <w:szCs w:val="16"/>
          <w:color w:val="auto"/>
        </w:rPr>
        <w:t>”), determined as of the end of each of its fiscal quarters ending on and after March 31, 2015, of (i) Consolidated Total Indebtedness to (ii) Consolidated EBITDA for the period of four (4) consecutive fiscal quarters ending with the end of such fiscal quarter, all calculated for the Company and its Subsidiaries on a consolidated basis, to be greater than 3.00 to 1.00. Notwithstanding the foregoing, the Company shall be permitted (such permission, the “</w:t>
      </w:r>
      <w:r>
        <w:rPr>
          <w:rFonts w:ascii="Arial" w:cs="Arial" w:eastAsia="Arial" w:hAnsi="Arial"/>
          <w:sz w:val="16"/>
          <w:szCs w:val="16"/>
          <w:u w:val="single" w:color="auto"/>
          <w:color w:val="auto"/>
        </w:rPr>
        <w:t>Acquisition Holiday</w:t>
      </w:r>
      <w:r>
        <w:rPr>
          <w:rFonts w:ascii="Arial" w:cs="Arial" w:eastAsia="Arial" w:hAnsi="Arial"/>
          <w:sz w:val="16"/>
          <w:szCs w:val="16"/>
          <w:color w:val="auto"/>
        </w:rPr>
        <w:t xml:space="preserve">”) on one (1) occasion during the term of this Agreement to allow the maximum Total Leverage Ratio under this Section 6.07(a) to be increased to 3.50 to 1.00 for a period of four consecutive fiscal quarters in connection with an Acquisition occurring during the first of such four fiscal quarters if the aggregate consideration paid or to be paid in respect of such Acquisition exceeds $500,000,000, so long as the Company is in compliance on a pro forma basis with the maximum Total Leverage Ratio of 3.50 to 1.00 on the closing date of such Acquisition immediately after giving effect to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Company shall provide notice in writing to the Administrative Agent of such increase and a transaction description of such Acquisition (regarding the name of the person or summary description of the assets being acquired and the approximate purchase price) and</w:t>
      </w:r>
    </w:p>
    <w:p>
      <w:pPr>
        <w:spacing w:after="0" w:line="5" w:lineRule="exact"/>
        <w:rPr>
          <w:rFonts w:ascii="Arial" w:cs="Arial" w:eastAsia="Arial" w:hAnsi="Arial"/>
          <w:sz w:val="16"/>
          <w:szCs w:val="16"/>
          <w:color w:val="auto"/>
        </w:rPr>
      </w:pPr>
    </w:p>
    <w:p>
      <w:pPr>
        <w:ind w:left="660" w:right="100" w:hanging="4"/>
        <w:spacing w:after="0" w:line="261" w:lineRule="auto"/>
        <w:tabs>
          <w:tab w:leader="none" w:pos="91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 the end of such period of four consecutive fiscal quarters, the maximum Total Leverage Ratio permitted under this Section 6.07(a) shall revert to 3.00 to 1.00.</w:t>
      </w:r>
    </w:p>
    <w:p>
      <w:pPr>
        <w:sectPr>
          <w:pgSz w:w="11900" w:h="16838" w:orient="portrait"/>
          <w:cols w:equalWidth="0" w:num="1">
            <w:col w:w="11420"/>
          </w:cols>
          <w:pgMar w:left="240" w:top="341" w:right="239" w:bottom="0" w:gutter="0" w:footer="0" w:header="0"/>
        </w:sectPr>
      </w:pPr>
    </w:p>
    <w:bookmarkStart w:id="47" w:name="page48"/>
    <w:bookmarkEnd w:id="47"/>
    <w:p>
      <w:pPr>
        <w:spacing w:after="0" w:line="103" w:lineRule="exact"/>
        <w:rPr>
          <w:sz w:val="20"/>
          <w:szCs w:val="20"/>
          <w:color w:val="auto"/>
        </w:rPr>
      </w:pPr>
    </w:p>
    <w:p>
      <w:pPr>
        <w:ind w:left="4" w:right="160" w:firstLine="645"/>
        <w:spacing w:after="0" w:line="291" w:lineRule="auto"/>
        <w:tabs>
          <w:tab w:leader="none" w:pos="1308"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Minimum Interest Coverage Ratio</w:t>
      </w:r>
      <w:r>
        <w:rPr>
          <w:rFonts w:ascii="Arial" w:cs="Arial" w:eastAsia="Arial" w:hAnsi="Arial"/>
          <w:sz w:val="16"/>
          <w:szCs w:val="16"/>
          <w:color w:val="auto"/>
        </w:rPr>
        <w:t>. The Company will not permit the ratio, determined as of the end of each of its fiscal quarters ending on and after March 31, 2015, of (i) Consolidated EBITDA to (ii) Consolidated Interest Expense, in each case for the period of four</w:t>
      </w:r>
    </w:p>
    <w:p>
      <w:pPr>
        <w:ind w:left="4" w:right="40" w:hanging="4"/>
        <w:spacing w:after="0" w:line="261" w:lineRule="auto"/>
        <w:tabs>
          <w:tab w:leader="none" w:pos="25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consecutive fiscal quarters ending with the end of such fiscal quarter, all calculated for the Company and its Subsidiaries on a consolidated basis, to be less than 3.00 to 1.00.</w:t>
      </w:r>
    </w:p>
    <w:p>
      <w:pPr>
        <w:spacing w:after="0" w:line="184" w:lineRule="exact"/>
        <w:rPr>
          <w:sz w:val="20"/>
          <w:szCs w:val="20"/>
          <w:color w:val="auto"/>
        </w:rPr>
      </w:pPr>
    </w:p>
    <w:p>
      <w:pPr>
        <w:jc w:val="center"/>
        <w:ind w:right="616"/>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424"/>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w:t>
      </w:r>
    </w:p>
    <w:p>
      <w:pPr>
        <w:spacing w:after="0" w:line="225" w:lineRule="exact"/>
        <w:rPr>
          <w:sz w:val="20"/>
          <w:szCs w:val="20"/>
          <w:color w:val="auto"/>
        </w:rPr>
      </w:pPr>
    </w:p>
    <w:p>
      <w:pPr>
        <w:ind w:left="4" w:firstLine="645"/>
        <w:spacing w:after="0" w:line="264" w:lineRule="auto"/>
        <w:tabs>
          <w:tab w:leader="none" w:pos="129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any Borrower shall fail to pay any principal of any Loan or any reimbursement obligation in respect of any LC Disbursement owed by such Borrower or the Company shall fail to make a payment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 in each case when and as the same shall become due and payable, whether at the due date thereof or at a date fixed for prepayment thereof or otherwise;</w:t>
      </w:r>
    </w:p>
    <w:p>
      <w:pPr>
        <w:spacing w:after="0" w:line="181" w:lineRule="exact"/>
        <w:rPr>
          <w:rFonts w:ascii="Arial" w:cs="Arial" w:eastAsia="Arial" w:hAnsi="Arial"/>
          <w:sz w:val="18"/>
          <w:szCs w:val="18"/>
          <w:color w:val="auto"/>
        </w:rPr>
      </w:pPr>
    </w:p>
    <w:p>
      <w:pPr>
        <w:ind w:left="1304" w:hanging="655"/>
        <w:spacing w:after="0"/>
        <w:tabs>
          <w:tab w:leader="none" w:pos="130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Borrower shall fail to pay any interest on any Loan or any fee or any other amount (other than an amount referred to in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clause (a) of this Article) payable by such Borrower</w:t>
      </w:r>
    </w:p>
    <w:p>
      <w:pPr>
        <w:spacing w:after="0" w:line="21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under this Agreement or any other Loan Document, when and as the same shall become due and payable, and such failure shall continue unremedied for a period of five (5) Business Days;</w:t>
      </w:r>
    </w:p>
    <w:p>
      <w:pPr>
        <w:spacing w:after="0" w:line="170" w:lineRule="exact"/>
        <w:rPr>
          <w:sz w:val="20"/>
          <w:szCs w:val="20"/>
          <w:color w:val="auto"/>
        </w:rPr>
      </w:pPr>
    </w:p>
    <w:p>
      <w:pPr>
        <w:ind w:left="4" w:right="40" w:firstLine="645"/>
        <w:spacing w:after="0" w:line="259" w:lineRule="auto"/>
        <w:tabs>
          <w:tab w:leader="none" w:pos="13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any Borrower or any other Loan Party in or in connection with any Loan Document or in any report, certificate, financial statement or other document furnished pursuant to or in connection with this Agreement or any other Loan Document (including any amendment or modification thereof or waiver thereunder) shall prove to have been incorrect in any material respect when made or deemed made;</w:t>
      </w:r>
    </w:p>
    <w:p>
      <w:pPr>
        <w:spacing w:after="0" w:line="186" w:lineRule="exact"/>
        <w:rPr>
          <w:rFonts w:ascii="Arial" w:cs="Arial" w:eastAsia="Arial" w:hAnsi="Arial"/>
          <w:sz w:val="18"/>
          <w:szCs w:val="18"/>
          <w:color w:val="auto"/>
        </w:rPr>
      </w:pPr>
    </w:p>
    <w:p>
      <w:pPr>
        <w:ind w:left="4" w:right="280" w:firstLine="645"/>
        <w:spacing w:after="0" w:line="342" w:lineRule="auto"/>
        <w:tabs>
          <w:tab w:leader="none" w:pos="130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any Borrower shall fail to observe or perform any covenant, condition or agreement applicable to it (or its Subsidiaries, to the extent applicable) contained in Section 5.02(a), 5.03 (solely with respect to any Borrower’s existence), 5.08 or 5.09,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Article X</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4" w:right="20" w:firstLine="645"/>
        <w:spacing w:after="0" w:line="259" w:lineRule="auto"/>
        <w:tabs>
          <w:tab w:leader="none" w:pos="13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Borrower or any Subsidiary Guarantor, as applicable, shall fail to observe or perform any covenant, condition or agreement applicable to it contained in this Agreement (other than those specified in clause (a), (b) or (d) of this Article) or any other Loan Document, and such failure shall continue unremedied for a period of thirty (30) days after notice thereof from the Administrative Agent or the Required Lenders to the Company;</w:t>
      </w:r>
    </w:p>
    <w:p>
      <w:pPr>
        <w:spacing w:after="0" w:line="186" w:lineRule="exact"/>
        <w:rPr>
          <w:rFonts w:ascii="Arial" w:cs="Arial" w:eastAsia="Arial" w:hAnsi="Arial"/>
          <w:sz w:val="18"/>
          <w:szCs w:val="18"/>
          <w:color w:val="auto"/>
        </w:rPr>
      </w:pPr>
    </w:p>
    <w:p>
      <w:pPr>
        <w:ind w:left="4" w:right="20" w:firstLine="645"/>
        <w:spacing w:after="0" w:line="264" w:lineRule="auto"/>
        <w:tabs>
          <w:tab w:leader="none" w:pos="13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Borrower or any Material Subsidiary shall fail to make any payment (whether of principal or interest and regardless of amount) in respect of any Material Indebtedness of such Borrower or Material Subsidiary, as applicable, when and as the same shall become due and payable, which is not cured within any applicable grace period therefor;</w:t>
      </w:r>
    </w:p>
    <w:p>
      <w:pPr>
        <w:spacing w:after="0" w:line="181" w:lineRule="exact"/>
        <w:rPr>
          <w:rFonts w:ascii="Arial" w:cs="Arial" w:eastAsia="Arial" w:hAnsi="Arial"/>
          <w:sz w:val="18"/>
          <w:szCs w:val="18"/>
          <w:color w:val="auto"/>
        </w:rPr>
      </w:pPr>
    </w:p>
    <w:p>
      <w:pPr>
        <w:ind w:left="4" w:right="60" w:firstLine="645"/>
        <w:spacing w:after="0" w:line="285" w:lineRule="auto"/>
        <w:tabs>
          <w:tab w:leader="none" w:pos="132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that enables or permits, after the expiration of any applicable grace period, and delivery of any applicable required notice, provided in the applicable agreement or instrument under which such Indebtedness was created,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(g) shall not apply to (i) secured Material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any Material Indebtedness that becomes due as a result of a refinancing thereof permitted by Section 6.01, (iii) any reimbursement obligation in respect of a letter of credit, bankers acceptance or similar obligation as a result of a drawing thereunder by a beneficiary thereunder in accordance with its terms, (iv) any such Material Indebtedness that is mandatorily prepayable prior to the scheduled maturity thereof with the proceeds of the issuance of capital stock, the incurrence of other Indebtedness or the sale or other disposition of any assets, so long as such Material Indebtedness that has become due is so prepaid in full with such net proceeds required to be used to prepay such Material Indebtedness when due (or within any applicable grace period) and such event shall not have otherwise resulted in an event of default with respect to such Material Indebtedness, (v) any redemption, repurchase, conversion or settlement with respect to any Permitted Convertible Notes pursuant to their terms unless such redemption, repurchase, conversion or settlement results from a default thereunder or an event of the type that constitutes an Event of Default and (vi) any early payment requirement or unwinding or termination with respect to any Permitted Call Spread Swap Agreement;</w:t>
      </w:r>
    </w:p>
    <w:p>
      <w:pPr>
        <w:spacing w:after="0" w:line="17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40" w:firstLine="645"/>
        <w:spacing w:after="0" w:line="291" w:lineRule="auto"/>
        <w:tabs>
          <w:tab w:leader="none" w:pos="130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(1) an involuntary proceeding shall be commenced or an involuntary petition shall be filed seeking (i) liquidation, examinership, reorganization or other relief in respect of any Loan Party or any Material Subsidiary or its debts, or of a substantial part of its assets, under any federal, state or foreign bankruptcy, insolvency, examinership, receivership or similar law now or hereafter in effect or (ii) the appointment of a receiver, trustee, custodian, examiner, sequestrator, conservator or similar official for any Loan Party or any Material Subsidiary or for a substantial part of its assets, and, in any such case, except to the extent it relates to proceedings or petitions in the Netherlands, such proceeding or petition shall continue undismissed, undischarged or unstayed for sixty (60) days or an order or decree approving or ordering any of the foregoing shall be entered or (2) a Luxembourg Insolvency Event shall occur in respect of any Luxembourg Borrower;</w:t>
      </w:r>
    </w:p>
    <w:p>
      <w:pPr>
        <w:spacing w:after="0" w:line="167" w:lineRule="exact"/>
        <w:rPr>
          <w:rFonts w:ascii="Arial" w:cs="Arial" w:eastAsia="Arial" w:hAnsi="Arial"/>
          <w:sz w:val="16"/>
          <w:szCs w:val="16"/>
          <w:color w:val="auto"/>
        </w:rPr>
      </w:pPr>
    </w:p>
    <w:p>
      <w:pPr>
        <w:ind w:left="4" w:firstLine="645"/>
        <w:spacing w:after="0" w:line="297" w:lineRule="auto"/>
        <w:tabs>
          <w:tab w:leader="none" w:pos="132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Loan Party or any Material Subsidiary shall (i) voluntarily commence any proceeding or file any petition seeking liquidation, reorganization or other relief under any federal, state or foreign bankruptcy, insolvency, examinership,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examiner, sequestrator, conservator or similar official for any Loan Party or any Material Subsidiary or for a substantial part of its assets, (iv) file an answer admitting the material allegations of a petition filed</w:t>
      </w:r>
    </w:p>
    <w:p>
      <w:pPr>
        <w:sectPr>
          <w:pgSz w:w="11900" w:h="16941" w:orient="portrait"/>
          <w:cols w:equalWidth="0" w:num="1">
            <w:col w:w="10744"/>
          </w:cols>
          <w:pgMar w:left="896" w:top="125" w:right="259" w:bottom="0" w:gutter="0" w:footer="0" w:header="0"/>
        </w:sectPr>
      </w:pPr>
    </w:p>
    <w:bookmarkStart w:id="48" w:name="page49"/>
    <w:bookmarkEnd w:id="48"/>
    <w:p>
      <w:pPr>
        <w:ind w:left="660" w:right="20"/>
        <w:spacing w:after="0" w:line="277" w:lineRule="auto"/>
        <w:rPr>
          <w:sz w:val="20"/>
          <w:szCs w:val="20"/>
          <w:color w:val="auto"/>
        </w:rPr>
      </w:pPr>
      <w:r>
        <w:rPr>
          <w:rFonts w:ascii="Arial" w:cs="Arial" w:eastAsia="Arial" w:hAnsi="Arial"/>
          <w:sz w:val="18"/>
          <w:szCs w:val="18"/>
          <w:color w:val="auto"/>
        </w:rPr>
        <w:t>against it in any such proceeding, (v) make a general assignment for the benefit of creditors or (vi) take any action for the purpose of effecting any of the foregoing;</w:t>
      </w:r>
    </w:p>
    <w:p>
      <w:pPr>
        <w:spacing w:after="0" w:line="170" w:lineRule="exact"/>
        <w:rPr>
          <w:sz w:val="20"/>
          <w:szCs w:val="20"/>
          <w:color w:val="auto"/>
        </w:rPr>
      </w:pPr>
    </w:p>
    <w:p>
      <w:pPr>
        <w:ind w:left="1960" w:hanging="655"/>
        <w:spacing w:after="0"/>
        <w:tabs>
          <w:tab w:leader="none" w:pos="19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any Loan Party or any Material Subsidiary shall become unable, admit in writing its inability or fail generally to pay its debts as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they become due;</w:t>
      </w:r>
    </w:p>
    <w:p>
      <w:pPr>
        <w:spacing w:after="0" w:line="210" w:lineRule="exact"/>
        <w:rPr>
          <w:rFonts w:ascii="Arial" w:cs="Arial" w:eastAsia="Arial" w:hAnsi="Arial"/>
          <w:sz w:val="17"/>
          <w:szCs w:val="17"/>
          <w:color w:val="auto"/>
        </w:rPr>
      </w:pPr>
    </w:p>
    <w:p>
      <w:pPr>
        <w:ind w:left="660" w:right="20" w:firstLine="645"/>
        <w:spacing w:after="0" w:line="255" w:lineRule="auto"/>
        <w:tabs>
          <w:tab w:leader="none" w:pos="196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$75,000,000 (to the extent not paid, fully bonded or covered by a solvent and unaffiliated insurer that has not denied coverage) shall be rendered against any Loan Party, any Material Subsidiary or any combination thereof and the same shall remain undischarged, unvacated or undismissed for a period of sixty (60) consecutive days during which execution shall not be effectively stayed (by reason of pending appeal or otherwise), or any action shall be legally taken by a judgment creditor to attach or levy upon any assets of any Loan Party or any Material Subsidiary to enforce any such judgment and such action shall not have been stayed;</w:t>
      </w:r>
    </w:p>
    <w:p>
      <w:pPr>
        <w:spacing w:after="0" w:line="193" w:lineRule="exact"/>
        <w:rPr>
          <w:rFonts w:ascii="Arial" w:cs="Arial" w:eastAsia="Arial" w:hAnsi="Arial"/>
          <w:sz w:val="18"/>
          <w:szCs w:val="18"/>
          <w:color w:val="auto"/>
        </w:rPr>
      </w:pPr>
    </w:p>
    <w:p>
      <w:pPr>
        <w:ind w:left="660" w:right="120" w:firstLine="645"/>
        <w:spacing w:after="0" w:line="277" w:lineRule="auto"/>
        <w:tabs>
          <w:tab w:leader="none" w:pos="197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could reasonably be expected to result in a Material Adverse Effect;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Change in Control shall occur; or</w:t>
      </w:r>
    </w:p>
    <w:p>
      <w:pPr>
        <w:spacing w:after="0" w:line="225" w:lineRule="exact"/>
        <w:rPr>
          <w:rFonts w:ascii="Arial" w:cs="Arial" w:eastAsia="Arial" w:hAnsi="Arial"/>
          <w:sz w:val="18"/>
          <w:szCs w:val="18"/>
          <w:color w:val="auto"/>
        </w:rPr>
      </w:pPr>
    </w:p>
    <w:p>
      <w:pPr>
        <w:ind w:left="660" w:right="300" w:firstLine="645"/>
        <w:spacing w:after="0" w:line="273" w:lineRule="auto"/>
        <w:tabs>
          <w:tab w:leader="none" w:pos="196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any Loan Document, after execution thereof and for any reason other than as expressly permitted hereunder or thereunder or in satisfaction in full of the Obligations, ceases to be valid, binding and enforceable against the Company or any other Loan Party party thereto in accordance with its terms in all material respects (or any Loan Party or any Material Subsidiary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 other than as expressly permitted thereunder or in satisfaction in full in cash of the Obligations then due and payable);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then, and in every such event (other than an event with respect to any Borrower described in clause (h) or (i) of this Article), and at any time thereafter during the continuance of such event, the Administrative Agent may, and at the request of the Required Lenders shall, by notice to the Company, take either or both of the following actions, at the same or different times: (i) terminate the Commitments, and thereupon the Commitments shall terminate immediately, and</w:t>
      </w:r>
    </w:p>
    <w:p>
      <w:pPr>
        <w:ind w:right="100" w:firstLine="8"/>
        <w:spacing w:after="0" w:line="287" w:lineRule="auto"/>
        <w:tabs>
          <w:tab w:leader="none" w:pos="26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and under the other Loan Documents, shall become due and payable immediately, without presentment, demand, protest or other notice of any kind, all of which are hereby waived by the Borrowers; and in case of any event with respect to any Borrower described in clause (h) or (i) of this Article, the Commitments shall automatically terminate and the principal of the Loans then outstanding, together with accrued interest thereon and all fees and other Obligations accrued hereunder and under the other Loan Documents, shall automatically become due and payable, without presentment, demand, protest or other notice of any kind, all of which are hereby waived by the Borrowers. Upon the occurrence and during the continuance of an Event of Default, the Administrative Agent may, and at the request of the Required Lenders shall, exercise any rights and remedies provided to the Administrative Agent under the Loan Documents or at law or equity.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Each of the Lenders and the Issuing Banks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w:t>
      </w:r>
    </w:p>
    <w:p>
      <w:pPr>
        <w:spacing w:after="0" w:line="147"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Company or any Subsidiary or other Affiliate thereof as if it were not the Administrative Agent hereunder.</w:t>
      </w:r>
    </w:p>
    <w:p>
      <w:pPr>
        <w:spacing w:after="0" w:line="187"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in Section 9.02), and (c) except as expressly set forth in the Loan Documents, the Administrative Agent shall not have any duty to disclose, and shall not be liable for the failure to disclose, any information relating to the Company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final nonappealable judgment of a court of competent jurisdiction. The Administrative Agent shall be deemed not to have knowledge of any Default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unless and until written notice thereof is given to the Administrative Agent by the Company or a Lender, and the Administrative Agent shall not be responsible for or have any duty to ascertain or inquire into (i) any statement, warranty or representation made in or in connection with any Loan Document,</w:t>
      </w:r>
    </w:p>
    <w:p>
      <w:pPr>
        <w:ind w:right="60" w:firstLine="8"/>
        <w:spacing w:after="0" w:line="323" w:lineRule="auto"/>
        <w:tabs>
          <w:tab w:leader="none" w:pos="26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w:t>
      </w:r>
    </w:p>
    <w:p>
      <w:pPr>
        <w:sectPr>
          <w:pgSz w:w="11900" w:h="16838" w:orient="portrait"/>
          <w:cols w:equalWidth="0" w:num="1">
            <w:col w:w="11400"/>
          </w:cols>
          <w:pgMar w:left="240" w:top="125" w:right="259" w:bottom="0" w:gutter="0" w:footer="0" w:header="0"/>
        </w:sectPr>
      </w:pPr>
    </w:p>
    <w:bookmarkStart w:id="49" w:name="page50"/>
    <w:bookmarkEnd w:id="49"/>
    <w:p>
      <w:pPr>
        <w:ind w:right="700"/>
        <w:spacing w:after="0" w:line="308" w:lineRule="auto"/>
        <w:rPr>
          <w:sz w:val="20"/>
          <w:szCs w:val="20"/>
          <w:color w:val="auto"/>
        </w:rPr>
      </w:pPr>
      <w:r>
        <w:rPr>
          <w:rFonts w:ascii="Arial" w:cs="Arial" w:eastAsia="Arial" w:hAnsi="Arial"/>
          <w:sz w:val="17"/>
          <w:szCs w:val="17"/>
          <w:color w:val="auto"/>
        </w:rPr>
        <w:t xml:space="preserve">genuineness of any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in any Loan Document, other than to confirm receipt of items expressly required to be delivered to the Administrative Agent.</w:t>
      </w:r>
    </w:p>
    <w:p>
      <w:pPr>
        <w:spacing w:after="0" w:line="147" w:lineRule="exact"/>
        <w:rPr>
          <w:sz w:val="20"/>
          <w:szCs w:val="20"/>
          <w:color w:val="auto"/>
        </w:rPr>
      </w:pPr>
    </w:p>
    <w:p>
      <w:pPr>
        <w:ind w:right="160" w:firstLine="1297"/>
        <w:spacing w:after="0" w:line="255" w:lineRule="auto"/>
        <w:rPr>
          <w:sz w:val="20"/>
          <w:szCs w:val="20"/>
          <w:color w:val="auto"/>
        </w:rPr>
      </w:pPr>
      <w:r>
        <w:rPr>
          <w:rFonts w:ascii="Arial" w:cs="Arial" w:eastAsia="Arial" w:hAnsi="Arial"/>
          <w:sz w:val="18"/>
          <w:szCs w:val="18"/>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93"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88"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 xml:space="preserve">Subject to the appointment and acceptance of a successor Administrative Agent as provided in this paragraph, the Administrative Agent may resign at any time by notifying the Lenders, the Issuing Banks and the Company. Upon any such resignation, the Required Lenders shall have the right (with the consent of the Company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Company shall be required if an Event of Default has occurred and is continuing)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any Borrower to a successor Administrative Agent shall be the same as those payable to its predecessor unless otherwise agreed between such Borrower and such successor. After the Administrative Agent’s resignation hereunder, the provisions of this Article and Section 9.03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169"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Each Lender acknowledges and agrees that the extensions of credit made hereunder are commercial loans and letters of credit and not investments in a business enterprise or securities. Each Lender further confirms that it is engaged in making, acquiring or holding commercial loans in the ordinary course of its business and has, independently and without reliance upon the Administrative Agent or any other Lender and based on such documents and information as it has deemed appropriate,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made its own credit analysis and decision to enter into this Agreement as a Lender, and to make, acquire or hold Loans hereunder. Each Lender shall, independently and without reliance upon the Administrative Agent or any other Lender and based on such documents and information (which may contain material, non-public information within the meaning of the United States securities laws concerning the Company and its Affiliates and their respective securities) as it shall from time to time deem appropriate, continue to make its own decisions in taking or not taking action under or based upon this Agreement, any related agreement or any document furnished hereunder or thereunder and in deciding whether or to the extent to which it will continue as a Lender or assign or otherwise transfer its rights, interests and obligations hereunder.</w:t>
      </w:r>
    </w:p>
    <w:p>
      <w:pPr>
        <w:spacing w:after="0" w:line="178" w:lineRule="exact"/>
        <w:rPr>
          <w:sz w:val="20"/>
          <w:szCs w:val="20"/>
          <w:color w:val="auto"/>
        </w:rPr>
      </w:pPr>
    </w:p>
    <w:p>
      <w:pPr>
        <w:ind w:right="140" w:firstLine="1297"/>
        <w:spacing w:after="0" w:line="273" w:lineRule="auto"/>
        <w:rPr>
          <w:sz w:val="20"/>
          <w:szCs w:val="20"/>
          <w:color w:val="auto"/>
        </w:rPr>
      </w:pPr>
      <w:r>
        <w:rPr>
          <w:rFonts w:ascii="Arial" w:cs="Arial" w:eastAsia="Arial" w:hAnsi="Arial"/>
          <w:sz w:val="17"/>
          <w:szCs w:val="17"/>
          <w:color w:val="auto"/>
        </w:rPr>
        <w:t>None of the Lenders or their Affiliates, if any, identified in this Agreement as a Joint Bookrunner, Co-Syndication Agent or Co-Documentation Agent shall have any right, power, obligation, liability, responsibility or duty under this Agreement other than, in the case of Lenders, those applicable to all Lenders as such (or applicable to Lenders of the same Class of Loans). Without limiting the foregoing, none of the Joint Bookrunners or such Lenders shall have or be deemed to have a fiduciary relationship with any Lender. Each Lender hereby makes the same acknowledgments with respect to the relevant Lenders and their Affiliates in their respective capacities as Joint Bookrunners, Co-Syndication Agents or Co-Documentation Agents, as applicable, as it makes with respect to the Administrative Agent in the preceding paragraph.</w:t>
      </w:r>
    </w:p>
    <w:p>
      <w:pPr>
        <w:spacing w:after="0" w:line="178"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181" w:lineRule="exact"/>
        <w:rPr>
          <w:sz w:val="20"/>
          <w:szCs w:val="20"/>
          <w:color w:val="auto"/>
        </w:rPr>
      </w:pPr>
    </w:p>
    <w:p>
      <w:pPr>
        <w:ind w:left="2620" w:hanging="667"/>
        <w:spacing w:after="0"/>
        <w:tabs>
          <w:tab w:leader="none" w:pos="2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to any Loan Party, to it: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Regeneron Pharmaceuticals,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Dominick Agron, Vice President &amp; Treasurer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Telecopy No. (914) 847-1555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No. (914) 847-5892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dominick.agron@regeneron.com</w:t>
      </w:r>
    </w:p>
    <w:p>
      <w:pPr>
        <w:sectPr>
          <w:pgSz w:w="11900" w:h="16838" w:orient="portrait"/>
          <w:cols w:equalWidth="0" w:num="1">
            <w:col w:w="11420"/>
          </w:cols>
          <w:pgMar w:left="240" w:top="125" w:right="239" w:bottom="85" w:gutter="0" w:footer="0" w:header="0"/>
        </w:sectPr>
      </w:pPr>
    </w:p>
    <w:bookmarkStart w:id="50" w:name="page51"/>
    <w:bookmarkEnd w:id="50"/>
    <w:p>
      <w:pPr>
        <w:spacing w:after="0" w:line="8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(in the case of a notice of an actual or potential Default, Event of Default, non-compliance with this</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Agreement or any other similar matter) to:</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Regeneron Pharmaceuticals,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777 Old Saw Mill River Road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Tarrytown, New York 10591</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Joseph J. LaRosa, Senior Vice President, General Counsel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Telecopy No. (914) 847-7721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No. (914) 847-7498</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joseph.larosa@regeneron.com</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Sarah M. Ward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Telecopy No. (917) 777-2126</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No. (212) 735-2126</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sarah.ward@skadden.com</w:t>
      </w:r>
    </w:p>
    <w:p>
      <w:pPr>
        <w:spacing w:after="0" w:line="211" w:lineRule="exact"/>
        <w:rPr>
          <w:sz w:val="20"/>
          <w:szCs w:val="20"/>
          <w:color w:val="auto"/>
        </w:rPr>
      </w:pPr>
    </w:p>
    <w:p>
      <w:pPr>
        <w:ind w:left="1300" w:right="200" w:firstLine="653"/>
        <w:spacing w:after="0" w:line="291" w:lineRule="auto"/>
        <w:tabs>
          <w:tab w:leader="none" w:pos="262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if to the Administrative Agent, (A) in the case of Borrowings denominated in Dollars (other than Designated Loans), to JPMorgan Chase Bank, N.A., 10 South Dearborn Street, Floor L2, Chicago, Illinois 60603, Attention of Yuvette Owens (Telecopy</w:t>
      </w:r>
    </w:p>
    <w:p>
      <w:pPr>
        <w:ind w:left="1300" w:right="320"/>
        <w:spacing w:after="0" w:line="273" w:lineRule="auto"/>
        <w:rPr>
          <w:rFonts w:ascii="Arial" w:cs="Arial" w:eastAsia="Arial" w:hAnsi="Arial"/>
          <w:sz w:val="16"/>
          <w:szCs w:val="16"/>
          <w:color w:val="auto"/>
        </w:rPr>
      </w:pPr>
      <w:r>
        <w:rPr>
          <w:rFonts w:ascii="Arial" w:cs="Arial" w:eastAsia="Arial" w:hAnsi="Arial"/>
          <w:sz w:val="17"/>
          <w:szCs w:val="17"/>
          <w:color w:val="auto"/>
        </w:rPr>
        <w:t>No. (888) 292-9533; E-mail: jpm.agency.servicing.4@jpmorgan.com) and (B) in the case of Borrowings denominated in Foreign Currencies and Designated Loans, to J.P. Morgan Europe Limited, 25 Bank Street, Canary Wharf, London E14 5JP, Attention of The Manager, Loan &amp; Agency Services (Telecopy No. 44 207 777 2360), and in each case with a copy to JPMorgan Chase Bank, N.A., Two Corporate Drive, Suite 730, Shelton, Connecticut 06484, Attention of Scott Farquhar (Telecopy No. (203) 944-8495);</w:t>
      </w:r>
    </w:p>
    <w:p>
      <w:pPr>
        <w:spacing w:after="0" w:line="176" w:lineRule="exact"/>
        <w:rPr>
          <w:rFonts w:ascii="Arial" w:cs="Arial" w:eastAsia="Arial" w:hAnsi="Arial"/>
          <w:sz w:val="16"/>
          <w:szCs w:val="16"/>
          <w:color w:val="auto"/>
        </w:rPr>
      </w:pPr>
    </w:p>
    <w:p>
      <w:pPr>
        <w:ind w:left="1300" w:right="500" w:firstLine="653"/>
        <w:spacing w:after="0" w:line="264" w:lineRule="auto"/>
        <w:tabs>
          <w:tab w:leader="none" w:pos="263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to JPMorgan Chase Bank, N.A. in its capacity as an Issuing Bank, to it at JPMorgan Chase Bank, N.A., 10 South Dearborn Street, Floor L2, Chicago, Illinois 60603 (Telecopy No. (312) 356-2608; E-mail: Chicago.LC.agency.closing.team@jpmorgan.com);</w:t>
      </w:r>
    </w:p>
    <w:p>
      <w:pPr>
        <w:spacing w:after="0" w:line="181" w:lineRule="exact"/>
        <w:rPr>
          <w:rFonts w:ascii="Arial" w:cs="Arial" w:eastAsia="Arial" w:hAnsi="Arial"/>
          <w:sz w:val="18"/>
          <w:szCs w:val="18"/>
          <w:color w:val="auto"/>
        </w:rPr>
      </w:pPr>
    </w:p>
    <w:p>
      <w:pPr>
        <w:ind w:left="1300" w:right="300" w:firstLine="653"/>
        <w:spacing w:after="0" w:line="308" w:lineRule="auto"/>
        <w:tabs>
          <w:tab w:leader="none" w:pos="261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if to the Swingline Lender, to it at JPMorgan Chase Bank, N.A., 10 South Dearborn Street, Floor L2, Chicago, Illinois 60603, Attention of Yuvette Owens (Telecopy No. (888) 292-9533; E-mail: jpm.agency.servicing.4@jpmorgan.com); and</w:t>
      </w:r>
    </w:p>
    <w:p>
      <w:pPr>
        <w:spacing w:after="0" w:line="146" w:lineRule="exact"/>
        <w:rPr>
          <w:rFonts w:ascii="Arial" w:cs="Arial" w:eastAsia="Arial" w:hAnsi="Arial"/>
          <w:sz w:val="17"/>
          <w:szCs w:val="17"/>
          <w:color w:val="auto"/>
        </w:rPr>
      </w:pPr>
    </w:p>
    <w:p>
      <w:pPr>
        <w:ind w:left="2600" w:hanging="647"/>
        <w:spacing w:after="0"/>
        <w:tabs>
          <w:tab w:leader="none" w:pos="2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to any other Lender or Issuing Bank, to it at its address (or telecopy number) set forth in its Administrative</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Questionnaire.</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paragraph (b) below, shall be effective as provided in said paragraph (b).</w:t>
      </w:r>
    </w:p>
    <w:p>
      <w:pPr>
        <w:spacing w:after="0" w:line="187" w:lineRule="exact"/>
        <w:rPr>
          <w:sz w:val="20"/>
          <w:szCs w:val="20"/>
          <w:color w:val="auto"/>
        </w:rPr>
      </w:pPr>
    </w:p>
    <w:p>
      <w:pPr>
        <w:ind w:left="660" w:right="120" w:firstLine="645"/>
        <w:spacing w:after="0" w:line="259" w:lineRule="auto"/>
        <w:tabs>
          <w:tab w:leader="none" w:pos="196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and the Issuing Banks hereunder may be delivered or furnished by using Electronic Systems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Article II unless otherwise agreed by the Administrative Agent and the applicable Lender. The Administrative Agent or the Company may, in its discretion, agree to accept notices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 xml:space="preserve">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70"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9" w:lineRule="exact"/>
        <w:rPr>
          <w:sz w:val="20"/>
          <w:szCs w:val="20"/>
          <w:color w:val="auto"/>
        </w:rPr>
      </w:pPr>
    </w:p>
    <w:p>
      <w:pPr>
        <w:ind w:left="660" w:right="400" w:firstLine="645"/>
        <w:spacing w:after="0" w:line="277" w:lineRule="auto"/>
        <w:tabs>
          <w:tab w:leader="none" w:pos="196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party hereto may change its address or telecopy number for notices and other communications hereunder by notice to the other parties hereto.</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Electronic Systems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0" w:firstLine="1293"/>
        <w:spacing w:after="0" w:line="264" w:lineRule="auto"/>
        <w:tabs>
          <w:tab w:leader="none" w:pos="262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Company agrees that the Administrative Agent may, but shall not be obligated to, make Communications (as defined below) available to the Issuing Banks and the other Lenders by posting the Communications on Debt Domain, Intralinks, Syndtrak, ClearPar or a substantially similar Electronic System.</w:t>
      </w:r>
    </w:p>
    <w:p>
      <w:pPr>
        <w:sectPr>
          <w:pgSz w:w="11900" w:h="16918" w:orient="portrait"/>
          <w:cols w:equalWidth="0" w:num="1">
            <w:col w:w="11420"/>
          </w:cols>
          <w:pgMar w:left="240" w:top="125" w:right="239" w:bottom="0" w:gutter="0" w:footer="0" w:header="0"/>
        </w:sectPr>
      </w:pPr>
    </w:p>
    <w:bookmarkStart w:id="51" w:name="page52"/>
    <w:bookmarkEnd w:id="51"/>
    <w:p>
      <w:pPr>
        <w:spacing w:after="0" w:line="106" w:lineRule="exact"/>
        <w:rPr>
          <w:sz w:val="20"/>
          <w:szCs w:val="20"/>
          <w:color w:val="auto"/>
        </w:rPr>
      </w:pPr>
    </w:p>
    <w:p>
      <w:pPr>
        <w:ind w:left="660" w:right="40" w:firstLine="1293"/>
        <w:spacing w:after="0" w:line="267" w:lineRule="auto"/>
        <w:tabs>
          <w:tab w:leader="none" w:pos="263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(except as otherwise expressly provided in this Section 9.01(d)(ii)).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an Electronic System except with respect to actual or direct damages to the extent determined by a court of competent jurisdiction by final and nonappealable judgment to have resulted from the willful misconduct or gross negligence of any Agent Party; provided that any Communication to any Lenders, prospective Lenders, Participants or prospective Participants or, to the extent such disclosure is otherwise permitted, to any other Person through an Electronic System shall be made subject to the acknowledgement and acceptance by such Person that such Communication is being disseminated or disclosed on a confidential basis (on terms substantially the same as set forth in Section 9.12 or otherwise reasonably acceptable to the Administrative Agent and the Company), which shall in any event require “click through” or other affirmative actions on the part of the recipient to access such Communication. “</w:t>
      </w:r>
      <w:r>
        <w:rPr>
          <w:rFonts w:ascii="Arial" w:cs="Arial" w:eastAsia="Arial" w:hAnsi="Arial"/>
          <w:sz w:val="17"/>
          <w:szCs w:val="17"/>
          <w:u w:val="single" w:color="auto"/>
          <w:color w:val="auto"/>
        </w:rPr>
        <w:t>Communications</w:t>
      </w:r>
      <w:r>
        <w:rPr>
          <w:rFonts w:ascii="Arial" w:cs="Arial" w:eastAsia="Arial" w:hAnsi="Arial"/>
          <w:sz w:val="17"/>
          <w:szCs w:val="17"/>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by means of electronic communications pursuant to this Section, including through an Electronic System.</w:t>
      </w:r>
    </w:p>
    <w:p>
      <w:pPr>
        <w:spacing w:after="0" w:line="225" w:lineRule="exact"/>
        <w:rPr>
          <w:sz w:val="20"/>
          <w:szCs w:val="20"/>
          <w:color w:val="auto"/>
        </w:rPr>
      </w:pPr>
    </w:p>
    <w:p>
      <w:pPr>
        <w:ind w:right="140" w:firstLine="1297"/>
        <w:spacing w:after="0" w:line="289"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Waivers; Amendments</w:t>
      </w:r>
      <w:r>
        <w:rPr>
          <w:rFonts w:ascii="Arial" w:cs="Arial" w:eastAsia="Arial" w:hAnsi="Arial"/>
          <w:sz w:val="16"/>
          <w:szCs w:val="16"/>
          <w:color w:val="auto"/>
        </w:rPr>
        <w:t>.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67" w:lineRule="exact"/>
        <w:rPr>
          <w:sz w:val="20"/>
          <w:szCs w:val="20"/>
          <w:color w:val="auto"/>
        </w:rPr>
      </w:pPr>
    </w:p>
    <w:p>
      <w:pPr>
        <w:ind w:left="660" w:firstLine="645"/>
        <w:spacing w:after="0" w:line="283" w:lineRule="auto"/>
        <w:tabs>
          <w:tab w:leader="none" w:pos="1964"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Except as provided in Section 2.20 with respect to an Incremental Term Loan Amendment,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amount of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(provided that (x) any amendment or modification of the financial covenants in this Agreement (or defined terms used in the financial covenants in this Agreement) shall not constitute a reduction in the rate of interest or fees for purposes of this clause (ii) even if the effect of such amendment or modification would be to reduce the rate of interest on any Loan or any LC Disbursement or to reduce any fee payable hereunder and (y) only the consent of the Required Lenders shall be necessary to amend the provisions of Section 2.13(c) or to waive any obligation of any Borrower to pay interest or any other amount at the interest rate prescribed in such Section), (iii) postpone the scheduled date of payment of the principal amount of any Loan or LC Disbursement , or any interest thereon, or any fees payable hereunder, or reduce the amount of, waive or excuse any such payment, or postpone the scheduled date of expiration of any Commitment, without the written consent of each Lender directly affected thereby (other than (x) any reduction of the amount of, or any extension of the payment date for, the mandatory prepayments required under Section 2.11, in each case which shall only require the approval of the Required Lenders and (y) with respect to the matters set forth in clauses (ii)</w:t>
      </w:r>
    </w:p>
    <w:p>
      <w:pPr>
        <w:spacing w:after="0" w:line="2" w:lineRule="exact"/>
        <w:rPr>
          <w:rFonts w:ascii="Arial" w:cs="Arial" w:eastAsia="Arial" w:hAnsi="Arial"/>
          <w:sz w:val="16"/>
          <w:szCs w:val="16"/>
          <w:color w:val="auto"/>
        </w:rPr>
      </w:pPr>
    </w:p>
    <w:p>
      <w:pPr>
        <w:ind w:left="660" w:hanging="4"/>
        <w:spacing w:after="0" w:line="252" w:lineRule="auto"/>
        <w:tabs>
          <w:tab w:leader="none" w:pos="91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and (ii)(y) above), (iv) change Section 2.18(b) or (d) in a manner that would alter the pro rata sharing of payments required thereby, without the written consent of each Lender, (v)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 2.20 to be parties to an Incremental Term Loan Amendment, Incremental Term Loans may be included in the determination of Required Lenders on substantially the same basis as the Commitments and the Revolving Loans are included on the Effective Date), (vi) release the Company from its obligations under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without the written consent of each Lender or (vii) release Subsidiary Guarantors which, as of the most recent fiscal year of the Company, for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270" w:lineRule="auto"/>
        <w:rPr>
          <w:sz w:val="20"/>
          <w:szCs w:val="20"/>
          <w:color w:val="auto"/>
        </w:rPr>
      </w:pPr>
      <w:r>
        <w:rPr>
          <w:rFonts w:ascii="Arial" w:cs="Arial" w:eastAsia="Arial" w:hAnsi="Arial"/>
          <w:sz w:val="17"/>
          <w:szCs w:val="17"/>
          <w:color w:val="auto"/>
        </w:rPr>
        <w:t xml:space="preserve">period of four consecutive fiscal quarters then ended, for which financial statements have been delivered pursuant to Section 5.01(a), contributed, in the aggregate, greater than 50% of Consolidated EBITDA for such period from their obligations under the Subsidiary Guaranty without the written consent of each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such agreement shall amend, modify or otherwise affect the rights or duties of the Administrative Agent, any Issuing Bank or the Swingline Lender hereunder without the prior written consent of the Administrative Agent, such Issuing Bank or the Swingline Lender, as the case may be (it being understood that any change to Section 2.24 shall require the consent of the Administrative Agent, the Issuing Banks and the Swingline Lender).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spacing w:after="0" w:line="182" w:lineRule="exact"/>
        <w:rPr>
          <w:sz w:val="20"/>
          <w:szCs w:val="20"/>
          <w:color w:val="auto"/>
        </w:rPr>
      </w:pPr>
    </w:p>
    <w:p>
      <w:pPr>
        <w:ind w:left="660" w:firstLine="645"/>
        <w:spacing w:after="0" w:line="302" w:lineRule="auto"/>
        <w:tabs>
          <w:tab w:leader="none" w:pos="196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Notwithstanding the foregoing, this Agreement and any other Loan Document may be amended (or amended and restated) with the written consent of the Required Lenders, the Administrative Agent and the Borrowers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w:t>
      </w:r>
    </w:p>
    <w:p>
      <w:pPr>
        <w:sectPr>
          <w:pgSz w:w="11900" w:h="16945" w:orient="portrait"/>
          <w:cols w:equalWidth="0" w:num="1">
            <w:col w:w="11420"/>
          </w:cols>
          <w:pgMar w:left="240" w:top="341" w:right="239" w:bottom="0" w:gutter="0" w:footer="0" w:header="0"/>
        </w:sectPr>
      </w:pPr>
    </w:p>
    <w:bookmarkStart w:id="52" w:name="page53"/>
    <w:bookmarkEnd w:id="52"/>
    <w:p>
      <w:pPr>
        <w:spacing w:after="0" w:line="94" w:lineRule="exact"/>
        <w:rPr>
          <w:sz w:val="20"/>
          <w:szCs w:val="20"/>
          <w:color w:val="auto"/>
        </w:rPr>
      </w:pPr>
    </w:p>
    <w:p>
      <w:pPr>
        <w:ind w:left="660" w:right="180"/>
        <w:spacing w:after="0" w:line="276" w:lineRule="auto"/>
        <w:rPr>
          <w:sz w:val="20"/>
          <w:szCs w:val="20"/>
          <w:color w:val="auto"/>
        </w:rPr>
      </w:pPr>
      <w:r>
        <w:rPr>
          <w:rFonts w:ascii="Arial" w:cs="Arial" w:eastAsia="Arial" w:hAnsi="Arial"/>
          <w:sz w:val="17"/>
          <w:szCs w:val="17"/>
          <w:color w:val="auto"/>
        </w:rPr>
        <w:t>Documents with the Revolving Loans, Incremental Term Loans and the accrued interest and fees in respect thereof and (y) to include appropriately the Lenders holding such credit facilities in any determination of the Required Lenders and Lenders (it being understood and agreed that any such amendment (i) in connection with new or increases to the Commitments and/or Incremental Term Loans in accordance with Section 2.20 or (ii) in connection with any extension in accordance with Section 2.21 shall, in any such case, require solely only the consent of the parties prescribed by such Section and shall not require the consent of the Required Lenders).</w:t>
      </w:r>
    </w:p>
    <w:p>
      <w:pPr>
        <w:spacing w:after="0" w:line="173" w:lineRule="exact"/>
        <w:rPr>
          <w:sz w:val="20"/>
          <w:szCs w:val="20"/>
          <w:color w:val="auto"/>
        </w:rPr>
      </w:pPr>
    </w:p>
    <w:p>
      <w:pPr>
        <w:ind w:left="660" w:right="60" w:firstLine="645"/>
        <w:spacing w:after="0" w:line="284" w:lineRule="auto"/>
        <w:tabs>
          <w:tab w:leader="none" w:pos="1964"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then the Company may elect to replace a Non-Consenting Lender as a Lender party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each Borrower shall pay to such Non-Consenting Lender in same day funds on the day of such replacement</w:t>
      </w:r>
    </w:p>
    <w:p>
      <w:pPr>
        <w:spacing w:after="0" w:line="1" w:lineRule="exact"/>
        <w:rPr>
          <w:rFonts w:ascii="Arial" w:cs="Arial" w:eastAsia="Arial" w:hAnsi="Arial"/>
          <w:sz w:val="16"/>
          <w:szCs w:val="16"/>
          <w:color w:val="auto"/>
        </w:rPr>
      </w:pPr>
    </w:p>
    <w:p>
      <w:pPr>
        <w:ind w:left="660" w:right="40" w:hanging="4"/>
        <w:spacing w:after="0" w:line="253" w:lineRule="auto"/>
        <w:tabs>
          <w:tab w:leader="none" w:pos="9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outstanding principal amount of its Loans and participations in LC Disbursements and all interest, fees and other amounts then accrued but unpaid to such Non-Consenting Lender by such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w:t>
      </w:r>
    </w:p>
    <w:p>
      <w:pPr>
        <w:spacing w:after="0" w:line="191" w:lineRule="exact"/>
        <w:rPr>
          <w:rFonts w:ascii="Arial" w:cs="Arial" w:eastAsia="Arial" w:hAnsi="Arial"/>
          <w:sz w:val="18"/>
          <w:szCs w:val="18"/>
          <w:color w:val="auto"/>
        </w:rPr>
      </w:pPr>
    </w:p>
    <w:p>
      <w:pPr>
        <w:ind w:left="660" w:right="340" w:firstLine="645"/>
        <w:spacing w:after="0" w:line="342" w:lineRule="auto"/>
        <w:tabs>
          <w:tab w:leader="none" w:pos="196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Notwithstanding anything to the contrary herein the Administrative Agent may, with the consent of the Company only, amend, modify or supplement this Agreement or any of the other Loan Documents (i) to cure any ambiguity, omission, mistake, defect or inconsistency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57" w:lineRule="auto"/>
        <w:rPr>
          <w:sz w:val="20"/>
          <w:szCs w:val="20"/>
          <w:color w:val="auto"/>
        </w:rPr>
      </w:pPr>
      <w:r>
        <w:rPr>
          <w:rFonts w:ascii="Arial" w:cs="Arial" w:eastAsia="Arial" w:hAnsi="Arial"/>
          <w:sz w:val="18"/>
          <w:szCs w:val="18"/>
          <w:color w:val="auto"/>
        </w:rPr>
        <w:t>or correct any typographical error or other manifest error in any Loan Document, (ii) to comply with local law or advice of local counsel in any Eligible Foreign Jurisdiction or (iii) to amend any administrative provision relating to borrowing mechanics, notice requirements, the method of determining interest or other rates or any similar agency or administrative matter with respect to any Foreign Subsidiary Borrower, in each case in a manner not adverse to any Lender (subject to the consent of the Issuing Banks and/or the Swingline Lender to the extent any such changes relate to Letters of Credit or Swingline Loans, respectively).</w:t>
      </w:r>
    </w:p>
    <w:p>
      <w:pPr>
        <w:spacing w:after="0" w:line="188"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 (a) The Company shall pay (i) all reasonable and documented out-of-pocket expenses incurred by the Administrative Agent and its Affiliates (which shall be limited, in the case of legal fees and expenses, to the reasonable and documented fees, disbursements and other charges of a single firm as primary counsel, along with such specialist counsel as may reasonably be required by the Administrative Agent, and a single firm of local counsel in each applicable jurisdiction, for the Administrative Agent) in connection with the syndication and distribution (including, without limitation,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Banks in connection with the issuance, amendment, renewal or extension of any Letter of Credit or any demand for payment thereunder and (iii) all reasonable and documented out-of-pocket expenses incurred by the Administrative Agent, any Issuing Bank or any Lender (which shall be limited, in the case of legal fees and expenses, to the reasonable and documented fees, disbursements and other charges of a single firm as primary counsel, along with such specialist counsel as may reasonably be required by the Administrative Agent, and a single firm of local counsel in each applicable jurisdiction, for the Administrative Agent, and not more than a single firm of outside counsel, and a single firm of local counsel in each applicable jurisdiction, for all of the other Lenders and, in the event of an actual or reasonably perceived conflict of interest (as reasonably determined by the Administrative Agent or applicable Lender), one additional firm of counsel for each group of similarly affected persons) in connection with the enforcement or protection of its rights in connection with this Agreement and any other Loan Document, including its rights under this Section, or in connection with the Loans made or Letters of Credit issued hereunder, including all such out-of-pocket expenses (subject to the foregoing limitations with respect to legal fees and expenses) incurred during any workout, restructuring or negotiations in respect of such Loans or Letters of Credit.</w:t>
      </w:r>
    </w:p>
    <w:p>
      <w:pPr>
        <w:spacing w:after="0" w:line="175" w:lineRule="exact"/>
        <w:rPr>
          <w:sz w:val="20"/>
          <w:szCs w:val="20"/>
          <w:color w:val="auto"/>
        </w:rPr>
      </w:pPr>
    </w:p>
    <w:p>
      <w:pPr>
        <w:ind w:left="660" w:right="40" w:firstLine="645"/>
        <w:spacing w:after="0" w:line="287" w:lineRule="auto"/>
        <w:tabs>
          <w:tab w:leader="none" w:pos="196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 shall indemnify the Administrative Agent, each Issuing Bank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liabilities and reasonable and documented out-of-pocket expenses (including the reasonable and documented out-of-pocket fees, charges and disbursements of (x) a single firm as primary counsel, along with such specialist counsel as may reasonably be required by the Administrative Agent, and a single firm of local counsel in each applicable jurisdiction for the Administrative Agent and its Related Parties, and (y) not more than a single firm of outside counsel, and a single firm of local counsel in each applicable jurisdiction, for all of the other Indemnitees and, in the event of an actual or reasonably perceived conflict of interest (as reasonably determined by the applicable Indemnitee), one additional firm of counsel to each group of similarly affected Indemnitees),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89" w:lineRule="auto"/>
        <w:rPr>
          <w:sz w:val="20"/>
          <w:szCs w:val="20"/>
          <w:color w:val="auto"/>
        </w:rPr>
      </w:pPr>
      <w:r>
        <w:rPr>
          <w:rFonts w:ascii="Arial" w:cs="Arial" w:eastAsia="Arial" w:hAnsi="Arial"/>
          <w:sz w:val="16"/>
          <w:szCs w:val="16"/>
          <w:color w:val="auto"/>
        </w:rPr>
        <w:t xml:space="preserve">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or proceeding relating to any of the foregoing, whether or not such claim, litigation, investigation or proceeding is brought by the Company or any other Loan Party or its or their respective equity holders, Affiliates, creditors or any other third Person and whether based on contract, tort or any other theory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(i) the willful misconduct or gross negligence of such Indemnitee or any of its Controlled Related Parties, (ii) a breach in bad faith by such Indemnitee of its material obligations under the applicable Loan Documents pursuant</w:t>
      </w:r>
    </w:p>
    <w:p>
      <w:pPr>
        <w:sectPr>
          <w:pgSz w:w="11900" w:h="16932" w:orient="portrait"/>
          <w:cols w:equalWidth="0" w:num="1">
            <w:col w:w="11420"/>
          </w:cols>
          <w:pgMar w:left="240" w:top="125" w:right="239" w:bottom="0" w:gutter="0" w:footer="0" w:header="0"/>
        </w:sectPr>
      </w:pPr>
    </w:p>
    <w:bookmarkStart w:id="53" w:name="page54"/>
    <w:bookmarkEnd w:id="53"/>
    <w:p>
      <w:pPr>
        <w:spacing w:after="0" w:line="80" w:lineRule="exact"/>
        <w:rPr>
          <w:sz w:val="20"/>
          <w:szCs w:val="20"/>
          <w:color w:val="auto"/>
        </w:rPr>
      </w:pPr>
    </w:p>
    <w:p>
      <w:pPr>
        <w:ind w:left="660" w:right="20"/>
        <w:spacing w:after="0" w:line="286" w:lineRule="auto"/>
        <w:rPr>
          <w:sz w:val="20"/>
          <w:szCs w:val="20"/>
          <w:color w:val="auto"/>
        </w:rPr>
      </w:pPr>
      <w:r>
        <w:rPr>
          <w:rFonts w:ascii="Arial" w:cs="Arial" w:eastAsia="Arial" w:hAnsi="Arial"/>
          <w:sz w:val="16"/>
          <w:szCs w:val="16"/>
          <w:color w:val="auto"/>
        </w:rPr>
        <w:t>to a claim initiated by any Loan Party or (iii) any dispute solely among Indemnitees (not arising as a result of any act or omission by the Company or any of its Subsidiaries or Affiliates) other than claims against any Credit Party in its capacity as, or in fulfilling its role as, the Administrative Agent, an Issuing Bank, the Swingline Lender, a lead arranger, bookrunner, agent or any similar role under or in connection with this Agreement. As used in this Section 9.03, a “</w:t>
      </w:r>
      <w:r>
        <w:rPr>
          <w:rFonts w:ascii="Arial" w:cs="Arial" w:eastAsia="Arial" w:hAnsi="Arial"/>
          <w:sz w:val="16"/>
          <w:szCs w:val="16"/>
          <w:u w:val="single" w:color="auto"/>
          <w:color w:val="auto"/>
        </w:rPr>
        <w:t>Controlled Related Party</w:t>
      </w:r>
      <w:r>
        <w:rPr>
          <w:rFonts w:ascii="Arial" w:cs="Arial" w:eastAsia="Arial" w:hAnsi="Arial"/>
          <w:sz w:val="16"/>
          <w:szCs w:val="16"/>
          <w:color w:val="auto"/>
        </w:rPr>
        <w:t>” of an Indemnitee means (1) any Controlling Person or Controlled Affiliate of such Indemnitee,</w:t>
      </w:r>
    </w:p>
    <w:p>
      <w:pPr>
        <w:spacing w:after="0" w:line="2" w:lineRule="exact"/>
        <w:rPr>
          <w:sz w:val="20"/>
          <w:szCs w:val="20"/>
          <w:color w:val="auto"/>
        </w:rPr>
      </w:pPr>
    </w:p>
    <w:p>
      <w:pPr>
        <w:ind w:left="660" w:hanging="4"/>
        <w:spacing w:after="0" w:line="290" w:lineRule="auto"/>
        <w:tabs>
          <w:tab w:leader="none" w:pos="91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the respective directors, officers, or employees of such Indemnitee or any of its Controlling Persons or Controlled Affiliates and (3) the respective agents or representatives of such Indemnitee or any of its Controlling Persons or Controlled Affiliates, in the case of this clause (3), acting on behalf of or at the instructions of such Indemnitee, Controlling Person or such Controlled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reference to a Controlling Person, Controlled Affiliate, director, officer or employee in this sentence pertains to a Controlling Person, Controlled Affiliate, director, officer or employee involved in the structuring, arrangement, negotiation or syndication of the credit facility evidenced by this Agreement. This Section 9.03(b) shall not apply with respect to Taxes other than any Taxes that represent losses, claims or damages arising from any non-Tax claim.</w:t>
      </w:r>
    </w:p>
    <w:p>
      <w:pPr>
        <w:spacing w:after="0" w:line="164" w:lineRule="exact"/>
        <w:rPr>
          <w:rFonts w:ascii="Arial" w:cs="Arial" w:eastAsia="Arial" w:hAnsi="Arial"/>
          <w:sz w:val="16"/>
          <w:szCs w:val="16"/>
          <w:color w:val="auto"/>
        </w:rPr>
      </w:pPr>
    </w:p>
    <w:p>
      <w:pPr>
        <w:ind w:left="660" w:right="80" w:firstLine="645"/>
        <w:spacing w:after="0" w:line="255" w:lineRule="auto"/>
        <w:tabs>
          <w:tab w:leader="none" w:pos="196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To the extent that the Company fails to pay any amount required to be paid by it to the Administrative Agent, any Issuing Bank or the Swingline Lender under paragraph (a) or (b) of this Section, each Lender severally agrees to pay to the Administrative Agent, such Issuing Bank or the Swingline Lender, as the case may be, such Lender’s Applicable Percentage (determined as of the time that the applicable unreimbursed expense or indemnity payment is sought) of such unpaid amount (it being understood that the Company’s failure to pay any such amount shall not relieve the Company of any default in the payment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such Issuing Bank or the Swingline Lender in its capacity as such.</w:t>
      </w:r>
    </w:p>
    <w:p>
      <w:pPr>
        <w:spacing w:after="0" w:line="189" w:lineRule="exact"/>
        <w:rPr>
          <w:rFonts w:ascii="Arial" w:cs="Arial" w:eastAsia="Arial" w:hAnsi="Arial"/>
          <w:sz w:val="18"/>
          <w:szCs w:val="18"/>
          <w:color w:val="auto"/>
        </w:rPr>
      </w:pPr>
    </w:p>
    <w:p>
      <w:pPr>
        <w:ind w:left="660" w:right="20" w:firstLine="645"/>
        <w:spacing w:after="0" w:line="293" w:lineRule="auto"/>
        <w:tabs>
          <w:tab w:leader="none" w:pos="1964"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To the extent permitted by applicable law, and subject to the proviso set forth in Section 9.01(d)(ii), no Borrower shall assert, and each Borrower hereby waives, any claim against any Indemnitee for any damages arising from the use by others of information or other materials obtained through telecommunications, electronic or other information transmission systems (including the Internet) other than damages that are determined by a court of competent jurisdiction by final and nonappealable judgment to have resulted from the gross negligence or willful misconduct of such Indemnitee or any of its Controlled Related Parties. To the extent permitted by applicable law, no Indemnitee shall assert against any Loan Party or its Related Parties and no Loan Party shall assert against any Indemnitee, and each Indemnitee and Loan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 xml:space="preserve">Party hereby waives, any claim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nothing contained in this sentence shall limit the Company’s indemnity obligations to the extent set forth in Section 9.03(b).</w:t>
      </w:r>
    </w:p>
    <w:p>
      <w:pPr>
        <w:spacing w:after="0" w:line="171" w:lineRule="exact"/>
        <w:rPr>
          <w:sz w:val="20"/>
          <w:szCs w:val="20"/>
          <w:color w:val="auto"/>
        </w:rPr>
      </w:pPr>
    </w:p>
    <w:p>
      <w:pPr>
        <w:ind w:left="1960" w:hanging="655"/>
        <w:spacing w:after="0"/>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not later than fifteen (15) days after written demand therefor.</w:t>
      </w:r>
    </w:p>
    <w:p>
      <w:pPr>
        <w:spacing w:after="0" w:line="225" w:lineRule="exact"/>
        <w:rPr>
          <w:sz w:val="20"/>
          <w:szCs w:val="20"/>
          <w:color w:val="auto"/>
        </w:rPr>
      </w:pPr>
    </w:p>
    <w:p>
      <w:pPr>
        <w:ind w:right="100" w:firstLine="1297"/>
        <w:spacing w:after="0" w:line="291"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(including any Affiliate of any Issuing Bank that issues any Letter of Credit), except that</w:t>
      </w:r>
    </w:p>
    <w:p>
      <w:pPr>
        <w:ind w:right="100" w:firstLine="8"/>
        <w:spacing w:after="0" w:line="290" w:lineRule="auto"/>
        <w:tabs>
          <w:tab w:leader="none" w:pos="21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164" w:lineRule="exact"/>
        <w:rPr>
          <w:rFonts w:ascii="Arial" w:cs="Arial" w:eastAsia="Arial" w:hAnsi="Arial"/>
          <w:sz w:val="16"/>
          <w:szCs w:val="16"/>
          <w:color w:val="auto"/>
        </w:rPr>
      </w:pPr>
    </w:p>
    <w:p>
      <w:pPr>
        <w:ind w:left="660" w:right="140" w:firstLine="645"/>
        <w:spacing w:after="0" w:line="286" w:lineRule="auto"/>
        <w:tabs>
          <w:tab w:leader="none" w:pos="1964" w:val="left"/>
        </w:tabs>
        <w:numPr>
          <w:ilvl w:val="1"/>
          <w:numId w:val="122"/>
        </w:numPr>
        <w:rPr>
          <w:rFonts w:ascii="Arial" w:cs="Arial" w:eastAsia="Arial" w:hAnsi="Arial"/>
          <w:sz w:val="17"/>
          <w:szCs w:val="17"/>
          <w:color w:val="auto"/>
        </w:rPr>
      </w:pPr>
      <w:r>
        <w:rPr>
          <w:rFonts w:ascii="Arial" w:cs="Arial" w:eastAsia="Arial" w:hAnsi="Arial"/>
          <w:sz w:val="17"/>
          <w:szCs w:val="17"/>
          <w:color w:val="auto"/>
        </w:rPr>
        <w:t>(i) Subject to the conditions set forth in paragraph (b)(ii)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165" w:lineRule="exact"/>
        <w:rPr>
          <w:rFonts w:ascii="Arial" w:cs="Arial" w:eastAsia="Arial" w:hAnsi="Arial"/>
          <w:sz w:val="17"/>
          <w:szCs w:val="17"/>
          <w:color w:val="auto"/>
        </w:rPr>
      </w:pPr>
    </w:p>
    <w:p>
      <w:pPr>
        <w:ind w:left="1960" w:right="60" w:firstLine="641"/>
        <w:spacing w:after="0" w:line="257" w:lineRule="auto"/>
        <w:tabs>
          <w:tab w:leader="none" w:pos="3277" w:val="left"/>
        </w:tabs>
        <w:numPr>
          <w:ilvl w:val="3"/>
          <w:numId w:val="122"/>
        </w:numPr>
        <w:rPr>
          <w:rFonts w:ascii="Arial" w:cs="Arial" w:eastAsia="Arial" w:hAnsi="Arial"/>
          <w:sz w:val="18"/>
          <w:szCs w:val="18"/>
          <w:color w:val="auto"/>
        </w:rPr>
      </w:pPr>
      <w:r>
        <w:rPr>
          <w:rFonts w:ascii="Arial" w:cs="Arial" w:eastAsia="Arial" w:hAnsi="Arial"/>
          <w:sz w:val="18"/>
          <w:szCs w:val="18"/>
          <w:color w:val="auto"/>
        </w:rPr>
        <w:t xml:space="preserve">the Company (provided that the Company shall be deemed to have consented to any such assignment unless it shall object thereto by written notice to the Administrative Agent within ten (10) Business Days after having received written notice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consent of the Company shall be required for an assignment to a Lender, an Affiliate of a Lender, an Approved Fund or, if an Event of Default under clause (a), (b), (h), (i) or (j)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has occurred and is continuing, any other assignee;</w:t>
      </w:r>
    </w:p>
    <w:p>
      <w:pPr>
        <w:spacing w:after="0" w:line="188" w:lineRule="exact"/>
        <w:rPr>
          <w:rFonts w:ascii="Arial" w:cs="Arial" w:eastAsia="Arial" w:hAnsi="Arial"/>
          <w:sz w:val="18"/>
          <w:szCs w:val="18"/>
          <w:color w:val="auto"/>
        </w:rPr>
      </w:pPr>
    </w:p>
    <w:p>
      <w:pPr>
        <w:ind w:left="3260" w:hanging="659"/>
        <w:spacing w:after="0"/>
        <w:tabs>
          <w:tab w:leader="none" w:pos="3260" w:val="left"/>
        </w:tabs>
        <w:numPr>
          <w:ilvl w:val="3"/>
          <w:numId w:val="122"/>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3"/>
          <w:numId w:val="122"/>
        </w:numPr>
        <w:rPr>
          <w:rFonts w:ascii="Arial" w:cs="Arial" w:eastAsia="Arial" w:hAnsi="Arial"/>
          <w:sz w:val="18"/>
          <w:szCs w:val="18"/>
          <w:color w:val="auto"/>
        </w:rPr>
      </w:pPr>
      <w:r>
        <w:rPr>
          <w:rFonts w:ascii="Arial" w:cs="Arial" w:eastAsia="Arial" w:hAnsi="Arial"/>
          <w:sz w:val="18"/>
          <w:szCs w:val="18"/>
          <w:color w:val="auto"/>
        </w:rPr>
        <w:t>each Issuing Bank; and</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3"/>
          <w:numId w:val="122"/>
        </w:numPr>
        <w:rPr>
          <w:rFonts w:ascii="Arial" w:cs="Arial" w:eastAsia="Arial" w:hAnsi="Arial"/>
          <w:sz w:val="18"/>
          <w:szCs w:val="18"/>
          <w:color w:val="auto"/>
        </w:rPr>
      </w:pPr>
      <w:r>
        <w:rPr>
          <w:rFonts w:ascii="Arial" w:cs="Arial" w:eastAsia="Arial" w:hAnsi="Arial"/>
          <w:sz w:val="18"/>
          <w:szCs w:val="18"/>
          <w:color w:val="auto"/>
        </w:rPr>
        <w:t>the Swingline Lender.</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rFonts w:ascii="Arial" w:cs="Arial" w:eastAsia="Arial" w:hAnsi="Arial"/>
          <w:sz w:val="18"/>
          <w:szCs w:val="18"/>
          <w:color w:val="auto"/>
        </w:rPr>
      </w:pPr>
    </w:p>
    <w:p>
      <w:pPr>
        <w:ind w:left="1960" w:right="360" w:firstLine="641"/>
        <w:spacing w:after="0" w:line="259" w:lineRule="auto"/>
        <w:tabs>
          <w:tab w:leader="none" w:pos="3277" w:val="left"/>
        </w:tabs>
        <w:numPr>
          <w:ilvl w:val="3"/>
          <w:numId w:val="122"/>
        </w:numPr>
        <w:rPr>
          <w:rFonts w:ascii="Arial" w:cs="Arial" w:eastAsia="Arial" w:hAnsi="Arial"/>
          <w:sz w:val="18"/>
          <w:szCs w:val="18"/>
          <w:color w:val="auto"/>
        </w:rPr>
      </w:pPr>
      <w:r>
        <w:rPr>
          <w:rFonts w:ascii="Arial" w:cs="Arial" w:eastAsia="Arial" w:hAnsi="Arial"/>
          <w:sz w:val="18"/>
          <w:szCs w:val="18"/>
          <w:color w:val="auto"/>
        </w:rPr>
        <w:t>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260"/>
        <w:spacing w:after="0" w:line="264" w:lineRule="auto"/>
        <w:rPr>
          <w:sz w:val="20"/>
          <w:szCs w:val="20"/>
          <w:color w:val="auto"/>
        </w:rPr>
      </w:pPr>
      <w:r>
        <w:rPr>
          <w:rFonts w:ascii="Arial" w:cs="Arial" w:eastAsia="Arial" w:hAnsi="Arial"/>
          <w:sz w:val="18"/>
          <w:szCs w:val="18"/>
          <w:color w:val="auto"/>
        </w:rPr>
        <w:t xml:space="preserve">assignment is delivered to the Administrative Agent) shall not be less than $5,000,000 unless each of the Company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the Company shall be required if an Event of Default under clause (a), (b), (h), (i) or (j)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has occurred and is continuing;</w:t>
      </w:r>
    </w:p>
    <w:p>
      <w:pPr>
        <w:sectPr>
          <w:pgSz w:w="11900" w:h="16918" w:orient="portrait"/>
          <w:cols w:equalWidth="0" w:num="1">
            <w:col w:w="11420"/>
          </w:cols>
          <w:pgMar w:left="240" w:top="125" w:right="239" w:bottom="0" w:gutter="0" w:footer="0" w:header="0"/>
        </w:sectPr>
      </w:pPr>
    </w:p>
    <w:bookmarkStart w:id="54" w:name="page55"/>
    <w:bookmarkEnd w:id="54"/>
    <w:p>
      <w:pPr>
        <w:ind w:left="1960" w:right="400" w:firstLine="641"/>
        <w:spacing w:after="0" w:line="312" w:lineRule="auto"/>
        <w:tabs>
          <w:tab w:leader="none" w:pos="326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w:t>
      </w:r>
    </w:p>
    <w:p>
      <w:pPr>
        <w:spacing w:after="0" w:line="146" w:lineRule="exact"/>
        <w:rPr>
          <w:rFonts w:ascii="Arial" w:cs="Arial" w:eastAsia="Arial" w:hAnsi="Arial"/>
          <w:sz w:val="16"/>
          <w:szCs w:val="16"/>
          <w:color w:val="auto"/>
        </w:rPr>
      </w:pPr>
    </w:p>
    <w:p>
      <w:pPr>
        <w:ind w:left="1960" w:right="80" w:firstLine="641"/>
        <w:spacing w:after="0" w:line="257" w:lineRule="auto"/>
        <w:tabs>
          <w:tab w:leader="none" w:pos="326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a processing and recordation fee of $3,500, such fee to be paid by either the assigning Lender or the assignee Lender or shared between such Lenders;</w:t>
      </w:r>
    </w:p>
    <w:p>
      <w:pPr>
        <w:spacing w:after="0" w:line="188" w:lineRule="exact"/>
        <w:rPr>
          <w:rFonts w:ascii="Arial" w:cs="Arial" w:eastAsia="Arial" w:hAnsi="Arial"/>
          <w:sz w:val="18"/>
          <w:szCs w:val="18"/>
          <w:color w:val="auto"/>
        </w:rPr>
      </w:pPr>
    </w:p>
    <w:p>
      <w:pPr>
        <w:ind w:left="1960" w:right="40" w:firstLine="641"/>
        <w:spacing w:after="0" w:line="257" w:lineRule="auto"/>
        <w:tabs>
          <w:tab w:leader="none" w:pos="327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and its Affiliates and their Related Parties or their respective securities) will be made available and who may receive such information in accordance with the assignee’s compliance procedures and applicable laws, including Federal and state securities laws; and</w:t>
      </w:r>
    </w:p>
    <w:p>
      <w:pPr>
        <w:spacing w:after="0" w:line="188" w:lineRule="exact"/>
        <w:rPr>
          <w:rFonts w:ascii="Arial" w:cs="Arial" w:eastAsia="Arial" w:hAnsi="Arial"/>
          <w:sz w:val="18"/>
          <w:szCs w:val="18"/>
          <w:color w:val="auto"/>
        </w:rPr>
      </w:pPr>
    </w:p>
    <w:p>
      <w:pPr>
        <w:ind w:left="1960" w:right="640" w:firstLine="641"/>
        <w:spacing w:after="0" w:line="342" w:lineRule="auto"/>
        <w:tabs>
          <w:tab w:leader="none" w:pos="327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assignment to any Person of Commitments or Loans with respect to a Dutch Borrower shall only be permitted if the person to whom the Commitments or Loans are assigned is a Dutch Non-Public Lender at all times.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the purposes of this Section 9.04(b), the terms “Approved Fund” and “Ineligible Institution” have the following meanings:</w:t>
      </w:r>
    </w:p>
    <w:p>
      <w:pPr>
        <w:spacing w:after="0" w:line="225"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1"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Institution</w:t>
      </w:r>
      <w:r>
        <w:rPr>
          <w:rFonts w:ascii="Arial" w:cs="Arial" w:eastAsia="Arial" w:hAnsi="Arial"/>
          <w:sz w:val="16"/>
          <w:szCs w:val="16"/>
          <w:color w:val="auto"/>
        </w:rPr>
        <w:t>” means (a) a natural person, (b) a Defaulting Lender or its Lender Parent, (c) the Company, any of its Subsidiaries or any of its Affiliates, or (d) a company, investment vehicle or trust for, or owned and operated for the primary benefit of, a natural person or relative(s) thereof.</w:t>
      </w:r>
    </w:p>
    <w:p>
      <w:pPr>
        <w:spacing w:after="0" w:line="124" w:lineRule="exact"/>
        <w:rPr>
          <w:sz w:val="20"/>
          <w:szCs w:val="20"/>
          <w:color w:val="auto"/>
        </w:rPr>
      </w:pPr>
    </w:p>
    <w:p>
      <w:pPr>
        <w:ind w:left="1300" w:firstLine="653"/>
        <w:spacing w:after="0" w:line="259" w:lineRule="auto"/>
        <w:tabs>
          <w:tab w:leader="none" w:pos="263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(including, without limitation, the obligation to timely deliver the documentation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40"/>
        <w:spacing w:after="0" w:line="293" w:lineRule="auto"/>
        <w:rPr>
          <w:sz w:val="20"/>
          <w:szCs w:val="20"/>
          <w:color w:val="auto"/>
        </w:rPr>
      </w:pPr>
      <w:r>
        <w:rPr>
          <w:rFonts w:ascii="Arial" w:cs="Arial" w:eastAsia="Arial" w:hAnsi="Arial"/>
          <w:sz w:val="16"/>
          <w:szCs w:val="16"/>
          <w:color w:val="auto"/>
        </w:rPr>
        <w:t>described in Section 2.17(f))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65" w:lineRule="exact"/>
        <w:rPr>
          <w:sz w:val="20"/>
          <w:szCs w:val="20"/>
          <w:color w:val="auto"/>
        </w:rPr>
      </w:pPr>
    </w:p>
    <w:p>
      <w:pPr>
        <w:ind w:left="1300" w:right="60" w:firstLine="653"/>
        <w:spacing w:after="0" w:line="254" w:lineRule="auto"/>
        <w:tabs>
          <w:tab w:leader="none" w:pos="261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 non-fiduciary agent of each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Company, any Issuing Bank and any Lender, at any reasonable time and from time to time upon reasonable prior notice.</w:t>
      </w:r>
    </w:p>
    <w:p>
      <w:pPr>
        <w:spacing w:after="0" w:line="192" w:lineRule="exact"/>
        <w:rPr>
          <w:rFonts w:ascii="Arial" w:cs="Arial" w:eastAsia="Arial" w:hAnsi="Arial"/>
          <w:sz w:val="18"/>
          <w:szCs w:val="18"/>
          <w:color w:val="auto"/>
        </w:rPr>
      </w:pPr>
    </w:p>
    <w:p>
      <w:pPr>
        <w:ind w:left="2600" w:hanging="647"/>
        <w:spacing w:after="0"/>
        <w:tabs>
          <w:tab w:leader="none" w:pos="26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Upon its receipt of (x) a duly completed Assignment and Assumption executed by an assigning Lender and an assignee or</w:t>
      </w:r>
    </w:p>
    <w:p>
      <w:pPr>
        <w:spacing w:after="0" w:line="46" w:lineRule="exact"/>
        <w:rPr>
          <w:rFonts w:ascii="Arial" w:cs="Arial" w:eastAsia="Arial" w:hAnsi="Arial"/>
          <w:sz w:val="16"/>
          <w:szCs w:val="16"/>
          <w:color w:val="auto"/>
        </w:rPr>
      </w:pPr>
    </w:p>
    <w:p>
      <w:pPr>
        <w:ind w:left="1300" w:right="40" w:firstLine="5"/>
        <w:spacing w:after="0" w:line="287" w:lineRule="auto"/>
        <w:tabs>
          <w:tab w:leader="none" w:pos="155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to the extent applicable, an agreement incorporating an Assignment and Assumption by reference pursuant to a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the assigning Lender or the assignee shall have failed to make any payment required to be made by it pursuant to Section 2.05(c), 2.06(d) or (e), 2.07(b), 2.18(e)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66" w:lineRule="exact"/>
        <w:rPr>
          <w:sz w:val="20"/>
          <w:szCs w:val="20"/>
          <w:color w:val="auto"/>
        </w:rPr>
      </w:pPr>
    </w:p>
    <w:p>
      <w:pPr>
        <w:ind w:left="660" w:right="80" w:firstLine="645"/>
        <w:spacing w:after="0" w:line="272" w:lineRule="auto"/>
        <w:tabs>
          <w:tab w:leader="none" w:pos="1967"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Any Lender may, without the consent of any Borrower, the Administrative Agent, the Issuing Banks or the Swingline Lender, sell participations to one or more banks or other entities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other than an Ineligible Institution, in all or a portion of such Lender’s rights and obligations under this Agreement (including all or a portion of its Commitment and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00" w:gutter="0" w:footer="0" w:header="0"/>
        </w:sectPr>
      </w:pPr>
    </w:p>
    <w:bookmarkStart w:id="55" w:name="page56"/>
    <w:bookmarkEnd w:id="55"/>
    <w:p>
      <w:pPr>
        <w:ind w:left="660" w:right="40"/>
        <w:spacing w:after="0" w:line="284" w:lineRule="auto"/>
        <w:rPr>
          <w:sz w:val="20"/>
          <w:szCs w:val="20"/>
          <w:color w:val="auto"/>
        </w:rPr>
      </w:pPr>
      <w:r>
        <w:rPr>
          <w:rFonts w:ascii="Arial" w:cs="Arial" w:eastAsia="Arial" w:hAnsi="Arial"/>
          <w:sz w:val="16"/>
          <w:szCs w:val="16"/>
          <w:color w:val="auto"/>
        </w:rPr>
        <w:t>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Each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provided that such Participant (A) agrees to be subject to the provisions of Sections 2.18 and 2.19 as if it were an assignee under paragraph (b) of this Section; and</w:t>
      </w:r>
    </w:p>
    <w:p>
      <w:pPr>
        <w:spacing w:after="0" w:line="3" w:lineRule="exact"/>
        <w:rPr>
          <w:sz w:val="20"/>
          <w:szCs w:val="20"/>
          <w:color w:val="auto"/>
        </w:rPr>
      </w:pPr>
    </w:p>
    <w:p>
      <w:pPr>
        <w:ind w:left="660" w:hanging="4"/>
        <w:spacing w:after="0" w:line="267" w:lineRule="auto"/>
        <w:tabs>
          <w:tab w:leader="none" w:pos="94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shall not be entitled to receive any greater payment under Sections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Section 9.08 as though it were a Lender, provided such Participant agrees to be subject to Section 2.18(d)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2" w:lineRule="exact"/>
        <w:rPr>
          <w:rFonts w:ascii="Arial" w:cs="Arial" w:eastAsia="Arial" w:hAnsi="Arial"/>
          <w:sz w:val="17"/>
          <w:szCs w:val="17"/>
          <w:color w:val="auto"/>
        </w:rPr>
      </w:pPr>
    </w:p>
    <w:p>
      <w:pPr>
        <w:ind w:left="660" w:right="60" w:firstLine="645"/>
        <w:spacing w:after="0" w:line="257" w:lineRule="auto"/>
        <w:tabs>
          <w:tab w:leader="none" w:pos="196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other central banking authority having jurisdiction over such Lender,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8"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Survival</w:t>
      </w:r>
      <w:r>
        <w:rPr>
          <w:rFonts w:ascii="Arial" w:cs="Arial" w:eastAsia="Arial" w:hAnsi="Arial"/>
          <w:sz w:val="17"/>
          <w:szCs w:val="17"/>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(unless such Letter of Credit has been cash collateralized or backstopped pursuant to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arrangements reasonably satisfactory to the Administrative Agent)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87"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Counterparts; Integration; Effectiveness; Electronic Execution</w:t>
      </w:r>
      <w:r>
        <w:rPr>
          <w:rFonts w:ascii="Arial" w:cs="Arial" w:eastAsia="Arial" w:hAnsi="Arial"/>
          <w:sz w:val="16"/>
          <w:szCs w:val="16"/>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2"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7" w:lineRule="exact"/>
        <w:rPr>
          <w:sz w:val="20"/>
          <w:szCs w:val="20"/>
          <w:color w:val="auto"/>
        </w:rPr>
      </w:pPr>
    </w:p>
    <w:p>
      <w:pPr>
        <w:ind w:right="40" w:firstLine="1297"/>
        <w:spacing w:after="0" w:line="254"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Right of Setoff</w:t>
      </w:r>
      <w:r>
        <w:rPr>
          <w:rFonts w:ascii="Arial" w:cs="Arial" w:eastAsia="Arial" w:hAnsi="Arial"/>
          <w:sz w:val="18"/>
          <w:szCs w:val="18"/>
          <w:color w:val="auto"/>
        </w:rPr>
        <w:t>. Subject to Section 2.23(b) and any limitations expressly agreed to by any Lender or its Affiliate, as applicable, pursuant to any Bank Services Agreement or Swap Agreement to which such Lender or Affiliate is a party,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any Loan Party against any of and all of the Obligations owed by such Loan Party held by such Lender, irrespective of whether or not such Lender shall have made any demand under the Loan Documents and although such obligations may be unmatured. The rights of each Lender under this Section are in addition to other rights and remedies (including other rights of setoff) which such Lender may have.</w:t>
      </w:r>
    </w:p>
    <w:p>
      <w:pPr>
        <w:sectPr>
          <w:pgSz w:w="11900" w:h="16838" w:orient="portrait"/>
          <w:cols w:equalWidth="0" w:num="1">
            <w:col w:w="11400"/>
          </w:cols>
          <w:pgMar w:left="240" w:top="341" w:right="259" w:bottom="0" w:gutter="0" w:footer="0" w:header="0"/>
        </w:sectPr>
      </w:pPr>
    </w:p>
    <w:bookmarkStart w:id="56" w:name="page57"/>
    <w:bookmarkEnd w:id="56"/>
    <w:p>
      <w:pPr>
        <w:spacing w:after="0" w:line="92"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 (a) THIS AGREEMENT AND THE RIGHTS AND OBLIGATIONS OF THE PARTIES HEREUNDER SHALL BE CONSTRUED AND ENFORCED IN ACCORDANCE WITH AND GOVERNED BY THE LAWS OF THE STATE OF NEW YORK.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289" w:lineRule="auto"/>
        <w:tabs>
          <w:tab w:leader="none" w:pos="196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Each party hereto hereby irrevocably and unconditionally submits, for itself and its property, to the exclusive jurisdiction of the Supreme Court of the State of New York sitting in the Borough of Manhattan, and of the United States District Court for the Southern District of New York sitting in the Borough of Manhattan,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or any other Loan Document against any Loan Party or its properties in the courts of any jurisdiction.</w:t>
      </w:r>
    </w:p>
    <w:p>
      <w:pPr>
        <w:spacing w:after="0" w:line="166" w:lineRule="exact"/>
        <w:rPr>
          <w:rFonts w:ascii="Arial" w:cs="Arial" w:eastAsia="Arial" w:hAnsi="Arial"/>
          <w:sz w:val="16"/>
          <w:szCs w:val="16"/>
          <w:color w:val="auto"/>
        </w:rPr>
      </w:pPr>
    </w:p>
    <w:p>
      <w:pPr>
        <w:ind w:left="660" w:right="160" w:firstLine="645"/>
        <w:spacing w:after="0" w:line="302" w:lineRule="auto"/>
        <w:tabs>
          <w:tab w:leader="none" w:pos="196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54" w:lineRule="exact"/>
        <w:rPr>
          <w:rFonts w:ascii="Arial" w:cs="Arial" w:eastAsia="Arial" w:hAnsi="Arial"/>
          <w:sz w:val="16"/>
          <w:szCs w:val="16"/>
          <w:color w:val="auto"/>
        </w:rPr>
      </w:pPr>
    </w:p>
    <w:p>
      <w:pPr>
        <w:ind w:left="660" w:firstLine="645"/>
        <w:spacing w:after="0" w:line="285" w:lineRule="auto"/>
        <w:tabs>
          <w:tab w:leader="none" w:pos="196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Each party to this Agreement irrevocably consents to service of process in the manner provided for notices in Section 9.01. Each Subsidiary Borrower irrevocably designates and appoints the Company, as its authorized agent, to accept and acknowledge on its behalf, service of any and all process which may be served in any suit, action or proceeding of the nature referred to in Section 9.09(b) in any federal or New York State court sitting in New York City. The Company hereby represents, warrants and confirms that the Company has agreed to accept such appointment (and any similar appointment by a Subsidiary Guarantor). Said designation and appointment shall be irrevocable by each such Subsidiary Borrower until all Loans, all reimbursement obligations, interest thereon and all other amounts payable by such Subsidiary Borrower hereunder and under the other Loan Documents shall have been paid in full in accordance with the provisions hereof and thereof and such Subsidiary Borrower shall have been terminated as a Borrower hereunder pursuant to Section 2.23. Each Subsidiary Borrower hereby consents to process being served in any suit, action or proceeding of the nature referred to in Section 9.09(b) in any federal or New York State court sitting in New York City by service of process upon the Company as provided in this Section 9.09(d);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lawful and possible, notice of said service upon such agent shall be mailed by registered or certified air mail, postage prepaid, return receipt requested, to the Company and (if applicable to) such Subsidiary Borrower at its address set forth in the Borrowing Subsidiary Agreement to which it is a party or to any other address of which such Subsidiary Borrower shall have given written notice to the Administrative Agent (with a copy thereof to the Company). Each Subsidiary Borrower irrevocably waives, to the fullest extent permitted by law, all claim of error by reason of any such service in such manner and agrees that such service shall be deemed in every respect effective service of process upon such Subsidiary Borrower in any such suit, action or proceeding and shall, to the fullest extent permitted by law, be taken and held to be valid and personal service upon and personal delivery to such Subsidiary Borrower. To the extent any Subsidiary Borrower has or hereafter may acquire any immunity from jurisdiction of any court or from any legal process (whether from service or notice, attachment prior to judgment, attachment in aid of execution of a judgment, execution or otherwise), each Subsidiary Borrower hereby irrevocably waives such immunity in respect of its obligations under the Loan Documents. Nothing in this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Agreement or any other Loan Document will affect the right of any party to this Agreement to serve process in any other manner permitted by law.</w:t>
      </w:r>
    </w:p>
    <w:p>
      <w:pPr>
        <w:spacing w:after="0" w:line="244" w:lineRule="exact"/>
        <w:rPr>
          <w:sz w:val="20"/>
          <w:szCs w:val="20"/>
          <w:color w:val="auto"/>
        </w:rPr>
      </w:pPr>
    </w:p>
    <w:p>
      <w:pPr>
        <w:ind w:right="180" w:firstLine="1297"/>
        <w:spacing w:after="0" w:line="255" w:lineRule="auto"/>
        <w:rPr>
          <w:sz w:val="20"/>
          <w:szCs w:val="20"/>
          <w:color w:val="auto"/>
        </w:rPr>
      </w:pPr>
      <w:r>
        <w:rPr>
          <w:rFonts w:ascii="Arial" w:cs="Arial" w:eastAsia="Arial" w:hAnsi="Arial"/>
          <w:sz w:val="18"/>
          <w:szCs w:val="18"/>
          <w:b w:val="1"/>
          <w:bCs w:val="1"/>
          <w:color w:val="auto"/>
        </w:rPr>
        <w:t xml:space="preserve">SECTION 9.10.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w:t>
      </w:r>
      <w:r>
        <w:rPr>
          <w:rFonts w:ascii="Arial" w:cs="Arial" w:eastAsia="Arial" w:hAnsi="Arial"/>
          <w:sz w:val="18"/>
          <w:szCs w:val="18"/>
          <w:b w:val="1"/>
          <w:bCs w:val="1"/>
          <w:color w:val="auto"/>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r>
        <w:rPr>
          <w:rFonts w:ascii="Arial" w:cs="Arial" w:eastAsia="Arial" w:hAnsi="Arial"/>
          <w:sz w:val="18"/>
          <w:szCs w:val="18"/>
          <w:color w:val="auto"/>
        </w:rPr>
        <w:t>.</w:t>
      </w:r>
    </w:p>
    <w:p>
      <w:pPr>
        <w:spacing w:after="0" w:line="189" w:lineRule="exact"/>
        <w:rPr>
          <w:sz w:val="20"/>
          <w:szCs w:val="20"/>
          <w:color w:val="auto"/>
        </w:rPr>
      </w:pPr>
    </w:p>
    <w:p>
      <w:pPr>
        <w:ind w:right="200" w:firstLine="1297"/>
        <w:spacing w:after="0" w:line="308"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7" w:lineRule="exact"/>
        <w:rPr>
          <w:sz w:val="20"/>
          <w:szCs w:val="20"/>
          <w:color w:val="auto"/>
        </w:rPr>
      </w:pPr>
    </w:p>
    <w:p>
      <w:pPr>
        <w:ind w:right="40" w:firstLine="1297"/>
        <w:spacing w:after="0" w:line="286"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provided that the disclosing Administrative Agent, Issuing Bank or Lender, as applicable, shall be responsible for compliance by such Persons with the provisions of this Section 9.12, (b) to the extent requested by any regulatory authority purporting to have jurisdiction over it or its Affiliates (including any self-regulatory authority, such as the National Association of Insurance Commissioners), (c) to the extent required by applicable laws or regulations or by any subpoena or similar legal process (provided that the Administrative Agent or such Lender, as applicable, agrees that it will, to the extent practicable and other than with respect to any audit or examination conducted by bank accountants or any governmental bank regulatory authority exercising examination or regulatory authority, notify the Borrowers promptly thereof, unless such notification is prohibited by law, rule or regulation),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(1) any assignee of or Participant in, or any prospective assignee of or Participant in, any of its rights or obligations under this Agreement or (2) any actual or prospective party (or its managers, administrators, trustees, partners, directors, officers, employees, agents, advisors and other representatives) to any swap or derivative or similar transaction to which the Administrative Agent, any Issuing Bank or any Lender is a party and under which payments are to be made by</w:t>
      </w:r>
    </w:p>
    <w:p>
      <w:pPr>
        <w:sectPr>
          <w:pgSz w:w="11900" w:h="16931" w:orient="portrait"/>
          <w:cols w:equalWidth="0" w:num="1">
            <w:col w:w="11400"/>
          </w:cols>
          <w:pgMar w:left="240" w:top="125" w:right="259" w:bottom="0" w:gutter="0" w:footer="0" w:header="0"/>
        </w:sectPr>
      </w:pPr>
    </w:p>
    <w:bookmarkStart w:id="57" w:name="page58"/>
    <w:bookmarkEnd w:id="57"/>
    <w:p>
      <w:pPr>
        <w:spacing w:after="0" w:line="9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reference to a Borrower and its obligations, this Agreement or payments hereunder, (g) on a confidential basis to the CUSIP Service Bureau or any similar agency in connection with the issuance and monitoring of CUSIP numbers with respect to the credit facilities provided for herein, (h) with the prior written consent of the Company or (i) to the extent such Information (1) becomes publicly available other than as a result of a breach of this Section or (2) becomes available to the Administrative Agent, any Issuing Bank or any Lender on a nonconfidential basis from a source other than any Loan Party or any of their respective Related Parties. For the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means all information received from or on behalf of any Loan Party or any of their respective Related Parties relating to any Loan Party or Subsidiary or its business or securities,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other than any such information that is available to the Administrative Agent, any Issuing Bank or any Lender on a nonconfidential basis prior to disclosure by or on behalf of any Loan Party and other than information pertaining to this Agreement of the type that is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9"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b w:val="1"/>
          <w:bCs w:val="1"/>
          <w:color w:val="auto"/>
        </w:rPr>
        <w:t>EACH OF THE ADMINISTRATIVE AGENT, EACH ISSUING BANK AND EACH LENDER ACKNOWLEDGES THAT INFORMATION AS DEFINED IN THE IMMEDIATELY PRECEDING PARAGRAPH FURNISHED TO IT PURSUANT TO THIS AGREEMENT MAY INCLUDE MATERIAL NON-PUBLIC INFORMATION CONCERNING THE COMPANY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b w:val="1"/>
          <w:bCs w:val="1"/>
          <w:color w:val="auto"/>
        </w:rPr>
        <w:t>ALL INFORMATION, INCLUDING REQUESTS FOR WAIVERS AND AMENDMENTS, FURNISHED BY THE COMPANY OR THE ADMINISTRATIVE AGENT PURSUANT TO, OR IN THE COURSE OF ADMINISTERING, THIS AGREEMENT WILL BE SYNDICATE-LEVEL INFORMATION, WHICH MAY CONTAIN MATERIAL NON-PUBLIC INFORMATION ABOUT THE COMPANY, THE OTHER LOAN PARTIES AND THEIR RELATED PARTIES OR THEIR RESPECTIVE SECURITIES. ACCORDINGLY, EACH LENDER REPRESENTS TO THE COMPANY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89"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Patriot Act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Releases of Subsidiary Guarantors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88" w:lineRule="auto"/>
        <w:tabs>
          <w:tab w:leader="none" w:pos="195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A Subsidiary Guarantor shall automatically be released from its obligations under the Subsidiary Guaranty upon the consummation of any transaction permitted by this Agreement as a result of which such Subsidiary Guarantor ceases to be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so required by this Agreement, the Required Lenders shall have consented to such transaction and the terms of such consent shall not have provided otherwise.</w:t>
      </w:r>
    </w:p>
    <w:p>
      <w:pPr>
        <w:ind w:left="660" w:right="60"/>
        <w:spacing w:after="0" w:line="253" w:lineRule="auto"/>
        <w:rPr>
          <w:rFonts w:ascii="Arial" w:cs="Arial" w:eastAsia="Arial" w:hAnsi="Arial"/>
          <w:sz w:val="16"/>
          <w:szCs w:val="16"/>
          <w:color w:val="auto"/>
        </w:rPr>
      </w:pPr>
      <w:r>
        <w:rPr>
          <w:rFonts w:ascii="Arial" w:cs="Arial" w:eastAsia="Arial" w:hAnsi="Arial"/>
          <w:sz w:val="18"/>
          <w:szCs w:val="18"/>
          <w:color w:val="auto"/>
        </w:rPr>
        <w:t>In connection with any termination or release pursuant to this Section (including pursuant to clause (b) or (c) below),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except with respect to any customary further assurances that are expressly agreed to in writing by the Administrative Agent.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79" w:lineRule="auto"/>
        <w:tabs>
          <w:tab w:leader="none" w:pos="1964" w:val="left"/>
        </w:tabs>
        <w:numPr>
          <w:ilvl w:val="0"/>
          <w:numId w:val="131"/>
        </w:numPr>
        <w:rPr>
          <w:rFonts w:ascii="Arial" w:cs="Arial" w:eastAsia="Arial" w:hAnsi="Arial"/>
          <w:sz w:val="17"/>
          <w:szCs w:val="17"/>
          <w:color w:val="auto"/>
        </w:rPr>
      </w:pPr>
      <w:r>
        <w:rPr>
          <w:rFonts w:ascii="Arial" w:cs="Arial" w:eastAsia="Arial" w:hAnsi="Arial"/>
          <w:sz w:val="17"/>
          <w:szCs w:val="17"/>
          <w:color w:val="auto"/>
        </w:rPr>
        <w:t>Further, the Administrative Agent may (and is hereby irrevocably authorized by each Lender to), upon the request of the Company, release any Subsidiary Guarantor from its obligations under the Subsidiary Guaranty if (i) such Subsidiary Guarantor is no longer a Material Domestic Subsidiary, becomes an Excluded Subsidiary or is otherwise not required pursuant to this terms of this Agreement to provide a Subsidiary Guaranty or (ii) such release is approved, authorized or ratified by the requisite Lenders pursuant to Section 9.02.</w:t>
      </w:r>
    </w:p>
    <w:p>
      <w:pPr>
        <w:spacing w:after="0" w:line="171" w:lineRule="exact"/>
        <w:rPr>
          <w:rFonts w:ascii="Arial" w:cs="Arial" w:eastAsia="Arial" w:hAnsi="Arial"/>
          <w:sz w:val="17"/>
          <w:szCs w:val="17"/>
          <w:color w:val="auto"/>
        </w:rPr>
      </w:pPr>
    </w:p>
    <w:p>
      <w:pPr>
        <w:ind w:left="660" w:right="20" w:firstLine="645"/>
        <w:spacing w:after="0" w:line="290" w:lineRule="auto"/>
        <w:tabs>
          <w:tab w:leader="none" w:pos="196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At such time as the principal and interest on the Loans, all LC Disbursements, the fees, expenses and other amounts payable under the Loan Documents and the other Obligations (other Obligations expressly stated to survive such payment and termination and excluding, for the avoidance of doubt, any Specified Ancillary Obligations or other obligations under any Swap Agreement or any Banking Services Agreement) then due and payable shall have been paid in full in cash, the Commitments shall have been terminated and no Letters of Credit shall be outstanding (or any outstanding Letters of Credit shall have been cash collateralized or backstopped pursuant to arrangements reasonably satisfactory to the Administrative Agent) (the foregoing, collectively, the “</w:t>
      </w:r>
      <w:r>
        <w:rPr>
          <w:rFonts w:ascii="Arial" w:cs="Arial" w:eastAsia="Arial" w:hAnsi="Arial"/>
          <w:sz w:val="16"/>
          <w:szCs w:val="16"/>
          <w:u w:val="single" w:color="auto"/>
          <w:color w:val="auto"/>
        </w:rPr>
        <w:t>Final Release Conditions</w:t>
      </w:r>
      <w:r>
        <w:rPr>
          <w:rFonts w:ascii="Arial" w:cs="Arial" w:eastAsia="Arial" w:hAnsi="Arial"/>
          <w:sz w:val="16"/>
          <w:szCs w:val="16"/>
          <w:color w:val="auto"/>
        </w:rPr>
        <w:t>”), the Subsidiary Guaranty and the Company’s Guarantee pursuant to Article X and all obligations (other than those expressly stated to survive such termination) of each Subsidiary Guarantor and the Company thereunder shall automatically terminate, all without delivery of any instrument or performance of any act by any Person.</w:t>
      </w:r>
    </w:p>
    <w:p>
      <w:pPr>
        <w:spacing w:after="0" w:line="166" w:lineRule="exact"/>
        <w:rPr>
          <w:rFonts w:ascii="Arial" w:cs="Arial" w:eastAsia="Arial" w:hAnsi="Arial"/>
          <w:sz w:val="16"/>
          <w:szCs w:val="16"/>
          <w:color w:val="auto"/>
        </w:rPr>
      </w:pPr>
    </w:p>
    <w:p>
      <w:pPr>
        <w:ind w:left="660" w:right="40" w:firstLine="645"/>
        <w:spacing w:after="0" w:line="277" w:lineRule="auto"/>
        <w:tabs>
          <w:tab w:leader="none" w:pos="196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Upon request by the Administrative Agent at any time, the Lenders will confirm in writing the Administrative Agent’s authority to release any particular Subsidiary Guaranty pursuant hereto.</w:t>
      </w:r>
    </w:p>
    <w:p>
      <w:pPr>
        <w:spacing w:after="0" w:line="170"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u w:val="single" w:color="auto"/>
          <w:color w:val="auto"/>
        </w:rPr>
        <w:t>Maximum Rate</w:t>
      </w:r>
      <w:r>
        <w:rPr>
          <w:rFonts w:ascii="Arial" w:cs="Arial" w:eastAsia="Arial" w:hAnsi="Arial"/>
          <w:sz w:val="16"/>
          <w:szCs w:val="16"/>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w:t>
      </w:r>
    </w:p>
    <w:p>
      <w:pPr>
        <w:sectPr>
          <w:pgSz w:w="11900" w:h="16934" w:orient="portrait"/>
          <w:cols w:equalWidth="0" w:num="1">
            <w:col w:w="11400"/>
          </w:cols>
          <w:pgMar w:left="240" w:top="125" w:right="259" w:bottom="0" w:gutter="0" w:footer="0" w:header="0"/>
        </w:sectPr>
      </w:pPr>
    </w:p>
    <w:bookmarkStart w:id="58" w:name="page59"/>
    <w:bookmarkEnd w:id="58"/>
    <w:p>
      <w:pPr>
        <w:spacing w:after="0" w:line="13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increased (but not above the Maximum Rate therefor) until such cumulated amount, together with interest thereon at the Federal Funds Effective Rate to the date of repayment, shall have been received by such Lender.</w:t>
      </w:r>
    </w:p>
    <w:p>
      <w:pPr>
        <w:spacing w:after="0" w:line="170" w:lineRule="exact"/>
        <w:rPr>
          <w:sz w:val="20"/>
          <w:szCs w:val="20"/>
          <w:color w:val="auto"/>
        </w:rPr>
      </w:pPr>
    </w:p>
    <w:p>
      <w:pPr>
        <w:ind w:right="40" w:firstLine="1297"/>
        <w:spacing w:after="0" w:line="289" w:lineRule="auto"/>
        <w:rPr>
          <w:sz w:val="20"/>
          <w:szCs w:val="20"/>
          <w:color w:val="auto"/>
        </w:rPr>
      </w:pPr>
      <w:r>
        <w:rPr>
          <w:rFonts w:ascii="Arial" w:cs="Arial" w:eastAsia="Arial" w:hAnsi="Arial"/>
          <w:sz w:val="16"/>
          <w:szCs w:val="16"/>
          <w:color w:val="auto"/>
        </w:rPr>
        <w:t xml:space="preserve">SECTION 9.16.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each Borrower acknowledges and agrees that: (i) (A) the arranging and other services regarding this Agreement provided by the Lenders are arm’s-length commercial transactions between such Borrower and its Affiliates, on the one hand, and the Lenders and their Affiliates, on the other hand, (B) such Borrower has consulted its own legal, accounting, regulatory and tax advisors to the extent it has deemed appropriate, and (C) such Borrower is capable of evaluating, and understands and accepts, the terms, risks and conditions of the transactions contemplated hereby and by the other Loan Documents; (ii) (A) each of the Lenders and their Affiliates is and has been acting solely as a principal and, except as expressly agreed in writing by the relevant parties, has not been, is not, and will not be acting as an advisor, agent or fiduciary for such Borrower or any of its Affiliates, or any other Person and (B) no Lender or any of its Affiliates has any obligation to such Borrower or any of its Affiliates with respect to the transactions contemplated hereby except, in the case of the Credit Parties,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those obligations expressly set forth herein and in the other Loan Documents; and (iii) each of the Lenders and their respective Affiliates may be engaged in a broad range of transactions that involve interests that differ from those of such Borrower and its Affiliates, and no Lender or any of its Affiliates has any obligation to disclose any of such interests to such Borrower or its Affiliates. To the fullest extent permitted by law, each Borrower hereby waives and releases any claims that it may have against each of the Lenders and their Affiliates with respect to any breach or alleged breach of agency or fiduciary duty in connection with any aspect of any transaction contemplated hereby.</w:t>
      </w:r>
    </w:p>
    <w:p>
      <w:pPr>
        <w:spacing w:after="0" w:line="188"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 xml:space="preserve">SECTION 9.17. </w:t>
      </w:r>
      <w:r>
        <w:rPr>
          <w:rFonts w:ascii="Arial" w:cs="Arial" w:eastAsia="Arial" w:hAnsi="Arial"/>
          <w:sz w:val="18"/>
          <w:szCs w:val="18"/>
          <w:u w:val="single" w:color="auto"/>
          <w:color w:val="auto"/>
        </w:rPr>
        <w:t>Attorney Representation</w:t>
      </w:r>
      <w:r>
        <w:rPr>
          <w:rFonts w:ascii="Arial" w:cs="Arial" w:eastAsia="Arial" w:hAnsi="Arial"/>
          <w:sz w:val="18"/>
          <w:szCs w:val="18"/>
          <w:color w:val="auto"/>
        </w:rPr>
        <w:t>. If a Dutch Borrower is represented by an attorney in connection with the signing and/or execution of this Agreement and/or any other Loan Document it is hereby expressly acknowledged and accepted by the parties to this Agreement and/or any other Loan Document that the existence and extent of the attorney’s authority and the effects of the attorney’s exercise or purported exercise of his or her authority shall be governed by the laws of the Netherlands.</w:t>
      </w:r>
    </w:p>
    <w:p>
      <w:pPr>
        <w:spacing w:after="0" w:line="187"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 xml:space="preserve">SECTION 9.18. </w:t>
      </w:r>
      <w:r>
        <w:rPr>
          <w:rFonts w:ascii="Arial" w:cs="Arial" w:eastAsia="Arial" w:hAnsi="Arial"/>
          <w:sz w:val="17"/>
          <w:szCs w:val="17"/>
          <w:u w:val="single" w:color="auto"/>
          <w:color w:val="auto"/>
        </w:rPr>
        <w:t>Swap Obligations and Banking Services Obligations</w:t>
      </w:r>
      <w:r>
        <w:rPr>
          <w:rFonts w:ascii="Arial" w:cs="Arial" w:eastAsia="Arial" w:hAnsi="Arial"/>
          <w:sz w:val="17"/>
          <w:szCs w:val="17"/>
          <w:color w:val="auto"/>
        </w:rPr>
        <w:t>. No Lender or any of its Affiliates that obtains the benefits of Article X or any Subsidiary Guaranty by virtue of the provisions hereof or of such Subsidiary Guaranty to Guarantee any Specified Ancillary Obligations owed to such Lender or any of its Affiliates shall have any right to notice of any action or to consent to, direct or object to any action hereunder or under any other Loan Document or otherwise (including the release or impairment of any Subsidiary Guaranty or the Company’s Guarantee set forth in Article X) other than in its capacity as a Lender and, in such case, only to the extent expressly provided in the Loan Documents.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Company Guarantee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order to induce the Lenders to extend credit to the Borrowers hereunder and for other good and valuable consideration (the receipt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sufficiency of which are hereby acknowledged), the Company hereby absolutely and irrevocably and unconditionally guarantees, as a primary obligor and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merely as a surety, the payment when and as due of the Obligations of the Subsidiary Borrowers and the Specified Ancillary Obligations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The Company further agrees that the due and punctual payment of such Guaranteed Obligations may be extended or renewed,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whole or in part, without notice to or further assent from it, and that it will remain bound upon its guarantee under this Article X notwithstanding any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extension or renewal of any such Guaranteed Obligation. The Company hereby irrevocably and unconditionally agrees that if any obligation guaranteed by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or becomes unenforceable, invalid or illegal, it will, as an independent and primary obligation, indemnify the Administrative Agent, the Issuing Banks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Lenders immediately on demand against any out-of-pocket and documented cost, loss or liability they incur as a result of any Subsidiary or any of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Affiliates not paying any amount which would, but for such unenforceability, invalidity or illegality, have been payable by the Company under this </w:t>
      </w:r>
      <w:r>
        <w:rPr>
          <w:rFonts w:ascii="Arial" w:cs="Arial" w:eastAsia="Arial" w:hAnsi="Arial"/>
          <w:sz w:val="16"/>
          <w:szCs w:val="16"/>
          <w:u w:val="single" w:color="auto"/>
          <w:color w:val="auto"/>
        </w:rPr>
        <w:t>Article 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date when it would have been due (but so that the amount payable by the Company under this indemnity will not exceed the amount which it would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have had to pay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if the amount claimed had been recoverable on the basis of a guarantee). Notwithstanding anything to the contrary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Article X, the Company shall not have been deemed to have guaranteed any of its own Obligations or its own Specified Ancillary Obligations.</w:t>
      </w:r>
    </w:p>
    <w:p>
      <w:pPr>
        <w:spacing w:after="0" w:line="222"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The Company waives presentment to, demand of payment from and protest to any Subsidiary of any of the Guaranteed Obligations, and also waives notice of acceptance of its obligations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and notice of protest for nonpayment. The obligations of the Company under this Article X shall not be affected by (a) the failure of the Administrative Agent, any Issuing Bank or any Lender to assert any claim or demand or to enforce any right or remedy against any Subsidiary under the provisions of this Agreement, any other Loan Document or otherwise; (b) any extension or renewal of any of the Guaranteed Obligations; (c) any rescission, waiver, amendment or modification of, or release from, any of the terms or provisions of this Agreement, or any other Loan Document; (d) any default, failure or delay, willful or otherwise, in the performance of any of the Guaranteed Obligations; (e) the failure of the Administrative Agent to take any steps to perfect and maintain any security interest in, or to preserve any rights to, any security or collateral for the Guaranteed Obligations, if any; (f) any change in the corporate, partnership or other existence, structure or ownership of any Subsidiary or any other guarantor of any of the Guaranteed Obligations; (g) the enforceability or validity of the Guaranteed Obligations or any part thereof or the genuineness, enforceability or validity of any agreement relating thereto or with respect to any collateral securing the Guaranteed Obligations or any part thereof, or any other invalidity or unenforceability relating to or against any Subsidiary or any other guarantor of any of the Guaranteed Obligations, for any reason related to this Agreement, any other Loan Document, any Swap Agreement, any Banking Services Agreement, or any provision of applicable law, decree, order or regulation of any jurisdiction purporting to prohibit the payment by such Subsidiary or any other guarantor of the Guaranteed Obligations, of any of the Guaranteed Obligations or otherwise affecting any term of any of the Guaranteed Obligations; or (h) any other act, omission or delay to do any other act which may or might in any manner or to any extent vary the risk of the Company or otherwise operate as a discharge of a guarantor as a matter of law or equity or which would impair or eliminate any right of the Company to subrogation.</w:t>
      </w:r>
    </w:p>
    <w:p>
      <w:pPr>
        <w:spacing w:after="0" w:line="183" w:lineRule="exact"/>
        <w:rPr>
          <w:sz w:val="20"/>
          <w:szCs w:val="20"/>
          <w:color w:val="auto"/>
        </w:rPr>
      </w:pPr>
    </w:p>
    <w:p>
      <w:pPr>
        <w:ind w:right="280" w:firstLine="1297"/>
        <w:spacing w:after="0" w:line="342" w:lineRule="auto"/>
        <w:rPr>
          <w:sz w:val="20"/>
          <w:szCs w:val="20"/>
          <w:color w:val="auto"/>
        </w:rPr>
      </w:pPr>
      <w:r>
        <w:rPr>
          <w:rFonts w:ascii="Arial" w:cs="Arial" w:eastAsia="Arial" w:hAnsi="Arial"/>
          <w:sz w:val="16"/>
          <w:szCs w:val="16"/>
          <w:color w:val="auto"/>
        </w:rPr>
        <w:t>The Company further agrees that its agreement under this Article X constitutes a guarantee of payment when due (whether or not any bankruptcy, examinership or similar proceeding shall have stayed the accrual or collection of any of the Guaranteed Obligations or operated as a discharge</w:t>
      </w:r>
    </w:p>
    <w:p>
      <w:pPr>
        <w:sectPr>
          <w:pgSz w:w="11900" w:h="16975" w:orient="portrait"/>
          <w:cols w:equalWidth="0" w:num="1">
            <w:col w:w="11420"/>
          </w:cols>
          <w:pgMar w:left="240" w:top="125" w:right="239" w:bottom="0" w:gutter="0" w:footer="0" w:header="0"/>
        </w:sectPr>
      </w:pPr>
    </w:p>
    <w:bookmarkStart w:id="59" w:name="page60"/>
    <w:bookmarkEnd w:id="59"/>
    <w:p>
      <w:pPr>
        <w:jc w:val="both"/>
        <w:ind w:right="20"/>
        <w:spacing w:after="0" w:line="264" w:lineRule="auto"/>
        <w:rPr>
          <w:sz w:val="20"/>
          <w:szCs w:val="20"/>
          <w:color w:val="auto"/>
        </w:rPr>
      </w:pPr>
      <w:r>
        <w:rPr>
          <w:rFonts w:ascii="Arial" w:cs="Arial" w:eastAsia="Arial" w:hAnsi="Arial"/>
          <w:sz w:val="18"/>
          <w:szCs w:val="18"/>
          <w:color w:val="auto"/>
        </w:rPr>
        <w:t>thereof) and not merely of collection, and waives any right to require that any resort be had by the Administrative Agent, any Issuing Bank or any Lender (or any of its Affiliates) to any balance of any deposit account or credit on the books of the Administrative Agent, any Issuing Bank or any Lender in favor of any Subsidiary or any other Person.</w:t>
      </w:r>
    </w:p>
    <w:p>
      <w:pPr>
        <w:spacing w:after="0" w:line="181" w:lineRule="exact"/>
        <w:rPr>
          <w:sz w:val="20"/>
          <w:szCs w:val="20"/>
          <w:color w:val="auto"/>
        </w:rPr>
      </w:pPr>
    </w:p>
    <w:p>
      <w:pPr>
        <w:ind w:right="200" w:firstLine="1297"/>
        <w:spacing w:after="0" w:line="302" w:lineRule="auto"/>
        <w:rPr>
          <w:sz w:val="20"/>
          <w:szCs w:val="20"/>
          <w:color w:val="auto"/>
        </w:rPr>
      </w:pPr>
      <w:r>
        <w:rPr>
          <w:rFonts w:ascii="Arial" w:cs="Arial" w:eastAsia="Arial" w:hAnsi="Arial"/>
          <w:sz w:val="16"/>
          <w:szCs w:val="16"/>
          <w:color w:val="auto"/>
        </w:rPr>
        <w:t>The obligations of the Company under this Article X shall not be subject to any reduction, limitation, impairment or termination for any reason, and shall not be subject to any defense or set-off, counterclaim, recoupment or termination whatsoever, by reason of the invalidity, illegality or unenforceability of any of the Guaranteed Obligations, any impossibility in the performance of any of the Guaranteed Obligations or otherwise, in any such case, other than payment in full in cash of such Guaranteed Obligations or satisfaction otherwise of the Final Release Conditions.</w:t>
      </w:r>
    </w:p>
    <w:p>
      <w:pPr>
        <w:spacing w:after="0" w:line="154"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color w:val="auto"/>
        </w:rPr>
        <w:t>The Company further agrees that its obligations under this Article X shall constitute a continuing and irrevocable guarantee of all Guaranteed Obligations now or hereafter existing and shall continue to be effective or be reinstated, as the case may be, if at any time payment, or any part thereof, of any Guaranteed Obligation (including a payment effected through exercise of a right of setoff) is rescinded, or is or must otherwise be restored or returned by the Administrative Agent, any Issuing Bank or any Lender upon the insolvency, bankruptcy, examinership or reorganization of any Subsidiary or otherwise (including pursuant to any settlement entered into by a holder of Guaranteed Obligations in its discretion).</w:t>
      </w:r>
    </w:p>
    <w:p>
      <w:pPr>
        <w:spacing w:after="0" w:line="173"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In furtherance of the foregoing and not in limitation of any other right which the Administrative Agent, any Issuing Bank or any Lender may have at law or in equity against the Company by virtue of this Article X, upon the failure of any Subsidiary to pay any Guaranteed Obligation when and as the same shall become due, whether at maturity, by acceleration, after notice of prepayment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otherwise, the Company hereby promises to and will, upon receipt of written demand by the Administrative Agent, any Issuing Bank or any Lender, forthwith pay, or cause to be paid, to the Administrative Agent, such Issuing Bank or such Lender (or any of such Lender’s Affiliates) in cash an amount equal to the unpaid principal amount of the Guaranteed Obligations then due, together with accrued and unpaid interest thereon. The Company further agrees that if payment in respect of any Guaranteed Obligation shall be due in a currency other than Dollars and/or at a place of payment other than New York, Chicago or any other Eurocurrency Payment Office and if, by reason of any Change in Law, disruption of currency or foreign exchange markets, war or civil disturbance or other event, payment of such Guaranteed Obligation in such currency or at such place of payment shall be impossible or, in the reasonable judgment of the Administrative Agent, any Issuing Bank or any Lender, disadvantageous to the Administrative Agent, such Issuing Bank or such Lender in any material respect, then, at the election of the Administrative Agent or such Lender, the Company shall make payment of such Guaranteed Obligation in Dollars (based upon the applicable Equivalent Amount in effect on the date of payment) and/or in New York, Chicago or such other Eurocurrency Payment Office as is designated by the Administrative Agent or such Lender and, as a separate and independent obligation, shall indemnify the Administrative Agent, such Issuing Bank and such Lender, as applicable, against any losses or reasonable out-of-pocket expenses that it shall sustain as a result of such alternative payment.</w:t>
      </w:r>
    </w:p>
    <w:p>
      <w:pPr>
        <w:spacing w:after="0" w:line="173"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Upon payment by the Company of any sums as provided above, all rights of the Company against any Subsidiary arising as a result thereof by way of right of subrogation or otherwise shall in all respects be subordinated and junior in right of payment to the prior indefeasible payment in full in cash of all the Guaranteed Obligations owed by such Subsidiary to the Administrative Agent, the Issuing Banks and the Lenders.</w:t>
      </w:r>
    </w:p>
    <w:p>
      <w:pPr>
        <w:spacing w:after="0" w:line="166" w:lineRule="exact"/>
        <w:rPr>
          <w:sz w:val="20"/>
          <w:szCs w:val="20"/>
          <w:color w:val="auto"/>
        </w:rPr>
      </w:pPr>
    </w:p>
    <w:p>
      <w:pPr>
        <w:ind w:right="60" w:firstLine="1297"/>
        <w:spacing w:after="0" w:line="293" w:lineRule="auto"/>
        <w:rPr>
          <w:sz w:val="20"/>
          <w:szCs w:val="20"/>
          <w:color w:val="auto"/>
        </w:rPr>
      </w:pPr>
      <w:r>
        <w:rPr>
          <w:rFonts w:ascii="Arial" w:cs="Arial" w:eastAsia="Arial" w:hAnsi="Arial"/>
          <w:sz w:val="16"/>
          <w:szCs w:val="16"/>
          <w:color w:val="auto"/>
        </w:rPr>
        <w:t xml:space="preserve">The Company hereby absolutely, unconditionally and irrevocably undertakes to provide such funds or other support as may be needed from time to time by each Subsidiary Guarantor to honor all of its obligations under the Subsidiary Guaranty in respect of Specified Swap Obligations (provided, however, that the Company shall only be liable under this paragraph for the maximum amount of such liability that can be hereby incurred without rendering its obligations under this paragraph or otherwise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voidable under applicable law relating to fraudulent conveyance or fraudulent transfer, and not for any greater amount). The Company intends that this paragraph constitute, and this paragraph shall be deemed to constitute, a “keepwell, support, or other agreement” for the benefit of each Subsidiary Guarantor for all purposes of Section 1a(18)(A)(v)(II) of the Commodity Exchange Act.</w:t>
      </w:r>
    </w:p>
    <w:p>
      <w:pPr>
        <w:spacing w:after="0" w:line="16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Nothing shall discharge or satisfy the liability of the Company under this Article X except the full performance and payment in cash of the Guaranteed Obligations or satisfaction otherwise of the Final Release Conditions.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by their respective authorized officers or other authorized signatories as of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the Company</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Dominick Agron</w:t>
      </w:r>
    </w:p>
    <w:p>
      <w:pPr>
        <w:spacing w:after="0" w:line="23" w:lineRule="exact"/>
        <w:rPr>
          <w:sz w:val="20"/>
          <w:szCs w:val="20"/>
          <w:color w:val="auto"/>
        </w:rPr>
      </w:pPr>
    </w:p>
    <w:tbl>
      <w:tblPr>
        <w:tblLayout w:type="fixed"/>
        <w:tblInd w:w="612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Dominick Agron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120"/>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HEALTHCARE SOLUTIONS,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Subsidiary Borrower</w:t>
      </w:r>
    </w:p>
    <w:p>
      <w:pPr>
        <w:sectPr>
          <w:pgSz w:w="11900" w:h="16838" w:orient="portrait"/>
          <w:cols w:equalWidth="0" w:num="1">
            <w:col w:w="11420"/>
          </w:cols>
          <w:pgMar w:left="240" w:top="125" w:right="239" w:bottom="0" w:gutter="0" w:footer="0" w:header="0"/>
        </w:sectPr>
      </w:pPr>
    </w:p>
    <w:bookmarkStart w:id="60" w:name="page61"/>
    <w:bookmarkEnd w:id="60"/>
    <w:p>
      <w:pPr>
        <w:ind w:left="452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J. Terifay</w:t>
      </w:r>
    </w:p>
    <w:p>
      <w:pPr>
        <w:spacing w:after="0" w:line="23"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8"/>
          <w:szCs w:val="18"/>
          <w:color w:val="auto"/>
        </w:rPr>
        <w:t>Name:</w:t>
        <w:tab/>
        <w:t>Robert J. Terifay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Manager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REGENERON GENETICS CENTER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Subsidiary Borrower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Fenimore</w:t>
      </w:r>
    </w:p>
    <w:p>
      <w:pPr>
        <w:spacing w:after="0" w:line="23"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8"/>
          <w:szCs w:val="18"/>
          <w:color w:val="auto"/>
        </w:rPr>
        <w:t>Name:</w:t>
        <w:tab/>
        <w:t>Christopher Fenimore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REGENERON IRELAND HOLDINGS,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Subsidiary Borrower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S. McCorkle</w:t>
      </w:r>
    </w:p>
    <w:p>
      <w:pPr>
        <w:spacing w:after="0" w:line="23"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8"/>
          <w:szCs w:val="18"/>
          <w:color w:val="auto"/>
        </w:rPr>
        <w:t>Name:</w:t>
        <w:tab/>
        <w:t>Douglas S. McCorkle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REGENERON IRELAND,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Subsidiary Borrower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Niall O’Leary</w:t>
      </w:r>
    </w:p>
    <w:p>
      <w:pPr>
        <w:spacing w:after="0" w:line="23"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8"/>
          <w:szCs w:val="18"/>
          <w:color w:val="auto"/>
        </w:rPr>
        <w:t>Name:</w:t>
        <w:tab/>
        <w:t>Niall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REGENERON INTERNATIONAL,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Subsidiary Borrower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Kerry Reinertsen</w:t>
      </w:r>
    </w:p>
    <w:p>
      <w:pPr>
        <w:spacing w:after="0" w:line="23"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8"/>
          <w:szCs w:val="18"/>
          <w:color w:val="auto"/>
        </w:rPr>
        <w:t>Name:</w:t>
        <w:tab/>
        <w:t>Kerry Reinertsen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REGENERON CAPITAL INTERNATIONAL B.V.,</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Subsidiary Borrower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Franklin Louis Weidema</w:t>
      </w:r>
    </w:p>
    <w:p>
      <w:pPr>
        <w:spacing w:after="0" w:line="23" w:lineRule="exact"/>
        <w:rPr>
          <w:sz w:val="20"/>
          <w:szCs w:val="20"/>
          <w:color w:val="auto"/>
        </w:rPr>
      </w:pPr>
    </w:p>
    <w:tbl>
      <w:tblPr>
        <w:tblLayout w:type="fixed"/>
        <w:tblInd w:w="492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Franklin Louis Weidema</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120"/>
              <w:spacing w:after="0"/>
              <w:rPr>
                <w:sz w:val="20"/>
                <w:szCs w:val="20"/>
                <w:color w:val="auto"/>
              </w:rPr>
            </w:pPr>
            <w:r>
              <w:rPr>
                <w:rFonts w:ascii="Arial" w:cs="Arial" w:eastAsia="Arial" w:hAnsi="Arial"/>
                <w:sz w:val="18"/>
                <w:szCs w:val="18"/>
                <w:color w:val="auto"/>
              </w:rPr>
              <w:t>Managing director A</w:t>
            </w:r>
          </w:p>
        </w:tc>
      </w:tr>
    </w:tbl>
    <w:p>
      <w:pPr>
        <w:sectPr>
          <w:pgSz w:w="11900" w:h="16838" w:orient="portrait"/>
          <w:cols w:equalWidth="0" w:num="1">
            <w:col w:w="10220"/>
          </w:cols>
          <w:pgMar w:left="1440" w:top="341" w:right="239" w:bottom="0" w:gutter="0" w:footer="0" w:header="0"/>
        </w:sectPr>
      </w:pPr>
    </w:p>
    <w:bookmarkStart w:id="61" w:name="page62"/>
    <w:bookmarkEnd w:id="61"/>
    <w:p>
      <w:pPr>
        <w:ind w:left="452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Leonard Neil Brooks</w:t>
      </w:r>
    </w:p>
    <w:p>
      <w:pPr>
        <w:spacing w:after="0" w:line="23" w:lineRule="exact"/>
        <w:rPr>
          <w:sz w:val="20"/>
          <w:szCs w:val="20"/>
          <w:color w:val="auto"/>
        </w:rPr>
      </w:pPr>
    </w:p>
    <w:tbl>
      <w:tblPr>
        <w:tblLayout w:type="fixed"/>
        <w:tblInd w:w="492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Leonard Neil Brooks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120"/>
              <w:spacing w:after="0"/>
              <w:rPr>
                <w:sz w:val="20"/>
                <w:szCs w:val="20"/>
                <w:color w:val="auto"/>
              </w:rPr>
            </w:pPr>
            <w:r>
              <w:rPr>
                <w:rFonts w:ascii="Arial" w:cs="Arial" w:eastAsia="Arial" w:hAnsi="Arial"/>
                <w:sz w:val="18"/>
                <w:szCs w:val="18"/>
                <w:color w:val="auto"/>
              </w:rPr>
              <w:t>Managing director B</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JPMORGAN CHASE BANK, N.A., individually as a Lender, as the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Swingline Lender, as an Issuing Bank and as Administrative Agent</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 Scott Farquhar</w:t>
      </w:r>
    </w:p>
    <w:p>
      <w:pPr>
        <w:spacing w:after="0" w:line="23"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8"/>
          <w:szCs w:val="18"/>
          <w:color w:val="auto"/>
        </w:rPr>
        <w:t>Name:</w:t>
        <w:tab/>
        <w:t>D. Scott Farquhar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Director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4520" w:right="20"/>
        <w:spacing w:after="0" w:line="277" w:lineRule="auto"/>
        <w:rPr>
          <w:sz w:val="20"/>
          <w:szCs w:val="20"/>
          <w:color w:val="auto"/>
        </w:rPr>
      </w:pPr>
      <w:r>
        <w:rPr>
          <w:rFonts w:ascii="Arial" w:cs="Arial" w:eastAsia="Arial" w:hAnsi="Arial"/>
          <w:sz w:val="18"/>
          <w:szCs w:val="18"/>
          <w:color w:val="auto"/>
        </w:rPr>
        <w:t>BANK OF AMERICA, N.A., individually as a Lender, as an Issuing Bank and as a Co-Syndication Agent</w:t>
      </w:r>
    </w:p>
    <w:p>
      <w:pPr>
        <w:spacing w:after="0" w:line="387" w:lineRule="exact"/>
        <w:rPr>
          <w:sz w:val="20"/>
          <w:szCs w:val="20"/>
          <w:color w:val="auto"/>
        </w:rPr>
      </w:pPr>
    </w:p>
    <w:p>
      <w:pPr>
        <w:ind w:left="452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J. Walsh</w:t>
      </w:r>
    </w:p>
    <w:p>
      <w:pPr>
        <w:spacing w:after="0" w:line="23"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8"/>
          <w:szCs w:val="18"/>
          <w:color w:val="auto"/>
        </w:rPr>
        <w:t>Name:</w:t>
        <w:tab/>
        <w:t>Brian J.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520" w:right="360"/>
        <w:spacing w:after="0" w:line="277" w:lineRule="auto"/>
        <w:rPr>
          <w:sz w:val="20"/>
          <w:szCs w:val="20"/>
          <w:color w:val="auto"/>
        </w:rPr>
      </w:pPr>
      <w:r>
        <w:rPr>
          <w:rFonts w:ascii="Arial" w:cs="Arial" w:eastAsia="Arial" w:hAnsi="Arial"/>
          <w:sz w:val="18"/>
          <w:szCs w:val="18"/>
          <w:color w:val="auto"/>
        </w:rPr>
        <w:t>U.S. BANK NATIONAL ASSOCIATION, individually as a Lender, as an Issuing Bank and as a Co-Syndication Agent</w:t>
      </w:r>
    </w:p>
    <w:p>
      <w:pPr>
        <w:spacing w:after="0" w:line="387" w:lineRule="exact"/>
        <w:rPr>
          <w:sz w:val="20"/>
          <w:szCs w:val="20"/>
          <w:color w:val="auto"/>
        </w:rPr>
      </w:pPr>
    </w:p>
    <w:p>
      <w:pPr>
        <w:ind w:left="452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Hwang</w:t>
      </w:r>
    </w:p>
    <w:p>
      <w:pPr>
        <w:spacing w:after="0" w:line="23" w:lineRule="exact"/>
        <w:rPr>
          <w:sz w:val="20"/>
          <w:szCs w:val="20"/>
          <w:color w:val="auto"/>
        </w:rPr>
      </w:pPr>
    </w:p>
    <w:tbl>
      <w:tblPr>
        <w:tblLayout w:type="fixed"/>
        <w:tblInd w:w="492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Jennifer Hwang</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BARCLAYS BANK PLC, individually as a Lender and as a Co-</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Documentation Agent</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Christine Aharonian</w:t>
      </w:r>
    </w:p>
    <w:p>
      <w:pPr>
        <w:spacing w:after="0" w:line="23"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8"/>
          <w:szCs w:val="18"/>
          <w:color w:val="auto"/>
        </w:rPr>
        <w:t>Name:</w:t>
        <w:tab/>
        <w:t>Christine Aharonian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CITIBANK, N.A., individually as a Lender and as a Co-Documentation Agent</w:t>
      </w:r>
    </w:p>
    <w:p>
      <w:pPr>
        <w:spacing w:after="0" w:line="200" w:lineRule="exact"/>
        <w:rPr>
          <w:sz w:val="20"/>
          <w:szCs w:val="20"/>
          <w:color w:val="auto"/>
        </w:rPr>
      </w:pPr>
    </w:p>
    <w:p>
      <w:pPr>
        <w:spacing w:after="0" w:line="264"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Laura Fogarty</w:t>
      </w:r>
    </w:p>
    <w:p>
      <w:pPr>
        <w:spacing w:after="0" w:line="23" w:lineRule="exact"/>
        <w:rPr>
          <w:sz w:val="20"/>
          <w:szCs w:val="20"/>
          <w:color w:val="auto"/>
        </w:rPr>
      </w:pPr>
    </w:p>
    <w:tbl>
      <w:tblPr>
        <w:tblLayout w:type="fixed"/>
        <w:tblInd w:w="496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Laura Fogarty</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2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0220"/>
          </w:cols>
          <w:pgMar w:left="1440" w:top="557" w:right="239" w:bottom="0" w:gutter="0" w:footer="0" w:header="0"/>
        </w:sectPr>
      </w:pPr>
    </w:p>
    <w:bookmarkStart w:id="62" w:name="page63"/>
    <w:bookmarkEnd w:id="62"/>
    <w:p>
      <w:pPr>
        <w:jc w:val="center"/>
        <w:ind w:right="120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520" w:right="340"/>
        <w:spacing w:after="0" w:line="277" w:lineRule="auto"/>
        <w:rPr>
          <w:sz w:val="20"/>
          <w:szCs w:val="20"/>
          <w:color w:val="auto"/>
        </w:rPr>
      </w:pPr>
      <w:r>
        <w:rPr>
          <w:rFonts w:ascii="Arial" w:cs="Arial" w:eastAsia="Arial" w:hAnsi="Arial"/>
          <w:sz w:val="18"/>
          <w:szCs w:val="18"/>
          <w:color w:val="auto"/>
        </w:rPr>
        <w:t>CREDIT SUISSE AG, CAYMAN ISLANDS BRANCH, individually as a Lender and as a Co-Documentation Agent</w:t>
      </w:r>
    </w:p>
    <w:p>
      <w:pPr>
        <w:spacing w:after="0" w:line="38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Day</w:t>
            </w:r>
          </w:p>
        </w:tc>
      </w:tr>
      <w:tr>
        <w:trPr>
          <w:trHeight w:val="195"/>
        </w:trPr>
        <w:tc>
          <w:tcPr>
            <w:tcW w:w="4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20"/>
              <w:spacing w:after="0" w:line="195" w:lineRule="exact"/>
              <w:rPr>
                <w:sz w:val="20"/>
                <w:szCs w:val="20"/>
                <w:color w:val="auto"/>
              </w:rPr>
            </w:pPr>
            <w:r>
              <w:rPr>
                <w:rFonts w:ascii="Arial" w:cs="Arial" w:eastAsia="Arial" w:hAnsi="Arial"/>
                <w:sz w:val="18"/>
                <w:szCs w:val="18"/>
                <w:color w:val="auto"/>
              </w:rPr>
              <w:t>Christopher Day</w:t>
            </w:r>
          </w:p>
        </w:tc>
      </w:tr>
      <w:tr>
        <w:trPr>
          <w:trHeight w:val="230"/>
        </w:trPr>
        <w:tc>
          <w:tcPr>
            <w:tcW w:w="4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20"/>
              <w:spacing w:after="0"/>
              <w:rPr>
                <w:sz w:val="20"/>
                <w:szCs w:val="20"/>
                <w:color w:val="auto"/>
              </w:rPr>
            </w:pPr>
            <w:r>
              <w:rPr>
                <w:rFonts w:ascii="Arial" w:cs="Arial" w:eastAsia="Arial" w:hAnsi="Arial"/>
                <w:sz w:val="18"/>
                <w:szCs w:val="18"/>
                <w:color w:val="auto"/>
              </w:rPr>
              <w:t>Authorized Signatory</w:t>
            </w:r>
          </w:p>
        </w:tc>
      </w:tr>
      <w:tr>
        <w:trPr>
          <w:trHeight w:val="648"/>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Karim Rahimtoola</w:t>
            </w:r>
          </w:p>
        </w:tc>
      </w:tr>
      <w:tr>
        <w:trPr>
          <w:trHeight w:val="195"/>
        </w:trPr>
        <w:tc>
          <w:tcPr>
            <w:tcW w:w="4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20"/>
              <w:spacing w:after="0" w:line="195" w:lineRule="exact"/>
              <w:rPr>
                <w:sz w:val="20"/>
                <w:szCs w:val="20"/>
                <w:color w:val="auto"/>
              </w:rPr>
            </w:pPr>
            <w:r>
              <w:rPr>
                <w:rFonts w:ascii="Arial" w:cs="Arial" w:eastAsia="Arial" w:hAnsi="Arial"/>
                <w:sz w:val="18"/>
                <w:szCs w:val="18"/>
                <w:color w:val="auto"/>
              </w:rPr>
              <w:t>Karim Rahimtoola</w:t>
            </w:r>
          </w:p>
        </w:tc>
      </w:tr>
      <w:tr>
        <w:trPr>
          <w:trHeight w:val="230"/>
        </w:trPr>
        <w:tc>
          <w:tcPr>
            <w:tcW w:w="4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2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520" w:right="160"/>
        <w:spacing w:after="0" w:line="277" w:lineRule="auto"/>
        <w:rPr>
          <w:sz w:val="20"/>
          <w:szCs w:val="20"/>
          <w:color w:val="auto"/>
        </w:rPr>
      </w:pPr>
      <w:r>
        <w:rPr>
          <w:rFonts w:ascii="Arial" w:cs="Arial" w:eastAsia="Arial" w:hAnsi="Arial"/>
          <w:sz w:val="18"/>
          <w:szCs w:val="18"/>
          <w:color w:val="auto"/>
        </w:rPr>
        <w:t>FIFTH THIRD BANK, individually as a Lender and as a Co-Documentation Agent</w:t>
      </w:r>
    </w:p>
    <w:p>
      <w:pPr>
        <w:spacing w:after="0" w:line="387"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Vera B. McEvoy</w:t>
      </w:r>
    </w:p>
    <w:p>
      <w:pPr>
        <w:spacing w:after="0" w:line="23" w:lineRule="exact"/>
        <w:rPr>
          <w:sz w:val="20"/>
          <w:szCs w:val="20"/>
          <w:color w:val="auto"/>
        </w:rPr>
      </w:pPr>
    </w:p>
    <w:tbl>
      <w:tblPr>
        <w:tblLayout w:type="fixed"/>
        <w:tblInd w:w="496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Vera B. McEvoy</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2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MORGAN STANLEY BANK, N.A.,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Michael King</w:t>
      </w:r>
    </w:p>
    <w:p>
      <w:pPr>
        <w:spacing w:after="0" w:line="23" w:lineRule="exact"/>
        <w:rPr>
          <w:sz w:val="20"/>
          <w:szCs w:val="20"/>
          <w:color w:val="auto"/>
        </w:rPr>
      </w:pPr>
    </w:p>
    <w:tbl>
      <w:tblPr>
        <w:tblLayout w:type="fixed"/>
        <w:tblInd w:w="496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Michael King</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2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BANK OF TOKYO-MITSUBISHI UFJ, LTD.,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Teuta Ghilaga</w:t>
      </w:r>
    </w:p>
    <w:p>
      <w:pPr>
        <w:spacing w:after="0" w:line="23" w:lineRule="exact"/>
        <w:rPr>
          <w:sz w:val="20"/>
          <w:szCs w:val="20"/>
          <w:color w:val="auto"/>
        </w:rPr>
      </w:pPr>
    </w:p>
    <w:p>
      <w:pPr>
        <w:ind w:left="4960"/>
        <w:spacing w:after="0"/>
        <w:tabs>
          <w:tab w:leader="none" w:pos="5680" w:val="left"/>
        </w:tabs>
        <w:rPr>
          <w:sz w:val="20"/>
          <w:szCs w:val="20"/>
          <w:color w:val="auto"/>
        </w:rPr>
      </w:pPr>
      <w:r>
        <w:rPr>
          <w:rFonts w:ascii="Arial" w:cs="Arial" w:eastAsia="Arial" w:hAnsi="Arial"/>
          <w:sz w:val="18"/>
          <w:szCs w:val="18"/>
          <w:color w:val="auto"/>
        </w:rPr>
        <w:t>Name:</w:t>
        <w:tab/>
        <w:t>Teuta Ghilaga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-130810</wp:posOffset>
            </wp:positionV>
            <wp:extent cx="33445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520" w:right="240"/>
        <w:spacing w:after="0" w:line="277" w:lineRule="auto"/>
        <w:rPr>
          <w:sz w:val="20"/>
          <w:szCs w:val="20"/>
          <w:color w:val="auto"/>
        </w:rPr>
      </w:pPr>
      <w:r>
        <w:rPr>
          <w:rFonts w:ascii="Arial" w:cs="Arial" w:eastAsia="Arial" w:hAnsi="Arial"/>
          <w:sz w:val="18"/>
          <w:szCs w:val="18"/>
          <w:color w:val="auto"/>
        </w:rPr>
        <w:t>THE GOVERNOR AND COMPANY OF THE BANK OF IRELAND, as a Lender</w:t>
      </w:r>
    </w:p>
    <w:p>
      <w:pPr>
        <w:spacing w:after="0" w:line="387"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Dorothy Halligan</w:t>
      </w:r>
    </w:p>
    <w:p>
      <w:pPr>
        <w:spacing w:after="0" w:line="23" w:lineRule="exact"/>
        <w:rPr>
          <w:sz w:val="20"/>
          <w:szCs w:val="20"/>
          <w:color w:val="auto"/>
        </w:rPr>
      </w:pPr>
    </w:p>
    <w:p>
      <w:pPr>
        <w:ind w:left="4960"/>
        <w:spacing w:after="0"/>
        <w:tabs>
          <w:tab w:leader="none" w:pos="5640" w:val="left"/>
        </w:tabs>
        <w:rPr>
          <w:sz w:val="20"/>
          <w:szCs w:val="20"/>
          <w:color w:val="auto"/>
        </w:rPr>
      </w:pPr>
      <w:r>
        <w:rPr>
          <w:rFonts w:ascii="Arial" w:cs="Arial" w:eastAsia="Arial" w:hAnsi="Arial"/>
          <w:sz w:val="18"/>
          <w:szCs w:val="18"/>
          <w:color w:val="auto"/>
        </w:rPr>
        <w:t>Name:</w:t>
        <w:tab/>
        <w:t>Dorothy Halligan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-130810</wp:posOffset>
            </wp:positionV>
            <wp:extent cx="33445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ectPr>
          <w:pgSz w:w="11900" w:h="16838" w:orient="portrait"/>
          <w:cols w:equalWidth="0" w:num="1">
            <w:col w:w="10220"/>
          </w:cols>
          <w:pgMar w:left="1440" w:top="341" w:right="239" w:bottom="0" w:gutter="0" w:footer="0" w:header="0"/>
        </w:sectPr>
      </w:pPr>
    </w:p>
    <w:bookmarkStart w:id="63" w:name="page64"/>
    <w:bookmarkEnd w:id="63"/>
    <w:p>
      <w:pPr>
        <w:spacing w:after="0" w:line="5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Conor Linehan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Conor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Authorized Signatory</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GOLDMAN SACHS BANK USA, as a Lender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Nicole Ferry-Lacchia</w:t>
      </w:r>
    </w:p>
    <w:p>
      <w:pPr>
        <w:spacing w:after="0" w:line="23" w:lineRule="exact"/>
        <w:rPr>
          <w:sz w:val="20"/>
          <w:szCs w:val="20"/>
          <w:color w:val="auto"/>
        </w:rPr>
      </w:pPr>
    </w:p>
    <w:tbl>
      <w:tblPr>
        <w:tblLayout w:type="fixed"/>
        <w:tblInd w:w="616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Nicole Ferry-Lacchia</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2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NORTHERN TRUST COMPANY, as a Lender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Sophia Love</w:t>
      </w:r>
    </w:p>
    <w:p>
      <w:pPr>
        <w:spacing w:after="0" w:line="23" w:lineRule="exact"/>
        <w:rPr>
          <w:sz w:val="20"/>
          <w:szCs w:val="20"/>
          <w:color w:val="auto"/>
        </w:rPr>
      </w:pPr>
    </w:p>
    <w:tbl>
      <w:tblPr>
        <w:tblLayout w:type="fixed"/>
        <w:tblInd w:w="616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Sophia Love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tcPr>
          <w:p>
            <w:pPr>
              <w:ind w:left="5060"/>
              <w:spacing w:after="0"/>
              <w:rPr>
                <w:sz w:val="20"/>
                <w:szCs w:val="20"/>
                <w:color w:val="auto"/>
              </w:rPr>
            </w:pPr>
            <w:r>
              <w:rPr>
                <w:rFonts w:ascii="Arial" w:cs="Arial" w:eastAsia="Arial" w:hAnsi="Arial"/>
                <w:sz w:val="18"/>
                <w:szCs w:val="18"/>
                <w:color w:val="auto"/>
              </w:rPr>
              <w:t>SCHEDULE 2.01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8740" w:type="dxa"/>
            <w:vAlign w:val="bottom"/>
          </w:tcPr>
          <w:p>
            <w:pPr>
              <w:ind w:left="5040"/>
              <w:spacing w:after="0"/>
              <w:rPr>
                <w:sz w:val="20"/>
                <w:szCs w:val="20"/>
                <w:color w:val="auto"/>
              </w:rPr>
            </w:pPr>
            <w:r>
              <w:rPr>
                <w:rFonts w:ascii="Arial" w:cs="Arial" w:eastAsia="Arial" w:hAnsi="Arial"/>
                <w:sz w:val="18"/>
                <w:szCs w:val="18"/>
                <w:color w:val="auto"/>
              </w:rPr>
              <w:t>COMMITMENTS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8740" w:type="dxa"/>
            <w:vAlign w:val="bottom"/>
          </w:tcPr>
          <w:p>
            <w:pPr>
              <w:spacing w:after="0"/>
              <w:rPr>
                <w:sz w:val="20"/>
                <w:szCs w:val="20"/>
                <w:color w:val="auto"/>
              </w:rPr>
            </w:pPr>
            <w:r>
              <w:rPr>
                <w:rFonts w:ascii="Arial" w:cs="Arial" w:eastAsia="Arial" w:hAnsi="Arial"/>
                <w:sz w:val="14"/>
                <w:szCs w:val="14"/>
                <w:b w:val="1"/>
                <w:bCs w:val="1"/>
                <w:color w:val="auto"/>
              </w:rPr>
              <w:t>LENDER</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2"/>
          </w:tcPr>
          <w:p>
            <w:pPr>
              <w:ind w:left="260"/>
              <w:spacing w:after="0"/>
              <w:rPr>
                <w:sz w:val="20"/>
                <w:szCs w:val="20"/>
                <w:color w:val="auto"/>
              </w:rPr>
            </w:pPr>
            <w:r>
              <w:rPr>
                <w:rFonts w:ascii="Arial" w:cs="Arial" w:eastAsia="Arial" w:hAnsi="Arial"/>
                <w:sz w:val="14"/>
                <w:szCs w:val="14"/>
                <w:b w:val="1"/>
                <w:bCs w:val="1"/>
                <w:color w:val="auto"/>
              </w:rPr>
              <w:t>COMMITMENT</w:t>
            </w:r>
          </w:p>
        </w:tc>
        <w:tc>
          <w:tcPr>
            <w:tcW w:w="40" w:type="dxa"/>
            <w:vAlign w:val="bottom"/>
          </w:tcPr>
          <w:p>
            <w:pPr>
              <w:spacing w:after="0"/>
              <w:rPr>
                <w:sz w:val="24"/>
                <w:szCs w:val="24"/>
                <w:color w:val="auto"/>
              </w:rPr>
            </w:pPr>
          </w:p>
        </w:tc>
      </w:tr>
      <w:tr>
        <w:trPr>
          <w:trHeight w:val="210"/>
        </w:trPr>
        <w:tc>
          <w:tcPr>
            <w:tcW w:w="8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106,666,666.67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BANK OF AMERICA, N.A.</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106,666,666.67</w:t>
            </w:r>
          </w:p>
        </w:tc>
        <w:tc>
          <w:tcPr>
            <w:tcW w:w="4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106,666,666.66</w:t>
            </w:r>
          </w:p>
        </w:tc>
        <w:tc>
          <w:tcPr>
            <w:tcW w:w="40" w:type="dxa"/>
            <w:vAlign w:val="bottom"/>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BARCLAYS BANK PLC</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65,000,000.00</w:t>
            </w:r>
          </w:p>
        </w:tc>
        <w:tc>
          <w:tcPr>
            <w:tcW w:w="4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CITIBANK, N.A.</w:t>
            </w:r>
          </w:p>
        </w:tc>
        <w:tc>
          <w:tcPr>
            <w:tcW w:w="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65,000,000.00</w:t>
            </w:r>
          </w:p>
        </w:tc>
        <w:tc>
          <w:tcPr>
            <w:tcW w:w="40" w:type="dxa"/>
            <w:vAlign w:val="bottom"/>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CREDIT SUISSE AG</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65,000,000.00</w:t>
            </w:r>
          </w:p>
        </w:tc>
        <w:tc>
          <w:tcPr>
            <w:tcW w:w="4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FIFTH THIRD BANK</w:t>
            </w:r>
          </w:p>
        </w:tc>
        <w:tc>
          <w:tcPr>
            <w:tcW w:w="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65,000,000.00</w:t>
            </w:r>
          </w:p>
        </w:tc>
        <w:tc>
          <w:tcPr>
            <w:tcW w:w="40" w:type="dxa"/>
            <w:vAlign w:val="bottom"/>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MORGAN STANLEY BANK, N.A.</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32,500,000.00</w:t>
            </w:r>
          </w:p>
        </w:tc>
        <w:tc>
          <w:tcPr>
            <w:tcW w:w="4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THE BANK OF TOKYO-MITSUBISHI UFJ, LTD.</w:t>
            </w:r>
          </w:p>
        </w:tc>
        <w:tc>
          <w:tcPr>
            <w:tcW w:w="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32,500,000.00</w:t>
            </w:r>
          </w:p>
        </w:tc>
        <w:tc>
          <w:tcPr>
            <w:tcW w:w="40" w:type="dxa"/>
            <w:vAlign w:val="bottom"/>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THE GOVERNOR AND COMPANY OF THE BANK OF IRELAND</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35,000,000.00</w:t>
            </w:r>
          </w:p>
        </w:tc>
        <w:tc>
          <w:tcPr>
            <w:tcW w:w="4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GOLDMAN SACHS BANK USA</w:t>
            </w:r>
          </w:p>
        </w:tc>
        <w:tc>
          <w:tcPr>
            <w:tcW w:w="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35,000,000.00</w:t>
            </w:r>
          </w:p>
        </w:tc>
        <w:tc>
          <w:tcPr>
            <w:tcW w:w="40" w:type="dxa"/>
            <w:vAlign w:val="bottom"/>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THE NORTHERN TRUST COMPANY</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35,000,000.00</w:t>
            </w:r>
          </w:p>
        </w:tc>
        <w:tc>
          <w:tcPr>
            <w:tcW w:w="4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AGGREGATE COMMITMENT</w:t>
            </w:r>
          </w:p>
        </w:tc>
        <w:tc>
          <w:tcPr>
            <w:tcW w:w="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750,000,000.00</w:t>
            </w:r>
          </w:p>
        </w:tc>
        <w:tc>
          <w:tcPr>
            <w:tcW w:w="40" w:type="dxa"/>
            <w:vAlign w:val="bottom"/>
          </w:tcPr>
          <w:p>
            <w:pPr>
              <w:spacing w:after="0"/>
              <w:rPr>
                <w:sz w:val="18"/>
                <w:szCs w:val="18"/>
                <w:color w:val="auto"/>
              </w:rPr>
            </w:pPr>
          </w:p>
        </w:tc>
      </w:tr>
      <w:tr>
        <w:trPr>
          <w:trHeight w:val="348"/>
        </w:trPr>
        <w:tc>
          <w:tcPr>
            <w:tcW w:w="87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9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3.01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SUBSIDIARIES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Owner</w:t>
            </w:r>
          </w:p>
        </w:tc>
        <w:tc>
          <w:tcPr>
            <w:tcW w:w="21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1140" w:type="dxa"/>
            <w:vAlign w:val="bottom"/>
          </w:tcPr>
          <w:p>
            <w:pPr>
              <w:ind w:left="300"/>
              <w:spacing w:after="0"/>
              <w:rPr>
                <w:sz w:val="20"/>
                <w:szCs w:val="20"/>
                <w:color w:val="auto"/>
              </w:rPr>
            </w:pPr>
            <w:r>
              <w:rPr>
                <w:rFonts w:ascii="Arial" w:cs="Arial" w:eastAsia="Arial" w:hAnsi="Arial"/>
                <w:sz w:val="14"/>
                <w:szCs w:val="14"/>
                <w:b w:val="1"/>
                <w:bCs w:val="1"/>
                <w:color w:val="auto"/>
              </w:rPr>
              <w:t>Material</w:t>
            </w:r>
          </w:p>
        </w:tc>
        <w:tc>
          <w:tcPr>
            <w:tcW w:w="2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w:t>
            </w:r>
          </w:p>
        </w:tc>
        <w:tc>
          <w:tcPr>
            <w:tcW w:w="220" w:type="dxa"/>
            <w:vAlign w:val="bottom"/>
          </w:tcPr>
          <w:p>
            <w:pPr>
              <w:spacing w:after="0"/>
              <w:rPr>
                <w:sz w:val="14"/>
                <w:szCs w:val="14"/>
                <w:color w:val="auto"/>
              </w:rPr>
            </w:pPr>
          </w:p>
        </w:tc>
        <w:tc>
          <w:tcPr>
            <w:tcW w:w="186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71"/>
        </w:trPr>
        <w:tc>
          <w:tcPr>
            <w:tcW w:w="3700" w:type="dxa"/>
            <w:vAlign w:val="bottom"/>
            <w:gridSpan w:val="2"/>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5"/>
              </w:rPr>
              <w:t>Organization</w:t>
            </w:r>
          </w:p>
        </w:tc>
        <w:tc>
          <w:tcPr>
            <w:tcW w:w="22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Regeneron Pharmaceuticals, Inc.</w:t>
            </w:r>
          </w:p>
        </w:tc>
        <w:tc>
          <w:tcPr>
            <w:tcW w:w="24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Regeneron Genetics Center</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No.</w:t>
            </w:r>
          </w:p>
        </w:tc>
        <w:tc>
          <w:tcPr>
            <w:tcW w:w="24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Delaware</w:t>
            </w:r>
          </w:p>
        </w:tc>
        <w:tc>
          <w:tcPr>
            <w:tcW w:w="22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jc w:val="right"/>
              <w:ind w:right="1356"/>
              <w:spacing w:after="0" w:line="195" w:lineRule="exact"/>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LLC</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Regeneron Healthcare</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No.</w:t>
            </w:r>
          </w:p>
        </w:tc>
        <w:tc>
          <w:tcPr>
            <w:tcW w:w="21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w:t>
            </w:r>
          </w:p>
        </w:tc>
        <w:tc>
          <w:tcPr>
            <w:tcW w:w="2080" w:type="dxa"/>
            <w:vAlign w:val="bottom"/>
            <w:gridSpan w:val="2"/>
            <w:shd w:val="clear" w:color="auto" w:fill="CCEEFF"/>
          </w:tcPr>
          <w:p>
            <w:pPr>
              <w:jc w:val="right"/>
              <w:ind w:right="135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Solutions, Inc.</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Regeneron International</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No.</w:t>
            </w:r>
          </w:p>
        </w:tc>
        <w:tc>
          <w:tcPr>
            <w:tcW w:w="24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80" w:type="dxa"/>
            <w:vAlign w:val="bottom"/>
            <w:gridSpan w:val="2"/>
            <w:shd w:val="clear" w:color="auto" w:fill="CCEEFF"/>
          </w:tcPr>
          <w:p>
            <w:pPr>
              <w:jc w:val="right"/>
              <w:ind w:right="135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Holdings LLC</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Regeneron UK Limited</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No.</w:t>
            </w:r>
          </w:p>
        </w:tc>
        <w:tc>
          <w:tcPr>
            <w:tcW w:w="24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2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356"/>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bl>
    <w:p>
      <w:pPr>
        <w:sectPr>
          <w:pgSz w:w="11900" w:h="16897" w:orient="portrait"/>
          <w:cols w:equalWidth="0" w:num="1">
            <w:col w:w="11460"/>
          </w:cols>
          <w:pgMar w:left="240" w:top="557" w:right="199" w:bottom="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Regeneron International Holdings LLC</w:t>
            </w:r>
          </w:p>
        </w:tc>
        <w:tc>
          <w:tcPr>
            <w:tcW w:w="2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OSMR Holdings</w:t>
            </w:r>
          </w:p>
        </w:tc>
        <w:tc>
          <w:tcPr>
            <w:tcW w:w="1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w:t>
            </w:r>
          </w:p>
        </w:tc>
        <w:tc>
          <w:tcPr>
            <w:tcW w:w="2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Bermuda</w:t>
            </w:r>
          </w:p>
        </w:tc>
        <w:tc>
          <w:tcPr>
            <w:tcW w:w="2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60" w:type="dxa"/>
            <w:vAlign w:val="bottom"/>
            <w:shd w:val="clear" w:color="auto" w:fill="CCEEFF"/>
          </w:tcPr>
          <w:p>
            <w:pPr>
              <w:spacing w:after="0"/>
              <w:rPr>
                <w:sz w:val="24"/>
                <w:szCs w:val="24"/>
                <w:color w:val="auto"/>
              </w:rPr>
            </w:pPr>
          </w:p>
        </w:tc>
        <w:tc>
          <w:tcPr>
            <w:tcW w:w="2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OSMR International</w:t>
            </w:r>
          </w:p>
        </w:tc>
        <w:tc>
          <w:tcPr>
            <w:tcW w:w="1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w:t>
            </w:r>
          </w:p>
        </w:tc>
        <w:tc>
          <w:tcPr>
            <w:tcW w:w="2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Bermuda</w:t>
            </w:r>
          </w:p>
        </w:tc>
        <w:tc>
          <w:tcPr>
            <w:tcW w:w="2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560" w:type="dxa"/>
            <w:vAlign w:val="bottom"/>
            <w:shd w:val="clear" w:color="auto" w:fill="CCEEFF"/>
          </w:tcPr>
          <w:p>
            <w:pPr>
              <w:spacing w:after="0"/>
              <w:rPr>
                <w:sz w:val="24"/>
                <w:szCs w:val="24"/>
                <w:color w:val="auto"/>
              </w:rPr>
            </w:pPr>
          </w:p>
        </w:tc>
        <w:tc>
          <w:tcPr>
            <w:tcW w:w="2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Regeneron International</w:t>
            </w:r>
          </w:p>
        </w:tc>
        <w:tc>
          <w:tcPr>
            <w:tcW w:w="1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w:t>
            </w:r>
          </w:p>
        </w:tc>
        <w:tc>
          <w:tcPr>
            <w:tcW w:w="2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Ireland</w:t>
            </w:r>
          </w:p>
        </w:tc>
        <w:tc>
          <w:tcPr>
            <w:tcW w:w="2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99.98%(1)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(8,999 A Ordinary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4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7"/>
              </w:rPr>
              <w:t>999 B Ordinary Shares)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Regeneron International</w:t>
            </w:r>
          </w:p>
        </w:tc>
        <w:tc>
          <w:tcPr>
            <w:tcW w:w="22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Regeneron Ireland Holdings</w:t>
            </w:r>
          </w:p>
        </w:tc>
        <w:tc>
          <w:tcPr>
            <w:tcW w:w="1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w:t>
            </w:r>
          </w:p>
        </w:tc>
        <w:tc>
          <w:tcPr>
            <w:tcW w:w="2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Ireland</w:t>
            </w:r>
          </w:p>
        </w:tc>
        <w:tc>
          <w:tcPr>
            <w:tcW w:w="2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99.99%(2)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Regeneron Ireland Holdings</w:t>
            </w:r>
          </w:p>
        </w:tc>
        <w:tc>
          <w:tcPr>
            <w:tcW w:w="2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Regeneron Ireland</w:t>
            </w:r>
          </w:p>
        </w:tc>
        <w:tc>
          <w:tcPr>
            <w:tcW w:w="1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w:t>
            </w:r>
          </w:p>
        </w:tc>
        <w:tc>
          <w:tcPr>
            <w:tcW w:w="2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Ireland</w:t>
            </w:r>
          </w:p>
        </w:tc>
        <w:tc>
          <w:tcPr>
            <w:tcW w:w="2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99.99%(3)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Regeneron Ireland</w:t>
            </w:r>
          </w:p>
        </w:tc>
        <w:tc>
          <w:tcPr>
            <w:tcW w:w="2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Regeneron Capital</w:t>
            </w:r>
          </w:p>
        </w:tc>
        <w:tc>
          <w:tcPr>
            <w:tcW w:w="10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No.</w:t>
            </w:r>
          </w:p>
        </w:tc>
        <w:tc>
          <w:tcPr>
            <w:tcW w:w="204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Netherlands</w:t>
            </w:r>
          </w:p>
        </w:tc>
        <w:tc>
          <w:tcPr>
            <w:tcW w:w="246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CEEFF"/>
          </w:tcPr>
          <w:p>
            <w:pPr>
              <w:spacing w:after="0"/>
              <w:rPr>
                <w:sz w:val="20"/>
                <w:szCs w:val="20"/>
                <w:color w:val="auto"/>
              </w:rPr>
            </w:pPr>
          </w:p>
        </w:tc>
        <w:tc>
          <w:tcPr>
            <w:tcW w:w="2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International B.V.</w:t>
            </w:r>
          </w:p>
        </w:tc>
        <w:tc>
          <w:tcPr>
            <w:tcW w:w="10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205740</wp:posOffset>
            </wp:positionV>
            <wp:extent cx="17583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hanging="492"/>
        <w:spacing w:after="0"/>
        <w:tabs>
          <w:tab w:leader="none" w:pos="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0.02% held by OSMR International (1 A Ordinary Share; 1 B Ordinary Share).</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0.01% held by OSMR Holdings.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0.01% held by OSMR Holdings (1 share as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ind w:right="200" w:firstLine="1297"/>
        <w:spacing w:after="0" w:line="276" w:lineRule="auto"/>
        <w:rPr>
          <w:sz w:val="20"/>
          <w:szCs w:val="20"/>
          <w:color w:val="auto"/>
        </w:rPr>
      </w:pPr>
      <w:r>
        <w:rPr>
          <w:rFonts w:ascii="Arial" w:cs="Arial" w:eastAsia="Arial" w:hAnsi="Arial"/>
          <w:sz w:val="17"/>
          <w:szCs w:val="17"/>
          <w:color w:val="auto"/>
        </w:rPr>
        <w:t>This Assignment and Assumption (the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Assumption</w:t>
      </w:r>
      <w:r>
        <w:rPr>
          <w:rFonts w:ascii="Arial" w:cs="Arial" w:eastAsia="Arial" w:hAnsi="Arial"/>
          <w:sz w:val="17"/>
          <w:szCs w:val="17"/>
          <w:color w:val="auto"/>
        </w:rPr>
        <w:t>”) is dated as of the Effective Date set forth below and is entered into by and between [</w:t>
      </w:r>
      <w:r>
        <w:rPr>
          <w:rFonts w:ascii="Arial" w:cs="Arial" w:eastAsia="Arial" w:hAnsi="Arial"/>
          <w:sz w:val="17"/>
          <w:szCs w:val="17"/>
          <w:i w:val="1"/>
          <w:iCs w:val="1"/>
          <w:color w:val="auto"/>
        </w:rPr>
        <w:t>Insert name of Assignor</w:t>
      </w:r>
      <w:r>
        <w:rPr>
          <w:rFonts w:ascii="Arial" w:cs="Arial" w:eastAsia="Arial" w:hAnsi="Arial"/>
          <w:sz w:val="17"/>
          <w:szCs w:val="17"/>
          <w:color w:val="auto"/>
        </w:rPr>
        <w:t>] (the “</w:t>
      </w:r>
      <w:r>
        <w:rPr>
          <w:rFonts w:ascii="Arial" w:cs="Arial" w:eastAsia="Arial" w:hAnsi="Arial"/>
          <w:sz w:val="17"/>
          <w:szCs w:val="17"/>
          <w:u w:val="single" w:color="auto"/>
          <w:color w:val="auto"/>
        </w:rPr>
        <w:t>Assignor</w:t>
      </w:r>
      <w:r>
        <w:rPr>
          <w:rFonts w:ascii="Arial" w:cs="Arial" w:eastAsia="Arial" w:hAnsi="Arial"/>
          <w:sz w:val="17"/>
          <w:szCs w:val="17"/>
          <w:color w:val="auto"/>
        </w:rPr>
        <w:t>”) and [</w:t>
      </w:r>
      <w:r>
        <w:rPr>
          <w:rFonts w:ascii="Arial" w:cs="Arial" w:eastAsia="Arial" w:hAnsi="Arial"/>
          <w:sz w:val="17"/>
          <w:szCs w:val="17"/>
          <w:i w:val="1"/>
          <w:iCs w:val="1"/>
          <w:color w:val="auto"/>
        </w:rPr>
        <w:t>Insert name of Assignee</w:t>
      </w:r>
      <w:r>
        <w:rPr>
          <w:rFonts w:ascii="Arial" w:cs="Arial" w:eastAsia="Arial" w:hAnsi="Arial"/>
          <w:sz w:val="17"/>
          <w:szCs w:val="17"/>
          <w:color w:val="auto"/>
        </w:rPr>
        <w:t>] (the “</w:t>
      </w:r>
      <w:r>
        <w:rPr>
          <w:rFonts w:ascii="Arial" w:cs="Arial" w:eastAsia="Arial" w:hAnsi="Arial"/>
          <w:sz w:val="17"/>
          <w:szCs w:val="17"/>
          <w:u w:val="single" w:color="auto"/>
          <w:color w:val="auto"/>
        </w:rPr>
        <w:t>Assignee</w:t>
      </w:r>
      <w:r>
        <w:rPr>
          <w:rFonts w:ascii="Arial" w:cs="Arial" w:eastAsia="Arial" w:hAnsi="Arial"/>
          <w:sz w:val="17"/>
          <w:szCs w:val="17"/>
          <w:color w:val="auto"/>
        </w:rPr>
        <w:t>”). Capitalized terms used but not defined herein shall have the meanings given to them in the Credit Agreement identified below (as amended,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73" w:lineRule="exact"/>
        <w:rPr>
          <w:sz w:val="20"/>
          <w:szCs w:val="20"/>
          <w:color w:val="auto"/>
        </w:rPr>
      </w:pPr>
    </w:p>
    <w:p>
      <w:pPr>
        <w:ind w:right="60" w:firstLine="1297"/>
        <w:spacing w:after="0" w:line="269" w:lineRule="auto"/>
        <w:rPr>
          <w:sz w:val="20"/>
          <w:szCs w:val="20"/>
          <w:color w:val="auto"/>
        </w:rPr>
      </w:pPr>
      <w:r>
        <w:rPr>
          <w:rFonts w:ascii="Arial" w:cs="Arial" w:eastAsia="Arial" w:hAnsi="Arial"/>
          <w:sz w:val="17"/>
          <w:szCs w:val="17"/>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180" w:lineRule="exact"/>
        <w:rPr>
          <w:sz w:val="20"/>
          <w:szCs w:val="20"/>
          <w:color w:val="auto"/>
        </w:rPr>
      </w:pPr>
    </w:p>
    <w:p>
      <w:pPr>
        <w:ind w:left="920" w:hanging="912"/>
        <w:spacing w:after="0"/>
        <w:tabs>
          <w:tab w:leader="none" w:pos="9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Assignor:</w:t>
      </w:r>
    </w:p>
    <w:p>
      <w:pPr>
        <w:spacing w:after="0" w:line="225" w:lineRule="exact"/>
        <w:rPr>
          <w:rFonts w:ascii="Arial" w:cs="Arial" w:eastAsia="Arial" w:hAnsi="Arial"/>
          <w:sz w:val="18"/>
          <w:szCs w:val="18"/>
          <w:color w:val="auto"/>
        </w:rPr>
      </w:pPr>
    </w:p>
    <w:p>
      <w:pPr>
        <w:ind w:left="920" w:hanging="912"/>
        <w:spacing w:after="0"/>
        <w:tabs>
          <w:tab w:leader="none" w:pos="9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Assignee:</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[and is an Affiliate/Approved Fund of [identify Lender](1)]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18"/>
                <w:szCs w:val="18"/>
                <w:color w:val="auto"/>
              </w:rPr>
              <w:t>3.</w:t>
            </w:r>
          </w:p>
        </w:tc>
        <w:tc>
          <w:tcPr>
            <w:tcW w:w="2620" w:type="dxa"/>
            <w:vAlign w:val="bottom"/>
          </w:tcPr>
          <w:p>
            <w:pPr>
              <w:ind w:left="660"/>
              <w:spacing w:after="0"/>
              <w:rPr>
                <w:sz w:val="20"/>
                <w:szCs w:val="20"/>
                <w:color w:val="auto"/>
              </w:rPr>
            </w:pPr>
            <w:r>
              <w:rPr>
                <w:rFonts w:ascii="Arial" w:cs="Arial" w:eastAsia="Arial" w:hAnsi="Arial"/>
                <w:sz w:val="18"/>
                <w:szCs w:val="18"/>
                <w:color w:val="auto"/>
              </w:rPr>
              <w:t>Borrowers:</w:t>
            </w:r>
          </w:p>
        </w:tc>
        <w:tc>
          <w:tcPr>
            <w:tcW w:w="8580" w:type="dxa"/>
            <w:vAlign w:val="bottom"/>
          </w:tcPr>
          <w:p>
            <w:pPr>
              <w:ind w:left="440"/>
              <w:spacing w:after="0"/>
              <w:rPr>
                <w:sz w:val="20"/>
                <w:szCs w:val="20"/>
                <w:color w:val="auto"/>
              </w:rPr>
            </w:pPr>
            <w:r>
              <w:rPr>
                <w:rFonts w:ascii="Arial" w:cs="Arial" w:eastAsia="Arial" w:hAnsi="Arial"/>
                <w:sz w:val="18"/>
                <w:szCs w:val="18"/>
                <w:color w:val="auto"/>
              </w:rPr>
              <w:t>Regeneron Pharmaceuticals, Inc. and certain Subsidiary Borrowers</w:t>
            </w:r>
          </w:p>
        </w:tc>
      </w:tr>
      <w:tr>
        <w:trPr>
          <w:trHeight w:val="432"/>
        </w:trPr>
        <w:tc>
          <w:tcPr>
            <w:tcW w:w="260" w:type="dxa"/>
            <w:vAlign w:val="bottom"/>
          </w:tcPr>
          <w:p>
            <w:pPr>
              <w:spacing w:after="0"/>
              <w:rPr>
                <w:sz w:val="20"/>
                <w:szCs w:val="20"/>
                <w:color w:val="auto"/>
              </w:rPr>
            </w:pPr>
            <w:r>
              <w:rPr>
                <w:rFonts w:ascii="Arial" w:cs="Arial" w:eastAsia="Arial" w:hAnsi="Arial"/>
                <w:sz w:val="18"/>
                <w:szCs w:val="18"/>
                <w:color w:val="auto"/>
              </w:rPr>
              <w:t>4.</w:t>
            </w:r>
          </w:p>
        </w:tc>
        <w:tc>
          <w:tcPr>
            <w:tcW w:w="2620" w:type="dxa"/>
            <w:vAlign w:val="bottom"/>
          </w:tcPr>
          <w:p>
            <w:pPr>
              <w:ind w:left="660"/>
              <w:spacing w:after="0"/>
              <w:rPr>
                <w:sz w:val="20"/>
                <w:szCs w:val="20"/>
                <w:color w:val="auto"/>
              </w:rPr>
            </w:pPr>
            <w:r>
              <w:rPr>
                <w:rFonts w:ascii="Arial" w:cs="Arial" w:eastAsia="Arial" w:hAnsi="Arial"/>
                <w:sz w:val="18"/>
                <w:szCs w:val="18"/>
                <w:color w:val="auto"/>
              </w:rPr>
              <w:t>Administrative Agent:</w:t>
            </w:r>
          </w:p>
        </w:tc>
        <w:tc>
          <w:tcPr>
            <w:tcW w:w="8580" w:type="dxa"/>
            <w:vAlign w:val="bottom"/>
          </w:tcPr>
          <w:p>
            <w:pPr>
              <w:ind w:left="440"/>
              <w:spacing w:after="0"/>
              <w:rPr>
                <w:sz w:val="20"/>
                <w:szCs w:val="20"/>
                <w:color w:val="auto"/>
              </w:rPr>
            </w:pPr>
            <w:r>
              <w:rPr>
                <w:rFonts w:ascii="Arial" w:cs="Arial" w:eastAsia="Arial" w:hAnsi="Arial"/>
                <w:sz w:val="18"/>
                <w:szCs w:val="18"/>
                <w:color w:val="auto"/>
              </w:rPr>
              <w:t>JPMorgan Chase Bank, N.A., as the administrative agent under the Credit Agreement</w:t>
            </w:r>
          </w:p>
        </w:tc>
      </w:tr>
      <w:tr>
        <w:trPr>
          <w:trHeight w:val="418"/>
        </w:trPr>
        <w:tc>
          <w:tcPr>
            <w:tcW w:w="260" w:type="dxa"/>
            <w:vAlign w:val="bottom"/>
          </w:tcPr>
          <w:p>
            <w:pPr>
              <w:spacing w:after="0"/>
              <w:rPr>
                <w:sz w:val="20"/>
                <w:szCs w:val="20"/>
                <w:color w:val="auto"/>
              </w:rPr>
            </w:pPr>
            <w:r>
              <w:rPr>
                <w:rFonts w:ascii="Arial" w:cs="Arial" w:eastAsia="Arial" w:hAnsi="Arial"/>
                <w:sz w:val="18"/>
                <w:szCs w:val="18"/>
                <w:color w:val="auto"/>
              </w:rPr>
              <w:t>5.</w:t>
            </w:r>
          </w:p>
        </w:tc>
        <w:tc>
          <w:tcPr>
            <w:tcW w:w="2620" w:type="dxa"/>
            <w:vAlign w:val="bottom"/>
          </w:tcPr>
          <w:p>
            <w:pPr>
              <w:ind w:left="660"/>
              <w:spacing w:after="0"/>
              <w:rPr>
                <w:sz w:val="20"/>
                <w:szCs w:val="20"/>
                <w:color w:val="auto"/>
              </w:rPr>
            </w:pPr>
            <w:r>
              <w:rPr>
                <w:rFonts w:ascii="Arial" w:cs="Arial" w:eastAsia="Arial" w:hAnsi="Arial"/>
                <w:sz w:val="18"/>
                <w:szCs w:val="18"/>
                <w:color w:val="auto"/>
              </w:rPr>
              <w:t>Credit Agreement:</w:t>
            </w:r>
          </w:p>
        </w:tc>
        <w:tc>
          <w:tcPr>
            <w:tcW w:w="8580" w:type="dxa"/>
            <w:vAlign w:val="bottom"/>
          </w:tcPr>
          <w:p>
            <w:pPr>
              <w:ind w:left="440"/>
              <w:spacing w:after="0"/>
              <w:rPr>
                <w:sz w:val="20"/>
                <w:szCs w:val="20"/>
                <w:color w:val="auto"/>
              </w:rPr>
            </w:pPr>
            <w:r>
              <w:rPr>
                <w:rFonts w:ascii="Arial" w:cs="Arial" w:eastAsia="Arial" w:hAnsi="Arial"/>
                <w:sz w:val="18"/>
                <w:szCs w:val="18"/>
                <w:color w:val="auto"/>
                <w:w w:val="94"/>
              </w:rPr>
              <w:t>The Credit Agreement dated as of March 19, 2015 among Regeneron Pharmaceuticals, Inc., the Subsidiary</w:t>
            </w:r>
          </w:p>
        </w:tc>
      </w:tr>
      <w:tr>
        <w:trPr>
          <w:trHeight w:val="216"/>
        </w:trPr>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580" w:type="dxa"/>
            <w:vAlign w:val="bottom"/>
          </w:tcPr>
          <w:p>
            <w:pPr>
              <w:ind w:left="440"/>
              <w:spacing w:after="0"/>
              <w:rPr>
                <w:sz w:val="20"/>
                <w:szCs w:val="20"/>
                <w:color w:val="auto"/>
              </w:rPr>
            </w:pPr>
            <w:r>
              <w:rPr>
                <w:rFonts w:ascii="Arial" w:cs="Arial" w:eastAsia="Arial" w:hAnsi="Arial"/>
                <w:sz w:val="18"/>
                <w:szCs w:val="18"/>
                <w:color w:val="auto"/>
                <w:w w:val="97"/>
              </w:rPr>
              <w:t>Borrowers from time to time parties thereto, the Lenders parties thereto, JPMorgan Chase Bank, N.A., as</w:t>
            </w:r>
          </w:p>
        </w:tc>
      </w:tr>
      <w:tr>
        <w:trPr>
          <w:trHeight w:val="230"/>
        </w:trPr>
        <w:tc>
          <w:tcPr>
            <w:tcW w:w="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580" w:type="dxa"/>
            <w:vAlign w:val="bottom"/>
          </w:tcPr>
          <w:p>
            <w:pPr>
              <w:ind w:left="440"/>
              <w:spacing w:after="0"/>
              <w:rPr>
                <w:sz w:val="20"/>
                <w:szCs w:val="20"/>
                <w:color w:val="auto"/>
              </w:rPr>
            </w:pPr>
            <w:r>
              <w:rPr>
                <w:rFonts w:ascii="Arial" w:cs="Arial" w:eastAsia="Arial" w:hAnsi="Arial"/>
                <w:sz w:val="18"/>
                <w:szCs w:val="18"/>
                <w:color w:val="auto"/>
              </w:rPr>
              <w:t>Administrative Agent, and the other agents parties thereto</w:t>
            </w:r>
          </w:p>
        </w:tc>
      </w:tr>
      <w:tr>
        <w:trPr>
          <w:trHeight w:val="324"/>
        </w:trPr>
        <w:tc>
          <w:tcPr>
            <w:tcW w:w="2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8580" w:type="dxa"/>
            <w:vAlign w:val="bottom"/>
          </w:tcPr>
          <w:p>
            <w:pPr>
              <w:spacing w:after="0"/>
              <w:rPr>
                <w:sz w:val="24"/>
                <w:szCs w:val="24"/>
                <w:color w:val="auto"/>
              </w:rPr>
            </w:pPr>
          </w:p>
        </w:tc>
      </w:tr>
      <w:tr>
        <w:trPr>
          <w:trHeight w:val="318"/>
        </w:trPr>
        <w:tc>
          <w:tcPr>
            <w:tcW w:w="260" w:type="dxa"/>
            <w:vAlign w:val="bottom"/>
          </w:tcPr>
          <w:p>
            <w:pPr>
              <w:spacing w:after="0"/>
              <w:rPr>
                <w:sz w:val="20"/>
                <w:szCs w:val="20"/>
                <w:color w:val="auto"/>
              </w:rPr>
            </w:pPr>
            <w:r>
              <w:rPr>
                <w:rFonts w:ascii="Arial" w:cs="Arial" w:eastAsia="Arial" w:hAnsi="Arial"/>
                <w:sz w:val="18"/>
                <w:szCs w:val="18"/>
                <w:color w:val="auto"/>
              </w:rPr>
              <w:t>(1)</w:t>
            </w:r>
          </w:p>
        </w:tc>
        <w:tc>
          <w:tcPr>
            <w:tcW w:w="2620" w:type="dxa"/>
            <w:vAlign w:val="bottom"/>
          </w:tcPr>
          <w:p>
            <w:pPr>
              <w:ind w:left="40"/>
              <w:spacing w:after="0"/>
              <w:rPr>
                <w:sz w:val="20"/>
                <w:szCs w:val="20"/>
                <w:color w:val="auto"/>
              </w:rPr>
            </w:pPr>
            <w:r>
              <w:rPr>
                <w:rFonts w:ascii="Arial" w:cs="Arial" w:eastAsia="Arial" w:hAnsi="Arial"/>
                <w:sz w:val="18"/>
                <w:szCs w:val="18"/>
                <w:color w:val="auto"/>
              </w:rPr>
              <w:t>Select as applicable.</w:t>
            </w:r>
          </w:p>
        </w:tc>
        <w:tc>
          <w:tcPr>
            <w:tcW w:w="8580" w:type="dxa"/>
            <w:vAlign w:val="bottom"/>
          </w:tcPr>
          <w:p>
            <w:pPr>
              <w:spacing w:after="0"/>
              <w:rPr>
                <w:sz w:val="24"/>
                <w:szCs w:val="24"/>
                <w:color w:val="auto"/>
              </w:rPr>
            </w:pPr>
          </w:p>
        </w:tc>
      </w:tr>
      <w:tr>
        <w:trPr>
          <w:trHeight w:val="348"/>
        </w:trPr>
        <w:tc>
          <w:tcPr>
            <w:tcW w:w="260" w:type="dxa"/>
            <w:vAlign w:val="bottom"/>
            <w:tcBorders>
              <w:bottom w:val="single" w:sz="8" w:color="010101"/>
            </w:tcBorders>
          </w:tcPr>
          <w:p>
            <w:pPr>
              <w:spacing w:after="0"/>
              <w:rPr>
                <w:sz w:val="24"/>
                <w:szCs w:val="24"/>
                <w:color w:val="auto"/>
              </w:rPr>
            </w:pPr>
          </w:p>
        </w:tc>
        <w:tc>
          <w:tcPr>
            <w:tcW w:w="2620" w:type="dxa"/>
            <w:vAlign w:val="bottom"/>
            <w:tcBorders>
              <w:bottom w:val="single" w:sz="8" w:color="010101"/>
            </w:tcBorders>
          </w:tcPr>
          <w:p>
            <w:pPr>
              <w:spacing w:after="0"/>
              <w:rPr>
                <w:sz w:val="24"/>
                <w:szCs w:val="24"/>
                <w:color w:val="auto"/>
              </w:rPr>
            </w:pPr>
          </w:p>
        </w:tc>
        <w:tc>
          <w:tcPr>
            <w:tcW w:w="85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6.</w:t>
            </w:r>
          </w:p>
        </w:tc>
        <w:tc>
          <w:tcPr>
            <w:tcW w:w="3000" w:type="dxa"/>
            <w:vAlign w:val="bottom"/>
          </w:tcPr>
          <w:p>
            <w:pPr>
              <w:ind w:left="380"/>
              <w:spacing w:after="0"/>
              <w:rPr>
                <w:sz w:val="20"/>
                <w:szCs w:val="20"/>
                <w:color w:val="auto"/>
              </w:rPr>
            </w:pPr>
            <w:r>
              <w:rPr>
                <w:rFonts w:ascii="Arial" w:cs="Arial" w:eastAsia="Arial" w:hAnsi="Arial"/>
                <w:sz w:val="18"/>
                <w:szCs w:val="18"/>
                <w:color w:val="auto"/>
              </w:rPr>
              <w:t>Assigned Interest:</w:t>
            </w:r>
          </w:p>
        </w:tc>
        <w:tc>
          <w:tcPr>
            <w:tcW w:w="3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540" w:type="dxa"/>
            <w:vAlign w:val="bottom"/>
          </w:tcPr>
          <w:p>
            <w:pPr>
              <w:spacing w:after="0"/>
              <w:rPr>
                <w:sz w:val="24"/>
                <w:szCs w:val="24"/>
                <w:color w:val="auto"/>
              </w:rPr>
            </w:pPr>
          </w:p>
        </w:tc>
        <w:tc>
          <w:tcPr>
            <w:tcW w:w="3000" w:type="dxa"/>
            <w:vAlign w:val="bottom"/>
          </w:tcPr>
          <w:p>
            <w:pPr>
              <w:jc w:val="center"/>
              <w:ind w:right="444"/>
              <w:spacing w:after="0"/>
              <w:rPr>
                <w:sz w:val="20"/>
                <w:szCs w:val="20"/>
                <w:color w:val="auto"/>
              </w:rPr>
            </w:pPr>
            <w:r>
              <w:rPr>
                <w:rFonts w:ascii="Arial" w:cs="Arial" w:eastAsia="Arial" w:hAnsi="Arial"/>
                <w:sz w:val="14"/>
                <w:szCs w:val="14"/>
                <w:b w:val="1"/>
                <w:bCs w:val="1"/>
                <w:color w:val="auto"/>
                <w:w w:val="92"/>
              </w:rPr>
              <w:t>Aggregate Amount of</w:t>
            </w:r>
          </w:p>
        </w:tc>
        <w:tc>
          <w:tcPr>
            <w:tcW w:w="340" w:type="dxa"/>
            <w:vAlign w:val="bottom"/>
          </w:tcPr>
          <w:p>
            <w:pPr>
              <w:spacing w:after="0"/>
              <w:rPr>
                <w:sz w:val="24"/>
                <w:szCs w:val="24"/>
                <w:color w:val="auto"/>
              </w:rPr>
            </w:pP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Amount of Commitment/Loans</w:t>
            </w:r>
          </w:p>
        </w:tc>
        <w:tc>
          <w:tcPr>
            <w:tcW w:w="3680" w:type="dxa"/>
            <w:vAlign w:val="bottom"/>
            <w:gridSpan w:val="2"/>
            <w:vMerge w:val="restart"/>
          </w:tcPr>
          <w:p>
            <w:pPr>
              <w:jc w:val="right"/>
              <w:ind w:right="1130"/>
              <w:spacing w:after="0"/>
              <w:rPr>
                <w:sz w:val="20"/>
                <w:szCs w:val="20"/>
                <w:color w:val="auto"/>
              </w:rPr>
            </w:pPr>
            <w:r>
              <w:rPr>
                <w:rFonts w:ascii="Arial" w:cs="Arial" w:eastAsia="Arial" w:hAnsi="Arial"/>
                <w:sz w:val="14"/>
                <w:szCs w:val="14"/>
                <w:b w:val="1"/>
                <w:bCs w:val="1"/>
                <w:color w:val="auto"/>
              </w:rPr>
              <w:t>Percentage Assigned of</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000" w:type="dxa"/>
            <w:vAlign w:val="bottom"/>
          </w:tcPr>
          <w:p>
            <w:pPr>
              <w:jc w:val="center"/>
              <w:ind w:right="444"/>
              <w:spacing w:after="0" w:line="149" w:lineRule="exact"/>
              <w:rPr>
                <w:sz w:val="20"/>
                <w:szCs w:val="20"/>
                <w:color w:val="auto"/>
              </w:rPr>
            </w:pPr>
            <w:r>
              <w:rPr>
                <w:rFonts w:ascii="Arial" w:cs="Arial" w:eastAsia="Arial" w:hAnsi="Arial"/>
                <w:sz w:val="14"/>
                <w:szCs w:val="14"/>
                <w:b w:val="1"/>
                <w:bCs w:val="1"/>
                <w:color w:val="auto"/>
                <w:w w:val="94"/>
              </w:rPr>
              <w:t>Commitment/Loans for all</w:t>
            </w:r>
          </w:p>
        </w:tc>
        <w:tc>
          <w:tcPr>
            <w:tcW w:w="340" w:type="dxa"/>
            <w:vAlign w:val="bottom"/>
          </w:tcPr>
          <w:p>
            <w:pPr>
              <w:spacing w:after="0"/>
              <w:rPr>
                <w:sz w:val="12"/>
                <w:szCs w:val="12"/>
                <w:color w:val="auto"/>
              </w:rPr>
            </w:pPr>
          </w:p>
        </w:tc>
        <w:tc>
          <w:tcPr>
            <w:tcW w:w="3860" w:type="dxa"/>
            <w:vAlign w:val="bottom"/>
            <w:gridSpan w:val="2"/>
            <w:vMerge w:val="continue"/>
          </w:tcPr>
          <w:p>
            <w:pPr>
              <w:spacing w:after="0"/>
              <w:rPr>
                <w:sz w:val="12"/>
                <w:szCs w:val="12"/>
                <w:color w:val="auto"/>
              </w:rPr>
            </w:pPr>
          </w:p>
        </w:tc>
        <w:tc>
          <w:tcPr>
            <w:tcW w:w="3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3000" w:type="dxa"/>
            <w:vAlign w:val="bottom"/>
          </w:tcPr>
          <w:p>
            <w:pPr>
              <w:jc w:val="center"/>
              <w:ind w:right="464"/>
              <w:spacing w:after="0"/>
              <w:rPr>
                <w:sz w:val="20"/>
                <w:szCs w:val="20"/>
                <w:color w:val="auto"/>
              </w:rPr>
            </w:pPr>
            <w:r>
              <w:rPr>
                <w:rFonts w:ascii="Arial" w:cs="Arial" w:eastAsia="Arial" w:hAnsi="Arial"/>
                <w:sz w:val="14"/>
                <w:szCs w:val="14"/>
                <w:b w:val="1"/>
                <w:bCs w:val="1"/>
                <w:color w:val="auto"/>
                <w:w w:val="91"/>
              </w:rPr>
              <w:t>Lenders</w:t>
            </w:r>
          </w:p>
        </w:tc>
        <w:tc>
          <w:tcPr>
            <w:tcW w:w="340" w:type="dxa"/>
            <w:vAlign w:val="bottom"/>
          </w:tcPr>
          <w:p>
            <w:pPr>
              <w:spacing w:after="0"/>
              <w:rPr>
                <w:sz w:val="14"/>
                <w:szCs w:val="14"/>
                <w:color w:val="auto"/>
              </w:rPr>
            </w:pPr>
          </w:p>
        </w:tc>
        <w:tc>
          <w:tcPr>
            <w:tcW w:w="3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Assigned</w:t>
            </w:r>
          </w:p>
        </w:tc>
        <w:tc>
          <w:tcPr>
            <w:tcW w:w="3680" w:type="dxa"/>
            <w:vAlign w:val="bottom"/>
            <w:gridSpan w:val="2"/>
          </w:tcPr>
          <w:p>
            <w:pPr>
              <w:jc w:val="right"/>
              <w:ind w:right="1130"/>
              <w:spacing w:after="0"/>
              <w:rPr>
                <w:sz w:val="20"/>
                <w:szCs w:val="20"/>
                <w:color w:val="auto"/>
              </w:rPr>
            </w:pPr>
            <w:r>
              <w:rPr>
                <w:rFonts w:ascii="Arial" w:cs="Arial" w:eastAsia="Arial" w:hAnsi="Arial"/>
                <w:sz w:val="14"/>
                <w:szCs w:val="14"/>
                <w:b w:val="1"/>
                <w:bCs w:val="1"/>
                <w:color w:val="auto"/>
              </w:rPr>
              <w:t>Commitment/Loans(2)</w:t>
            </w:r>
          </w:p>
        </w:tc>
        <w:tc>
          <w:tcPr>
            <w:tcW w:w="0" w:type="dxa"/>
            <w:vAlign w:val="bottom"/>
          </w:tcPr>
          <w:p>
            <w:pPr>
              <w:spacing w:after="0"/>
              <w:rPr>
                <w:sz w:val="1"/>
                <w:szCs w:val="1"/>
                <w:color w:val="auto"/>
              </w:rPr>
            </w:pPr>
          </w:p>
        </w:tc>
      </w:tr>
      <w:tr>
        <w:trPr>
          <w:trHeight w:val="210"/>
        </w:trPr>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jc w:val="right"/>
              <w:ind w:right="334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3000" w:type="dxa"/>
            <w:vAlign w:val="bottom"/>
          </w:tcPr>
          <w:p>
            <w:pPr>
              <w:spacing w:after="0"/>
              <w:rPr>
                <w:sz w:val="18"/>
                <w:szCs w:val="18"/>
                <w:color w:val="auto"/>
              </w:rPr>
            </w:pPr>
          </w:p>
        </w:tc>
        <w:tc>
          <w:tcPr>
            <w:tcW w:w="3860" w:type="dxa"/>
            <w:vAlign w:val="bottom"/>
            <w:gridSpan w:val="2"/>
          </w:tcPr>
          <w:p>
            <w:pPr>
              <w:jc w:val="right"/>
              <w:ind w:right="334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jc w:val="right"/>
              <w:ind w:right="334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60"/>
          </w:cols>
          <w:pgMar w:left="240" w:top="356" w:right="199" w:bottom="0" w:gutter="0" w:footer="0" w:header="0"/>
        </w:sectPr>
      </w:pPr>
    </w:p>
    <w:bookmarkStart w:id="65" w:name="page66"/>
    <w:bookmarkEnd w:id="65"/>
    <w:p>
      <w:pPr>
        <w:spacing w:after="0" w:line="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Effective Date: , 20 [TO BE INSERTED BY ADMINISTRATIVE AGENT AND WHICH SHALL BE THE EFFECTIVE DATE OF RECORDATION OF TRANSFER IN THE REGISTER THEREFOR.]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ASSIGNOR</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ASSIGNOR]</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ASSIGNEE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ASSIGNEE]</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 an Issuing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Swingline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33102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an Issuing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33102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10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18268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660" w:right="3960" w:hanging="5652"/>
        <w:spacing w:after="0" w:line="528" w:lineRule="auto"/>
        <w:tabs>
          <w:tab w:leader="none" w:pos="29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Set forth, so at least 9 decimals, as percentage of the Commitment/Loans of all Lenders thereunder.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 an Issuing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right="10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[Consented to:](3)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36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18268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660" w:right="4060" w:hanging="5652"/>
        <w:spacing w:after="0" w:line="528" w:lineRule="auto"/>
        <w:tabs>
          <w:tab w:leader="none" w:pos="29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be added only if the consent of the Company is required by the terms of the Credit Agreement.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ind w:left="1960" w:hanging="655"/>
        <w:spacing w:after="0"/>
        <w:tabs>
          <w:tab w:leader="none" w:pos="19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31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w:t>
      </w:r>
    </w:p>
    <w:p>
      <w:pPr>
        <w:sectPr>
          <w:pgSz w:w="11900" w:h="16844" w:orient="portrait"/>
          <w:cols w:equalWidth="0" w:num="1">
            <w:col w:w="11420"/>
          </w:cols>
          <w:pgMar w:left="240" w:top="125" w:right="239" w:bottom="0" w:gutter="0" w:footer="0" w:header="0"/>
        </w:sectPr>
      </w:pPr>
    </w:p>
    <w:bookmarkStart w:id="66" w:name="page67"/>
    <w:bookmarkEnd w:id="66"/>
    <w:p>
      <w:pPr>
        <w:ind w:right="40"/>
        <w:spacing w:after="0" w:line="279" w:lineRule="auto"/>
        <w:rPr>
          <w:sz w:val="20"/>
          <w:szCs w:val="20"/>
          <w:color w:val="auto"/>
        </w:rPr>
      </w:pPr>
      <w:r>
        <w:rPr>
          <w:rFonts w:ascii="Arial" w:cs="Arial" w:eastAsia="Arial" w:hAnsi="Arial"/>
          <w:sz w:val="17"/>
          <w:szCs w:val="17"/>
          <w:color w:val="auto"/>
        </w:rPr>
        <w:t>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71" w:lineRule="exact"/>
        <w:rPr>
          <w:sz w:val="20"/>
          <w:szCs w:val="20"/>
          <w:color w:val="auto"/>
        </w:rPr>
      </w:pPr>
    </w:p>
    <w:p>
      <w:pPr>
        <w:ind w:right="60" w:firstLine="1297"/>
        <w:spacing w:after="0" w:line="26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Assignee</w:t>
      </w:r>
      <w:r>
        <w:rPr>
          <w:rFonts w:ascii="Arial" w:cs="Arial" w:eastAsia="Arial" w:hAnsi="Arial"/>
          <w:sz w:val="17"/>
          <w:szCs w:val="17"/>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Foreign Lender,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88" w:lineRule="exact"/>
        <w:rPr>
          <w:sz w:val="20"/>
          <w:szCs w:val="20"/>
          <w:color w:val="auto"/>
        </w:rPr>
      </w:pPr>
    </w:p>
    <w:p>
      <w:pPr>
        <w:jc w:val="both"/>
        <w:ind w:firstLine="1305"/>
        <w:spacing w:after="0" w:line="264" w:lineRule="auto"/>
        <w:tabs>
          <w:tab w:leader="none" w:pos="1945"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81" w:lineRule="exact"/>
        <w:rPr>
          <w:rFonts w:ascii="Arial" w:cs="Arial" w:eastAsia="Arial" w:hAnsi="Arial"/>
          <w:sz w:val="18"/>
          <w:szCs w:val="18"/>
          <w:color w:val="auto"/>
        </w:rPr>
      </w:pPr>
    </w:p>
    <w:p>
      <w:pPr>
        <w:jc w:val="both"/>
        <w:ind w:right="260" w:firstLine="1305"/>
        <w:spacing w:after="0" w:line="302" w:lineRule="auto"/>
        <w:tabs>
          <w:tab w:leader="none" w:pos="1945"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Electronic System shall be effective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delivery of a manually executed counterpart of this Assignment and Assumption. This Assignment and Assumption shall be governed by, and construed in accordance with, the law of the State of New York.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INCREASING LENDER SUPPLEMENT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INCREASING LENDER SUPPLEMENT, dated , 20 (this “</w:t>
      </w:r>
      <w:r>
        <w:rPr>
          <w:rFonts w:ascii="Arial" w:cs="Arial" w:eastAsia="Arial" w:hAnsi="Arial"/>
          <w:sz w:val="18"/>
          <w:szCs w:val="18"/>
          <w:u w:val="single" w:color="auto"/>
          <w:color w:val="auto"/>
        </w:rPr>
        <w:t>Supplement</w:t>
      </w:r>
      <w:r>
        <w:rPr>
          <w:rFonts w:ascii="Arial" w:cs="Arial" w:eastAsia="Arial" w:hAnsi="Arial"/>
          <w:sz w:val="18"/>
          <w:szCs w:val="18"/>
          <w:color w:val="auto"/>
        </w:rPr>
        <w:t>”), by and among each of the signatories hereto, to the Credit Agreement, dated as of March 19, 2015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Subsidiary Borrowers from time to time party thereto, the Lenders party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right="160" w:firstLine="1297"/>
        <w:spacing w:after="0" w:line="286" w:lineRule="auto"/>
        <w:rPr>
          <w:sz w:val="20"/>
          <w:szCs w:val="20"/>
          <w:color w:val="auto"/>
        </w:rPr>
      </w:pPr>
      <w:r>
        <w:rPr>
          <w:rFonts w:ascii="Arial" w:cs="Arial" w:eastAsia="Arial" w:hAnsi="Arial"/>
          <w:sz w:val="17"/>
          <w:szCs w:val="17"/>
          <w:color w:val="auto"/>
        </w:rPr>
        <w:t xml:space="preserve">WHEREAS, pursuant to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of the Credit Agreement, the Company has the right, subject to the terms and conditions thereof, to effectuate from time to time an increase in the Aggregate Commitment and/or one or more tranches of Incremental Term Loans under the Credit Agreement by requesting one or more Lenders to increase the amount of its Commitment and/or to participate in such a tranche;</w:t>
      </w:r>
    </w:p>
    <w:p>
      <w:pPr>
        <w:spacing w:after="0" w:line="166"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 xml:space="preserve">WHEREAS, the Company has given notice to the Administrative Agent of its intention to [increase the Aggregate Commitment] [and] [enter into a tranche of Incremental Term Loans] pursuant to such </w:t>
      </w:r>
      <w:r>
        <w:rPr>
          <w:rFonts w:ascii="Arial" w:cs="Arial" w:eastAsia="Arial" w:hAnsi="Arial"/>
          <w:sz w:val="18"/>
          <w:szCs w:val="18"/>
          <w:u w:val="single" w:color="auto"/>
          <w:color w:val="auto"/>
        </w:rPr>
        <w:t>Section 2.20</w:t>
      </w:r>
      <w:r>
        <w:rPr>
          <w:rFonts w:ascii="Arial" w:cs="Arial" w:eastAsia="Arial" w:hAnsi="Arial"/>
          <w:sz w:val="18"/>
          <w:szCs w:val="18"/>
          <w:color w:val="auto"/>
        </w:rPr>
        <w:t>; and</w:t>
      </w:r>
    </w:p>
    <w:p>
      <w:pPr>
        <w:spacing w:after="0" w:line="170"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of the Credit Agreement, the undersigned Increasing Lender now desires to [increase the amount of its Commitment] [and] [participate in a tranche of Incremental Term Loans] under the Credit Agreement by executing and delivering to the Company and the Administrative Agent this Supplement;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each of the parties hereto hereby agrees as follows:</w:t>
      </w:r>
    </w:p>
    <w:p>
      <w:pPr>
        <w:spacing w:after="0" w:line="225" w:lineRule="exact"/>
        <w:rPr>
          <w:sz w:val="20"/>
          <w:szCs w:val="20"/>
          <w:color w:val="auto"/>
        </w:rPr>
      </w:pPr>
    </w:p>
    <w:p>
      <w:pPr>
        <w:ind w:left="1960" w:hanging="655"/>
        <w:spacing w:after="0"/>
        <w:tabs>
          <w:tab w:leader="none" w:pos="19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undersigned Increasing Lender agrees, subject to the terms and conditions of the Credit Agreement, that on the date of this</w:t>
      </w:r>
    </w:p>
    <w:p>
      <w:pPr>
        <w:spacing w:after="0" w:line="46" w:lineRule="exact"/>
        <w:rPr>
          <w:sz w:val="20"/>
          <w:szCs w:val="20"/>
          <w:color w:val="auto"/>
        </w:rPr>
      </w:pPr>
    </w:p>
    <w:p>
      <w:pPr>
        <w:spacing w:after="0"/>
        <w:tabs>
          <w:tab w:leader="none" w:pos="5080" w:val="left"/>
        </w:tabs>
        <w:rPr>
          <w:sz w:val="20"/>
          <w:szCs w:val="20"/>
          <w:color w:val="auto"/>
        </w:rPr>
      </w:pPr>
      <w:r>
        <w:rPr>
          <w:rFonts w:ascii="Arial" w:cs="Arial" w:eastAsia="Arial" w:hAnsi="Arial"/>
          <w:sz w:val="18"/>
          <w:szCs w:val="18"/>
          <w:color w:val="auto"/>
        </w:rPr>
        <w:t>Supplement it shall [have its Commitment increased by $[</w:t>
      </w:r>
      <w:r>
        <w:rPr>
          <w:sz w:val="20"/>
          <w:szCs w:val="20"/>
          <w:color w:val="auto"/>
        </w:rPr>
        <w:tab/>
      </w:r>
      <w:r>
        <w:rPr>
          <w:rFonts w:ascii="Arial" w:cs="Arial" w:eastAsia="Arial" w:hAnsi="Arial"/>
          <w:sz w:val="16"/>
          <w:szCs w:val="16"/>
          <w:color w:val="auto"/>
        </w:rPr>
        <w:t>], thereby making the aggregate amount of its total Commitments equal to</w:t>
      </w:r>
    </w:p>
    <w:p>
      <w:pPr>
        <w:spacing w:after="0" w:line="9" w:lineRule="exact"/>
        <w:rPr>
          <w:sz w:val="20"/>
          <w:szCs w:val="20"/>
          <w:color w:val="auto"/>
        </w:rPr>
      </w:pPr>
    </w:p>
    <w:p>
      <w:pPr>
        <w:spacing w:after="0"/>
        <w:tabs>
          <w:tab w:leader="none" w:pos="1040" w:val="left"/>
          <w:tab w:leader="none" w:pos="9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 [participate in a tranche of Incremental Term Loans with a commitment amount equal to $[</w:t>
      </w:r>
      <w:r>
        <w:rPr>
          <w:sz w:val="20"/>
          <w:szCs w:val="20"/>
          <w:color w:val="auto"/>
        </w:rPr>
        <w:tab/>
      </w:r>
      <w:r>
        <w:rPr>
          <w:rFonts w:ascii="Arial" w:cs="Arial" w:eastAsia="Arial" w:hAnsi="Arial"/>
          <w:sz w:val="16"/>
          <w:szCs w:val="16"/>
          <w:color w:val="auto"/>
        </w:rPr>
        <w:t>] with respect thereto].</w:t>
      </w:r>
    </w:p>
    <w:p>
      <w:pPr>
        <w:spacing w:after="0" w:line="211" w:lineRule="exact"/>
        <w:rPr>
          <w:sz w:val="20"/>
          <w:szCs w:val="20"/>
          <w:color w:val="auto"/>
        </w:rPr>
      </w:pPr>
    </w:p>
    <w:p>
      <w:pPr>
        <w:ind w:left="1960" w:hanging="655"/>
        <w:spacing w:after="0"/>
        <w:tabs>
          <w:tab w:leader="none" w:pos="19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Company hereby represents and warrants that no Default or Event of Default has occurred and is continuing on and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 hereof.</w:t>
      </w:r>
    </w:p>
    <w:p>
      <w:pPr>
        <w:sectPr>
          <w:pgSz w:w="11900" w:h="16838" w:orient="portrait"/>
          <w:cols w:equalWidth="0" w:num="1">
            <w:col w:w="11400"/>
          </w:cols>
          <w:pgMar w:left="240" w:top="125" w:right="259" w:bottom="0" w:gutter="0" w:footer="0" w:header="0"/>
        </w:sectPr>
      </w:pPr>
    </w:p>
    <w:bookmarkStart w:id="67" w:name="page68"/>
    <w:bookmarkEnd w:id="67"/>
    <w:p>
      <w:pPr>
        <w:spacing w:after="0" w:line="95" w:lineRule="exact"/>
        <w:rPr>
          <w:sz w:val="20"/>
          <w:szCs w:val="20"/>
          <w:color w:val="auto"/>
        </w:rPr>
      </w:pPr>
    </w:p>
    <w:p>
      <w:pPr>
        <w:ind w:left="1960" w:hanging="655"/>
        <w:spacing w:after="0"/>
        <w:tabs>
          <w:tab w:leader="none" w:pos="1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Terms defined in the Credit Agreement shall have their defined meanings when used herein.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This Supplement shall be governed by, and construed in accordance with, the laws of the State of New York.</w:t>
      </w:r>
    </w:p>
    <w:p>
      <w:pPr>
        <w:spacing w:after="0" w:line="225" w:lineRule="exact"/>
        <w:rPr>
          <w:rFonts w:ascii="Arial" w:cs="Arial" w:eastAsia="Arial" w:hAnsi="Arial"/>
          <w:sz w:val="18"/>
          <w:szCs w:val="18"/>
          <w:color w:val="auto"/>
        </w:rPr>
      </w:pPr>
    </w:p>
    <w:p>
      <w:pPr>
        <w:ind w:right="200" w:firstLine="1305"/>
        <w:spacing w:after="0" w:line="308" w:lineRule="auto"/>
        <w:tabs>
          <w:tab w:leader="none" w:pos="194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IN WITNESS WHEREOF, each of the undersigned has caused this Supplement to be executed and delivered by a duly authorized officer on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[INSERT NAME OF INCREASING LENDER]</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-130810</wp:posOffset>
            </wp:positionV>
            <wp:extent cx="2941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-130810</wp:posOffset>
            </wp:positionV>
            <wp:extent cx="2941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AUGMENTING LENDER SUPPLEMENT</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AUGMENTING LENDER SUPPLEMENT, dated , 20 (this “</w:t>
      </w:r>
      <w:r>
        <w:rPr>
          <w:rFonts w:ascii="Arial" w:cs="Arial" w:eastAsia="Arial" w:hAnsi="Arial"/>
          <w:sz w:val="18"/>
          <w:szCs w:val="18"/>
          <w:u w:val="single" w:color="auto"/>
          <w:color w:val="auto"/>
        </w:rPr>
        <w:t>Supplement</w:t>
      </w:r>
      <w:r>
        <w:rPr>
          <w:rFonts w:ascii="Arial" w:cs="Arial" w:eastAsia="Arial" w:hAnsi="Arial"/>
          <w:sz w:val="18"/>
          <w:szCs w:val="18"/>
          <w:color w:val="auto"/>
        </w:rPr>
        <w:t>”), by and among each of the signatories hereto, to the Credit Agreement, dated as of March 19, 2015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Subsidiary Borrowers from time to time party thereto, the Lenders party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 xml:space="preserve">WHEREAS, the Credit Agreement provides in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thereof that any bank, financial institution or other entity may [extend Commitments] [and] [participate in tranches of Incremental Term Loans] under the Credit Agreement subject to the approval of the Company and the Administrative Agent, by executing and delivering to the Company and the Administrative Agent a supplement to the Credit Agreement in substantially the form of this Supplement; and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undersigned Augmenting Lender was not an original party to the Credit Agreement but now desires to become a party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each of the parties hereto hereby agrees as follows:</w:t>
      </w:r>
    </w:p>
    <w:p>
      <w:pPr>
        <w:spacing w:after="0" w:line="225" w:lineRule="exact"/>
        <w:rPr>
          <w:sz w:val="20"/>
          <w:szCs w:val="20"/>
          <w:color w:val="auto"/>
        </w:rPr>
      </w:pPr>
    </w:p>
    <w:p>
      <w:pPr>
        <w:ind w:right="160" w:firstLine="1305"/>
        <w:spacing w:after="0" w:line="291" w:lineRule="auto"/>
        <w:tabs>
          <w:tab w:leader="none" w:pos="152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undersigned Augmenting Lender agrees to be bound by the provisions of the Credit Agreement and agrees that it shall, on the date of this Supplement, become a Lender for all purposes of the Credit Agreement to the same extent as if originally a party thereto, with a [Commitment with</w:t>
      </w:r>
    </w:p>
    <w:p>
      <w:pPr>
        <w:spacing w:after="0"/>
        <w:tabs>
          <w:tab w:leader="none" w:pos="3260" w:val="left"/>
          <w:tab w:leader="none" w:pos="9140" w:val="left"/>
        </w:tabs>
        <w:rPr>
          <w:sz w:val="20"/>
          <w:szCs w:val="20"/>
          <w:color w:val="auto"/>
        </w:rPr>
      </w:pPr>
      <w:r>
        <w:rPr>
          <w:rFonts w:ascii="Arial" w:cs="Arial" w:eastAsia="Arial" w:hAnsi="Arial"/>
          <w:sz w:val="18"/>
          <w:szCs w:val="18"/>
          <w:color w:val="auto"/>
        </w:rPr>
        <w:t>respect to Revolving Loans of $[</w:t>
      </w:r>
      <w:r>
        <w:rPr>
          <w:sz w:val="20"/>
          <w:szCs w:val="20"/>
          <w:color w:val="auto"/>
        </w:rPr>
        <w:tab/>
      </w:r>
      <w:r>
        <w:rPr>
          <w:rFonts w:ascii="Arial" w:cs="Arial" w:eastAsia="Arial" w:hAnsi="Arial"/>
          <w:sz w:val="18"/>
          <w:szCs w:val="18"/>
          <w:color w:val="auto"/>
        </w:rPr>
        <w:t>]] [and] [a commitment with respect to Incremental Term Loans of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40" w:firstLine="1305"/>
        <w:spacing w:after="0" w:line="290" w:lineRule="auto"/>
        <w:tabs>
          <w:tab w:leader="none" w:pos="152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The undersigned Augmenting Lender (a) represents and warrants that it is legally authorized to enter into this Supplement; (b) confirms that it has received a copy of the Credit Agreement, together with copies of the most recent financial statements delivered pursuant to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thereof, as applicable, and has reviewed such other documents and information as it has deemed appropriate to make its own credit analysis and decision to enter into this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w:t>
      </w:r>
    </w:p>
    <w:p>
      <w:pPr>
        <w:sectPr>
          <w:pgSz w:w="11900" w:h="16933" w:orient="portrait"/>
          <w:cols w:equalWidth="0" w:num="1">
            <w:col w:w="11420"/>
          </w:cols>
          <w:pgMar w:left="240" w:top="341" w:right="239" w:bottom="0" w:gutter="0" w:footer="0" w:header="0"/>
        </w:sectPr>
      </w:pPr>
    </w:p>
    <w:bookmarkStart w:id="68" w:name="page69"/>
    <w:bookmarkEnd w:id="68"/>
    <w:p>
      <w:pPr>
        <w:ind w:right="320"/>
        <w:spacing w:after="0" w:line="277" w:lineRule="auto"/>
        <w:rPr>
          <w:sz w:val="20"/>
          <w:szCs w:val="20"/>
          <w:color w:val="auto"/>
        </w:rPr>
      </w:pPr>
      <w:r>
        <w:rPr>
          <w:rFonts w:ascii="Arial" w:cs="Arial" w:eastAsia="Arial" w:hAnsi="Arial"/>
          <w:sz w:val="18"/>
          <w:szCs w:val="18"/>
          <w:color w:val="auto"/>
        </w:rPr>
        <w:t>the provisions of the Credit Agreement and will perform in accordance with its terms all the obligations which by the terms of the Credit Agreement are required to be performed by it as a Lender.</w:t>
      </w:r>
    </w:p>
    <w:p>
      <w:pPr>
        <w:spacing w:after="0" w:line="170" w:lineRule="exact"/>
        <w:rPr>
          <w:sz w:val="20"/>
          <w:szCs w:val="20"/>
          <w:color w:val="auto"/>
        </w:rPr>
      </w:pPr>
    </w:p>
    <w:p>
      <w:pPr>
        <w:ind w:left="1520" w:hanging="215"/>
        <w:spacing w:after="0"/>
        <w:tabs>
          <w:tab w:leader="none" w:pos="15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undersigned’s address for notices for the purposes of the Credit Agreement is as follows:</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1520" w:hanging="215"/>
        <w:spacing w:after="0"/>
        <w:tabs>
          <w:tab w:leader="none" w:pos="15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Company hereby represents and warrants that no Default or Event of Default has occurred and is continuing on and as of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1520" w:hanging="215"/>
        <w:spacing w:after="0"/>
        <w:tabs>
          <w:tab w:leader="none" w:pos="15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Terms defined in the Credit Agreement shall have their defined meanings when used herein.</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This Supplement shall be governed by, and construed in accordance with, the laws of the State of New York.</w:t>
      </w:r>
    </w:p>
    <w:p>
      <w:pPr>
        <w:spacing w:after="0" w:line="225" w:lineRule="exact"/>
        <w:rPr>
          <w:rFonts w:ascii="Arial" w:cs="Arial" w:eastAsia="Arial" w:hAnsi="Arial"/>
          <w:sz w:val="18"/>
          <w:szCs w:val="18"/>
          <w:color w:val="auto"/>
        </w:rPr>
      </w:pPr>
    </w:p>
    <w:p>
      <w:pPr>
        <w:ind w:firstLine="1305"/>
        <w:spacing w:after="0" w:line="308" w:lineRule="auto"/>
        <w:tabs>
          <w:tab w:leader="none" w:pos="1522"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[remainder of this page intentionally left blank]</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IN WITNESS WHEREOF, each of the undersigned has caused this Supplement to be executed and delivered by a duly authorized officer on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[INSERT NAME OF AUGMENTING LENDER]</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-130810</wp:posOffset>
            </wp:positionV>
            <wp:extent cx="29673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-130810</wp:posOffset>
            </wp:positionV>
            <wp:extent cx="29673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LIST OF CLOSING DOCUMENTS</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SUBSIDIARY BORROWERS</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CREDIT FACILITIES</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March 19, 2015</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LIST OF CLOSING DOCUMENTS(1)</w:t>
      </w:r>
    </w:p>
    <w:p>
      <w:pPr>
        <w:spacing w:after="0" w:line="221" w:lineRule="exact"/>
        <w:rPr>
          <w:sz w:val="20"/>
          <w:szCs w:val="20"/>
          <w:color w:val="auto"/>
        </w:rPr>
      </w:pPr>
    </w:p>
    <w:p>
      <w:pPr>
        <w:ind w:left="5180" w:hanging="664"/>
        <w:spacing w:after="0"/>
        <w:tabs>
          <w:tab w:leader="none" w:pos="5180" w:val="left"/>
        </w:tabs>
        <w:numPr>
          <w:ilvl w:val="1"/>
          <w:numId w:val="145"/>
        </w:numPr>
        <w:rPr>
          <w:rFonts w:ascii="Arial" w:cs="Arial" w:eastAsia="Arial" w:hAnsi="Arial"/>
          <w:sz w:val="18"/>
          <w:szCs w:val="18"/>
          <w:color w:val="auto"/>
        </w:rPr>
      </w:pPr>
      <w:r>
        <w:rPr>
          <w:rFonts w:ascii="Arial" w:cs="Arial" w:eastAsia="Arial" w:hAnsi="Arial"/>
          <w:sz w:val="18"/>
          <w:szCs w:val="18"/>
          <w:b w:val="1"/>
          <w:bCs w:val="1"/>
          <w:color w:val="auto"/>
        </w:rPr>
        <w:t>LOAN DOCUMENTS</w:t>
      </w:r>
    </w:p>
    <w:p>
      <w:pPr>
        <w:spacing w:after="0" w:line="229" w:lineRule="exact"/>
        <w:rPr>
          <w:rFonts w:ascii="Arial" w:cs="Arial" w:eastAsia="Arial" w:hAnsi="Arial"/>
          <w:sz w:val="18"/>
          <w:szCs w:val="18"/>
          <w:color w:val="auto"/>
        </w:rPr>
      </w:pPr>
    </w:p>
    <w:p>
      <w:pPr>
        <w:ind w:left="660" w:right="40" w:hanging="652"/>
        <w:spacing w:after="0" w:line="342" w:lineRule="auto"/>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Credit Agreement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Regeneron Pharmaceuticals, Inc., a New York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Subsidiary Borrowers from time to time parties thereto (collectively with the Company, the “</w:t>
      </w:r>
      <w:r>
        <w:rPr>
          <w:rFonts w:ascii="Arial" w:cs="Arial" w:eastAsia="Arial" w:hAnsi="Arial"/>
          <w:sz w:val="16"/>
          <w:szCs w:val="16"/>
          <w:u w:val="single" w:color="auto"/>
          <w:color w:val="auto"/>
        </w:rPr>
        <w:t>Borrowers</w:t>
      </w:r>
      <w:r>
        <w:rPr>
          <w:rFonts w:ascii="Arial" w:cs="Arial" w:eastAsia="Arial" w:hAnsi="Arial"/>
          <w:sz w:val="16"/>
          <w:szCs w:val="16"/>
          <w:color w:val="auto"/>
        </w:rPr>
        <w:t>”), the institutions from time to time parties</w:t>
      </w:r>
    </w:p>
    <w:p>
      <w:pPr>
        <w:sectPr>
          <w:pgSz w:w="11900" w:h="16838" w:orient="portrait"/>
          <w:cols w:equalWidth="0" w:num="1">
            <w:col w:w="11280"/>
          </w:cols>
          <w:pgMar w:left="240" w:top="125" w:right="379" w:bottom="0" w:gutter="0" w:footer="0" w:header="0"/>
        </w:sectPr>
      </w:pPr>
    </w:p>
    <w:bookmarkStart w:id="69" w:name="page70"/>
    <w:bookmarkEnd w:id="69"/>
    <w:p>
      <w:pPr>
        <w:ind w:left="652" w:right="340"/>
        <w:spacing w:after="0" w:line="264" w:lineRule="auto"/>
        <w:rPr>
          <w:sz w:val="20"/>
          <w:szCs w:val="20"/>
          <w:color w:val="auto"/>
        </w:rPr>
      </w:pPr>
      <w:r>
        <w:rPr>
          <w:rFonts w:ascii="Arial" w:cs="Arial" w:eastAsia="Arial" w:hAnsi="Arial"/>
          <w:sz w:val="18"/>
          <w:szCs w:val="18"/>
          <w:color w:val="auto"/>
        </w:rPr>
        <w:t>thereto as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and JPMorgan Chase Bank, N.A., in its capacity as Administrative Agent for itself and the other Lenders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evidencing a revolving credit facility to the Borrowers from the Lenders in an initial aggregate principal amount of $750,000,000.</w:t>
      </w:r>
    </w:p>
    <w:p>
      <w:pPr>
        <w:spacing w:after="0" w:line="181" w:lineRule="exact"/>
        <w:rPr>
          <w:sz w:val="20"/>
          <w:szCs w:val="20"/>
          <w:color w:val="auto"/>
        </w:rPr>
      </w:pPr>
    </w:p>
    <w:tbl>
      <w:tblPr>
        <w:tblLayout w:type="fixed"/>
        <w:tblInd w:w="652"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20" w:type="dxa"/>
            <w:vAlign w:val="bottom"/>
          </w:tcPr>
          <w:p>
            <w:pPr>
              <w:ind w:left="2420"/>
              <w:spacing w:after="0"/>
              <w:rPr>
                <w:sz w:val="20"/>
                <w:szCs w:val="20"/>
                <w:color w:val="auto"/>
              </w:rPr>
            </w:pPr>
            <w:r>
              <w:rPr>
                <w:rFonts w:ascii="Arial" w:cs="Arial" w:eastAsia="Arial" w:hAnsi="Arial"/>
                <w:sz w:val="18"/>
                <w:szCs w:val="18"/>
                <w:color w:val="auto"/>
              </w:rPr>
              <w:t>SCHEDULES</w:t>
            </w: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Schedule 2.01</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Commitments</w:t>
            </w:r>
          </w:p>
        </w:tc>
      </w:tr>
      <w:tr>
        <w:trPr>
          <w:trHeight w:val="216"/>
        </w:trPr>
        <w:tc>
          <w:tcPr>
            <w:tcW w:w="1400" w:type="dxa"/>
            <w:vAlign w:val="bottom"/>
          </w:tcPr>
          <w:p>
            <w:pPr>
              <w:spacing w:after="0"/>
              <w:rPr>
                <w:sz w:val="20"/>
                <w:szCs w:val="20"/>
                <w:color w:val="auto"/>
              </w:rPr>
            </w:pPr>
            <w:r>
              <w:rPr>
                <w:rFonts w:ascii="Arial" w:cs="Arial" w:eastAsia="Arial" w:hAnsi="Arial"/>
                <w:sz w:val="18"/>
                <w:szCs w:val="18"/>
                <w:b w:val="1"/>
                <w:bCs w:val="1"/>
                <w:i w:val="1"/>
                <w:iCs w:val="1"/>
                <w:color w:val="auto"/>
              </w:rPr>
              <w:t>Schedule 3.01</w:t>
            </w:r>
          </w:p>
        </w:tc>
        <w:tc>
          <w:tcPr>
            <w:tcW w:w="7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w:t>
            </w:r>
          </w:p>
        </w:tc>
        <w:tc>
          <w:tcPr>
            <w:tcW w:w="58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Subsidiaries</w:t>
            </w:r>
          </w:p>
        </w:tc>
      </w:tr>
      <w:tr>
        <w:trPr>
          <w:trHeight w:val="216"/>
        </w:trPr>
        <w:tc>
          <w:tcPr>
            <w:tcW w:w="1400" w:type="dxa"/>
            <w:vAlign w:val="bottom"/>
          </w:tcPr>
          <w:p>
            <w:pPr>
              <w:spacing w:after="0"/>
              <w:rPr>
                <w:sz w:val="20"/>
                <w:szCs w:val="20"/>
                <w:color w:val="auto"/>
              </w:rPr>
            </w:pPr>
            <w:r>
              <w:rPr>
                <w:rFonts w:ascii="Arial" w:cs="Arial" w:eastAsia="Arial" w:hAnsi="Arial"/>
                <w:sz w:val="18"/>
                <w:szCs w:val="18"/>
                <w:b w:val="1"/>
                <w:bCs w:val="1"/>
                <w:i w:val="1"/>
                <w:iCs w:val="1"/>
                <w:color w:val="auto"/>
              </w:rPr>
              <w:t>Schedule 6.01</w:t>
            </w:r>
          </w:p>
        </w:tc>
        <w:tc>
          <w:tcPr>
            <w:tcW w:w="7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w:t>
            </w:r>
          </w:p>
        </w:tc>
        <w:tc>
          <w:tcPr>
            <w:tcW w:w="58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Existing Indebtedness</w:t>
            </w:r>
          </w:p>
        </w:tc>
      </w:tr>
      <w:tr>
        <w:trPr>
          <w:trHeight w:val="230"/>
        </w:trPr>
        <w:tc>
          <w:tcPr>
            <w:tcW w:w="1400" w:type="dxa"/>
            <w:vAlign w:val="bottom"/>
          </w:tcPr>
          <w:p>
            <w:pPr>
              <w:spacing w:after="0"/>
              <w:rPr>
                <w:sz w:val="20"/>
                <w:szCs w:val="20"/>
                <w:color w:val="auto"/>
              </w:rPr>
            </w:pPr>
            <w:r>
              <w:rPr>
                <w:rFonts w:ascii="Arial" w:cs="Arial" w:eastAsia="Arial" w:hAnsi="Arial"/>
                <w:sz w:val="18"/>
                <w:szCs w:val="18"/>
                <w:b w:val="1"/>
                <w:bCs w:val="1"/>
                <w:i w:val="1"/>
                <w:iCs w:val="1"/>
                <w:color w:val="auto"/>
              </w:rPr>
              <w:t>Schedule 6.02</w:t>
            </w:r>
          </w:p>
        </w:tc>
        <w:tc>
          <w:tcPr>
            <w:tcW w:w="7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w:t>
            </w:r>
          </w:p>
        </w:tc>
        <w:tc>
          <w:tcPr>
            <w:tcW w:w="58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Existing Liens</w:t>
            </w:r>
          </w:p>
        </w:tc>
      </w:tr>
      <w:tr>
        <w:trPr>
          <w:trHeight w:val="432"/>
        </w:trPr>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20" w:type="dxa"/>
            <w:vAlign w:val="bottom"/>
          </w:tcPr>
          <w:p>
            <w:pPr>
              <w:ind w:left="2520"/>
              <w:spacing w:after="0"/>
              <w:rPr>
                <w:sz w:val="20"/>
                <w:szCs w:val="20"/>
                <w:color w:val="auto"/>
              </w:rPr>
            </w:pPr>
            <w:r>
              <w:rPr>
                <w:rFonts w:ascii="Arial" w:cs="Arial" w:eastAsia="Arial" w:hAnsi="Arial"/>
                <w:sz w:val="18"/>
                <w:szCs w:val="18"/>
                <w:color w:val="auto"/>
              </w:rPr>
              <w:t>EXHIBITS</w:t>
            </w: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Exhibit A</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Exhibit B</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[Intentionally Omitted]</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Exhibit C</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Form of Increasing Lender Supplement</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Exhibit D</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Form of Augmenting Lender Supplement</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Exhibit E</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List of Closing Documents</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Exhibit F-1</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Form of Borrowing Subsidiary Agreement</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Exhibit F-2</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Form of Borrowing Subsidiary Termination</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Exhibit G</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Form of Subsidiary Guaranty</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Exhibit H-1</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w w:val="96"/>
              </w:rPr>
              <w:t>Form of U.S. Tax Certificate (Foreign Lenders That Are Not Partnerships)</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Exhibit H-2</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w w:val="91"/>
              </w:rPr>
              <w:t>Form of U.S. Tax Certificate (Foreign Participants That Are Not Partnerships)</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Exhibit H-3</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w w:val="96"/>
              </w:rPr>
              <w:t>Form of U.S. Tax Certificate (Foreign Participants That Are Partnerships)</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Exhibit H-4</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Form of U.S. Tax Certificate (Foreign Lenders That Are Partnerships)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18268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8" w:right="360" w:firstLine="8"/>
        <w:spacing w:after="0" w:line="277" w:lineRule="auto"/>
        <w:tabs>
          <w:tab w:leader="none" w:pos="2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Each capitalized term used herein and not defined herein shall have the meaning assigned to such term in the above-defined Credit Agreement. Items appearing in </w:t>
      </w:r>
      <w:r>
        <w:rPr>
          <w:rFonts w:ascii="Arial" w:cs="Arial" w:eastAsia="Arial" w:hAnsi="Arial"/>
          <w:sz w:val="18"/>
          <w:szCs w:val="18"/>
          <w:b w:val="1"/>
          <w:bCs w:val="1"/>
          <w:color w:val="auto"/>
        </w:rPr>
        <w:t>bold</w:t>
      </w:r>
      <w:r>
        <w:rPr>
          <w:rFonts w:ascii="Arial" w:cs="Arial" w:eastAsia="Arial" w:hAnsi="Arial"/>
          <w:sz w:val="18"/>
          <w:szCs w:val="18"/>
          <w:color w:val="auto"/>
        </w:rPr>
        <w:t xml:space="preserve"> and </w:t>
      </w:r>
      <w:r>
        <w:rPr>
          <w:rFonts w:ascii="Arial" w:cs="Arial" w:eastAsia="Arial" w:hAnsi="Arial"/>
          <w:sz w:val="18"/>
          <w:szCs w:val="18"/>
          <w:i w:val="1"/>
          <w:iCs w:val="1"/>
          <w:color w:val="auto"/>
        </w:rPr>
        <w:t>italics</w:t>
      </w:r>
      <w:r>
        <w:rPr>
          <w:rFonts w:ascii="Arial" w:cs="Arial" w:eastAsia="Arial" w:hAnsi="Arial"/>
          <w:sz w:val="18"/>
          <w:szCs w:val="18"/>
          <w:color w:val="auto"/>
        </w:rPr>
        <w:t xml:space="preserve"> shall be prepared and/or provided by the Company and/or Company’s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I-1</w:t>
            </w:r>
          </w:p>
        </w:tc>
        <w:tc>
          <w:tcPr>
            <w:tcW w:w="840" w:type="dxa"/>
            <w:vAlign w:val="bottom"/>
          </w:tcPr>
          <w:p>
            <w:pPr>
              <w:ind w:left="500"/>
              <w:spacing w:after="0"/>
              <w:rPr>
                <w:sz w:val="20"/>
                <w:szCs w:val="20"/>
                <w:color w:val="auto"/>
              </w:rPr>
            </w:pPr>
            <w:r>
              <w:rPr>
                <w:rFonts w:ascii="Arial" w:cs="Arial" w:eastAsia="Arial" w:hAnsi="Arial"/>
                <w:sz w:val="18"/>
                <w:szCs w:val="18"/>
                <w:color w:val="auto"/>
              </w:rPr>
              <w:t>—</w:t>
            </w:r>
          </w:p>
        </w:tc>
        <w:tc>
          <w:tcPr>
            <w:tcW w:w="2620" w:type="dxa"/>
            <w:vAlign w:val="bottom"/>
          </w:tcPr>
          <w:p>
            <w:pPr>
              <w:ind w:left="180"/>
              <w:spacing w:after="0"/>
              <w:rPr>
                <w:sz w:val="20"/>
                <w:szCs w:val="20"/>
                <w:color w:val="auto"/>
              </w:rPr>
            </w:pPr>
            <w:r>
              <w:rPr>
                <w:rFonts w:ascii="Arial" w:cs="Arial" w:eastAsia="Arial" w:hAnsi="Arial"/>
                <w:sz w:val="18"/>
                <w:szCs w:val="18"/>
                <w:color w:val="auto"/>
              </w:rPr>
              <w:t>Form of Borrowing Request</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I-2</w:t>
            </w:r>
          </w:p>
        </w:tc>
        <w:tc>
          <w:tcPr>
            <w:tcW w:w="840" w:type="dxa"/>
            <w:vAlign w:val="bottom"/>
          </w:tcPr>
          <w:p>
            <w:pPr>
              <w:ind w:left="500"/>
              <w:spacing w:after="0"/>
              <w:rPr>
                <w:sz w:val="20"/>
                <w:szCs w:val="20"/>
                <w:color w:val="auto"/>
              </w:rPr>
            </w:pPr>
            <w:r>
              <w:rPr>
                <w:rFonts w:ascii="Arial" w:cs="Arial" w:eastAsia="Arial" w:hAnsi="Arial"/>
                <w:sz w:val="18"/>
                <w:szCs w:val="18"/>
                <w:color w:val="auto"/>
              </w:rPr>
              <w:t>—</w:t>
            </w:r>
          </w:p>
        </w:tc>
        <w:tc>
          <w:tcPr>
            <w:tcW w:w="2620" w:type="dxa"/>
            <w:vAlign w:val="bottom"/>
          </w:tcPr>
          <w:p>
            <w:pPr>
              <w:ind w:left="180"/>
              <w:spacing w:after="0"/>
              <w:rPr>
                <w:sz w:val="20"/>
                <w:szCs w:val="20"/>
                <w:color w:val="auto"/>
              </w:rPr>
            </w:pPr>
            <w:r>
              <w:rPr>
                <w:rFonts w:ascii="Arial" w:cs="Arial" w:eastAsia="Arial" w:hAnsi="Arial"/>
                <w:sz w:val="18"/>
                <w:szCs w:val="18"/>
                <w:color w:val="auto"/>
                <w:w w:val="90"/>
              </w:rPr>
              <w:t>Form of Interest Election Request</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Exhibit L</w:t>
            </w:r>
          </w:p>
        </w:tc>
        <w:tc>
          <w:tcPr>
            <w:tcW w:w="840" w:type="dxa"/>
            <w:vAlign w:val="bottom"/>
          </w:tcPr>
          <w:p>
            <w:pPr>
              <w:ind w:left="500"/>
              <w:spacing w:after="0"/>
              <w:rPr>
                <w:sz w:val="20"/>
                <w:szCs w:val="20"/>
                <w:color w:val="auto"/>
              </w:rPr>
            </w:pPr>
            <w:r>
              <w:rPr>
                <w:rFonts w:ascii="Arial" w:cs="Arial" w:eastAsia="Arial" w:hAnsi="Arial"/>
                <w:sz w:val="18"/>
                <w:szCs w:val="18"/>
                <w:color w:val="auto"/>
              </w:rPr>
              <w:t>—</w:t>
            </w:r>
          </w:p>
        </w:tc>
        <w:tc>
          <w:tcPr>
            <w:tcW w:w="2620" w:type="dxa"/>
            <w:vAlign w:val="bottom"/>
          </w:tcPr>
          <w:p>
            <w:pPr>
              <w:ind w:left="180"/>
              <w:spacing w:after="0"/>
              <w:rPr>
                <w:sz w:val="20"/>
                <w:szCs w:val="20"/>
                <w:color w:val="auto"/>
              </w:rPr>
            </w:pPr>
            <w:r>
              <w:rPr>
                <w:rFonts w:ascii="Arial" w:cs="Arial" w:eastAsia="Arial" w:hAnsi="Arial"/>
                <w:sz w:val="18"/>
                <w:szCs w:val="18"/>
                <w:color w:val="auto"/>
              </w:rPr>
              <w:t>Form of Note</w:t>
            </w:r>
          </w:p>
        </w:tc>
      </w:tr>
    </w:tbl>
    <w:p>
      <w:pPr>
        <w:spacing w:after="0" w:line="202" w:lineRule="exact"/>
        <w:rPr>
          <w:sz w:val="20"/>
          <w:szCs w:val="20"/>
          <w:color w:val="auto"/>
        </w:rPr>
      </w:pPr>
    </w:p>
    <w:p>
      <w:pPr>
        <w:ind w:left="652" w:right="140" w:hanging="652"/>
        <w:spacing w:after="0" w:line="277" w:lineRule="auto"/>
        <w:tabs>
          <w:tab w:leader="none" w:pos="65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Notes executed by the initial Borrowers in favor of each of the Lenders, if any, which has requested a note pursuant to Section 2.10(e) of the Credit Agreement.</w:t>
      </w:r>
    </w:p>
    <w:p>
      <w:pPr>
        <w:spacing w:after="0" w:line="166" w:lineRule="exact"/>
        <w:rPr>
          <w:rFonts w:ascii="Arial" w:cs="Arial" w:eastAsia="Arial" w:hAnsi="Arial"/>
          <w:sz w:val="18"/>
          <w:szCs w:val="18"/>
          <w:color w:val="auto"/>
        </w:rPr>
      </w:pPr>
    </w:p>
    <w:p>
      <w:pPr>
        <w:ind w:left="4212"/>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7"/>
          <w:szCs w:val="17"/>
          <w:b w:val="1"/>
          <w:bCs w:val="1"/>
          <w:color w:val="auto"/>
        </w:rPr>
        <w:t>CORPORATE DOCUMENTS</w:t>
      </w:r>
    </w:p>
    <w:p>
      <w:pPr>
        <w:spacing w:after="0" w:line="229" w:lineRule="exact"/>
        <w:rPr>
          <w:rFonts w:ascii="Arial" w:cs="Arial" w:eastAsia="Arial" w:hAnsi="Arial"/>
          <w:sz w:val="18"/>
          <w:szCs w:val="18"/>
          <w:color w:val="auto"/>
        </w:rPr>
      </w:pPr>
    </w:p>
    <w:p>
      <w:pPr>
        <w:ind w:left="652" w:hanging="652"/>
        <w:spacing w:after="0" w:line="288" w:lineRule="auto"/>
        <w:tabs>
          <w:tab w:leader="none" w:pos="652" w:val="left"/>
        </w:tabs>
        <w:numPr>
          <w:ilvl w:val="0"/>
          <w:numId w:val="14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Certificate of the Secretary or an Assistant Secretary of each Borrower, or in the case of the Initial Dutch Borrower, a director’s certificate, certifying (i) that there have been no changes in the Certificate of Incorporation or other charter document of such Loan Party, as attached thereto and as certified as of a recent date by the Secretary of State (or analogous governmental entity) of the jurisdiction of its organization, since the date of the certification thereof by such governmental entity, (ii) the By-Laws or other applicable organizational document, as attached thereto, of such Borrower as in effect on the date of such certification, (iii) resolutions of the Board of Directors or other governing body of such Borrower authorizing the execution, delivery and performance of each Loan Document to which it is a party, (iv) the names and true signatures of the incumbent officers of each Borrower authorized to sign the Loan Documents to which it is a party, and authorized to request a Borrowing or the issuance of a Letter of Credit under the Credit Agreement and (v) in the case of the Initial Irish Borrowers, that entry into and performance of the Loan Documents will not constitute a breach of Section 31 of the Companies Act 1990 of Ireland or a breach of Section 60 of the Companies Act 1963 of Ireland.</w:t>
      </w:r>
    </w:p>
    <w:p>
      <w:pPr>
        <w:spacing w:after="0" w:line="169" w:lineRule="exact"/>
        <w:rPr>
          <w:rFonts w:ascii="Arial" w:cs="Arial" w:eastAsia="Arial" w:hAnsi="Arial"/>
          <w:sz w:val="16"/>
          <w:szCs w:val="16"/>
          <w:b w:val="1"/>
          <w:bCs w:val="1"/>
          <w:i w:val="1"/>
          <w:iCs w:val="1"/>
          <w:color w:val="auto"/>
        </w:rPr>
      </w:pPr>
    </w:p>
    <w:p>
      <w:pPr>
        <w:ind w:left="652" w:right="1020" w:hanging="652"/>
        <w:spacing w:after="0" w:line="342" w:lineRule="auto"/>
        <w:tabs>
          <w:tab w:leader="none" w:pos="652" w:val="left"/>
        </w:tabs>
        <w:numPr>
          <w:ilvl w:val="0"/>
          <w:numId w:val="14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Good Standing Certificate (or analogous documentation if applicable) for each Borrower from the Secretary of State (or analogous governmental entity) of the jurisdiction of its organization, to the extent generally available in such jurisdiction.</w:t>
      </w:r>
    </w:p>
    <w:p>
      <w:pPr>
        <w:spacing w:after="0" w:line="119" w:lineRule="exact"/>
        <w:rPr>
          <w:rFonts w:ascii="Arial" w:cs="Arial" w:eastAsia="Arial" w:hAnsi="Arial"/>
          <w:sz w:val="16"/>
          <w:szCs w:val="16"/>
          <w:b w:val="1"/>
          <w:bCs w:val="1"/>
          <w:i w:val="1"/>
          <w:iCs w:val="1"/>
          <w:color w:val="auto"/>
        </w:rPr>
      </w:pPr>
    </w:p>
    <w:p>
      <w:pPr>
        <w:ind w:left="4932"/>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C.</w:t>
      </w:r>
      <w:r>
        <w:rPr>
          <w:rFonts w:ascii="Arial" w:cs="Arial" w:eastAsia="Arial" w:hAnsi="Arial"/>
          <w:sz w:val="17"/>
          <w:szCs w:val="17"/>
          <w:b w:val="1"/>
          <w:bCs w:val="1"/>
          <w:color w:val="auto"/>
        </w:rPr>
        <w:t>OPINIONS</w:t>
      </w:r>
    </w:p>
    <w:p>
      <w:pPr>
        <w:spacing w:after="0" w:line="229" w:lineRule="exact"/>
        <w:rPr>
          <w:rFonts w:ascii="Arial" w:cs="Arial" w:eastAsia="Arial" w:hAnsi="Arial"/>
          <w:sz w:val="16"/>
          <w:szCs w:val="16"/>
          <w:b w:val="1"/>
          <w:bCs w:val="1"/>
          <w:i w:val="1"/>
          <w:iCs w:val="1"/>
          <w:color w:val="auto"/>
        </w:rPr>
      </w:pPr>
    </w:p>
    <w:p>
      <w:pPr>
        <w:ind w:left="652" w:hanging="652"/>
        <w:spacing w:after="0"/>
        <w:tabs>
          <w:tab w:leader="none" w:pos="652" w:val="left"/>
        </w:tabs>
        <w:numPr>
          <w:ilvl w:val="0"/>
          <w:numId w:val="1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Opinion of Skadden, Arps, Slate, Meagher &amp; Flom LLP, special New York counsel for the Loan Parties.</w:t>
      </w:r>
    </w:p>
    <w:p>
      <w:pPr>
        <w:spacing w:after="0" w:line="225" w:lineRule="exact"/>
        <w:rPr>
          <w:rFonts w:ascii="Arial" w:cs="Arial" w:eastAsia="Arial" w:hAnsi="Arial"/>
          <w:sz w:val="18"/>
          <w:szCs w:val="18"/>
          <w:b w:val="1"/>
          <w:bCs w:val="1"/>
          <w:i w:val="1"/>
          <w:iCs w:val="1"/>
          <w:color w:val="auto"/>
        </w:rPr>
      </w:pPr>
    </w:p>
    <w:p>
      <w:pPr>
        <w:ind w:left="652" w:hanging="652"/>
        <w:spacing w:after="0"/>
        <w:tabs>
          <w:tab w:leader="none" w:pos="652" w:val="left"/>
        </w:tabs>
        <w:numPr>
          <w:ilvl w:val="0"/>
          <w:numId w:val="1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Opinion of Arthur Cox, Irish counsel for the Initial Irish Borrowers.</w:t>
      </w:r>
    </w:p>
    <w:p>
      <w:pPr>
        <w:spacing w:after="0" w:line="225" w:lineRule="exact"/>
        <w:rPr>
          <w:rFonts w:ascii="Arial" w:cs="Arial" w:eastAsia="Arial" w:hAnsi="Arial"/>
          <w:sz w:val="18"/>
          <w:szCs w:val="18"/>
          <w:b w:val="1"/>
          <w:bCs w:val="1"/>
          <w:i w:val="1"/>
          <w:iCs w:val="1"/>
          <w:color w:val="auto"/>
        </w:rPr>
      </w:pPr>
    </w:p>
    <w:p>
      <w:pPr>
        <w:ind w:left="652" w:hanging="652"/>
        <w:spacing w:after="0"/>
        <w:tabs>
          <w:tab w:leader="none" w:pos="652" w:val="left"/>
        </w:tabs>
        <w:numPr>
          <w:ilvl w:val="0"/>
          <w:numId w:val="1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Opinion of Baker &amp; McKenzie Amsterdam N.V., Dutch counsel for the Initial Dutch Borrower.</w:t>
      </w:r>
    </w:p>
    <w:p>
      <w:pPr>
        <w:spacing w:after="0" w:line="221" w:lineRule="exact"/>
        <w:rPr>
          <w:rFonts w:ascii="Arial" w:cs="Arial" w:eastAsia="Arial" w:hAnsi="Arial"/>
          <w:sz w:val="18"/>
          <w:szCs w:val="18"/>
          <w:b w:val="1"/>
          <w:bCs w:val="1"/>
          <w:i w:val="1"/>
          <w:iCs w:val="1"/>
          <w:color w:val="auto"/>
        </w:rPr>
      </w:pPr>
    </w:p>
    <w:p>
      <w:pPr>
        <w:ind w:left="3252"/>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D.</w:t>
      </w:r>
      <w:r>
        <w:rPr>
          <w:rFonts w:ascii="Arial" w:cs="Arial" w:eastAsia="Arial" w:hAnsi="Arial"/>
          <w:sz w:val="18"/>
          <w:szCs w:val="18"/>
          <w:b w:val="1"/>
          <w:bCs w:val="1"/>
          <w:color w:val="auto"/>
        </w:rPr>
        <w:t>CLOSING CERTIFICATES AND MISCELLANEOUS</w:t>
      </w:r>
    </w:p>
    <w:p>
      <w:pPr>
        <w:spacing w:after="0" w:line="229" w:lineRule="exact"/>
        <w:rPr>
          <w:rFonts w:ascii="Arial" w:cs="Arial" w:eastAsia="Arial" w:hAnsi="Arial"/>
          <w:sz w:val="18"/>
          <w:szCs w:val="18"/>
          <w:b w:val="1"/>
          <w:bCs w:val="1"/>
          <w:i w:val="1"/>
          <w:iCs w:val="1"/>
          <w:color w:val="auto"/>
        </w:rPr>
      </w:pPr>
    </w:p>
    <w:p>
      <w:pPr>
        <w:ind w:left="652" w:hanging="634"/>
        <w:spacing w:after="0" w:line="273" w:lineRule="auto"/>
        <w:tabs>
          <w:tab w:leader="none" w:pos="657" w:val="left"/>
        </w:tabs>
        <w:numPr>
          <w:ilvl w:val="1"/>
          <w:numId w:val="14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 Certificate signed by a Responsible Officer of the Company certifying on behalf of the Company the following: (i) that the representations and warranties contained in </w:t>
      </w:r>
      <w:r>
        <w:rPr>
          <w:rFonts w:ascii="Arial" w:cs="Arial" w:eastAsia="Arial" w:hAnsi="Arial"/>
          <w:sz w:val="17"/>
          <w:szCs w:val="17"/>
          <w:b w:val="1"/>
          <w:bCs w:val="1"/>
          <w:i w:val="1"/>
          <w:iCs w:val="1"/>
          <w:u w:val="single" w:color="auto"/>
          <w:color w:val="auto"/>
        </w:rPr>
        <w:t>Article III</w:t>
      </w:r>
      <w:r>
        <w:rPr>
          <w:rFonts w:ascii="Arial" w:cs="Arial" w:eastAsia="Arial" w:hAnsi="Arial"/>
          <w:sz w:val="17"/>
          <w:szCs w:val="17"/>
          <w:b w:val="1"/>
          <w:bCs w:val="1"/>
          <w:i w:val="1"/>
          <w:iCs w:val="1"/>
          <w:color w:val="auto"/>
        </w:rPr>
        <w:t xml:space="preserve"> of the Credit Agreement are true and correct in all material respects (or, in the case of any representation or warranty qualified by materiality or Material Adverse Effect, in all respects) as of the Effective Date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as of such earlier date and (ii) that no Default or Event of Default has occurred and is then continuing.</w:t>
      </w:r>
    </w:p>
    <w:p>
      <w:pPr>
        <w:sectPr>
          <w:pgSz w:w="11900" w:h="16838" w:orient="portrait"/>
          <w:cols w:equalWidth="0" w:num="1">
            <w:col w:w="11392"/>
          </w:cols>
          <w:pgMar w:left="248" w:top="125" w:right="259" w:bottom="98" w:gutter="0" w:footer="0" w:header="0"/>
        </w:sectPr>
      </w:pP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125" w:right="259" w:bottom="98"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18"/>
          <w:szCs w:val="18"/>
          <w:color w:val="auto"/>
        </w:rPr>
        <w:t>EXHIBIT F-1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BORROWING SUBSIDIARY AGREEMENT</w:t>
      </w:r>
    </w:p>
    <w:p>
      <w:pPr>
        <w:spacing w:after="0" w:line="225" w:lineRule="exact"/>
        <w:rPr>
          <w:sz w:val="20"/>
          <w:szCs w:val="20"/>
          <w:color w:val="auto"/>
        </w:rPr>
      </w:pPr>
    </w:p>
    <w:p>
      <w:pPr>
        <w:ind w:left="1300"/>
        <w:spacing w:after="0"/>
        <w:tabs>
          <w:tab w:leader="none" w:pos="6040" w:val="left"/>
        </w:tabs>
        <w:rPr>
          <w:sz w:val="20"/>
          <w:szCs w:val="20"/>
          <w:color w:val="auto"/>
        </w:rPr>
      </w:pPr>
      <w:r>
        <w:rPr>
          <w:rFonts w:ascii="Arial" w:cs="Arial" w:eastAsia="Arial" w:hAnsi="Arial"/>
          <w:sz w:val="18"/>
          <w:szCs w:val="18"/>
          <w:color w:val="auto"/>
        </w:rPr>
        <w:t>BORROWING SUBSIDIARY AGREEMENT dated as of [</w:t>
      </w:r>
      <w:r>
        <w:rPr>
          <w:sz w:val="20"/>
          <w:szCs w:val="20"/>
          <w:color w:val="auto"/>
        </w:rPr>
        <w:tab/>
      </w:r>
      <w:r>
        <w:rPr>
          <w:rFonts w:ascii="Arial" w:cs="Arial" w:eastAsia="Arial" w:hAnsi="Arial"/>
          <w:sz w:val="16"/>
          <w:szCs w:val="16"/>
          <w:color w:val="auto"/>
        </w:rPr>
        <w:t>], among Regeneron Pharmaceuticals, Inc., a New York corporation (the</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[Name of Subsidiary Borrower], a [ ] (the “</w:t>
      </w:r>
      <w:r>
        <w:rPr>
          <w:rFonts w:ascii="Arial" w:cs="Arial" w:eastAsia="Arial" w:hAnsi="Arial"/>
          <w:sz w:val="18"/>
          <w:szCs w:val="18"/>
          <w:u w:val="single" w:color="auto"/>
          <w:color w:val="auto"/>
        </w:rPr>
        <w:t>New Borrowing Subsidiary</w:t>
      </w:r>
      <w:r>
        <w:rPr>
          <w:rFonts w:ascii="Arial" w:cs="Arial" w:eastAsia="Arial" w:hAnsi="Arial"/>
          <w:sz w:val="18"/>
          <w:szCs w:val="18"/>
          <w:color w:val="auto"/>
        </w:rPr>
        <w:t>”), and JPMorgan Chase Bank,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4" w:lineRule="exact"/>
        <w:rPr>
          <w:sz w:val="20"/>
          <w:szCs w:val="20"/>
          <w:color w:val="auto"/>
        </w:rPr>
      </w:pPr>
    </w:p>
    <w:p>
      <w:pPr>
        <w:ind w:right="20" w:firstLine="1297"/>
        <w:spacing w:after="0" w:line="283" w:lineRule="auto"/>
        <w:rPr>
          <w:sz w:val="20"/>
          <w:szCs w:val="20"/>
          <w:color w:val="auto"/>
        </w:rPr>
      </w:pPr>
      <w:r>
        <w:rPr>
          <w:rFonts w:ascii="Arial" w:cs="Arial" w:eastAsia="Arial" w:hAnsi="Arial"/>
          <w:sz w:val="16"/>
          <w:szCs w:val="16"/>
          <w:color w:val="auto"/>
        </w:rPr>
        <w:t>Reference is hereby made to the Credit Agreement dated as of March 19, 2015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the Subsidiary Borrowers from time to time party thereto, the Lenders from time to time party thereto and JPMorgan Chase Bank, N.A. as Administrative Agent. Capitalized terms used herein but not otherwise defined herein shall have the meanings assigned to such terms in the Credit Agreement. Under the Credit Agreement, the Lenders have agreed, upon the terms and subject to the conditions therein set forth, to make Loans to certain Subsidiary Borrowers (collectively with the Company, the “</w:t>
      </w:r>
      <w:r>
        <w:rPr>
          <w:rFonts w:ascii="Arial" w:cs="Arial" w:eastAsia="Arial" w:hAnsi="Arial"/>
          <w:sz w:val="16"/>
          <w:szCs w:val="16"/>
          <w:u w:val="single" w:color="auto"/>
          <w:color w:val="auto"/>
        </w:rPr>
        <w:t>Borrowers</w:t>
      </w:r>
      <w:r>
        <w:rPr>
          <w:rFonts w:ascii="Arial" w:cs="Arial" w:eastAsia="Arial" w:hAnsi="Arial"/>
          <w:sz w:val="16"/>
          <w:szCs w:val="16"/>
          <w:color w:val="auto"/>
        </w:rPr>
        <w:t xml:space="preserve">”), and the Company and the New Borrowing Subsidiary desire that the New Borrowing Subsidiary become a Subsidiary Borrower. In addition, the New Borrowing Subsidiary hereby authorizes the Company to act on its behalf as and to the extent provided for in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of the Credit Agreement. Notwithstanding the preceding sentence, the New Borrowing Subsidiary hereby designates the following officers or other authorized signatories as being authorized to, among other things, request Borrowings under the Credit Agreement on behalf of the New Subsidiary Borrower and sign this Borrowing Subsidiary Agreement and the other Loan Documents to which the New</w:t>
      </w:r>
    </w:p>
    <w:p>
      <w:pPr>
        <w:spacing w:after="0" w:line="7"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Borrowing Subsidiary is, or may from time to time become, a party: [</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Each of the Company and the New Borrowing Subsidiary represents and warrants that the representations and warranties of the Company in the Credit Agreement relating to the New Borrowing Subsidiary and this Agreement are true and correct in all material respects (or, in the case of any representation or warranty qualified by materiality or Material Adverse Effect, in all respects) as of the date hereof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as of such earlier date. [The Company and the New Borrowing Subsidiary further represent and warrant that the execution, delivery and performance by the New Borrowing Subsidiary of the transactions contemplated under this Agreement and the use of any of the proceeds raised in connection with this Agreement will not contravene or conflict with, or otherwise constitute unlawful financial assistance under, Sections 677 to 683 (inclusive) of the United Kingdom Companies Act 2006 of England and Wales (as amended).]</w:t>
      </w:r>
    </w:p>
    <w:p>
      <w:pPr>
        <w:spacing w:after="0" w:line="1" w:lineRule="exact"/>
        <w:rPr>
          <w:sz w:val="20"/>
          <w:szCs w:val="20"/>
          <w:color w:val="auto"/>
        </w:rPr>
      </w:pPr>
    </w:p>
    <w:p>
      <w:pPr>
        <w:ind w:right="40" w:firstLine="8"/>
        <w:spacing w:after="0" w:line="253" w:lineRule="auto"/>
        <w:tabs>
          <w:tab w:leader="none" w:pos="2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[INSERT OTHER PROVISIONS REASONABLY REQUESTED BY ADMINISTRATIVE AGENT OR ITS COUNSELS] The Company agrees that the Guarantee of the Company contained in the Credit Agreement will apply to the Obligations of the New Borrowing Subsidiary. Upon execution of this Agreement by each of the Company, the New Borrowing Subsidiary and the Administrative Agent, the New Borrowing Subsidiary shall be a party to the Credit Agreement and shall constitute a “Subsidiary Borrower” for all purposes thereof, and the New Borrowing Subsidiary hereby agrees to be bound by all provisions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182689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 To be included only if a New Borrowing Subsidiary will be a Borrower organized under the laws of 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 w:firstLine="1369"/>
        <w:spacing w:after="0" w:line="259" w:lineRule="auto"/>
        <w:rPr>
          <w:sz w:val="20"/>
          <w:szCs w:val="20"/>
          <w:color w:val="auto"/>
        </w:rPr>
      </w:pPr>
      <w:r>
        <w:rPr>
          <w:rFonts w:ascii="Arial" w:cs="Arial" w:eastAsia="Arial" w:hAnsi="Arial"/>
          <w:sz w:val="18"/>
          <w:szCs w:val="18"/>
          <w:color w:val="auto"/>
        </w:rPr>
        <w:t>[If a Dutch Subsidiary Borrower is represented by an attorney in connection with the signing and/or execution of the Credit Agreement and/or any other Loan Document it is hereby expressly acknowledged and accepted by the parties to the Credit Agreement and/or any other Loan Document that the existence and extent of the attorney’s authority and the effects of the attorney’s exercise or purported exercise of his or her authority shall be governed by the laws of The Netherlands.]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740"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authorized officers or other authorized signatories as of the date first appearing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w:t>
      </w:r>
    </w:p>
    <w:p>
      <w:pPr>
        <w:spacing w:after="0" w:line="200" w:lineRule="exact"/>
        <w:rPr>
          <w:sz w:val="20"/>
          <w:szCs w:val="20"/>
          <w:color w:val="auto"/>
        </w:rPr>
      </w:pPr>
    </w:p>
    <w:p>
      <w:pPr>
        <w:spacing w:after="0" w:line="24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NEW BORROWING SUBSIDIARY]</w:t>
      </w:r>
    </w:p>
    <w:p>
      <w:pPr>
        <w:spacing w:after="0" w:line="200" w:lineRule="exact"/>
        <w:rPr>
          <w:sz w:val="20"/>
          <w:szCs w:val="20"/>
          <w:color w:val="auto"/>
        </w:rPr>
      </w:pPr>
    </w:p>
    <w:p>
      <w:pPr>
        <w:spacing w:after="0" w:line="24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JPMORGAN CHASE BANK, N.A., as Administrative Agent</w:t>
      </w:r>
    </w:p>
    <w:p>
      <w:pPr>
        <w:sectPr>
          <w:pgSz w:w="11900" w:h="16838" w:orient="portrait"/>
          <w:cols w:equalWidth="0" w:num="1">
            <w:col w:w="11420"/>
          </w:cols>
          <w:pgMar w:left="240" w:top="341" w:right="239" w:bottom="0" w:gutter="0" w:footer="0" w:header="0"/>
        </w:sectPr>
      </w:pPr>
    </w:p>
    <w:bookmarkStart w:id="71" w:name="page72"/>
    <w:bookmarkEnd w:id="71"/>
    <w:p>
      <w:pPr>
        <w:spacing w:after="0" w:line="1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BORROWING SUBSIDIARY TERMINATION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Lenders 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South Dearborn Street</w:t>
      </w:r>
    </w:p>
    <w:p>
      <w:pPr>
        <w:sectPr>
          <w:pgSz w:w="11900" w:h="16854" w:orient="portrait"/>
          <w:cols w:equalWidth="0" w:num="1">
            <w:col w:w="11420"/>
          </w:cols>
          <w:pgMar w:left="240" w:top="341" w:right="239" w:bottom="0" w:gutter="0" w:footer="0" w:header="0"/>
        </w:sectPr>
      </w:pP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Chicago, Illinois 60603 Attention: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ectPr>
          <w:pgSz w:w="11900" w:h="16854" w:orient="portrait"/>
          <w:cols w:equalWidth="0" w:num="2">
            <w:col w:w="1700" w:space="80"/>
            <w:col w:w="9640"/>
          </w:cols>
          <w:pgMar w:left="240" w:top="341" w:right="239" w:bottom="0" w:gutter="0" w:footer="0" w:header="0"/>
          <w:type w:val="continuous"/>
        </w:sect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The undersigned,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refers to the Credit Agreement dated as of March 19, 2015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Company, the Subsidiary Borrowers from time to time party thereto and JPMorgan Chase Bank, N.A., as Administrative Agent. Capitalized terms used and not otherwise defined herein shall have the meanings assigned to such terms in the Credit Agreement.</w:t>
      </w:r>
    </w:p>
    <w:p>
      <w:pPr>
        <w:spacing w:after="0" w:line="187" w:lineRule="exact"/>
        <w:rPr>
          <w:sz w:val="20"/>
          <w:szCs w:val="20"/>
          <w:color w:val="auto"/>
        </w:rPr>
      </w:pPr>
    </w:p>
    <w:p>
      <w:pPr>
        <w:ind w:right="40" w:firstLine="1297"/>
        <w:spacing w:after="0" w:line="253" w:lineRule="auto"/>
        <w:rPr>
          <w:sz w:val="20"/>
          <w:szCs w:val="20"/>
          <w:color w:val="auto"/>
        </w:rPr>
      </w:pPr>
      <w:r>
        <w:rPr>
          <w:rFonts w:ascii="Arial" w:cs="Arial" w:eastAsia="Arial" w:hAnsi="Arial"/>
          <w:sz w:val="18"/>
          <w:szCs w:val="18"/>
          <w:color w:val="auto"/>
        </w:rPr>
        <w:t>The Company hereby terminates the status of [ ] (the “</w:t>
      </w:r>
      <w:r>
        <w:rPr>
          <w:rFonts w:ascii="Arial" w:cs="Arial" w:eastAsia="Arial" w:hAnsi="Arial"/>
          <w:sz w:val="18"/>
          <w:szCs w:val="18"/>
          <w:u w:val="single" w:color="auto"/>
          <w:color w:val="auto"/>
        </w:rPr>
        <w:t>Terminated Borrowing Subsidiary</w:t>
      </w:r>
      <w:r>
        <w:rPr>
          <w:rFonts w:ascii="Arial" w:cs="Arial" w:eastAsia="Arial" w:hAnsi="Arial"/>
          <w:sz w:val="18"/>
          <w:szCs w:val="18"/>
          <w:color w:val="auto"/>
        </w:rPr>
        <w:t xml:space="preserve">”) as a Subsidiary Borrower under the Credit Agreement. [The Company represents and warrants that no Loans made to the Terminated Borrowing Subsidiary are outstanding as of the date hereof and that all amounts payable by the Terminated Borrowing Subsidiary in respect of interest and/or fees (and, to the extent notified by the Administrative Agent or any Lender, any other amounts payable under the Credit Agreement) pursuant to the Credit Agreement have been paid in full on or prior to the date hereof.] [The Company acknowledges that the Terminated Borrowing Subsidiary shall continue to be a Borrower until such time as all Loans made to the Terminated Borrowing Subsidiary shall have been prepaid and all amounts payable by the Terminated Borrowing Subsidiary in respect of interest and/or fees (and, to the extent notified by the Administrative Agent or any Lender, any other amounts payable under the Credit Agreement) pursuant to the Credit Agreement shall have been paid in full,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Terminated Borrowing Subsidiary shall not have the right to make further Borrowings under the Credit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instrument shall be construed in accordance with and governed by the laws of the State of New York.</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ectPr>
          <w:pgSz w:w="11900" w:h="16854" w:orient="portrait"/>
          <w:cols w:equalWidth="0" w:num="1">
            <w:col w:w="11420"/>
          </w:cols>
          <w:pgMar w:left="240" w:top="341" w:right="239" w:bottom="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 South Dearborn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Chicago, Illinois 60603</w:t>
      </w:r>
    </w:p>
    <w:p>
      <w:pPr>
        <w:spacing w:after="0" w:line="200" w:lineRule="exact"/>
        <w:rPr>
          <w:sz w:val="20"/>
          <w:szCs w:val="20"/>
          <w:color w:val="auto"/>
        </w:rPr>
      </w:pPr>
    </w:p>
    <w:p>
      <w:pPr>
        <w:sectPr>
          <w:pgSz w:w="11900" w:h="16854" w:orient="portrait"/>
          <w:cols w:equalWidth="0" w:num="2">
            <w:col w:w="640" w:space="320"/>
            <w:col w:w="10460"/>
          </w:cols>
          <w:pgMar w:left="240" w:top="341" w:right="239" w:bottom="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SUBSIDIARY GUARANTY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GUARANTY</w:t>
      </w:r>
    </w:p>
    <w:p>
      <w:pPr>
        <w:spacing w:after="0" w:line="225" w:lineRule="exact"/>
        <w:rPr>
          <w:sz w:val="20"/>
          <w:szCs w:val="20"/>
          <w:color w:val="auto"/>
        </w:rPr>
      </w:pPr>
    </w:p>
    <w:p>
      <w:pPr>
        <w:ind w:right="180" w:firstLine="1297"/>
        <w:spacing w:after="0" w:line="342" w:lineRule="auto"/>
        <w:rPr>
          <w:sz w:val="20"/>
          <w:szCs w:val="20"/>
          <w:color w:val="auto"/>
        </w:rPr>
      </w:pPr>
      <w:r>
        <w:rPr>
          <w:rFonts w:ascii="Arial" w:cs="Arial" w:eastAsia="Arial" w:hAnsi="Arial"/>
          <w:sz w:val="16"/>
          <w:szCs w:val="16"/>
          <w:color w:val="auto"/>
        </w:rPr>
        <w:t>THIS GUARANTY (as amended, restated, supplemented or otherwise modified from time to time, this “</w:t>
      </w:r>
      <w:r>
        <w:rPr>
          <w:rFonts w:ascii="Arial" w:cs="Arial" w:eastAsia="Arial" w:hAnsi="Arial"/>
          <w:sz w:val="16"/>
          <w:szCs w:val="16"/>
          <w:u w:val="single" w:color="auto"/>
          <w:color w:val="auto"/>
        </w:rPr>
        <w:t>Guaranty</w:t>
      </w:r>
      <w:r>
        <w:rPr>
          <w:rFonts w:ascii="Arial" w:cs="Arial" w:eastAsia="Arial" w:hAnsi="Arial"/>
          <w:sz w:val="16"/>
          <w:szCs w:val="16"/>
          <w:color w:val="auto"/>
        </w:rPr>
        <w:t>”) is made as of March 19, 2015, by and among each of the undersigned (the “Initial Guarantors” and along with any additional Subsidiaries of the Company which become</w:t>
      </w:r>
    </w:p>
    <w:p>
      <w:pPr>
        <w:sectPr>
          <w:pgSz w:w="11900" w:h="16854" w:orient="portrait"/>
          <w:cols w:equalWidth="0" w:num="1">
            <w:col w:w="11420"/>
          </w:cols>
          <w:pgMar w:left="240" w:top="341" w:right="239" w:bottom="0" w:gutter="0" w:footer="0" w:header="0"/>
          <w:type w:val="continuous"/>
        </w:sectPr>
      </w:pPr>
    </w:p>
    <w:bookmarkStart w:id="72" w:name="page73"/>
    <w:bookmarkEnd w:id="72"/>
    <w:p>
      <w:pPr>
        <w:spacing w:after="0" w:line="1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parties to this Guaranty by executing a supplement hereto in the form attached as Annex I, the “</w:t>
      </w:r>
      <w:r>
        <w:rPr>
          <w:rFonts w:ascii="Arial" w:cs="Arial" w:eastAsia="Arial" w:hAnsi="Arial"/>
          <w:sz w:val="18"/>
          <w:szCs w:val="18"/>
          <w:u w:val="single" w:color="auto"/>
          <w:color w:val="auto"/>
        </w:rPr>
        <w:t>Guarantors</w:t>
      </w:r>
      <w:r>
        <w:rPr>
          <w:rFonts w:ascii="Arial" w:cs="Arial" w:eastAsia="Arial" w:hAnsi="Arial"/>
          <w:sz w:val="18"/>
          <w:szCs w:val="18"/>
          <w:color w:val="auto"/>
        </w:rPr>
        <w:t>”) in favor of the Administrative Agent, for the ratable benefit of the Holders of Guaranteed Obligations (as defined below), under the Credit Agreement referred to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120" w:firstLine="1297"/>
        <w:spacing w:after="0" w:line="297" w:lineRule="auto"/>
        <w:rPr>
          <w:sz w:val="20"/>
          <w:szCs w:val="20"/>
          <w:color w:val="auto"/>
        </w:rPr>
      </w:pPr>
      <w:r>
        <w:rPr>
          <w:rFonts w:ascii="Arial" w:cs="Arial" w:eastAsia="Arial" w:hAnsi="Arial"/>
          <w:sz w:val="16"/>
          <w:szCs w:val="16"/>
          <w:color w:val="auto"/>
        </w:rPr>
        <w:t>WHEREAS, Regeneron Pharmaceuticals, Inc., a New York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Subsidiary Borrowers parties thereto (the “</w:t>
      </w:r>
      <w:r>
        <w:rPr>
          <w:rFonts w:ascii="Arial" w:cs="Arial" w:eastAsia="Arial" w:hAnsi="Arial"/>
          <w:sz w:val="16"/>
          <w:szCs w:val="16"/>
          <w:u w:val="single" w:color="auto"/>
          <w:color w:val="auto"/>
        </w:rPr>
        <w:t>Subsidiary Borrowers</w:t>
      </w:r>
      <w:r>
        <w:rPr>
          <w:rFonts w:ascii="Arial" w:cs="Arial" w:eastAsia="Arial" w:hAnsi="Arial"/>
          <w:sz w:val="16"/>
          <w:szCs w:val="16"/>
          <w:color w:val="auto"/>
        </w:rPr>
        <w:t>” and, together with the Company, the “</w:t>
      </w:r>
      <w:r>
        <w:rPr>
          <w:rFonts w:ascii="Arial" w:cs="Arial" w:eastAsia="Arial" w:hAnsi="Arial"/>
          <w:sz w:val="16"/>
          <w:szCs w:val="16"/>
          <w:u w:val="single" w:color="auto"/>
          <w:color w:val="auto"/>
        </w:rPr>
        <w:t>Borrowers</w:t>
      </w:r>
      <w:r>
        <w:rPr>
          <w:rFonts w:ascii="Arial" w:cs="Arial" w:eastAsia="Arial" w:hAnsi="Arial"/>
          <w:sz w:val="16"/>
          <w:szCs w:val="16"/>
          <w:color w:val="auto"/>
        </w:rPr>
        <w:t>”), the institutions from time to time parties thereto as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and JPMorgan Chase Bank, N.A.,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have entered into a certain Credit Agreement dated as of March 19, 2015 (as the same may be amended, modified, supplemented and/or restated, and as in effect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providing, subject to the terms and conditions thereof, for extensions of credit and other financial accommodations to be made by the Lenders to the Borrowers;</w:t>
      </w:r>
    </w:p>
    <w:p>
      <w:pPr>
        <w:spacing w:after="0" w:line="158" w:lineRule="exact"/>
        <w:rPr>
          <w:sz w:val="20"/>
          <w:szCs w:val="20"/>
          <w:color w:val="auto"/>
        </w:rPr>
      </w:pPr>
    </w:p>
    <w:p>
      <w:pPr>
        <w:jc w:val="both"/>
        <w:ind w:right="140" w:firstLine="1297"/>
        <w:spacing w:after="0" w:line="264" w:lineRule="auto"/>
        <w:rPr>
          <w:sz w:val="20"/>
          <w:szCs w:val="20"/>
          <w:color w:val="auto"/>
        </w:rPr>
      </w:pPr>
      <w:r>
        <w:rPr>
          <w:rFonts w:ascii="Arial" w:cs="Arial" w:eastAsia="Arial" w:hAnsi="Arial"/>
          <w:sz w:val="18"/>
          <w:szCs w:val="18"/>
          <w:color w:val="auto"/>
        </w:rPr>
        <w:t>WHEREAS, it is a condition precedent to the extensions of credit by the Lenders under the Credit Agreement that each of the Guarantors (constituting all of the Subsidiaries of the Company required to execute this Guaranty pursuant to Section 5.09 of the Credit Agreement) execute and deliver this Guaranty, whereby each of the Guarantors shall guarantee the payment when due of all Obligations; and</w:t>
      </w:r>
    </w:p>
    <w:p>
      <w:pPr>
        <w:spacing w:after="0" w:line="181" w:lineRule="exact"/>
        <w:rPr>
          <w:sz w:val="20"/>
          <w:szCs w:val="20"/>
          <w:color w:val="auto"/>
        </w:rPr>
      </w:pPr>
    </w:p>
    <w:p>
      <w:pPr>
        <w:ind w:right="160" w:firstLine="1297"/>
        <w:spacing w:after="0" w:line="286" w:lineRule="auto"/>
        <w:rPr>
          <w:sz w:val="20"/>
          <w:szCs w:val="20"/>
          <w:color w:val="auto"/>
        </w:rPr>
      </w:pPr>
      <w:r>
        <w:rPr>
          <w:rFonts w:ascii="Arial" w:cs="Arial" w:eastAsia="Arial" w:hAnsi="Arial"/>
          <w:sz w:val="17"/>
          <w:szCs w:val="17"/>
          <w:color w:val="auto"/>
        </w:rPr>
        <w:t>WHEREAS, in consideration of the direct and indirect financial and other support that the Borrowers have provided, and such direct and indirect financial and other support as the Borrowers may in the future provide, to the Guarantors, and in order to induce the Lenders and the Administrative Agent to enter into the Credit Agreement, each of the Guarantors is willing to guarantee the Obligations of the Borrowers;</w:t>
      </w:r>
    </w:p>
    <w:p>
      <w:pPr>
        <w:spacing w:after="0" w:line="166"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NOW, THEREFORE, in consideration of the foregoing premises and other good and valuable consideration, the receipt and sufficiency of which are hereby acknowledged, the parties hereto agree as follows:</w:t>
      </w:r>
    </w:p>
    <w:p>
      <w:pPr>
        <w:spacing w:after="0" w:line="170"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Terms defined in the Credit Agreement and not otherwise defined herein have, as used herein, the respective meanings provided for therein.</w:t>
      </w:r>
    </w:p>
    <w:p>
      <w:pPr>
        <w:spacing w:after="0" w:line="170"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Warranties and Covenants</w:t>
      </w:r>
      <w:r>
        <w:rPr>
          <w:rFonts w:ascii="Arial" w:cs="Arial" w:eastAsia="Arial" w:hAnsi="Arial"/>
          <w:sz w:val="18"/>
          <w:szCs w:val="18"/>
          <w:color w:val="auto"/>
        </w:rPr>
        <w:t>. Each of the Guarantors represents and warrants (which representations and warranties shall be deemed to have been renewed at the time of the making, conversion or continuation of any Loan or issuance, amendment, renewal or extension of any Letter of Credit)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right="140" w:firstLine="645"/>
        <w:spacing w:after="0" w:line="279" w:lineRule="auto"/>
        <w:tabs>
          <w:tab w:leader="none" w:pos="197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It is a corporation, partnership or limited liability company duly and properly incorporated or organized, as the case may be, validly existing and (to the extent such concept applies to such entity) in good standing under the laws of its jurisdiction of incorporation, organization or formation and has all requisite authority to conduct its business in each jurisdiction in which its business is conducted, except to the extent that the failure to have such authority could not reasonably be expected to have a Material Adverse Effect.</w:t>
      </w:r>
    </w:p>
    <w:p>
      <w:pPr>
        <w:spacing w:after="0" w:line="171" w:lineRule="exact"/>
        <w:rPr>
          <w:rFonts w:ascii="Arial" w:cs="Arial" w:eastAsia="Arial" w:hAnsi="Arial"/>
          <w:sz w:val="17"/>
          <w:szCs w:val="17"/>
          <w:color w:val="auto"/>
        </w:rPr>
      </w:pPr>
    </w:p>
    <w:p>
      <w:pPr>
        <w:ind w:left="660" w:right="180" w:firstLine="645"/>
        <w:spacing w:after="0" w:line="276" w:lineRule="auto"/>
        <w:tabs>
          <w:tab w:leader="none" w:pos="196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It (to the extent applicable) has the requisite power and authority and legal right to execute and deliver this Guaranty and to perform its obligations hereunder. The execution and delivery by each Guarantor of this Guaranty and the performance by each of its obligations hereunder have been duly authorized by proper proceedings, and this Guaranty constitutes a legal, valid and binding obligation of such Guarantor, respectively, enforceable against such Guarantor, respectively, in accordance with its terms, except as enforceability may be limited by bankruptcy, insolvency or similar laws affecting the enforcement of creditors’ rights generally.</w:t>
      </w:r>
    </w:p>
    <w:p>
      <w:pPr>
        <w:spacing w:after="0" w:line="172" w:lineRule="exact"/>
        <w:rPr>
          <w:rFonts w:ascii="Arial" w:cs="Arial" w:eastAsia="Arial" w:hAnsi="Arial"/>
          <w:sz w:val="17"/>
          <w:szCs w:val="17"/>
          <w:color w:val="auto"/>
        </w:rPr>
      </w:pPr>
    </w:p>
    <w:p>
      <w:pPr>
        <w:ind w:left="660" w:firstLine="645"/>
        <w:spacing w:after="0" w:line="268" w:lineRule="auto"/>
        <w:tabs>
          <w:tab w:leader="none" w:pos="196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Neither the execution and delivery by it of this Guaranty, nor the consummation by it of the transactions herein contemplated, nor compliance by it with the provisions hereof will (i) violate in any material respect any applicable material law, rule, regulation, order, writ, judgment, injunction, decree or award binding on it or its articles or certificate of incorporation (or equivalent charter documents), limited liability company or partnership agreement, certificate of partnership, articles or certificate of organization, by-laws, or operating agreement or other management agreement, as the case may be, to which any of the Borrowers or any of its Subsidiaries is a party or is subject, or by which it, or its property, is bound, (ii) violated, conflict with, or constitute a default under the provisions of any indenture, instrument or agreement to which any of the Borrowers or any of its Subsidiaries is a party or is subject, or by which it, or its property, is bound, except, in the case of this clause (ii), for any such violations, defaults or rights that could not reasonably be expected to result in a Material Adverse Effect, or (iii) result in, or require, the creation or imposition of any Lien in, of or on its property pursuant to the terms of, any such indenture, instrument or agreement (other than any Loan Document). No order, consent, adjudication, approval, license, authorization, or validation of, or filing, recording or registration with, or exemption by, or other action in respect of any governmental or public body or authority, or any subdivision thereof, which has not been obtained by it, is required to be obtained by it in connection with the execution, delivery and performance by it of, or the legality, validity, binding effect or enforceability against it of, this Guaranty.</w:t>
      </w:r>
    </w:p>
    <w:p>
      <w:pPr>
        <w:spacing w:after="0" w:line="188"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In addition to the foregoing, each of the Guarantors covenants that, so long as any Lender has any Commitment outstanding under the Credit Agreement or any amount payable under the Credit Agreement or any other Guaranteed Obligations shall remain unpaid, it will, and, if necessary, will enable each of the Borrowers to, fully comply with those covenants and agreements of such Borrower applicable to such Guarantor set forth in the Credit Agreement.</w:t>
      </w:r>
    </w:p>
    <w:p>
      <w:pPr>
        <w:spacing w:after="0" w:line="187"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The Guaranty</w:t>
      </w:r>
      <w:r>
        <w:rPr>
          <w:rFonts w:ascii="Arial" w:cs="Arial" w:eastAsia="Arial" w:hAnsi="Arial"/>
          <w:sz w:val="17"/>
          <w:szCs w:val="17"/>
          <w:color w:val="auto"/>
        </w:rPr>
        <w:t>. Each of the Guarantors hereby unconditionally guarantees, jointly with the other Guarantors and severally, the full and punctual payment and performance when due (whether at stated maturity, upon acceleration or otherwise) of the Obligations, including, without limitation, (i) the principal of and interest on each Loan made to any Borrower pursuant to the Credit Agreement, (ii) any obligations of any Borrower to reimburse LC Disbursements (“</w:t>
      </w:r>
      <w:r>
        <w:rPr>
          <w:rFonts w:ascii="Arial" w:cs="Arial" w:eastAsia="Arial" w:hAnsi="Arial"/>
          <w:sz w:val="17"/>
          <w:szCs w:val="17"/>
          <w:u w:val="single" w:color="auto"/>
          <w:color w:val="auto"/>
        </w:rPr>
        <w:t>Reimbursement Obligations</w:t>
      </w:r>
      <w:r>
        <w:rPr>
          <w:rFonts w:ascii="Arial" w:cs="Arial" w:eastAsia="Arial" w:hAnsi="Arial"/>
          <w:sz w:val="17"/>
          <w:szCs w:val="17"/>
          <w:color w:val="auto"/>
        </w:rPr>
        <w:t>”), (iii) all obligations of any Borrower owing to any Lender or any affiliate of any Lender under any Swap Agreement or Banking Services Agreement, (iv) all other amounts payable by any Borrower or any of its Subsidiaries under the Credit Agreement, any Swap Agreement, any Banking Services Agreement and the other Loan Documents and (v) the punctual and faithful performance, keeping, observance, and fulfillment by any Borrower of all of the agreements, conditions,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covenants, and obligations of such Borrower contained in the Loan Documents (all of the foregoing being referred to collectively as the “</w:t>
      </w:r>
      <w:r>
        <w:rPr>
          <w:rFonts w:ascii="Arial" w:cs="Arial" w:eastAsia="Arial" w:hAnsi="Arial"/>
          <w:sz w:val="16"/>
          <w:szCs w:val="16"/>
          <w:u w:val="single" w:color="auto"/>
          <w:color w:val="auto"/>
        </w:rPr>
        <w:t>Guaranteed</w:t>
      </w:r>
      <w:r>
        <w:rPr>
          <w:rFonts w:ascii="Arial" w:cs="Arial" w:eastAsia="Arial" w:hAnsi="Arial"/>
          <w:sz w:val="16"/>
          <w:szCs w:val="16"/>
          <w:color w:val="auto"/>
        </w:rPr>
        <w:t xml:space="preserve"> </w:t>
      </w:r>
      <w:r>
        <w:rPr>
          <w:rFonts w:ascii="Arial" w:cs="Arial" w:eastAsia="Arial" w:hAnsi="Arial"/>
          <w:sz w:val="16"/>
          <w:szCs w:val="16"/>
          <w:u w:val="single" w:color="auto"/>
          <w:color w:val="auto"/>
        </w:rPr>
        <w:t>Obligations</w:t>
      </w:r>
      <w:r>
        <w:rPr>
          <w:rFonts w:ascii="Arial" w:cs="Arial" w:eastAsia="Arial" w:hAnsi="Arial"/>
          <w:sz w:val="16"/>
          <w:szCs w:val="16"/>
          <w:color w:val="auto"/>
        </w:rPr>
        <w:t>” (provided, however, that the definition of “Guaranteed Obligations” shall not create or include any guarantee by any Guarantor of any Excluded</w:t>
      </w:r>
    </w:p>
    <w:p>
      <w:pPr>
        <w:sectPr>
          <w:pgSz w:w="11900" w:h="16975" w:orient="portrait"/>
          <w:cols w:equalWidth="0" w:num="1">
            <w:col w:w="11420"/>
          </w:cols>
          <w:pgMar w:left="240" w:top="125" w:right="239" w:bottom="0" w:gutter="0" w:footer="0" w:header="0"/>
        </w:sectPr>
      </w:pPr>
    </w:p>
    <w:bookmarkStart w:id="73" w:name="page74"/>
    <w:bookmarkEnd w:id="73"/>
    <w:p>
      <w:pPr>
        <w:spacing w:after="0" w:line="293" w:lineRule="auto"/>
        <w:rPr>
          <w:sz w:val="20"/>
          <w:szCs w:val="20"/>
          <w:color w:val="auto"/>
        </w:rPr>
      </w:pPr>
      <w:r>
        <w:rPr>
          <w:rFonts w:ascii="Arial" w:cs="Arial" w:eastAsia="Arial" w:hAnsi="Arial"/>
          <w:sz w:val="16"/>
          <w:szCs w:val="16"/>
          <w:color w:val="auto"/>
        </w:rPr>
        <w:t>Swap Obligations of such Guarantor for purposes of determining any obligations of any Guarantor) and the holders from time to time of the Guaranteed Obligations being referred to collectively as the “</w:t>
      </w:r>
      <w:r>
        <w:rPr>
          <w:rFonts w:ascii="Arial" w:cs="Arial" w:eastAsia="Arial" w:hAnsi="Arial"/>
          <w:sz w:val="16"/>
          <w:szCs w:val="16"/>
          <w:u w:val="single" w:color="auto"/>
          <w:color w:val="auto"/>
        </w:rPr>
        <w:t>Holders of Guaranteed Obligations</w:t>
      </w:r>
      <w:r>
        <w:rPr>
          <w:rFonts w:ascii="Arial" w:cs="Arial" w:eastAsia="Arial" w:hAnsi="Arial"/>
          <w:sz w:val="16"/>
          <w:szCs w:val="16"/>
          <w:color w:val="auto"/>
        </w:rPr>
        <w:t>”). Upon (x) the failure by any Borrower or any of its Affiliates, as applicable, to pay punctually any such amount or perform such obligation, and (y) such failure continuing beyond any applicable grace or notice and cure period, each of the Guarantors agrees that it shall forthwith on demand pay such amount or perform such obligation at the place and in the manner specified in the Credit Agreement, any Swap Agreement, any Banking Services Agreement or the relevant Loan Document, as the case may be. Each of the Guarantors hereby agrees that this Guaranty is an absolute, irrevocable and unconditional guaranty of payment and is not a guaranty of collection.</w:t>
      </w:r>
    </w:p>
    <w:p>
      <w:pPr>
        <w:spacing w:after="0" w:line="165"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Each of the Guarantors hereby irrevocably and unconditionally agrees, jointly and severally with the other Guarantors, that if any obligation guaranteed by it is or becomes unenforceable, invalid or illegal, it will, as an independent and primary obligation, indemnify the Holders of Guaranteed Obligations immediately on demand against any cost, loss or liability they incur as a result of the Company or any of its Affiliates not paying any amount which would, but for such unenforceability, invalidity or illegality, have been payable by such Guarantor under this Guaranty on the date when it would have been due (but so that the amount payable by each Guarantor under this indemnity will not exceed the amount which it would have had to pay under this Guaranty if the amount claimed had been recoverable on the basis of a guaranty).</w:t>
      </w:r>
    </w:p>
    <w:p>
      <w:pPr>
        <w:spacing w:after="0" w:line="178"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Guaranty Unconditional</w:t>
      </w:r>
      <w:r>
        <w:rPr>
          <w:rFonts w:ascii="Arial" w:cs="Arial" w:eastAsia="Arial" w:hAnsi="Arial"/>
          <w:sz w:val="18"/>
          <w:szCs w:val="18"/>
          <w:color w:val="auto"/>
        </w:rPr>
        <w:t>. The obligations of each of the Guarantors hereunder shall be unconditional and absolute and, without limiting the generality of the foregoing, shall not be released, discharged or otherwise affected by:</w:t>
      </w:r>
    </w:p>
    <w:p>
      <w:pPr>
        <w:spacing w:after="0" w:line="170" w:lineRule="exact"/>
        <w:rPr>
          <w:sz w:val="20"/>
          <w:szCs w:val="20"/>
          <w:color w:val="auto"/>
        </w:rPr>
      </w:pPr>
    </w:p>
    <w:p>
      <w:pPr>
        <w:ind w:left="660" w:right="80" w:firstLine="645"/>
        <w:spacing w:after="0" w:line="257" w:lineRule="auto"/>
        <w:tabs>
          <w:tab w:leader="none" w:pos="197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extension, renewal, settlement, indulgence, compromise, waiver or release of or with respect to the Guaranteed Obligations or any part thereof or any agreement relating thereto, or with respect to any obligation of any other guarantor of any of the Guaranteed Obligations, whether (in any such case) by operation of law or otherwise, or any failure or omission to enforce any right, power or remedy with respect to the Guaranteed Obligations or any part thereof or any agreement relating thereto, or with respect to any obligation of any other guarantor of any of the Guaranteed Obligations;</w:t>
      </w:r>
    </w:p>
    <w:p>
      <w:pPr>
        <w:spacing w:after="0" w:line="188" w:lineRule="exact"/>
        <w:rPr>
          <w:rFonts w:ascii="Arial" w:cs="Arial" w:eastAsia="Arial" w:hAnsi="Arial"/>
          <w:sz w:val="18"/>
          <w:szCs w:val="18"/>
          <w:color w:val="auto"/>
        </w:rPr>
      </w:pPr>
    </w:p>
    <w:p>
      <w:pPr>
        <w:ind w:left="660" w:right="100" w:firstLine="645"/>
        <w:spacing w:after="0" w:line="264" w:lineRule="auto"/>
        <w:tabs>
          <w:tab w:leader="none" w:pos="196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the Credit Agreement, any Swap Agreement, any Banking Services Agreement or any other Loan Document, including, without limitation, any such amendment which may increase the amount of, or the interest rates applicable to, any of the Obligations guaranteed hereby;</w:t>
      </w:r>
    </w:p>
    <w:p>
      <w:pPr>
        <w:spacing w:after="0" w:line="181" w:lineRule="exact"/>
        <w:rPr>
          <w:rFonts w:ascii="Arial" w:cs="Arial" w:eastAsia="Arial" w:hAnsi="Arial"/>
          <w:sz w:val="18"/>
          <w:szCs w:val="18"/>
          <w:color w:val="auto"/>
        </w:rPr>
      </w:pPr>
    </w:p>
    <w:p>
      <w:pPr>
        <w:jc w:val="both"/>
        <w:ind w:left="660" w:right="500" w:firstLine="645"/>
        <w:spacing w:after="0" w:line="259" w:lineRule="auto"/>
        <w:tabs>
          <w:tab w:leader="none" w:pos="196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release, surrender, compromise, settlement, waiver, subordination or modification, with or without consideration, of any collateral securing the Guaranteed Obligations or any part thereof, any other guaranties with respect to the Guaranteed Obligations or any part thereof, or any other obligation of any person or entity with respect to the Guaranteed Obligations or any part thereof, or any nonperfection or invalidity of any direct or indirect security for the Guaranteed Obligations;</w:t>
      </w:r>
    </w:p>
    <w:p>
      <w:pPr>
        <w:spacing w:after="0" w:line="186" w:lineRule="exact"/>
        <w:rPr>
          <w:rFonts w:ascii="Arial" w:cs="Arial" w:eastAsia="Arial" w:hAnsi="Arial"/>
          <w:sz w:val="18"/>
          <w:szCs w:val="18"/>
          <w:color w:val="auto"/>
        </w:rPr>
      </w:pPr>
    </w:p>
    <w:p>
      <w:pPr>
        <w:jc w:val="both"/>
        <w:ind w:left="660" w:right="140" w:firstLine="645"/>
        <w:spacing w:after="0" w:line="264" w:lineRule="auto"/>
        <w:tabs>
          <w:tab w:leader="none" w:pos="197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change in the corporate, partnership or other existence, structure or ownership of any Borrower or any other guarantor of any of the Guaranteed Obligations, or any insolvency, bankruptcy, examinership, reorganization or other similar proceeding affecting such Borrower or any other guarantor of the Guaranteed Obligations, or any of their respective assets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any resulting release or discharge of any obligation of such Borrower or any other guarantor of any of the Guaranteed Obligations;</w:t>
      </w:r>
    </w:p>
    <w:p>
      <w:pPr>
        <w:spacing w:after="0" w:line="225" w:lineRule="exact"/>
        <w:rPr>
          <w:sz w:val="20"/>
          <w:szCs w:val="20"/>
          <w:color w:val="auto"/>
        </w:rPr>
      </w:pPr>
    </w:p>
    <w:p>
      <w:pPr>
        <w:ind w:left="660" w:right="200" w:firstLine="645"/>
        <w:spacing w:after="0" w:line="259" w:lineRule="auto"/>
        <w:tabs>
          <w:tab w:leader="none" w:pos="197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the existence of any claim, setoff or other rights which the Guarantors may have at any time against any Borrower, any other guarantor of any of the Guaranteed Obligations, the Administrative Agent, any Holder of Guaranteed Obligations or any other Person, whether in connection herewith or in connection with any unrelated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prevent the assertion of any such claim by separate suit or compulsory counterclaim;</w:t>
      </w:r>
    </w:p>
    <w:p>
      <w:pPr>
        <w:spacing w:after="0" w:line="186" w:lineRule="exact"/>
        <w:rPr>
          <w:rFonts w:ascii="Arial" w:cs="Arial" w:eastAsia="Arial" w:hAnsi="Arial"/>
          <w:sz w:val="18"/>
          <w:szCs w:val="18"/>
          <w:color w:val="auto"/>
        </w:rPr>
      </w:pPr>
    </w:p>
    <w:p>
      <w:pPr>
        <w:ind w:left="660" w:right="40" w:firstLine="645"/>
        <w:spacing w:after="0" w:line="273" w:lineRule="auto"/>
        <w:tabs>
          <w:tab w:leader="none" w:pos="1974"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enforceability or validity of the Guaranteed Obligations or any part thereof or the genuineness, enforceability or validity of any agreement relating thereto or with respect to any collateral securing the Guaranteed Obligations or any part thereof, or any other invalidity or unenforceability relating to or against any Borrower or any other guarantor of any of the Guaranteed Obligations, for any reason related to the Credit Agreement, any Swap Agreement, any Banking Services Agreement, any other Loan Document, or any provision of applicable law decree, order or regulation of any jurisdiction purporting to prohibit the payment by such Borrower or any other guarantor of the Guaranteed Obligations, of any of the Guaranteed Obligations or otherwise affecting any term of any of the Guaranteed Obligations;</w:t>
      </w:r>
    </w:p>
    <w:p>
      <w:pPr>
        <w:spacing w:after="0" w:line="178" w:lineRule="exact"/>
        <w:rPr>
          <w:rFonts w:ascii="Arial" w:cs="Arial" w:eastAsia="Arial" w:hAnsi="Arial"/>
          <w:sz w:val="17"/>
          <w:szCs w:val="17"/>
          <w:color w:val="auto"/>
        </w:rPr>
      </w:pPr>
    </w:p>
    <w:p>
      <w:pPr>
        <w:ind w:left="660" w:right="180" w:firstLine="645"/>
        <w:spacing w:after="0" w:line="277" w:lineRule="auto"/>
        <w:tabs>
          <w:tab w:leader="none" w:pos="197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failure of the Administrative Agent to take any steps to perfect and maintain any security interest in, or to preserve any rights to, any security or collateral for the Guaranteed Obligations, if any;</w:t>
      </w:r>
    </w:p>
    <w:p>
      <w:pPr>
        <w:spacing w:after="0" w:line="170" w:lineRule="exact"/>
        <w:rPr>
          <w:rFonts w:ascii="Arial" w:cs="Arial" w:eastAsia="Arial" w:hAnsi="Arial"/>
          <w:sz w:val="18"/>
          <w:szCs w:val="18"/>
          <w:color w:val="auto"/>
        </w:rPr>
      </w:pPr>
    </w:p>
    <w:p>
      <w:pPr>
        <w:jc w:val="both"/>
        <w:ind w:left="660" w:right="360" w:firstLine="645"/>
        <w:spacing w:after="0" w:line="264" w:lineRule="auto"/>
        <w:tabs>
          <w:tab w:leader="none" w:pos="196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election by, or on behalf of, any one or more of the Holders of Guaranteed Obligations, in any proceeding instituted under Chapter 11 of Title 11 of the United States Code (11 U.S.C. 101 et seq.)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of the application of Section 1111(b)(2) of the Bankruptcy Code;</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any borrowing or grant of a security interest by any Borrower, as debtor-in-possession, under Section 364 of the Bankruptcy Code;</w:t>
      </w:r>
    </w:p>
    <w:p>
      <w:pPr>
        <w:spacing w:after="0" w:line="248" w:lineRule="exact"/>
        <w:rPr>
          <w:rFonts w:ascii="Arial" w:cs="Arial" w:eastAsia="Arial" w:hAnsi="Arial"/>
          <w:sz w:val="16"/>
          <w:szCs w:val="16"/>
          <w:color w:val="auto"/>
        </w:rPr>
      </w:pPr>
    </w:p>
    <w:p>
      <w:pPr>
        <w:ind w:left="660" w:right="440" w:firstLine="645"/>
        <w:spacing w:after="0" w:line="277" w:lineRule="auto"/>
        <w:tabs>
          <w:tab w:leader="none" w:pos="197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disallowance, under Section 502 of the Bankruptcy Code, of all or any portion of the claims of the Holders of Guaranteed Obligations or the Administrative Agent for repayment of all or any part of the Guaranteed Obligations;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failure of any other guarantor to sign or become party to this Guaranty or any amendment, change, or reaffirmation hereof; or</w:t>
      </w:r>
    </w:p>
    <w:p>
      <w:pPr>
        <w:spacing w:after="0" w:line="248" w:lineRule="exact"/>
        <w:rPr>
          <w:rFonts w:ascii="Arial" w:cs="Arial" w:eastAsia="Arial" w:hAnsi="Arial"/>
          <w:sz w:val="16"/>
          <w:szCs w:val="16"/>
          <w:color w:val="auto"/>
        </w:rPr>
      </w:pPr>
    </w:p>
    <w:p>
      <w:pPr>
        <w:ind w:left="660" w:right="340" w:firstLine="645"/>
        <w:spacing w:after="0" w:line="312" w:lineRule="auto"/>
        <w:tabs>
          <w:tab w:leader="none" w:pos="197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any other act or omission to act or delay of any kind by any Borrower, any other guarantor of the Guaranteed Obligations, the Administrative Agent, any Holder of Guaranteed Obligations or any other Person or any other circumstance whatsoever which might, but for the provisions of this Section 4, constitute a legal or equitable discharge of any Guarantor’s obligations hereunder except as provided in Section 5.</w:t>
      </w:r>
    </w:p>
    <w:p>
      <w:pPr>
        <w:spacing w:after="0" w:line="147"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Continuing Guarantee; Discharge Only Upon Payment In Full; Reinstatement In Certain Circumstances</w:t>
      </w:r>
      <w:r>
        <w:rPr>
          <w:rFonts w:ascii="Arial" w:cs="Arial" w:eastAsia="Arial" w:hAnsi="Arial"/>
          <w:sz w:val="16"/>
          <w:szCs w:val="16"/>
          <w:color w:val="auto"/>
        </w:rPr>
        <w:t>. Each of the Guarantors’ obligations hereunder shall constitute a continuing and irrevocable guarantee of all Guaranteed Obligations now or hereafter existing and shall remain in full force and effect until all Guaranteed Obligations shall have been paid in full in cash and the Commitments and all Letters of Credit issued under</w:t>
      </w:r>
    </w:p>
    <w:p>
      <w:pPr>
        <w:sectPr>
          <w:pgSz w:w="11900" w:h="16838" w:orient="portrait"/>
          <w:cols w:equalWidth="0" w:num="1">
            <w:col w:w="11420"/>
          </w:cols>
          <w:pgMar w:left="240" w:top="125" w:right="239" w:bottom="0" w:gutter="0" w:footer="0" w:header="0"/>
        </w:sectPr>
      </w:pPr>
    </w:p>
    <w:bookmarkStart w:id="74" w:name="page75"/>
    <w:bookmarkEnd w:id="74"/>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Credit Agreement shall have terminated or expired, or satisfaction otherwise of the Final Release Conditions. If at any time any payment of the principal of or interest on any Loan, any Reimbursement Obligation or any other amount payable by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Borrower or any other party under the Credit Agreement, any Swap Agreement, any Banking Services Agreement or any other Loan Document (including a payment effected through exercise of a right of setoff) is rescinded, or is or must be otherwise restored or returned upon the insolvency, bankruptcy, examinership or reorganization of any Borrower or otherwise (including pursuant to any settlement entered into by a Holder of Guaranteed Obligations in its discretion), each of the Guarantors’ obligations hereunder with respect to such payment shall be reinstated as though such payment had been due but not made at such time. The parties hereto acknowledge and agree that each of the Guaranteed Obligations shall be due and payable in the same currency as such Guaranteed Obligation is denominated but if currency control or exchange regulations are imposed in the country which issues such currency with the result that such currency (the “</w:t>
      </w:r>
      <w:r>
        <w:rPr>
          <w:rFonts w:ascii="Arial" w:cs="Arial" w:eastAsia="Arial" w:hAnsi="Arial"/>
          <w:sz w:val="17"/>
          <w:szCs w:val="17"/>
          <w:u w:val="single" w:color="auto"/>
          <w:color w:val="auto"/>
        </w:rPr>
        <w:t>Original Currency</w:t>
      </w:r>
      <w:r>
        <w:rPr>
          <w:rFonts w:ascii="Arial" w:cs="Arial" w:eastAsia="Arial" w:hAnsi="Arial"/>
          <w:sz w:val="17"/>
          <w:szCs w:val="17"/>
          <w:color w:val="auto"/>
        </w:rPr>
        <w:t>”) no longer exists or the relevant Guarantor is not able to make payment in such Original Currency, then all payments to be made by such Guarantor hereunder in such currency shall instead be made when due in Dollars in an amount equal to the Dollar Amount (as of the date of payment) of such payment due, it being the intention of the parties hereto that each Guarantor takes all risks of the imposition of any such currency control or exchange regulations.</w:t>
      </w:r>
    </w:p>
    <w:p>
      <w:pPr>
        <w:spacing w:after="0" w:line="178"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General Waivers; Additional Waivers</w:t>
      </w:r>
      <w:r>
        <w:rPr>
          <w:rFonts w:ascii="Arial" w:cs="Arial" w:eastAsia="Arial" w:hAnsi="Arial"/>
          <w:sz w:val="16"/>
          <w:szCs w:val="16"/>
          <w:color w:val="auto"/>
        </w:rPr>
        <w:t>.</w:t>
      </w:r>
    </w:p>
    <w:p>
      <w:pPr>
        <w:spacing w:after="0" w:line="225" w:lineRule="exact"/>
        <w:rPr>
          <w:sz w:val="20"/>
          <w:szCs w:val="20"/>
          <w:color w:val="auto"/>
        </w:rPr>
      </w:pPr>
    </w:p>
    <w:p>
      <w:pPr>
        <w:ind w:left="660" w:right="200" w:firstLine="645"/>
        <w:spacing w:after="0" w:line="259" w:lineRule="auto"/>
        <w:tabs>
          <w:tab w:leader="none" w:pos="1977"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General Waivers</w:t>
      </w:r>
      <w:r>
        <w:rPr>
          <w:rFonts w:ascii="Arial" w:cs="Arial" w:eastAsia="Arial" w:hAnsi="Arial"/>
          <w:sz w:val="18"/>
          <w:szCs w:val="18"/>
          <w:color w:val="auto"/>
        </w:rPr>
        <w:t>. Each of the Guarantors irrevocably waives acceptance hereof, presentment, demand or action on delinquency, protest, the benefit of any statutes of limitations and, to the fullest extent permitted by law, any notice not provided for herein, as well as any requirement that at any time any action be taken by any Person against any Borrower, any other guarantor of the Guaranteed Obligations, or any other Person.</w:t>
      </w:r>
    </w:p>
    <w:p>
      <w:pPr>
        <w:spacing w:after="0" w:line="186" w:lineRule="exact"/>
        <w:rPr>
          <w:rFonts w:ascii="Arial" w:cs="Arial" w:eastAsia="Arial" w:hAnsi="Arial"/>
          <w:sz w:val="18"/>
          <w:szCs w:val="18"/>
          <w:color w:val="auto"/>
        </w:rPr>
      </w:pPr>
    </w:p>
    <w:p>
      <w:pPr>
        <w:ind w:left="660" w:right="180" w:firstLine="645"/>
        <w:spacing w:after="0" w:line="277" w:lineRule="auto"/>
        <w:tabs>
          <w:tab w:leader="none" w:pos="1967"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Additional Waivers</w:t>
      </w:r>
      <w:r>
        <w:rPr>
          <w:rFonts w:ascii="Arial" w:cs="Arial" w:eastAsia="Arial" w:hAnsi="Arial"/>
          <w:sz w:val="18"/>
          <w:szCs w:val="18"/>
          <w:color w:val="auto"/>
        </w:rPr>
        <w:t>. Notwithstanding anything herein to the contrary, each of the Guarantors hereby absolutely, unconditionally, knowingly, and expressly waives:</w:t>
      </w:r>
    </w:p>
    <w:p>
      <w:pPr>
        <w:spacing w:after="0" w:line="170" w:lineRule="exact"/>
        <w:rPr>
          <w:sz w:val="20"/>
          <w:szCs w:val="20"/>
          <w:color w:val="auto"/>
        </w:rPr>
      </w:pPr>
    </w:p>
    <w:p>
      <w:pPr>
        <w:ind w:left="1980" w:hanging="675"/>
        <w:spacing w:after="0"/>
        <w:tabs>
          <w:tab w:leader="none" w:pos="19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right it may have to revoke this Guaranty as to future indebtedness or notice of acceptance hereof;</w:t>
      </w:r>
    </w:p>
    <w:p>
      <w:pPr>
        <w:spacing w:after="0" w:line="225" w:lineRule="exact"/>
        <w:rPr>
          <w:rFonts w:ascii="Arial" w:cs="Arial" w:eastAsia="Arial" w:hAnsi="Arial"/>
          <w:sz w:val="18"/>
          <w:szCs w:val="18"/>
          <w:color w:val="auto"/>
        </w:rPr>
      </w:pPr>
    </w:p>
    <w:p>
      <w:pPr>
        <w:ind w:left="660" w:firstLine="645"/>
        <w:spacing w:after="0" w:line="291" w:lineRule="auto"/>
        <w:tabs>
          <w:tab w:leader="none" w:pos="198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 notice of acceptance hereof; (b) notice of any loans or other financial accommodations made or extended under the Loan Documents or the creation or existence of any Guaranteed Obligations; (c) notice of the amount of the Guaranteed Obligations, subject, however, to each Guarantor’s right to make inquiry of Administrative Agent and Holders of Guaranteed Obligations to ascertain the amount of the Guaranteed Obligations at any reasonable time; (d) notice of any adverse change in the financial condition of any Borrower or of any other fact that might increase such Guarantor’s risk hereunder; (e) notice of presentment for payment, demand, protest, and notice thereof as to any instruments among the Loan Documents; (f) notice of any Default or Event of Default; and (g) all other notices (except if such notice is specifically required to be given to such Guarantor hereunder or under the Loan Documents) and demands to which each Guarantor might otherwise be entitled;</w:t>
      </w:r>
    </w:p>
    <w:p>
      <w:pPr>
        <w:spacing w:after="0" w:line="167" w:lineRule="exact"/>
        <w:rPr>
          <w:rFonts w:ascii="Arial" w:cs="Arial" w:eastAsia="Arial" w:hAnsi="Arial"/>
          <w:sz w:val="16"/>
          <w:szCs w:val="16"/>
          <w:color w:val="auto"/>
        </w:rPr>
      </w:pPr>
    </w:p>
    <w:p>
      <w:pPr>
        <w:ind w:left="660" w:right="40" w:firstLine="645"/>
        <w:spacing w:after="0" w:line="276" w:lineRule="auto"/>
        <w:tabs>
          <w:tab w:leader="none" w:pos="1997"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its right, if any, to require the Administrative Agent and the other Holders of Guaranteed Obligations to institute suit against, or to exhaust any rights and remedies which the Administrative Agent and the other Holders of Guaranteed Obligations has or may have against, the other Guarantors or any third party; and each Guarantor further waives any defense arising by reason of any disability or other defense (other than the defense that the Guaranteed Obligations shall have been fully and finally performed and indefeasibly paid) of the other Guarantors or by reason of the cessation from any cause whatsoever of the liability of the other Guarantors in respect thereof;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286" w:lineRule="auto"/>
        <w:tabs>
          <w:tab w:leader="none" w:pos="197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 any rights to assert against the Administrative Agent and the other Holders of Guaranteed Obligations any defense (legal or equitable), set-off, counterclaim, or claim which such Guarantor may now or at any time hereafter have against the other Guarantors or any other party liable to the Administrative Agent and the other Holders of Guaranteed Obligations; (b) any defense, set-off, counterclaim, or claim, of any kind or nature, arising directly or indirectly from the present or future lack of perfection, sufficiency, validity, or enforceability of the Guaranteed Obligations or any security therefor; (c) any defense such Guarantor has to performance hereunder, and any right such Guarantor has to be exonerated, arising by reason of: the impairment or suspension of the Administrative Agent’s and the other Holders of Guaranteed Obligations’ rights or remedies against the other Guarantors; the alteration by the Administrative Agent and the other Holders of Guaranteed Obligations of the Guaranteed Obligations; any discharge of the other Guarantors’ obligations to the Administrative Agent and the other Holders of Guaranteed Obligations by operation of law as a result of the Administrative Agent’s and the other Holders of Guaranteed Obligations’ intervention or omission; or the acceptance by the Administrative Agent and the other Holders of Guaranteed Obligations of anything in partial satisfaction of the Guaranteed Obligations; and (d) the benefit of any statute of limitations affecting such Guarantor’s liability hereunder or the enforcement thereof, and any act which shall defer or delay the operation of any statute of limitations applicable to the Guaranteed Obligations shall similarly operate to defer or delay the operation of such statute of limitations applicable to such Guarantor’s liability hereunder; and</w:t>
      </w:r>
    </w:p>
    <w:p>
      <w:pPr>
        <w:spacing w:after="0" w:line="174" w:lineRule="exact"/>
        <w:rPr>
          <w:rFonts w:ascii="Arial" w:cs="Arial" w:eastAsia="Arial" w:hAnsi="Arial"/>
          <w:sz w:val="16"/>
          <w:szCs w:val="16"/>
          <w:color w:val="auto"/>
        </w:rPr>
      </w:pPr>
    </w:p>
    <w:p>
      <w:pPr>
        <w:ind w:left="660" w:right="320" w:firstLine="645"/>
        <w:spacing w:after="0" w:line="259" w:lineRule="auto"/>
        <w:tabs>
          <w:tab w:leader="none" w:pos="196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defense arising by reason of or deriving from (a) any claim or defense based upon an election of remedies by the Administrative Agent and the other Holders of Guaranteed Obligations; or (b) any election by the Administrative Agent and the other Holders of Guaranteed Obligations under Section 1111(b) of Title 11 of the United States Code entitled “Bankruptcy”, as now and hereafter in effect (or any successor statute), to limit the amount of, or any collateral securing, its claim against the Guarantors.</w:t>
      </w:r>
    </w:p>
    <w:p>
      <w:pPr>
        <w:spacing w:after="0" w:line="18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Subordination of Subrogation; Subordination of Intercompany Indebtedness</w:t>
      </w:r>
      <w:r>
        <w:rPr>
          <w:rFonts w:ascii="Arial" w:cs="Arial" w:eastAsia="Arial" w:hAnsi="Arial"/>
          <w:sz w:val="16"/>
          <w:szCs w:val="16"/>
          <w:color w:val="auto"/>
        </w:rPr>
        <w:t>.</w:t>
      </w:r>
    </w:p>
    <w:p>
      <w:pPr>
        <w:spacing w:after="0" w:line="225" w:lineRule="exact"/>
        <w:rPr>
          <w:sz w:val="20"/>
          <w:szCs w:val="20"/>
          <w:color w:val="auto"/>
        </w:rPr>
      </w:pPr>
    </w:p>
    <w:p>
      <w:pPr>
        <w:ind w:left="660" w:right="160" w:firstLine="645"/>
        <w:spacing w:after="0" w:line="291" w:lineRule="auto"/>
        <w:tabs>
          <w:tab w:leader="none" w:pos="1977"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Subordination of Subrogation</w:t>
      </w:r>
      <w:r>
        <w:rPr>
          <w:rFonts w:ascii="Arial" w:cs="Arial" w:eastAsia="Arial" w:hAnsi="Arial"/>
          <w:sz w:val="16"/>
          <w:szCs w:val="16"/>
          <w:color w:val="auto"/>
        </w:rPr>
        <w:t>. Until the Guaranteed Obligations have been fully and finally performed and indefeasibly paid in full in cash, or satisfaction otherwise of the Final Release Conditions, the Guarantors (i) shall have no right of subrogation with respect to such Guaranteed Obligations, (ii) waive any right to enforce any remedy which the Holders of Guaranteed Obligations, the Issuing Banks or the Administrative Agent now have or may hereafter have against any Borrower, any endorser or any guarantor of all or any part of the Guaranteed Obligations or any other Person, and (iii) waive any benefit of, and any right to participate in, any security or collateral given to the Holders of Guaranteed Obligations, the Issuing Banks and the Administrative Agent to secure the payment or performance of all or any part of the Guaranteed Obligations or any other liability of any Borrower to the Holders of Guaranteed Obligations or the Issuing Banks. Should any Guarantor have the</w:t>
      </w:r>
    </w:p>
    <w:p>
      <w:pPr>
        <w:sectPr>
          <w:pgSz w:w="11900" w:h="16932" w:orient="portrait"/>
          <w:cols w:equalWidth="0" w:num="1">
            <w:col w:w="11420"/>
          </w:cols>
          <w:pgMar w:left="240" w:top="125" w:right="239" w:bottom="0" w:gutter="0" w:footer="0" w:header="0"/>
        </w:sectPr>
      </w:pPr>
    </w:p>
    <w:bookmarkStart w:id="75" w:name="page76"/>
    <w:bookmarkEnd w:id="75"/>
    <w:p>
      <w:pPr>
        <w:spacing w:after="0" w:line="13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right, notwithstanding the foregoing, to exercise its subrogation rights, each Guarantor hereby expressly and irrevocably (A) subordinates any and all rights at law or in equity to subrogation, reimbursement, exoneration, contribution, indemnification or set off that such Guarantor may have to the indefeasible payment in full in cash of the Guaranteed Obligations and (B) waives any and all defenses available to a surety, guarantor or accommodation co-obligor until the Guaranteed Obligations are indefeasibly paid in full in cash. Each Guarantor acknowledges and agrees that this subordination is intended to benefit the Administrative Agent and the other Holders of Guaranteed Obligations and shall not limit or otherwise affect such Guarantor’s liability hereunder or the enforceability of this Guaranty, and that the Administrative Agent, the</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other Holders of Guaranteed Obligations and their respective successors and assigns are intended third party beneficiaries of the waivers and agreements set forth in this Section 7(A).</w:t>
      </w:r>
    </w:p>
    <w:p>
      <w:pPr>
        <w:spacing w:after="0" w:line="170" w:lineRule="exact"/>
        <w:rPr>
          <w:sz w:val="20"/>
          <w:szCs w:val="20"/>
          <w:color w:val="auto"/>
        </w:rPr>
      </w:pPr>
    </w:p>
    <w:p>
      <w:pPr>
        <w:ind w:right="40" w:firstLine="645"/>
        <w:spacing w:after="0" w:line="284" w:lineRule="auto"/>
        <w:tabs>
          <w:tab w:leader="none" w:pos="1307"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Subordination of Intercompany Indebtedness</w:t>
      </w:r>
      <w:r>
        <w:rPr>
          <w:rFonts w:ascii="Arial" w:cs="Arial" w:eastAsia="Arial" w:hAnsi="Arial"/>
          <w:sz w:val="16"/>
          <w:szCs w:val="16"/>
          <w:color w:val="auto"/>
        </w:rPr>
        <w:t>. Each Guarantor agrees that any and all claims of such Guarantor against any Borrower or any other Guarantor hereunder (each an “</w:t>
      </w:r>
      <w:r>
        <w:rPr>
          <w:rFonts w:ascii="Arial" w:cs="Arial" w:eastAsia="Arial" w:hAnsi="Arial"/>
          <w:sz w:val="16"/>
          <w:szCs w:val="16"/>
          <w:u w:val="single" w:color="auto"/>
          <w:color w:val="auto"/>
        </w:rPr>
        <w:t>Obligor</w:t>
      </w:r>
      <w:r>
        <w:rPr>
          <w:rFonts w:ascii="Arial" w:cs="Arial" w:eastAsia="Arial" w:hAnsi="Arial"/>
          <w:sz w:val="16"/>
          <w:szCs w:val="16"/>
          <w:color w:val="auto"/>
        </w:rPr>
        <w:t xml:space="preserve">”) with respect to any “Intercompany Indebtedness” (as hereinafter defined), any endorser, obligor or any other guarantor of all or any part of the Guaranteed Obligations, or against any of its properties shall be subordinate and subject in right of payment to the prior payment, in full and in cash, of all Guaranteed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long as no Event of Default has occurred and is continuing, such Guarantor may receive payments of principal and interest from any Obligor with respect to Intercompany Indebtedness. Notwithstanding any right of any Guarantor to ask, demand, sue for, take or receive any payment from any Obligor, all rights, liens and security interests of such Guarantor, whether now or hereafter arising and howsoever existing, in any assets of any other Obligor shall be and are subordinated to the rights of the Holders of Guaranteed Obligations and the Administrative Agent in those assets. No Guarantor shall have any right to possession of any such asset or to foreclose upon any such asset, whether by judicial action or otherwise, unless and until all of the Guaranteed Obligations shall have been fully paid and satisfied (in cash) and all financing arrangements pursuant to any Loan Document, any Swap Agreement or any Banking Services Agreement have been terminated. If all or any part of the assets of any Obligor, or the proceeds thereof, are subject to any distribution, division or application to the creditors of such Obligor, whether partial or complete, voluntary or involuntary, and whether by reason of liquidation, bankruptcy, arrangement, receivership, assignment for the benefit of creditors or any other action or proceeding, or if the business of any such Obligor is dissolved or if substantially all of the assets of any such Obligor are sold, then, and in any such event (such events being herein referred to as an “</w:t>
      </w:r>
      <w:r>
        <w:rPr>
          <w:rFonts w:ascii="Arial" w:cs="Arial" w:eastAsia="Arial" w:hAnsi="Arial"/>
          <w:sz w:val="16"/>
          <w:szCs w:val="16"/>
          <w:u w:val="single" w:color="auto"/>
          <w:color w:val="auto"/>
        </w:rPr>
        <w:t>Insolvency Event</w:t>
      </w:r>
      <w:r>
        <w:rPr>
          <w:rFonts w:ascii="Arial" w:cs="Arial" w:eastAsia="Arial" w:hAnsi="Arial"/>
          <w:sz w:val="16"/>
          <w:szCs w:val="16"/>
          <w:color w:val="auto"/>
        </w:rPr>
        <w:t>”), any payment or distribution of any kind or character, either in cash, securities or other property, which shall be payable or deliverable upon or with respect to any indebtedness of any Obligor to any Guarantor (“</w:t>
      </w:r>
      <w:r>
        <w:rPr>
          <w:rFonts w:ascii="Arial" w:cs="Arial" w:eastAsia="Arial" w:hAnsi="Arial"/>
          <w:sz w:val="16"/>
          <w:szCs w:val="16"/>
          <w:u w:val="single" w:color="auto"/>
          <w:color w:val="auto"/>
        </w:rPr>
        <w:t>Intercompany Indebtedness</w:t>
      </w:r>
      <w:r>
        <w:rPr>
          <w:rFonts w:ascii="Arial" w:cs="Arial" w:eastAsia="Arial" w:hAnsi="Arial"/>
          <w:sz w:val="16"/>
          <w:szCs w:val="16"/>
          <w:color w:val="auto"/>
        </w:rPr>
        <w:t>”) shall be paid or delivered directly to the Administrative Agent for application on any of the Guaranteed Obligations, due or to become due, until such Guaranteed Obligations shall have first been fully paid and satisfied (in cash). Should any payment, distribution, security or instrument or proceeds thereof be received by the applicable Guarantor upon or with respect to the Intercompany Indebtedness after any Insolvency Event and prior to the satisfaction of all of the Guaranteed Obligations and the termination of all financing arrangements pursuant to any Loan Document among any Borrower and the Holders of Guaranteed Obligations, such Guarantor shall receive and hold the same in trust, as trustee, for the benefit of the Holders of Guaranteed Obligations and shall forthwith deliver the same to the Administrative Agent, for the benefit of the Holders of Guaranteed Obligations, in precisely the form received (except for the endorsement or assignment of the Guarantor where necessary), for application to any of the Guaranteed Obligations, due or not due, and, until so delivered, the same shall be held in trust by the Guarantor as the property of the Holders of Guaranteed Obligations. If any such Guarantor fails to make any such endorsement or assignment to the Administrative Agent, the Administrative Agent or any of its officers or employees is irrevocably authorized to make the same. Each Guarantor agrees that until the Guaranteed Obligations (other than the contingent indemnity obligations) have been paid in full (in cash) and satisfied and all financing arrangements pursuant to any Loan Document among any Borrower and the Holders of Guaranteed Obligations have been terminated or satisfaction otherwise of the Final Release Conditions, no Guarantor will assign or transfer to any Person (other than the Administrative Agent) any claim any such Guarantor has or may have against any Obligor.</w:t>
      </w:r>
    </w:p>
    <w:p>
      <w:pPr>
        <w:spacing w:after="0" w:line="38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Contribution with Respect to Guaranteed Obligations</w:t>
      </w:r>
      <w:r>
        <w:rPr>
          <w:rFonts w:ascii="Arial" w:cs="Arial" w:eastAsia="Arial" w:hAnsi="Arial"/>
          <w:sz w:val="16"/>
          <w:szCs w:val="16"/>
          <w:color w:val="auto"/>
        </w:rPr>
        <w:t>.</w:t>
      </w:r>
    </w:p>
    <w:p>
      <w:pPr>
        <w:spacing w:after="0" w:line="225" w:lineRule="exact"/>
        <w:rPr>
          <w:sz w:val="20"/>
          <w:szCs w:val="20"/>
          <w:color w:val="auto"/>
        </w:rPr>
      </w:pPr>
    </w:p>
    <w:p>
      <w:pPr>
        <w:ind w:right="20" w:firstLine="645"/>
        <w:spacing w:after="0" w:line="270" w:lineRule="auto"/>
        <w:tabs>
          <w:tab w:leader="none" w:pos="1317"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To the extent that any Guarantor shall make a payment under this Guaranty (a “</w:t>
      </w:r>
      <w:r>
        <w:rPr>
          <w:rFonts w:ascii="Arial" w:cs="Arial" w:eastAsia="Arial" w:hAnsi="Arial"/>
          <w:sz w:val="17"/>
          <w:szCs w:val="17"/>
          <w:u w:val="single" w:color="auto"/>
          <w:color w:val="auto"/>
        </w:rPr>
        <w:t>Guarantor Payment</w:t>
      </w:r>
      <w:r>
        <w:rPr>
          <w:rFonts w:ascii="Arial" w:cs="Arial" w:eastAsia="Arial" w:hAnsi="Arial"/>
          <w:sz w:val="17"/>
          <w:szCs w:val="17"/>
          <w:color w:val="auto"/>
        </w:rPr>
        <w:t>”) which, taking into account all other Guarantor Payments then previously or concurrently made by any other Guarantor, exceeds the amount which otherwise would have been paid by or attributable to such Guarantor if each Guarantor had paid the aggregate Guaranteed Obligations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then, following indefeasible payment in full in cash of the Guaranteed Obligations and termination of the Credit Agreement, the Swap Agreements and the Banking Services Agreements, such Guarantor shall be entitled to receive contribution and indemnification payments from, and be reimbursed by, each other Guarantor for the amount of such excess, pro rata based upon their respective Allocable Amounts in effect immediately prior to such Guarantor Payment.</w:t>
      </w:r>
    </w:p>
    <w:p>
      <w:pPr>
        <w:spacing w:after="0" w:line="181" w:lineRule="exact"/>
        <w:rPr>
          <w:rFonts w:ascii="Arial" w:cs="Arial" w:eastAsia="Arial" w:hAnsi="Arial"/>
          <w:sz w:val="17"/>
          <w:szCs w:val="17"/>
          <w:color w:val="auto"/>
        </w:rPr>
      </w:pPr>
    </w:p>
    <w:p>
      <w:pPr>
        <w:ind w:firstLine="645"/>
        <w:spacing w:after="0" w:line="257" w:lineRule="auto"/>
        <w:tabs>
          <w:tab w:leader="none" w:pos="130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As of any date of determination, the “Allocable Amount”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other Guarantors as of such date in a manner to maximize the amount of such contributions.</w:t>
      </w:r>
    </w:p>
    <w:p>
      <w:pPr>
        <w:spacing w:after="0" w:line="188" w:lineRule="exact"/>
        <w:rPr>
          <w:rFonts w:ascii="Arial" w:cs="Arial" w:eastAsia="Arial" w:hAnsi="Arial"/>
          <w:sz w:val="18"/>
          <w:szCs w:val="18"/>
          <w:color w:val="auto"/>
        </w:rPr>
      </w:pPr>
    </w:p>
    <w:p>
      <w:pPr>
        <w:ind w:right="120" w:firstLine="645"/>
        <w:spacing w:after="0" w:line="264" w:lineRule="auto"/>
        <w:tabs>
          <w:tab w:leader="none" w:pos="130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This Section 8 is intended only to define the relative rights of the Guarantors, and nothing set forth in this Section 8 is intended to or shall impair the obligations of the Guarantors, jointly and severally, to pay any amounts as and when the same shall become due and payable in accordance with the terms of this Guaranty.</w:t>
      </w:r>
    </w:p>
    <w:p>
      <w:pPr>
        <w:spacing w:after="0" w:line="181" w:lineRule="exact"/>
        <w:rPr>
          <w:rFonts w:ascii="Arial" w:cs="Arial" w:eastAsia="Arial" w:hAnsi="Arial"/>
          <w:sz w:val="18"/>
          <w:szCs w:val="18"/>
          <w:color w:val="auto"/>
        </w:rPr>
      </w:pPr>
    </w:p>
    <w:p>
      <w:pPr>
        <w:ind w:right="680" w:firstLine="645"/>
        <w:spacing w:after="0" w:line="277" w:lineRule="auto"/>
        <w:tabs>
          <w:tab w:leader="none" w:pos="131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parties hereto acknowledge that the rights of contribution and indemnification hereunder shall constitute assets of the Guarantor or Guarantors to which such contribution and indemnification is owing.</w:t>
      </w:r>
    </w:p>
    <w:p>
      <w:pPr>
        <w:spacing w:after="0" w:line="170" w:lineRule="exact"/>
        <w:rPr>
          <w:rFonts w:ascii="Arial" w:cs="Arial" w:eastAsia="Arial" w:hAnsi="Arial"/>
          <w:sz w:val="18"/>
          <w:szCs w:val="18"/>
          <w:color w:val="auto"/>
        </w:rPr>
      </w:pPr>
    </w:p>
    <w:p>
      <w:pPr>
        <w:ind w:right="380" w:firstLine="645"/>
        <w:spacing w:after="0" w:line="342" w:lineRule="auto"/>
        <w:tabs>
          <w:tab w:leader="none" w:pos="131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rights of the indemnifying Guarantors against other Guarantors under this Section 8 shall be exercisable upon the full and indefeasible payment of the Guaranteed Obligations in cash and the termination of the Credit Agreement or satisfaction otherwise of the Final</w:t>
      </w:r>
    </w:p>
    <w:p>
      <w:pPr>
        <w:sectPr>
          <w:pgSz w:w="11900" w:h="16975" w:orient="portrait"/>
          <w:cols w:equalWidth="0" w:num="1">
            <w:col w:w="10760"/>
          </w:cols>
          <w:pgMar w:left="900" w:top="125" w:right="239" w:bottom="0" w:gutter="0" w:footer="0" w:header="0"/>
        </w:sectPr>
      </w:pPr>
    </w:p>
    <w:bookmarkStart w:id="76" w:name="page77"/>
    <w:bookmarkEnd w:id="76"/>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Release Conditions.</w:t>
      </w:r>
    </w:p>
    <w:p>
      <w:pPr>
        <w:spacing w:after="0" w:line="22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Limitation of Guaranty</w:t>
      </w:r>
      <w:r>
        <w:rPr>
          <w:rFonts w:ascii="Arial" w:cs="Arial" w:eastAsia="Arial" w:hAnsi="Arial"/>
          <w:sz w:val="18"/>
          <w:szCs w:val="18"/>
          <w:color w:val="auto"/>
        </w:rPr>
        <w:t>. Notwithstanding any other provision of this Guaranty, the amount guaranteed by each 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 any Guarantor’s obligations hereunder pursuant to the preceding sentence, it is the intention of the parties hereto that any rights of subrogation, indemnification or contribution which such Guarantor may have under this Guaranty, any other agreement or applicable law shall be taken into account.</w:t>
      </w:r>
    </w:p>
    <w:p>
      <w:pPr>
        <w:spacing w:after="0" w:line="193"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Stay of Acceleration</w:t>
      </w:r>
      <w:r>
        <w:rPr>
          <w:rFonts w:ascii="Arial" w:cs="Arial" w:eastAsia="Arial" w:hAnsi="Arial"/>
          <w:sz w:val="18"/>
          <w:szCs w:val="18"/>
          <w:color w:val="auto"/>
        </w:rPr>
        <w:t>. If acceleration of the time for payment of any amount payable by any Borrower under the Credit Agreement, any Swap Agreement, any Banking Services Agreement or any other Loan Document is stayed upon the insolvency, bankruptcy or reorganization of such Borrower, all such amounts otherwise subject to acceleration under the terms of the Credit Agreement, any Swap Agreement, any Banking Services Agreement or any other Loan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Document shall nonetheless be payable by each of the Guarantors hereunder forthwith on demand by the Administrative Agent.</w:t>
      </w:r>
    </w:p>
    <w:p>
      <w:pPr>
        <w:spacing w:after="0" w:line="225" w:lineRule="exact"/>
        <w:rPr>
          <w:sz w:val="20"/>
          <w:szCs w:val="20"/>
          <w:color w:val="auto"/>
        </w:rPr>
      </w:pPr>
    </w:p>
    <w:p>
      <w:pPr>
        <w:jc w:val="both"/>
        <w:ind w:right="140" w:firstLine="1297"/>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and other communications to any party hereunder shall be given in the manner prescribed in Article IX of the Credit Agreement with respect to the Administrative Agent at its notice address therein and with respect to any Guarantor, in care of the Company at the address of the Company set forth in the Credit Agreement or such other address or telecopy number as such party may hereafter specify for such purpose by notice to the Administrative Agent in accordance with the provisions of such Article IX.</w:t>
      </w:r>
    </w:p>
    <w:p>
      <w:pPr>
        <w:spacing w:after="0" w:line="171"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No Waivers</w:t>
      </w:r>
      <w:r>
        <w:rPr>
          <w:rFonts w:ascii="Arial" w:cs="Arial" w:eastAsia="Arial" w:hAnsi="Arial"/>
          <w:sz w:val="18"/>
          <w:szCs w:val="18"/>
          <w:color w:val="auto"/>
        </w:rPr>
        <w:t>. No failure or delay by the Administrative Agent or any other Holder of Guaranteed Obligations in exercising any right, power or privilege hereunder shall operate as a waiver thereof nor shall any single or partial exercise thereof preclude any other or further exercise thereof or the exercise of any other right, power or privilege. The rights and remedies provided in this Guaranty, the Credit Agreement, any Swap Agreement, any Banking Services Agreement and the other Loan Documents shall be cumulative and not exclusive of any rights or remedies provided by law.</w:t>
      </w:r>
    </w:p>
    <w:p>
      <w:pPr>
        <w:spacing w:after="0" w:line="188"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This Guaranty is for the benefit of the Administrative Agent and the other Holders of Guaranteed Obligations and their respective successors and permitted assigns; </w:t>
      </w:r>
      <w:r>
        <w:rPr>
          <w:rFonts w:ascii="Arial" w:cs="Arial" w:eastAsia="Arial" w:hAnsi="Arial"/>
          <w:sz w:val="17"/>
          <w:szCs w:val="17"/>
          <w:u w:val="single" w:color="auto"/>
          <w:color w:val="auto"/>
        </w:rPr>
        <w:t>provided</w:t>
      </w:r>
      <w:r>
        <w:rPr>
          <w:rFonts w:ascii="Arial" w:cs="Arial" w:eastAsia="Arial" w:hAnsi="Arial"/>
          <w:sz w:val="17"/>
          <w:szCs w:val="17"/>
          <w:color w:val="auto"/>
        </w:rPr>
        <w:t>, that no Guarantor shall have any right to assign its rights or obligations hereunder without the consent of all of the Lenders, and any such assignment in violation of this Section 13 shall be null and void; and in the event of an assignment of any amounts payable under the Credit Agreement, any Swap Agreement, any Banking Services Agreement or the other Loan Documents in accordance with the respective terms thereof, the rights hereunder, to the extent applicable to the indebtedness so assigned, may be transferred with such indebtedness. This Guaranty shall be binding upon each of the Guarantors and their respective successors and assigns.</w:t>
      </w:r>
    </w:p>
    <w:p>
      <w:pPr>
        <w:spacing w:after="0" w:line="178"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Changes in Writing</w:t>
      </w:r>
      <w:r>
        <w:rPr>
          <w:rFonts w:ascii="Arial" w:cs="Arial" w:eastAsia="Arial" w:hAnsi="Arial"/>
          <w:sz w:val="18"/>
          <w:szCs w:val="18"/>
          <w:color w:val="auto"/>
        </w:rPr>
        <w:t>. Other than in connection with the addition of additional Subsidiaries, which become parties hereto by executing a supplement hereto in the form attached as Annex I, neither this Guaranty nor any provision hereof may be changed, waived, discharged or terminated orally, but only in writing signed by each of the Guarantors and the Administrative Agent.</w:t>
      </w:r>
    </w:p>
    <w:p>
      <w:pPr>
        <w:spacing w:after="0" w:line="181"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GUARANTY SHALL BE CONSTRUED IN ACCORDANCE WITH AND GOVERNED BY THE LAW OF THE STATE OF NEW YORK.</w:t>
      </w:r>
    </w:p>
    <w:p>
      <w:pPr>
        <w:spacing w:after="0" w:line="170"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7"/>
          <w:szCs w:val="17"/>
          <w:u w:val="single" w:color="auto"/>
          <w:color w:val="auto"/>
        </w:rPr>
        <w:t>CONSENT TO JURISDICTION; SERVICE OF PROCESS; JURY TRIAL; IMMUNITY</w:t>
      </w:r>
      <w:r>
        <w:rPr>
          <w:rFonts w:ascii="Arial" w:cs="Arial" w:eastAsia="Arial" w:hAnsi="Arial"/>
          <w:sz w:val="17"/>
          <w:szCs w:val="17"/>
          <w:color w:val="auto"/>
        </w:rPr>
        <w:t>.</w:t>
      </w:r>
    </w:p>
    <w:p>
      <w:pPr>
        <w:spacing w:after="0" w:line="225" w:lineRule="exact"/>
        <w:rPr>
          <w:sz w:val="20"/>
          <w:szCs w:val="20"/>
          <w:color w:val="auto"/>
        </w:rPr>
      </w:pPr>
    </w:p>
    <w:p>
      <w:pPr>
        <w:ind w:left="660" w:right="120" w:firstLine="645"/>
        <w:spacing w:after="0" w:line="253" w:lineRule="auto"/>
        <w:tabs>
          <w:tab w:leader="none" w:pos="197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CONSENT TO JURISDICTION. EACH GUARANTOR HEREBY IRREVOCABLY SUBMITS, FOR ITSELF AND ITS PROPERTY, TO THE EXCLUSIVE JURISDICTION OF THE SUPREME COURT OF THE STATE OF NEW YORK SITTING IN NEW YORK COUNTY, BOROUGH OF MANHATTAN, AND OF THE UNITED STATES DISTRICT COURT FOR THE SOUTHERN DISTRICT OF NEW YORK, AND ANY APPELLATE COURT FROM ANY THEREOF, IN ANY ACTION OR PROCEEDING ARISING OUT OF OR RELATING TO THIS GUARANTY,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color w:val="auto"/>
        </w:rPr>
        <w:t>MAY BE ENFORCED IN OTHER JURISDICTIONS BY SUIT ON THE JUDGMENT OR IN ANY OTHER MANNER PROVIDED BY LAW. NOTHING IN THIS GUARANTY OR ANY OTHER LOAN DOCUMENT SHALL AFFECT ANY RIGHT THAT THE ADMINISTRATIVE AGENT, ANY ISSUING BANK OR ANY LENDER MAY OTHERWISE HAVE TO BRING ANY ACTION OR PROCEEDING RELATING TO THIS GUARANTY OR ANY OTHER LOAN DOCUMENT AGAINST ANY LOAN PARTY OR ITS PROPERTIES IN THE COURTS OF ANY JURISDICTION.</w:t>
      </w:r>
    </w:p>
    <w:p>
      <w:pPr>
        <w:spacing w:after="0" w:line="188" w:lineRule="exact"/>
        <w:rPr>
          <w:sz w:val="20"/>
          <w:szCs w:val="20"/>
          <w:color w:val="auto"/>
        </w:rPr>
      </w:pPr>
    </w:p>
    <w:p>
      <w:pPr>
        <w:ind w:left="660" w:firstLine="645"/>
        <w:spacing w:after="0" w:line="270" w:lineRule="auto"/>
        <w:tabs>
          <w:tab w:leader="none" w:pos="1967"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EACH GUARANTOR IRREVOCABLY DESIGNATES AND APPOINTS THE COMPANY, AS ITS AUTHORIZED AGENT, TO ACCEPT AND ACKNOWLEDGE ON ITS BEHALF, SERVICE OF ANY AND ALL PROCESS WHICH MAY BE SERVED IN ANY SUIT, ACTION OR PROCEEDING OF THE NATURE REFERRED TO IN CLAUSE (A) ABOVE. SAID DESIGNATION AND APPOINTMENT SHALL BE IRREVOCABLE BY EACH SUCH FOREIGN GUARANTOR UNTIL ALL GUARANTEED OBLIGATIONS PAYABLE BY SUCH FOREIGN GUARANTOR HEREUNDER AND UNDER THE OTHER LOAN DOCUMENTS SHALL HAVE BEEN PAID IN FULL IN ACCORDANCE WITH THE PROVISIONS HEREOF AND THEREOF. EACH FOREIGN GUARANTOR HEREBY CONSENTS TO PROCESS BEING SERVED IN ANY SUIT, ACTION OR PROCEEDING OF THE NATURE REFERRED TO IN CLAUSE (A) ABOVE BY SERVICE OF PROCESS UPON THE COMPANY AS PROVIDED IN THIS CLAUSE (B);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LAWFUL AND POSSIBLE, NOTICE OF SAID SERVICE UPON SUCH AGENT SHALL BE MAILED BY REGISTERED OR CERTIFIED AIR MAIL, POSTAGE</w:t>
      </w:r>
    </w:p>
    <w:p>
      <w:pPr>
        <w:sectPr>
          <w:pgSz w:w="11900" w:h="16917" w:orient="portrait"/>
          <w:cols w:equalWidth="0" w:num="1">
            <w:col w:w="11400"/>
          </w:cols>
          <w:pgMar w:left="240" w:top="125" w:right="259" w:bottom="0" w:gutter="0" w:footer="0" w:header="0"/>
        </w:sectPr>
      </w:pPr>
    </w:p>
    <w:bookmarkStart w:id="77" w:name="page78"/>
    <w:bookmarkEnd w:id="77"/>
    <w:p>
      <w:pPr>
        <w:ind w:left="660" w:right="40"/>
        <w:spacing w:after="0" w:line="254" w:lineRule="auto"/>
        <w:rPr>
          <w:sz w:val="20"/>
          <w:szCs w:val="20"/>
          <w:color w:val="auto"/>
        </w:rPr>
      </w:pPr>
      <w:r>
        <w:rPr>
          <w:rFonts w:ascii="Arial" w:cs="Arial" w:eastAsia="Arial" w:hAnsi="Arial"/>
          <w:sz w:val="18"/>
          <w:szCs w:val="18"/>
          <w:color w:val="auto"/>
        </w:rPr>
        <w:t>PREPAID, RETURN RECEIPT REQUESTED, TO THE COMPANY OR TO ANY OTHER ADDRESS OF WHICH SUCH FOREIGN GUARANTOR SHALL HAVE GIVEN WRITTEN NOTICE TO THE ADMINISTRATIVE AGENT (WITH A COPY THEREOF TO THE COMPANY). EACH FOREIGN GUARANTOR IRREVOCABLY WAIVES, TO THE FULLEST EXTENT PERMITTED BY LAW, ALL CLAIM OF ERROR BY REASON OF ANY SUCH SERVICE IN SUCH MANNER AND AGREES THAT SUCH SERVICE SHALL BE DEEMED IN EVERY RESPECT EFFECTIVE SERVICE OF PROCESS UPON SUCH FOREIGN GUARANTOR IN ANY SUCH SUIT, ACTION OR PROCEEDING AND SHALL, TO THE FULLEST EXTENT PERMITTED BY LAW, BE TAKEN AND HELD TO BE VALID AND PERSONAL SERVICE UPON AND PERSONAL DELIVERY TO SUCH FOREIGN GUARANTOR. NOTHING HEREIN WILL AFFECT THE RIGHT OF ANY PARTY HERETO TO SERVE PROCESS IN ANY OTHER MANNER PERMITTED BY LAW.</w:t>
      </w:r>
    </w:p>
    <w:p>
      <w:pPr>
        <w:spacing w:after="0" w:line="192" w:lineRule="exact"/>
        <w:rPr>
          <w:sz w:val="20"/>
          <w:szCs w:val="20"/>
          <w:color w:val="auto"/>
        </w:rPr>
      </w:pPr>
    </w:p>
    <w:p>
      <w:pPr>
        <w:ind w:left="660" w:right="20" w:firstLine="645"/>
        <w:spacing w:after="0" w:line="257" w:lineRule="auto"/>
        <w:tabs>
          <w:tab w:leader="none" w:pos="196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WAIVER OF JURY TRIAL. EACH GUARANTOR HEREBY WAIVES TRIAL BY JURY IN ANY JUDICIAL PROCEEDING INVOLVING, DIRECTLY OR INDIRECTLY, ANY MATTER (WHETHER SOUNDING IN TORT, CONTRACT OR OTHERWISE) IN ANY WAY ARISING OUT OF, RELATED TO, OR CONNECTED WITH THIS GUARANTY OR ANY OTHER LOAN DOCUMENT OR THE RELATIONSHIP ESTABLISHED THEREUNDER AND FURTHER WAIVES ANY RIGHT TO INTERPOSE ANY COUNTERCLAIM RELATED TO THIS GUARANTY OR THE TRANSACTIONS CONTEMPLATED HEREBY IN SUCH ACTION.</w:t>
      </w:r>
    </w:p>
    <w:p>
      <w:pPr>
        <w:spacing w:after="0" w:line="188" w:lineRule="exact"/>
        <w:rPr>
          <w:rFonts w:ascii="Arial" w:cs="Arial" w:eastAsia="Arial" w:hAnsi="Arial"/>
          <w:sz w:val="18"/>
          <w:szCs w:val="18"/>
          <w:color w:val="auto"/>
        </w:rPr>
      </w:pPr>
    </w:p>
    <w:p>
      <w:pPr>
        <w:ind w:left="660" w:right="260" w:firstLine="645"/>
        <w:spacing w:after="0" w:line="279" w:lineRule="auto"/>
        <w:tabs>
          <w:tab w:leader="none" w:pos="197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TO THE EXTENT THAT ANY GUARANTOR HAS OR HEREAFTER MAY ACQUIRE ANY IMMUNITY FROM JURISDICTION OF ANY COURT OR FROM ANY LEGAL PROCESS (WHETHER FROM SERVICE OR NOTICE, ATTACHMENT PRIOR TO JUDGMENT, ATTACHMENT IN AID OF EXECUTION OF A JUDGMENT, EXECUTION OR OTHERWISE), EACH GUARANTOR HEREBY IRREVOCABLY WAIVES SUCH IMMUNITY IN RESPECT OF ITS OBLIGATIONS UNDER THIS GUARANTY.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1297"/>
        <w:spacing w:after="0" w:line="286"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No Strict Construction</w:t>
      </w:r>
      <w:r>
        <w:rPr>
          <w:rFonts w:ascii="Arial" w:cs="Arial" w:eastAsia="Arial" w:hAnsi="Arial"/>
          <w:sz w:val="17"/>
          <w:szCs w:val="17"/>
          <w:color w:val="auto"/>
        </w:rPr>
        <w:t>. The parties hereto have participated jointly in the negotiation and drafting of this Guaranty. In the event an ambiguity or question of intent or interpretation arises, this Guaranty shall be construed as if drafted jointly by the parties hereto and no presumption or burden of proof shall arise favoring or disfavoring any party by virtue of the authorship of any provisions of this Guaranty.</w:t>
      </w:r>
    </w:p>
    <w:p>
      <w:pPr>
        <w:spacing w:after="0" w:line="166"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5"/>
          <w:szCs w:val="15"/>
          <w:u w:val="single" w:color="auto"/>
          <w:color w:val="auto"/>
        </w:rPr>
        <w:t>Taxes, Expenses of Enforcement, etc.</w:t>
      </w:r>
    </w:p>
    <w:p>
      <w:pPr>
        <w:spacing w:after="0" w:line="225" w:lineRule="exact"/>
        <w:rPr>
          <w:sz w:val="20"/>
          <w:szCs w:val="20"/>
          <w:color w:val="auto"/>
        </w:rPr>
      </w:pPr>
    </w:p>
    <w:p>
      <w:pPr>
        <w:ind w:left="1980" w:hanging="675"/>
        <w:spacing w:after="0"/>
        <w:tabs>
          <w:tab w:leader="none" w:pos="198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left="660" w:right="200" w:firstLine="645"/>
        <w:spacing w:after="0" w:line="293" w:lineRule="auto"/>
        <w:tabs>
          <w:tab w:leader="none" w:pos="197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Each payment by any Guarantor hereunder or under any promissory note or application for a Letter of Credit shall be made without withholding for any Taxes, unless such withholding is required by any law. If any Guarantor determines, in its sole discretion exercised in good faith, that it is so required to withhold Taxes, then such Guarantor may so withhold and shall timely pay the full amount of withheld Taxes to the relevant Governmental Authority in accordance with applicable law. If such Taxes are Indemnified Taxes, then the amount payable by the Guarantor shall be increased as necessary so that, net of such withholding (including such withholding applicable to additional amounts payable under this Section), the applicable Recipient receives the amount it would have received had no such withholding been made.</w:t>
      </w:r>
    </w:p>
    <w:p>
      <w:pPr>
        <w:spacing w:after="0" w:line="164" w:lineRule="exact"/>
        <w:rPr>
          <w:rFonts w:ascii="Arial" w:cs="Arial" w:eastAsia="Arial" w:hAnsi="Arial"/>
          <w:sz w:val="16"/>
          <w:szCs w:val="16"/>
          <w:color w:val="auto"/>
        </w:rPr>
      </w:pPr>
    </w:p>
    <w:p>
      <w:pPr>
        <w:ind w:left="1980" w:hanging="675"/>
        <w:spacing w:after="0"/>
        <w:tabs>
          <w:tab w:leader="none" w:pos="19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In addition, such Guarantor shall timely pay any Other Taxes to the relevant Governmental Authority in accordance with</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applicable law.</w:t>
      </w:r>
    </w:p>
    <w:p>
      <w:pPr>
        <w:spacing w:after="0" w:line="210" w:lineRule="exact"/>
        <w:rPr>
          <w:rFonts w:ascii="Arial" w:cs="Arial" w:eastAsia="Arial" w:hAnsi="Arial"/>
          <w:sz w:val="17"/>
          <w:szCs w:val="17"/>
          <w:color w:val="auto"/>
        </w:rPr>
      </w:pPr>
    </w:p>
    <w:p>
      <w:pPr>
        <w:ind w:left="660" w:right="260" w:firstLine="645"/>
        <w:spacing w:after="0" w:line="312" w:lineRule="auto"/>
        <w:tabs>
          <w:tab w:leader="none" w:pos="199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As soon as practicable after any payment of Indemnified Taxes by any Guarantor to a Governmental Authority, such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46" w:lineRule="exact"/>
        <w:rPr>
          <w:rFonts w:ascii="Arial" w:cs="Arial" w:eastAsia="Arial" w:hAnsi="Arial"/>
          <w:sz w:val="16"/>
          <w:szCs w:val="16"/>
          <w:color w:val="auto"/>
        </w:rPr>
      </w:pPr>
    </w:p>
    <w:p>
      <w:pPr>
        <w:ind w:left="660" w:firstLine="645"/>
        <w:spacing w:after="0" w:line="270" w:lineRule="auto"/>
        <w:tabs>
          <w:tab w:leader="none" w:pos="1973"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Guarantors shall jointly and severally indemnify each Recipient for any Indemnified Taxes that are paid or payable by such Recipient in connection with any Loan Document (including amounts payable under this Section 18(A)) and any reasonable and documented out-of-pocket expenses arising therefrom or with respect thereto, whether or not such Indemnified Taxes were correctly or legally imposed or asserted by the relevant Governmental Authority. The indemnity under this Section 18(A) shall be paid within ten (10) days after the Recipient delivers to any Guarantor a certificate setting forth in reasonable detail the basis and calculation of the amount of any Indemnified Taxes so payable by such Recipient. Such certificate shall be conclusive of the amount so payable absent manifest error. Such Recipient shall deliver a copy of such certificate to the Administrative Agent. In the case of any Lender making a claim under this Section 18(A) on behalf of any of its beneficial owners, an indemnity payment under this Section 18(A) shall be due only to the extent that such Lender is able to establish that, with respect to the applicable Indemnified Taxes, such beneficial owners supplied to the applicable Persons such properly completed and executed documentation necessary to claim any applicable exemption from, or reduction of, such Indemnified Taxes.</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By accepting the benefits hereof, each Lender agrees that it will comply with Section 2.17(f) of the Credit Agreement.</w:t>
      </w:r>
    </w:p>
    <w:p>
      <w:pPr>
        <w:spacing w:after="0" w:line="225" w:lineRule="exact"/>
        <w:rPr>
          <w:sz w:val="20"/>
          <w:szCs w:val="20"/>
          <w:color w:val="auto"/>
        </w:rPr>
      </w:pPr>
    </w:p>
    <w:p>
      <w:pPr>
        <w:ind w:left="660" w:right="100" w:firstLine="645"/>
        <w:spacing w:after="0" w:line="342" w:lineRule="auto"/>
        <w:tabs>
          <w:tab w:leader="none" w:pos="1967"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Expenses of Enforcement, Etc.</w:t>
      </w:r>
      <w:r>
        <w:rPr>
          <w:rFonts w:ascii="Arial" w:cs="Arial" w:eastAsia="Arial" w:hAnsi="Arial"/>
          <w:sz w:val="16"/>
          <w:szCs w:val="16"/>
          <w:color w:val="auto"/>
        </w:rPr>
        <w:t xml:space="preserve"> The Guarantors agree to reimburse the Administrative Agent and the other Holders of Guaranteed Obligations for any reasonable and documented costs and out-of-pocket expenses (including reasonable and documented attorneys’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fees) paid or incurred by the Administrative Agent or any other Holder of Guaranteed Obligations in connection with the collection and enforcement of amounts due under the Loan Documents, including without limitation this Guaranty.</w:t>
      </w:r>
    </w:p>
    <w:p>
      <w:pPr>
        <w:spacing w:after="0" w:line="170" w:lineRule="exact"/>
        <w:rPr>
          <w:sz w:val="20"/>
          <w:szCs w:val="20"/>
          <w:color w:val="auto"/>
        </w:rPr>
      </w:pPr>
    </w:p>
    <w:p>
      <w:pPr>
        <w:ind w:right="100" w:firstLine="1297"/>
        <w:spacing w:after="0" w:line="293"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Setoff</w:t>
      </w:r>
      <w:r>
        <w:rPr>
          <w:rFonts w:ascii="Arial" w:cs="Arial" w:eastAsia="Arial" w:hAnsi="Arial"/>
          <w:sz w:val="16"/>
          <w:szCs w:val="16"/>
          <w:color w:val="auto"/>
        </w:rPr>
        <w:t>. At any time after all or any part of the Guaranteed Obligations have become due and payable (by acceleration or otherwise), each Holder of Guaranteed Obligations (including the Administrative Agent) and its Affiliates may, without notice to any Guarantor and regardless of the acceptance of any security or collateral for the payment hereof, appropriate and apply in accordance with the terms of the Credit Agreement toward the payment of all or any part of the Guaranteed Obligations (i) any indebtedness due or to become due from such Holder of Guaranteed Obligations or the Administrative Agent to any Guarantor, and (ii) any moneys, credits or other property belonging to any Guarantor, at any time held by or coming into the possession of such Holder of Guaranteed Obligations (including the Administrative Agent) or any of their respective affiliates.</w:t>
      </w:r>
    </w:p>
    <w:p>
      <w:pPr>
        <w:sectPr>
          <w:pgSz w:w="11900" w:h="16838" w:orient="portrait"/>
          <w:cols w:equalWidth="0" w:num="1">
            <w:col w:w="11420"/>
          </w:cols>
          <w:pgMar w:left="240" w:top="125" w:right="239" w:bottom="0" w:gutter="0" w:footer="0" w:header="0"/>
        </w:sectPr>
      </w:pPr>
    </w:p>
    <w:bookmarkStart w:id="78" w:name="page79"/>
    <w:bookmarkEnd w:id="78"/>
    <w:p>
      <w:pPr>
        <w:spacing w:after="0" w:line="50" w:lineRule="exact"/>
        <w:rPr>
          <w:sz w:val="20"/>
          <w:szCs w:val="20"/>
          <w:color w:val="auto"/>
        </w:rPr>
      </w:pPr>
    </w:p>
    <w:p>
      <w:pPr>
        <w:ind w:right="40" w:firstLine="1297"/>
        <w:spacing w:after="0" w:line="253"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Financial Information</w:t>
      </w:r>
      <w:r>
        <w:rPr>
          <w:rFonts w:ascii="Arial" w:cs="Arial" w:eastAsia="Arial" w:hAnsi="Arial"/>
          <w:sz w:val="18"/>
          <w:szCs w:val="18"/>
          <w:color w:val="auto"/>
        </w:rPr>
        <w:t>. Each Guarantor hereby assumes responsibility for keeping itself informed of the financial condition of each of the Borrowers and any and all endorsers and/or other Guarantors of all or any part of the Guaranteed Obligations, and of all other circumstances bearing upon the risk of nonpayment of the Guaranteed Obligations, or any part thereof, that diligent inquiry would reveal, and each Guarantor hereby agrees that none of the Holders of Guaranteed Obligations (including the Administrative Agent) shall have any duty to advise such Guarantor of information known to any of them regarding such condition or any such circumstances. In the event any Holder of Guaranteed Obligations (including the Administrative Agent), in its sole discretion, undertakes at any time or from time to time to provide any such information to a Guarantor, such Holder of Guaranteed Obligations (including the Administrative Agent) shall be under no obligation (i) to undertake any investigation not a part of its regular business routine, (ii) to disclose any information which such Holder of Guaranteed Obligations (including the Administrative Agent), pursuant to accepted or reasonable commercial finance or banking practices, wishes to maintain confidential or (iii) to make any other or future disclosures of such information or any other information to such Guarantor.</w:t>
      </w:r>
    </w:p>
    <w:p>
      <w:pPr>
        <w:spacing w:after="0" w:line="195" w:lineRule="exact"/>
        <w:rPr>
          <w:sz w:val="20"/>
          <w:szCs w:val="20"/>
          <w:color w:val="auto"/>
        </w:rPr>
      </w:pPr>
    </w:p>
    <w:p>
      <w:pPr>
        <w:ind w:firstLine="1297"/>
        <w:spacing w:after="0" w:line="28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Severability</w:t>
      </w:r>
      <w:r>
        <w:rPr>
          <w:rFonts w:ascii="Arial" w:cs="Arial" w:eastAsia="Arial" w:hAnsi="Arial"/>
          <w:sz w:val="17"/>
          <w:szCs w:val="17"/>
          <w:color w:val="auto"/>
        </w:rPr>
        <w:t>. Wherever possible, each provision of this Guaranty shall be interpreted in such manner as to be effective and valid under applicable law, but if any provision of this Guaranty shall be prohibited by or invalid under such law, such provision shall be ineffective to the extent of such prohibition or invalidity without invalidating the remainder of such provision or the remaining provisions of this Guaranty.</w:t>
      </w:r>
    </w:p>
    <w:p>
      <w:pPr>
        <w:spacing w:after="0" w:line="166" w:lineRule="exact"/>
        <w:rPr>
          <w:sz w:val="20"/>
          <w:szCs w:val="20"/>
          <w:color w:val="auto"/>
        </w:rPr>
      </w:pPr>
    </w:p>
    <w:p>
      <w:pPr>
        <w:jc w:val="both"/>
        <w:ind w:right="320" w:firstLine="1297"/>
        <w:spacing w:after="0" w:line="264"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Merger</w:t>
      </w:r>
      <w:r>
        <w:rPr>
          <w:rFonts w:ascii="Arial" w:cs="Arial" w:eastAsia="Arial" w:hAnsi="Arial"/>
          <w:sz w:val="18"/>
          <w:szCs w:val="18"/>
          <w:color w:val="auto"/>
        </w:rPr>
        <w:t>. This Guaranty represents the final agreement of each of the Guarantors with respect to the matters contained herein and may not be contradicted by evidence of prior or contemporaneous agreements, or subsequent oral agreements, between the Guarantor and any Holder of Guaranteed Obligations (including the Administrative Agent).</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Guaranty are for convenience of reference only and shall not govern the interpretation of any provision of this Guaranty.</w:t>
      </w:r>
    </w:p>
    <w:p>
      <w:pPr>
        <w:spacing w:after="0" w:line="170"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Judgment Currency</w:t>
      </w:r>
      <w:r>
        <w:rPr>
          <w:rFonts w:ascii="Arial" w:cs="Arial" w:eastAsia="Arial" w:hAnsi="Arial"/>
          <w:sz w:val="18"/>
          <w:szCs w:val="18"/>
          <w:color w:val="auto"/>
        </w:rPr>
        <w:t>. If for the purposes of obtaining judgment in any court it is necessary to convert a sum due from any Guarantor hereunder in the currency expressed to be payable herein (the “</w:t>
      </w:r>
      <w:r>
        <w:rPr>
          <w:rFonts w:ascii="Arial" w:cs="Arial" w:eastAsia="Arial" w:hAnsi="Arial"/>
          <w:sz w:val="18"/>
          <w:szCs w:val="18"/>
          <w:u w:val="single" w:color="auto"/>
          <w:color w:val="auto"/>
        </w:rPr>
        <w:t>specified currency</w:t>
      </w:r>
      <w:r>
        <w:rPr>
          <w:rFonts w:ascii="Arial" w:cs="Arial" w:eastAsia="Arial" w:hAnsi="Arial"/>
          <w:sz w:val="18"/>
          <w:szCs w:val="18"/>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each Guarantor in respect of any sum due hereunder shall, notwithstanding any judgment in a currency other than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specified currency, be discharged only to the extent that on the Business Day following receipt by any Holder of Guaranteed Obligations (including the Administrative Agent), as the case may be, of any sum adjudged to be so due in such other currency such Holder of Guaranteed Obligations (including the Administrative Agent), as the case may be, may in accordance with normal, reasonable banking procedures purchase the specified currency with such other currency. If the amount of the specified currency so purchased is less than the sum originally due to such Holder of Guaranteed Obligations (including the Administrative Agent), as the case may be, in the specified currency, each Guarantor agrees, to the fullest extent that it may effectively do so, as a separate obligation and notwithstanding any such judgment, to indemnify such Holder of Guaranteed Obligations (including the Administrative Agent), as the case may be, against such loss, and if the amount of the specified currency so purchased exceeds (a) the sum originally due to any Holder of Guaranteed Obligations (including the Administrative Agent), as the case may be, in the specified currency and (b) amounts shared with other Holders of Guaranteed Obligations as a result of allocations of such excess as a disproportionate payment to such other Holder of Guaranteed Obligations under Section 2.18 of the Credit Agreement, such Holder of Guaranteed Obligations (including the Administrative Agent), as the case may be, agrees, by accepting the benefits hereof, to remit such excess to such Guarantor.</w:t>
      </w:r>
    </w:p>
    <w:p>
      <w:pPr>
        <w:spacing w:after="0" w:line="183"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Keepwell</w:t>
      </w:r>
      <w:r>
        <w:rPr>
          <w:rFonts w:ascii="Arial" w:cs="Arial" w:eastAsia="Arial" w:hAnsi="Arial"/>
          <w:sz w:val="17"/>
          <w:szCs w:val="17"/>
          <w:color w:val="auto"/>
        </w:rPr>
        <w:t xml:space="preserve">. Each Qualified ECP Guarantor hereby jointly and severally absolutely, unconditionally and irrevocably undertakes to provide such funds or other support as may be needed from time to time by each other Guarantor to honor all of its obligations under this Guaranty in respect of Specified Swap Obligations (provided, however, that each Qualified ECP Guarantor shall only be liable under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for the maximum amount of such liability that can be hereby incurred without rendering its obligations under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or otherwise under this Guaranty voidable under applicable law relating to fraudulent conveyance or fraudulent transfer, and not for any greater amount). The obligations of each Qualified ECP Guarantor under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remain in full force and effect until a discharge of such Qualified ECP Guarantor’s Guaranteed Obligations in accordance with the terms hereof and the other Loan Documents. Each Qualified ECP Guarantor intends that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constitute, and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be deemed to constitute, a “keepwell, support, or other agreement” for the benefit of each other Guarantor for all purposes of Section 1a(18)(A)(v)(II) of the Commodity Exchange Act. As used herein, “</w:t>
      </w:r>
      <w:r>
        <w:rPr>
          <w:rFonts w:ascii="Arial" w:cs="Arial" w:eastAsia="Arial" w:hAnsi="Arial"/>
          <w:sz w:val="17"/>
          <w:szCs w:val="17"/>
          <w:u w:val="single" w:color="auto"/>
          <w:color w:val="auto"/>
        </w:rPr>
        <w:t>Qualified ECP Guarantor</w:t>
      </w:r>
      <w:r>
        <w:rPr>
          <w:rFonts w:ascii="Arial" w:cs="Arial" w:eastAsia="Arial" w:hAnsi="Arial"/>
          <w:sz w:val="17"/>
          <w:szCs w:val="17"/>
          <w:color w:val="auto"/>
        </w:rPr>
        <w:t>” means, in respect of any Specified Swap Obligation, each Guarantor that has total assets exceeding $10,000,000 at the time the relevant Guarantee or grant of the relevant security interest becomes or would become effective with respect to such Specified Swap Obligation or such other Person as constitutes an ECP and can cause another Person to qualify as an ECP at such time by entering into a keepwell under Section 1a(18)(A)(v)(II) of the Commodity Exchange Act.</w:t>
      </w:r>
    </w:p>
    <w:p>
      <w:pPr>
        <w:spacing w:after="0" w:line="180"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Termination of Guaranty</w:t>
      </w:r>
      <w:r>
        <w:rPr>
          <w:rFonts w:ascii="Arial" w:cs="Arial" w:eastAsia="Arial" w:hAnsi="Arial"/>
          <w:sz w:val="18"/>
          <w:szCs w:val="18"/>
          <w:color w:val="auto"/>
        </w:rPr>
        <w:t>. The obligations of any Guarantor under this Guaranty shall automatically terminate in accordance with Section 9.14 of the Credit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WITNESS WHEREOF, each of the Initial Guarantors has caused this Guaranty to be duly executed by its authorized officer as of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[GUARANTORS]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ectPr>
          <w:pgSz w:w="11900" w:h="16888" w:orient="portrait"/>
          <w:cols w:equalWidth="0" w:num="1">
            <w:col w:w="11400"/>
          </w:cols>
          <w:pgMar w:left="240" w:top="125" w:right="259" w:bottom="0" w:gutter="0" w:footer="0" w:header="0"/>
        </w:sectPr>
      </w:pPr>
    </w:p>
    <w:bookmarkStart w:id="79" w:name="page80"/>
    <w:bookmarkEnd w:id="79"/>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written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ANNEX I TO GUARANTY</w:t>
      </w:r>
    </w:p>
    <w:p>
      <w:pPr>
        <w:spacing w:after="0" w:line="225" w:lineRule="exact"/>
        <w:rPr>
          <w:sz w:val="20"/>
          <w:szCs w:val="20"/>
          <w:color w:val="auto"/>
        </w:rPr>
      </w:pPr>
    </w:p>
    <w:p>
      <w:pPr>
        <w:ind w:right="100" w:firstLine="1297"/>
        <w:spacing w:after="0" w:line="288" w:lineRule="auto"/>
        <w:rPr>
          <w:sz w:val="20"/>
          <w:szCs w:val="20"/>
          <w:color w:val="auto"/>
        </w:rPr>
      </w:pPr>
      <w:r>
        <w:rPr>
          <w:rFonts w:ascii="Arial" w:cs="Arial" w:eastAsia="Arial" w:hAnsi="Arial"/>
          <w:sz w:val="16"/>
          <w:szCs w:val="16"/>
          <w:color w:val="auto"/>
        </w:rPr>
        <w:t>Reference is hereby made to the Guaranty (the “</w:t>
      </w:r>
      <w:r>
        <w:rPr>
          <w:rFonts w:ascii="Arial" w:cs="Arial" w:eastAsia="Arial" w:hAnsi="Arial"/>
          <w:sz w:val="16"/>
          <w:szCs w:val="16"/>
          <w:u w:val="single" w:color="auto"/>
          <w:color w:val="auto"/>
        </w:rPr>
        <w:t>Guaranty</w:t>
      </w:r>
      <w:r>
        <w:rPr>
          <w:rFonts w:ascii="Arial" w:cs="Arial" w:eastAsia="Arial" w:hAnsi="Arial"/>
          <w:sz w:val="16"/>
          <w:szCs w:val="16"/>
          <w:color w:val="auto"/>
        </w:rPr>
        <w:t>”) made as of [ ], by and among [GUARANTORS TO COME] (the “</w:t>
      </w:r>
      <w:r>
        <w:rPr>
          <w:rFonts w:ascii="Arial" w:cs="Arial" w:eastAsia="Arial" w:hAnsi="Arial"/>
          <w:sz w:val="16"/>
          <w:szCs w:val="16"/>
          <w:u w:val="single" w:color="auto"/>
          <w:color w:val="auto"/>
        </w:rPr>
        <w:t>Initial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Guarantors</w:t>
      </w:r>
      <w:r>
        <w:rPr>
          <w:rFonts w:ascii="Arial" w:cs="Arial" w:eastAsia="Arial" w:hAnsi="Arial"/>
          <w:sz w:val="16"/>
          <w:szCs w:val="16"/>
          <w:color w:val="auto"/>
        </w:rPr>
        <w:t>” and along with any additional Subsidiaries of the Company, which become parties thereto and together with the undersigned, the “</w:t>
      </w:r>
      <w:r>
        <w:rPr>
          <w:rFonts w:ascii="Arial" w:cs="Arial" w:eastAsia="Arial" w:hAnsi="Arial"/>
          <w:sz w:val="16"/>
          <w:szCs w:val="16"/>
          <w:u w:val="single" w:color="auto"/>
          <w:color w:val="auto"/>
        </w:rPr>
        <w:t>Guarantors</w:t>
      </w:r>
      <w:r>
        <w:rPr>
          <w:rFonts w:ascii="Arial" w:cs="Arial" w:eastAsia="Arial" w:hAnsi="Arial"/>
          <w:sz w:val="16"/>
          <w:szCs w:val="16"/>
          <w:color w:val="auto"/>
        </w:rPr>
        <w:t>”) in favor of the Administrative Agent, for the ratable benefit of the Holders of Guaranteed Obligations, under the Credit Agreement. Capitalized terms used herein and not defined herein shall have the meanings given to them in the Guaranty. By its execution below, the undersigned [NAME OF NEW GUARANTOR], a [corporation] [partnership] [limited liability company] (the “</w:t>
      </w:r>
      <w:r>
        <w:rPr>
          <w:rFonts w:ascii="Arial" w:cs="Arial" w:eastAsia="Arial" w:hAnsi="Arial"/>
          <w:sz w:val="16"/>
          <w:szCs w:val="16"/>
          <w:u w:val="single" w:color="auto"/>
          <w:color w:val="auto"/>
        </w:rPr>
        <w:t>New Guarantor</w:t>
      </w:r>
      <w:r>
        <w:rPr>
          <w:rFonts w:ascii="Arial" w:cs="Arial" w:eastAsia="Arial" w:hAnsi="Arial"/>
          <w:sz w:val="16"/>
          <w:szCs w:val="16"/>
          <w:color w:val="auto"/>
        </w:rPr>
        <w:t>”), agrees to become, and does hereby become, a Guarantor under the Guaranty and agrees to be bound by such Guaranty as if originally a party thereto. By its execution below, the undersigned represents and warrants as to itself that all of the representations and warranties contained in Section 2 of the Guaranty are true and correct in all material respects (or, in the case of any representation or warranty qualified by materiality or Material Adverse Effect, in all respects) as of the date hereof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as of such earlier date.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9980" w:type="dxa"/>
            <w:vAlign w:val="bottom"/>
            <w:gridSpan w:val="2"/>
          </w:tcPr>
          <w:p>
            <w:pPr>
              <w:ind w:left="720"/>
              <w:spacing w:after="0"/>
              <w:rPr>
                <w:sz w:val="20"/>
                <w:szCs w:val="20"/>
                <w:color w:val="auto"/>
              </w:rPr>
            </w:pPr>
            <w:r>
              <w:rPr>
                <w:rFonts w:ascii="Arial" w:cs="Arial" w:eastAsia="Arial" w:hAnsi="Arial"/>
                <w:sz w:val="18"/>
                <w:szCs w:val="18"/>
                <w:color w:val="auto"/>
                <w:w w:val="96"/>
              </w:rPr>
              <w:t>IN WITNESS WHEREOF, New Guarantor has executed and delivered this Annex I counterpart to the Guaranty as of this</w:t>
            </w:r>
          </w:p>
        </w:tc>
        <w:tc>
          <w:tcPr>
            <w:tcW w:w="860" w:type="dxa"/>
            <w:vAlign w:val="bottom"/>
          </w:tcPr>
          <w:p>
            <w:pPr>
              <w:ind w:left="500"/>
              <w:spacing w:after="0"/>
              <w:rPr>
                <w:sz w:val="20"/>
                <w:szCs w:val="20"/>
                <w:color w:val="auto"/>
              </w:rPr>
            </w:pPr>
            <w:r>
              <w:rPr>
                <w:rFonts w:ascii="Arial" w:cs="Arial" w:eastAsia="Arial" w:hAnsi="Arial"/>
                <w:sz w:val="18"/>
                <w:szCs w:val="18"/>
                <w:color w:val="auto"/>
              </w:rPr>
              <w:t>day</w:t>
            </w:r>
          </w:p>
        </w:tc>
        <w:tc>
          <w:tcPr>
            <w:tcW w:w="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of</w:t>
            </w:r>
          </w:p>
        </w:tc>
        <w:tc>
          <w:tcPr>
            <w:tcW w:w="5600" w:type="dxa"/>
            <w:vAlign w:val="bottom"/>
          </w:tcPr>
          <w:p>
            <w:pPr>
              <w:jc w:val="right"/>
              <w:ind w:right="4490"/>
              <w:spacing w:after="0"/>
              <w:rPr>
                <w:sz w:val="20"/>
                <w:szCs w:val="20"/>
                <w:color w:val="auto"/>
              </w:rPr>
            </w:pPr>
            <w:r>
              <w:rPr>
                <w:rFonts w:ascii="Arial" w:cs="Arial" w:eastAsia="Arial" w:hAnsi="Arial"/>
                <w:sz w:val="18"/>
                <w:szCs w:val="18"/>
                <w:color w:val="auto"/>
              </w:rPr>
              <w:t>, 20   .</w:t>
            </w:r>
          </w:p>
        </w:tc>
        <w:tc>
          <w:tcPr>
            <w:tcW w:w="4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9980" w:type="dxa"/>
            <w:vAlign w:val="bottom"/>
            <w:gridSpan w:val="2"/>
          </w:tcPr>
          <w:p>
            <w:pPr>
              <w:ind w:left="5140"/>
              <w:spacing w:after="0"/>
              <w:rPr>
                <w:sz w:val="20"/>
                <w:szCs w:val="20"/>
                <w:color w:val="auto"/>
              </w:rPr>
            </w:pPr>
            <w:r>
              <w:rPr>
                <w:rFonts w:ascii="Arial" w:cs="Arial" w:eastAsia="Arial" w:hAnsi="Arial"/>
                <w:sz w:val="18"/>
                <w:szCs w:val="18"/>
                <w:color w:val="auto"/>
              </w:rPr>
              <w:t>[NAME OF NEW GUARANTOR]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8"/>
        </w:trPr>
        <w:tc>
          <w:tcPr>
            <w:tcW w:w="580" w:type="dxa"/>
            <w:vAlign w:val="bottom"/>
          </w:tcPr>
          <w:p>
            <w:pPr>
              <w:spacing w:after="0"/>
              <w:rPr>
                <w:sz w:val="24"/>
                <w:szCs w:val="24"/>
                <w:color w:val="auto"/>
              </w:rPr>
            </w:pPr>
          </w:p>
        </w:tc>
        <w:tc>
          <w:tcPr>
            <w:tcW w:w="9980" w:type="dxa"/>
            <w:vAlign w:val="bottom"/>
            <w:gridSpan w:val="2"/>
          </w:tcPr>
          <w:p>
            <w:pPr>
              <w:ind w:left="5140"/>
              <w:spacing w:after="0"/>
              <w:rPr>
                <w:sz w:val="20"/>
                <w:szCs w:val="20"/>
                <w:color w:val="auto"/>
              </w:rPr>
            </w:pPr>
            <w:r>
              <w:rPr>
                <w:rFonts w:ascii="Arial" w:cs="Arial" w:eastAsia="Arial" w:hAnsi="Arial"/>
                <w:sz w:val="18"/>
                <w:szCs w:val="18"/>
                <w:color w:val="auto"/>
              </w:rPr>
              <w:t>By: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5600" w:type="dxa"/>
            <w:vAlign w:val="bottom"/>
          </w:tcPr>
          <w:p>
            <w:pPr>
              <w:ind w:left="5140"/>
              <w:spacing w:after="0"/>
              <w:rPr>
                <w:sz w:val="20"/>
                <w:szCs w:val="20"/>
                <w:color w:val="auto"/>
              </w:rPr>
            </w:pPr>
            <w:r>
              <w:rPr>
                <w:rFonts w:ascii="Arial" w:cs="Arial" w:eastAsia="Arial" w:hAnsi="Arial"/>
                <w:sz w:val="18"/>
                <w:szCs w:val="18"/>
                <w:color w:val="auto"/>
              </w:rPr>
              <w:t>Its:</w:t>
            </w:r>
          </w:p>
        </w:tc>
        <w:tc>
          <w:tcPr>
            <w:tcW w:w="4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334"/>
        </w:trPr>
        <w:tc>
          <w:tcPr>
            <w:tcW w:w="580" w:type="dxa"/>
            <w:vAlign w:val="bottom"/>
            <w:tcBorders>
              <w:bottom w:val="single" w:sz="8" w:color="010101"/>
            </w:tcBorders>
          </w:tcPr>
          <w:p>
            <w:pPr>
              <w:spacing w:after="0"/>
              <w:rPr>
                <w:sz w:val="24"/>
                <w:szCs w:val="24"/>
                <w:color w:val="auto"/>
              </w:rPr>
            </w:pPr>
          </w:p>
        </w:tc>
        <w:tc>
          <w:tcPr>
            <w:tcW w:w="5600" w:type="dxa"/>
            <w:vAlign w:val="bottom"/>
            <w:tcBorders>
              <w:bottom w:val="single" w:sz="8" w:color="010101"/>
            </w:tcBorders>
          </w:tcPr>
          <w:p>
            <w:pPr>
              <w:spacing w:after="0"/>
              <w:rPr>
                <w:sz w:val="24"/>
                <w:szCs w:val="24"/>
                <w:color w:val="auto"/>
              </w:rPr>
            </w:pPr>
          </w:p>
        </w:tc>
        <w:tc>
          <w:tcPr>
            <w:tcW w:w="438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H-1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211"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Reference is hereby made to the Credit Agreement dated as of March 19, 2015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Subsidiary Borrowers from time to time party thereto (collectively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from time to time party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ind w:right="160" w:firstLine="1297"/>
        <w:spacing w:after="0" w:line="279" w:lineRule="auto"/>
        <w:rPr>
          <w:sz w:val="20"/>
          <w:szCs w:val="20"/>
          <w:color w:val="auto"/>
        </w:rPr>
      </w:pPr>
      <w:r>
        <w:rPr>
          <w:rFonts w:ascii="Arial" w:cs="Arial" w:eastAsia="Arial" w:hAnsi="Arial"/>
          <w:sz w:val="17"/>
          <w:szCs w:val="17"/>
          <w:color w:val="auto"/>
        </w:rPr>
        <w:t>Pursuant to the provisions of Section 2.17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71"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The undersigned has furnished the Administrative Agent and the Borrowers with a certificate of its non-U.S. Person status on IRS Form W-8BEN or IRS Form W-8BEN-E.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60"/>
          </w:cols>
          <w:pgMar w:left="240" w:top="341" w:right="199" w:bottom="0" w:gutter="0" w:footer="0" w:header="0"/>
        </w:sectPr>
      </w:pPr>
    </w:p>
    <w:bookmarkStart w:id="80" w:name="page81"/>
    <w:bookmarkEnd w:id="80"/>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10580" w:type="dxa"/>
            <w:vAlign w:val="bottom"/>
          </w:tcPr>
          <w:p>
            <w:pPr>
              <w:jc w:val="right"/>
              <w:ind w:right="9450"/>
              <w:spacing w:after="0"/>
              <w:rPr>
                <w:sz w:val="20"/>
                <w:szCs w:val="20"/>
                <w:color w:val="auto"/>
              </w:rPr>
            </w:pPr>
            <w:r>
              <w:rPr>
                <w:rFonts w:ascii="Arial" w:cs="Arial" w:eastAsia="Arial" w:hAnsi="Arial"/>
                <w:sz w:val="18"/>
                <w:szCs w:val="18"/>
                <w:color w:val="auto"/>
              </w:rPr>
              <w:t>, 20[  ]</w:t>
            </w:r>
          </w:p>
        </w:tc>
      </w:tr>
      <w:tr>
        <w:trPr>
          <w:trHeight w:val="348"/>
        </w:trPr>
        <w:tc>
          <w:tcPr>
            <w:tcW w:w="880" w:type="dxa"/>
            <w:vAlign w:val="bottom"/>
            <w:tcBorders>
              <w:bottom w:val="single" w:sz="8" w:color="010101"/>
            </w:tcBorders>
          </w:tcPr>
          <w:p>
            <w:pPr>
              <w:spacing w:after="0"/>
              <w:rPr>
                <w:sz w:val="24"/>
                <w:szCs w:val="24"/>
                <w:color w:val="auto"/>
              </w:rPr>
            </w:pPr>
          </w:p>
        </w:tc>
        <w:tc>
          <w:tcPr>
            <w:tcW w:w="105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H-2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211"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Reference is hereby made to the Credit Agreement dated as of March 19, 2015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Subsidiary Borrowers from time to time party thereto (collectively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from time to time party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ind w:right="220" w:firstLine="1297"/>
        <w:spacing w:after="0" w:line="259" w:lineRule="auto"/>
        <w:rPr>
          <w:sz w:val="20"/>
          <w:szCs w:val="20"/>
          <w:color w:val="auto"/>
        </w:rPr>
      </w:pPr>
      <w:r>
        <w:rPr>
          <w:rFonts w:ascii="Arial" w:cs="Arial" w:eastAsia="Arial" w:hAnsi="Arial"/>
          <w:sz w:val="18"/>
          <w:szCs w:val="18"/>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87"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The undersigned has furnished its participating Lender with a certificate of its non-U.S. Person status on IRS Form W-8BEN or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10560" w:type="dxa"/>
            <w:vAlign w:val="bottom"/>
          </w:tcPr>
          <w:p>
            <w:pPr>
              <w:jc w:val="right"/>
              <w:ind w:right="9410"/>
              <w:spacing w:after="0"/>
              <w:rPr>
                <w:sz w:val="20"/>
                <w:szCs w:val="20"/>
                <w:color w:val="auto"/>
              </w:rPr>
            </w:pPr>
            <w:r>
              <w:rPr>
                <w:rFonts w:ascii="Arial" w:cs="Arial" w:eastAsia="Arial" w:hAnsi="Arial"/>
                <w:sz w:val="18"/>
                <w:szCs w:val="18"/>
                <w:color w:val="auto"/>
              </w:rPr>
              <w:t>, 20[  ]</w:t>
            </w:r>
          </w:p>
        </w:tc>
      </w:tr>
      <w:tr>
        <w:trPr>
          <w:trHeight w:val="348"/>
        </w:trPr>
        <w:tc>
          <w:tcPr>
            <w:tcW w:w="900" w:type="dxa"/>
            <w:vAlign w:val="bottom"/>
            <w:tcBorders>
              <w:bottom w:val="single" w:sz="8" w:color="010101"/>
            </w:tcBorders>
          </w:tcPr>
          <w:p>
            <w:pPr>
              <w:spacing w:after="0"/>
              <w:rPr>
                <w:sz w:val="24"/>
                <w:szCs w:val="24"/>
                <w:color w:val="auto"/>
              </w:rPr>
            </w:pPr>
          </w:p>
        </w:tc>
        <w:tc>
          <w:tcPr>
            <w:tcW w:w="105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H-3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211"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Reference is hereby made to the Credit Agreement dated as of March 19, 2015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Subsidiary Borrowers from time to time party thereto (collectively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from time to time party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w:t>
      </w:r>
    </w:p>
    <w:p>
      <w:pPr>
        <w:ind w:left="320" w:hanging="312"/>
        <w:spacing w:after="0"/>
        <w:tabs>
          <w:tab w:leader="none" w:pos="3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with respect such participation, neither the undersigned nor any of its direct or indirect partners/members is a bank extending credit pursuant to a loan</w:t>
      </w:r>
    </w:p>
    <w:p>
      <w:pPr>
        <w:spacing w:after="0" w:line="32" w:lineRule="exact"/>
        <w:rPr>
          <w:rFonts w:ascii="Arial" w:cs="Arial" w:eastAsia="Arial" w:hAnsi="Arial"/>
          <w:sz w:val="16"/>
          <w:szCs w:val="16"/>
          <w:color w:val="auto"/>
        </w:rPr>
      </w:pPr>
    </w:p>
    <w:p>
      <w:pPr>
        <w:ind w:right="40"/>
        <w:spacing w:after="0" w:line="277" w:lineRule="auto"/>
        <w:rPr>
          <w:rFonts w:ascii="Arial" w:cs="Arial" w:eastAsia="Arial" w:hAnsi="Arial"/>
          <w:sz w:val="16"/>
          <w:szCs w:val="16"/>
          <w:color w:val="auto"/>
        </w:rPr>
      </w:pPr>
      <w:r>
        <w:rPr>
          <w:rFonts w:ascii="Arial" w:cs="Arial" w:eastAsia="Arial" w:hAnsi="Arial"/>
          <w:sz w:val="17"/>
          <w:szCs w:val="17"/>
          <w:color w:val="auto"/>
        </w:rPr>
        <w:t>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73" w:lineRule="exact"/>
        <w:rPr>
          <w:sz w:val="20"/>
          <w:szCs w:val="20"/>
          <w:color w:val="auto"/>
        </w:rPr>
      </w:pPr>
    </w:p>
    <w:p>
      <w:pPr>
        <w:ind w:right="100" w:firstLine="1297"/>
        <w:spacing w:after="0" w:line="293" w:lineRule="auto"/>
        <w:rPr>
          <w:sz w:val="20"/>
          <w:szCs w:val="20"/>
          <w:color w:val="auto"/>
        </w:rPr>
      </w:pPr>
      <w:r>
        <w:rPr>
          <w:rFonts w:ascii="Arial" w:cs="Arial" w:eastAsia="Arial" w:hAnsi="Arial"/>
          <w:sz w:val="16"/>
          <w:szCs w:val="16"/>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ectPr>
          <w:pgSz w:w="11900" w:h="16888" w:orient="portrait"/>
          <w:cols w:equalWidth="0" w:num="1">
            <w:col w:w="11460"/>
          </w:cols>
          <w:pgMar w:left="240" w:top="341" w:right="199" w:bottom="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10560" w:type="dxa"/>
            <w:vAlign w:val="bottom"/>
          </w:tcPr>
          <w:p>
            <w:pPr>
              <w:jc w:val="right"/>
              <w:ind w:right="9410"/>
              <w:spacing w:after="0"/>
              <w:rPr>
                <w:sz w:val="20"/>
                <w:szCs w:val="20"/>
                <w:color w:val="auto"/>
              </w:rPr>
            </w:pPr>
            <w:r>
              <w:rPr>
                <w:rFonts w:ascii="Arial" w:cs="Arial" w:eastAsia="Arial" w:hAnsi="Arial"/>
                <w:sz w:val="18"/>
                <w:szCs w:val="18"/>
                <w:color w:val="auto"/>
              </w:rPr>
              <w:t>, 20[  ]</w:t>
            </w:r>
          </w:p>
        </w:tc>
      </w:tr>
      <w:tr>
        <w:trPr>
          <w:trHeight w:val="348"/>
        </w:trPr>
        <w:tc>
          <w:tcPr>
            <w:tcW w:w="900" w:type="dxa"/>
            <w:vAlign w:val="bottom"/>
            <w:tcBorders>
              <w:bottom w:val="single" w:sz="8" w:color="010101"/>
            </w:tcBorders>
          </w:tcPr>
          <w:p>
            <w:pPr>
              <w:spacing w:after="0"/>
              <w:rPr>
                <w:sz w:val="24"/>
                <w:szCs w:val="24"/>
                <w:color w:val="auto"/>
              </w:rPr>
            </w:pPr>
          </w:p>
        </w:tc>
        <w:tc>
          <w:tcPr>
            <w:tcW w:w="105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H-4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211"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Reference is hereby made to the Credit Agreement dated as of March 19, 2015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Subsidiary Borrowers from time to time party thereto (collectively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from time to time party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Pursuant to the provisions of Section 2.17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67" w:lineRule="exact"/>
        <w:rPr>
          <w:sz w:val="20"/>
          <w:szCs w:val="20"/>
          <w:color w:val="auto"/>
        </w:rPr>
      </w:pPr>
    </w:p>
    <w:p>
      <w:pPr>
        <w:ind w:right="100" w:firstLine="1297"/>
        <w:spacing w:after="0" w:line="272" w:lineRule="auto"/>
        <w:rPr>
          <w:sz w:val="20"/>
          <w:szCs w:val="20"/>
          <w:color w:val="auto"/>
        </w:rPr>
      </w:pPr>
      <w:r>
        <w:rPr>
          <w:rFonts w:ascii="Arial" w:cs="Arial" w:eastAsia="Arial" w:hAnsi="Arial"/>
          <w:sz w:val="17"/>
          <w:szCs w:val="17"/>
          <w:color w:val="auto"/>
        </w:rPr>
        <w:t>The undersigned has furnished the Administrative Agent and the Borrowers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10560" w:type="dxa"/>
            <w:vAlign w:val="bottom"/>
          </w:tcPr>
          <w:p>
            <w:pPr>
              <w:jc w:val="right"/>
              <w:ind w:right="9410"/>
              <w:spacing w:after="0"/>
              <w:rPr>
                <w:sz w:val="20"/>
                <w:szCs w:val="20"/>
                <w:color w:val="auto"/>
              </w:rPr>
            </w:pPr>
            <w:r>
              <w:rPr>
                <w:rFonts w:ascii="Arial" w:cs="Arial" w:eastAsia="Arial" w:hAnsi="Arial"/>
                <w:sz w:val="18"/>
                <w:szCs w:val="18"/>
                <w:color w:val="auto"/>
              </w:rPr>
              <w:t>, 20[  ]</w:t>
            </w:r>
          </w:p>
        </w:tc>
      </w:tr>
      <w:tr>
        <w:trPr>
          <w:trHeight w:val="348"/>
        </w:trPr>
        <w:tc>
          <w:tcPr>
            <w:tcW w:w="900" w:type="dxa"/>
            <w:vAlign w:val="bottom"/>
            <w:tcBorders>
              <w:bottom w:val="single" w:sz="8" w:color="010101"/>
            </w:tcBorders>
          </w:tcPr>
          <w:p>
            <w:pPr>
              <w:spacing w:after="0"/>
              <w:rPr>
                <w:sz w:val="24"/>
                <w:szCs w:val="24"/>
                <w:color w:val="auto"/>
              </w:rPr>
            </w:pPr>
          </w:p>
        </w:tc>
        <w:tc>
          <w:tcPr>
            <w:tcW w:w="105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I-1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 BORROWING REQUEST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Lenders referred to below</w:t>
      </w:r>
    </w:p>
    <w:p>
      <w:pPr>
        <w:sectPr>
          <w:pgSz w:w="11900" w:h="16838" w:orient="portrait"/>
          <w:cols w:equalWidth="0" w:num="1">
            <w:col w:w="11460"/>
          </w:cols>
          <w:pgMar w:left="240" w:top="125" w:right="199" w:bottom="32"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[10 South Dearborn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 60603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ectPr>
          <w:pgSz w:w="11900" w:h="16838" w:orient="portrait"/>
          <w:cols w:equalWidth="0" w:num="2">
            <w:col w:w="1700" w:space="40"/>
            <w:col w:w="9720"/>
          </w:cols>
          <w:pgMar w:left="240" w:top="125" w:right="199" w:bottom="32"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460"/>
          </w:cols>
          <w:pgMar w:left="240" w:top="125" w:right="199" w:bottom="32"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Two Corporate Drive, Suite 730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Shelton, Connecticut 06484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Scott Farquhar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(203) 944-8495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Regeneron Pharmaceuticals, Inc.</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ectPr>
          <w:pgSz w:w="11900" w:h="16838" w:orient="portrait"/>
          <w:cols w:equalWidth="0" w:num="1">
            <w:col w:w="11460"/>
          </w:cols>
          <w:pgMar w:left="240" w:top="125" w:right="199" w:bottom="32" w:gutter="0" w:footer="0" w:header="0"/>
          <w:type w:val="continuous"/>
        </w:sectPr>
      </w:pPr>
    </w:p>
    <w:bookmarkStart w:id="82" w:name="page83"/>
    <w:bookmarkEnd w:id="82"/>
    <w:p>
      <w:pPr>
        <w:ind w:firstLine="324"/>
        <w:spacing w:after="0" w:line="279" w:lineRule="auto"/>
        <w:rPr>
          <w:sz w:val="20"/>
          <w:szCs w:val="20"/>
          <w:color w:val="auto"/>
        </w:rPr>
      </w:pPr>
      <w:r>
        <w:rPr>
          <w:rFonts w:ascii="Arial" w:cs="Arial" w:eastAsia="Arial" w:hAnsi="Arial"/>
          <w:sz w:val="17"/>
          <w:szCs w:val="17"/>
          <w:color w:val="auto"/>
        </w:rPr>
        <w:t>Reference is hereby made to the Credit Agreement dated as of March 19, 2015 (as the same may be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Regeneron Pharmaceuticals, Inc. (the “</w:t>
      </w:r>
      <w:r>
        <w:rPr>
          <w:rFonts w:ascii="Arial" w:cs="Arial" w:eastAsia="Arial" w:hAnsi="Arial"/>
          <w:sz w:val="17"/>
          <w:szCs w:val="17"/>
          <w:u w:val="single" w:color="auto"/>
          <w:color w:val="auto"/>
        </w:rPr>
        <w:t>Company</w:t>
      </w:r>
      <w:r>
        <w:rPr>
          <w:rFonts w:ascii="Arial" w:cs="Arial" w:eastAsia="Arial" w:hAnsi="Arial"/>
          <w:sz w:val="17"/>
          <w:szCs w:val="17"/>
          <w:color w:val="auto"/>
        </w:rPr>
        <w:t>”), the Subsidiary Borrowers from time to time party thereto, the Lenders from time to time party thereto and JPMorgan Chase Bank, N.A., as administrative agent (in such capacity, the “</w:t>
      </w:r>
      <w:r>
        <w:rPr>
          <w:rFonts w:ascii="Arial" w:cs="Arial" w:eastAsia="Arial" w:hAnsi="Arial"/>
          <w:sz w:val="17"/>
          <w:szCs w:val="17"/>
          <w:u w:val="single" w:color="auto"/>
          <w:color w:val="auto"/>
        </w:rPr>
        <w:t>Administrative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Agent</w:t>
      </w:r>
      <w:r>
        <w:rPr>
          <w:rFonts w:ascii="Arial" w:cs="Arial" w:eastAsia="Arial" w:hAnsi="Arial"/>
          <w:sz w:val="17"/>
          <w:szCs w:val="17"/>
          <w:color w:val="auto"/>
        </w:rPr>
        <w:t>”). Capitalized terms used but not defined herein shall have the meanings assigned to such terms in the Credit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THE FOLLOWING FOR A REVOLVING LOAN REQUESTED UNDER SECTION 2.03:]</w:t>
      </w:r>
    </w:p>
    <w:p>
      <w:pPr>
        <w:spacing w:after="0" w:line="229"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The [undersigned Subsidiary Borrower and the] Company hereby give[s] you notice pursuant to Section 2.03 of the Credit Agreement that a Borrowing is being requested under the Credit Agreement, and in that connection the following information is being provided with respect to such Borrowing requested hereby:</w:t>
      </w:r>
    </w:p>
    <w:p>
      <w:pPr>
        <w:spacing w:after="0" w:line="181"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Name of Borrower: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Aggregate principal amount of Borrowing:(10)</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Date of Borrowing (which shall be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220980</wp:posOffset>
            </wp:positionV>
            <wp:extent cx="17240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00" w:right="560" w:hanging="492"/>
        <w:spacing w:after="0" w:line="258" w:lineRule="auto"/>
        <w:tabs>
          <w:tab w:leader="none" w:pos="30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request is in respect of Revolving Loans in a Foreign Currency or a Designated Loan, please replace this address with the London address from Section 9.01(a)(ii).</w:t>
      </w:r>
    </w:p>
    <w:p>
      <w:pPr>
        <w:spacing w:after="0" w:line="1" w:lineRule="exact"/>
        <w:rPr>
          <w:rFonts w:ascii="Arial" w:cs="Arial" w:eastAsia="Arial" w:hAnsi="Arial"/>
          <w:sz w:val="18"/>
          <w:szCs w:val="18"/>
          <w:color w:val="auto"/>
        </w:rPr>
      </w:pPr>
    </w:p>
    <w:p>
      <w:pPr>
        <w:ind w:left="400" w:hanging="392"/>
        <w:spacing w:after="0"/>
        <w:tabs>
          <w:tab w:leader="none" w:pos="4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 less than applicable amounts specified in Section 2.02(c).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652"/>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Type of Borrowing (ABR(11) or Eurocurrency):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Interest Period and the last day thereof (if a Eurocurrency Borrowing):(12)</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Agreed Currency:</w:t>
      </w:r>
    </w:p>
    <w:p>
      <w:pPr>
        <w:spacing w:after="0" w:line="225" w:lineRule="exact"/>
        <w:rPr>
          <w:rFonts w:ascii="Arial" w:cs="Arial" w:eastAsia="Arial" w:hAnsi="Arial"/>
          <w:sz w:val="18"/>
          <w:szCs w:val="18"/>
          <w:color w:val="auto"/>
        </w:rPr>
      </w:pPr>
    </w:p>
    <w:p>
      <w:pPr>
        <w:ind w:left="660" w:right="580" w:hanging="652"/>
        <w:spacing w:after="0" w:line="277"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Location and number of the applicable Borrower’s account or any other account reasonably acceptable to the Administrative Agent to which proceeds of Borrowing are to be disbursed:</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undersigned hereby represents and warrants that the conditions to credit extensions specified in Section 4.02 of the Credit Agreement are satisfied as of the date 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THE FOLLOWING FOR A SWINGLINE LOAN REQUESTED UNDER SECTION 2.05:]</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[undersigned Subsidiary Borrower and the] Company hereby give[s] you notice pursuant to Section 2.05 of the Credit Agreement that a Swingline Loan in Dollars is being requested under the Credit Agreement, and in that connection the following information is being provided with respect to such Borrowing requested hereby:</w:t>
      </w:r>
    </w:p>
    <w:p>
      <w:pPr>
        <w:spacing w:after="0" w:line="181" w:lineRule="exact"/>
        <w:rPr>
          <w:sz w:val="20"/>
          <w:szCs w:val="20"/>
          <w:color w:val="auto"/>
        </w:rPr>
      </w:pPr>
    </w:p>
    <w:p>
      <w:pPr>
        <w:ind w:left="660" w:hanging="652"/>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Name of Borrower: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Aggregate principal amount of Borrowing: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Date of Borrowing (which shall be a Business Day):</w:t>
      </w:r>
    </w:p>
    <w:p>
      <w:pPr>
        <w:spacing w:after="0" w:line="225" w:lineRule="exact"/>
        <w:rPr>
          <w:rFonts w:ascii="Arial" w:cs="Arial" w:eastAsia="Arial" w:hAnsi="Arial"/>
          <w:sz w:val="18"/>
          <w:szCs w:val="18"/>
          <w:color w:val="auto"/>
        </w:rPr>
      </w:pPr>
    </w:p>
    <w:p>
      <w:pPr>
        <w:ind w:left="660" w:right="580" w:hanging="652"/>
        <w:spacing w:after="0" w:line="277" w:lineRule="auto"/>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Location and number of the applicable Borrower’s account or any other account reasonably acceptable to the Administrative Agent to which proceeds of Borrowing are to be disbursed:</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undersigned hereby represents and warrants that the conditions to credit extensions specified in Section 4.02 of the Credit Agreement are satisfied as of the date hereof.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00" w:hanging="392"/>
        <w:spacing w:after="0"/>
        <w:tabs>
          <w:tab w:leader="none" w:pos="4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ABR should not be selected for a Designated Loan (a Revolving Loan denominated in Dollars to a Designated Foreign Subsidiary Borrower).</w:t>
      </w:r>
    </w:p>
    <w:p>
      <w:pPr>
        <w:spacing w:after="0" w:line="34" w:lineRule="exact"/>
        <w:rPr>
          <w:rFonts w:ascii="Arial" w:cs="Arial" w:eastAsia="Arial" w:hAnsi="Arial"/>
          <w:sz w:val="17"/>
          <w:szCs w:val="17"/>
          <w:color w:val="auto"/>
        </w:rPr>
      </w:pPr>
    </w:p>
    <w:p>
      <w:pPr>
        <w:ind w:left="400" w:hanging="392"/>
        <w:spacing w:after="0"/>
        <w:tabs>
          <w:tab w:leader="none" w:pos="4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Which must comply with the definition of “Interest Period” and end not later than the Maturity Date.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WITNESS WHEREOF, the undersigned has caused this Borrowing Request to be duly executed by an authorized officer or other authorized signatory as of the date first appearing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INC.][SUBSIDIARY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BORROWER],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Borrower</w:t>
      </w:r>
    </w:p>
    <w:p>
      <w:pPr>
        <w:sectPr>
          <w:pgSz w:w="11900" w:h="16838" w:orient="portrait"/>
          <w:cols w:equalWidth="0" w:num="1">
            <w:col w:w="11360"/>
          </w:cols>
          <w:pgMar w:left="240" w:top="125" w:right="299" w:bottom="207" w:gutter="0" w:footer="0" w:header="0"/>
        </w:sectPr>
      </w:pPr>
    </w:p>
    <w:bookmarkStart w:id="83" w:name="page84"/>
    <w:bookmarkEnd w:id="83"/>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the Company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 Additional signature of the Company to be included if Borrowing Request is made by a Subsidiary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INTEREST ELECTION REQUEST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Lenders referred to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Arial" w:cs="Arial" w:eastAsia="Arial" w:hAnsi="Arial"/>
                <w:sz w:val="18"/>
                <w:szCs w:val="18"/>
                <w:color w:val="auto"/>
                <w:w w:val="91"/>
              </w:rPr>
              <w:t>[10 South Dearborn</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Chicago, Illinois 60603</w:t>
            </w:r>
          </w:p>
        </w:tc>
        <w:tc>
          <w:tcPr>
            <w:tcW w:w="54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Attention: [</w:t>
            </w:r>
          </w:p>
        </w:tc>
        <w:tc>
          <w:tcPr>
            <w:tcW w:w="4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Facsimile: ([  ]) [</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Regeneron Pharmaceuticals, Inc.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Reference is hereby made to the Credit Agreement dated as of March 19, 2015 (as the same may be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Subsidiary Borrowers from time to time party thereto, the Lenders from time to time party thereto and JPMorgan Chase Bank, N.A., as administrative agent (in such capacity,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Capitalized terms used but not defined herein shall have the meanings assigned to such terms in the Credit Agreement. The undersigned Borrower hereby gives you notice pursuant to Section 2.08 of the Credit Agreement that it requests to [convert][continue] an existing Borrowing under the Credit Agreement, and in that connection the undersigned Borrower specifies the following information with respect to such [conversion][continuation] requested hereby:</w:t>
      </w:r>
    </w:p>
    <w:p>
      <w:pPr>
        <w:spacing w:after="0" w:line="189" w:lineRule="exact"/>
        <w:rPr>
          <w:sz w:val="20"/>
          <w:szCs w:val="20"/>
          <w:color w:val="auto"/>
        </w:rPr>
      </w:pPr>
    </w:p>
    <w:p>
      <w:pPr>
        <w:ind w:left="660" w:hanging="652"/>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List Borrower, date, Type, principal amount, Agreed Currency and Interest Period (if applicable) of existing Borrowing: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Aggregate principal amount of resulting Borrowing: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Effective date of interest election (which shall be a Business Day):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Type of Borrowing (ABR or Eurocurrency):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Interest Period and the last day thereof (if a Eurocurrency Borrowing):(2)</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Agreed Currency: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00" w:right="620" w:hanging="492"/>
        <w:spacing w:after="0" w:line="258" w:lineRule="auto"/>
        <w:tabs>
          <w:tab w:leader="none" w:pos="30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 request is in respect of Revolving Loans in a Foreign Currency or a Designated Loan, please replace this address with the London address from Section 9.01(a)(ii).</w:t>
      </w:r>
    </w:p>
    <w:p>
      <w:pPr>
        <w:spacing w:after="0" w:line="1" w:lineRule="exact"/>
        <w:rPr>
          <w:rFonts w:ascii="Arial" w:cs="Arial" w:eastAsia="Arial" w:hAnsi="Arial"/>
          <w:sz w:val="18"/>
          <w:szCs w:val="18"/>
          <w:color w:val="auto"/>
        </w:rPr>
      </w:pPr>
    </w:p>
    <w:p>
      <w:pPr>
        <w:ind w:left="300" w:hanging="292"/>
        <w:spacing w:after="0"/>
        <w:tabs>
          <w:tab w:leader="none" w:pos="3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Which must comply with the definition of “Interest Period” and end not later than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the Company]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[SUBSIDIARY BORROWER,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Borrower]</w:t>
      </w:r>
    </w:p>
    <w:p>
      <w:pPr>
        <w:sectPr>
          <w:pgSz w:w="11900" w:h="16838" w:orient="portrait"/>
          <w:cols w:equalWidth="0" w:num="1">
            <w:col w:w="11420"/>
          </w:cols>
          <w:pgMar w:left="240" w:top="125" w:right="239" w:bottom="0" w:gutter="0" w:footer="0" w:header="0"/>
        </w:sectPr>
      </w:pPr>
    </w:p>
    <w:bookmarkStart w:id="84" w:name="page85"/>
    <w:bookmarkEnd w:id="84"/>
    <w:p>
      <w:pPr>
        <w:spacing w:after="0" w:line="6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pacing w:after="0" w:line="225" w:lineRule="exact"/>
        <w:rPr>
          <w:sz w:val="20"/>
          <w:szCs w:val="20"/>
          <w:color w:val="auto"/>
        </w:rPr>
      </w:pPr>
    </w:p>
    <w:p>
      <w:pPr>
        <w:ind w:left="10280"/>
        <w:spacing w:after="0"/>
        <w:rPr>
          <w:sz w:val="20"/>
          <w:szCs w:val="20"/>
          <w:color w:val="auto"/>
        </w:rPr>
      </w:pPr>
      <w:r>
        <w:rPr>
          <w:rFonts w:ascii="Arial" w:cs="Arial" w:eastAsia="Arial" w:hAnsi="Arial"/>
          <w:sz w:val="16"/>
          <w:szCs w:val="16"/>
          <w:color w:val="auto"/>
        </w:rPr>
        <w:t>March 19, 2015</w:t>
      </w:r>
    </w:p>
    <w:p>
      <w:pPr>
        <w:spacing w:after="0" w:line="248" w:lineRule="exact"/>
        <w:rPr>
          <w:sz w:val="20"/>
          <w:szCs w:val="20"/>
          <w:color w:val="auto"/>
        </w:rPr>
      </w:pPr>
    </w:p>
    <w:p>
      <w:pPr>
        <w:ind w:left="660"/>
        <w:spacing w:after="0"/>
        <w:tabs>
          <w:tab w:leader="none" w:pos="10860" w:val="left"/>
        </w:tabs>
        <w:rPr>
          <w:sz w:val="20"/>
          <w:szCs w:val="20"/>
          <w:color w:val="auto"/>
        </w:rPr>
      </w:pPr>
      <w:r>
        <w:rPr>
          <w:rFonts w:ascii="Arial" w:cs="Arial" w:eastAsia="Arial" w:hAnsi="Arial"/>
          <w:sz w:val="18"/>
          <w:szCs w:val="18"/>
          <w:color w:val="auto"/>
        </w:rPr>
        <w:t>FOR VALUE RECEIVED, the undersigned, [REGENERON PHARMACEUTICALS, INC.][SUBSIDIARY BORROWER], a [</w:t>
      </w:r>
      <w:r>
        <w:rPr>
          <w:sz w:val="20"/>
          <w:szCs w:val="20"/>
          <w:color w:val="auto"/>
        </w:rPr>
        <w:tab/>
      </w:r>
      <w:r>
        <w:rPr>
          <w:rFonts w:ascii="Arial" w:cs="Arial" w:eastAsia="Arial" w:hAnsi="Arial"/>
          <w:sz w:val="16"/>
          <w:szCs w:val="16"/>
          <w:color w:val="auto"/>
        </w:rPr>
        <w:t>] (the</w:t>
      </w:r>
    </w:p>
    <w:p>
      <w:pPr>
        <w:spacing w:after="0" w:line="2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w:t>
      </w:r>
      <w:r>
        <w:rPr>
          <w:rFonts w:ascii="Arial" w:cs="Arial" w:eastAsia="Arial" w:hAnsi="Arial"/>
          <w:sz w:val="16"/>
          <w:szCs w:val="16"/>
          <w:color w:val="auto"/>
        </w:rPr>
        <w:t>”), HEREBY UNCONDITIONALLY PROMISES TO PAY to [NAME OF LENDER] (the “</w:t>
      </w:r>
      <w:r>
        <w:rPr>
          <w:rFonts w:ascii="Arial" w:cs="Arial" w:eastAsia="Arial" w:hAnsi="Arial"/>
          <w:sz w:val="16"/>
          <w:szCs w:val="16"/>
          <w:u w:val="single" w:color="auto"/>
          <w:color w:val="auto"/>
        </w:rPr>
        <w:t>Lender</w:t>
      </w:r>
      <w:r>
        <w:rPr>
          <w:rFonts w:ascii="Arial" w:cs="Arial" w:eastAsia="Arial" w:hAnsi="Arial"/>
          <w:sz w:val="16"/>
          <w:szCs w:val="16"/>
          <w:color w:val="auto"/>
        </w:rPr>
        <w:t>”) the aggregate unpaid Dollar Amount of all Loans made by the Lender to the Borrower pursuant to the “Credit Agreement” (as defined below) on the Maturity Date or on such earlier date as may be required by the terms of the Credit Agreement. Capitalized terms used herein and not otherwise defined herein are as defined in the Credit Agreement.</w:t>
      </w:r>
    </w:p>
    <w:p>
      <w:pPr>
        <w:spacing w:after="0" w:line="15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The undersigned Borrower promises to pay interest on the unpaid principal amount of each Loan made to it from the date of such Loan until such principal amount is paid in full at a rate or rates per annum determined in accordance with the terms of the Credit Agreement. Interest hereunder is due and payable at such times and on such dates as set forth in the Credit Agreement.</w:t>
      </w:r>
    </w:p>
    <w:p>
      <w:pPr>
        <w:spacing w:after="0" w:line="181"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At the time of each Loan, and upon each payment or prepayment of principal of each Loan, the Lender shall make a notation either on the schedule attached hereto and made a part hereof, or in such Lender’s own books and records, in each case specifying the amount of such Loan, the respective Interest Period thereof (in the case of Eurocurrency Loans) or the amount of principal paid or prepaid with respect to such Loan,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the Lender to make any such recordation or notation shall not affect the Obligations of the undersigned Borrower hereunder or under the Credit Agreement.</w:t>
      </w:r>
    </w:p>
    <w:p>
      <w:pPr>
        <w:spacing w:after="0" w:line="188"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This Note is one of the notes referred to in, and is entitled to the benefits of, that certain Credit Agreement dated as of March 19, 2015 by and among the Borrower, [Company, the other][the] Subsidiary Borrowers from time to time parties thereto, the financial institutions from time to time parties thereto as Lenders and JPMorgan Chase Bank, N.A., as Administrative Agent (as the same may be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Credit Agreement, among other things, (i) provides for the making of Loans by the Lender to the Borrower from time to time in an aggregate amount not to exceed at any time outstanding the Dollar Amount of such Lender’s Commitment, the indebtedness of the Borrower resulting from each such Loan to it being evidenced by this Note, and (ii) contains provisions for acceleration of the maturity hereof upon the happening of certain stated events and also for prepayments of the principal hereof prior to the maturity hereof upon the terms and conditions therein specified.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Demand, presentment, protest and notice of nonpayment and protest are hereby waived by the Borrower.</w:t>
      </w:r>
    </w:p>
    <w:p>
      <w:pPr>
        <w:spacing w:after="0" w:line="225"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Whenever in this Note reference is made to the Administrative Agent, the Lender or the Borrower, such reference shall be deemed to include, as applicable, a reference to their respective successors and permitted assigns. The provisions of this Note shall be binding upon and shall inure to the benefit of said successors and assigns. The Borrower’s successors and assigns shall include, without limitation, a receiver, trustee or debtor in possession of or for the Borrower.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Note shall be construed in accordance with and governed by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INC.][SUBSIDIARY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BORROWER]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LOANS AND PAYMENTS OR PREPAYMENTS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 of</w:t>
            </w:r>
          </w:p>
        </w:tc>
        <w:tc>
          <w:tcPr>
            <w:tcW w:w="1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Unpaid</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 of</w:t>
            </w:r>
          </w:p>
        </w:tc>
        <w:tc>
          <w:tcPr>
            <w:tcW w:w="2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Type of</w:t>
            </w:r>
          </w:p>
        </w:tc>
        <w:tc>
          <w:tcPr>
            <w:tcW w:w="1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Principal</w:t>
            </w:r>
          </w:p>
        </w:tc>
        <w:tc>
          <w:tcPr>
            <w:tcW w:w="1740" w:type="dxa"/>
            <w:vAlign w:val="bottom"/>
            <w:gridSpan w:val="2"/>
            <w:vMerge w:val="continue"/>
          </w:tcPr>
          <w:p>
            <w:pPr>
              <w:spacing w:after="0"/>
              <w:rPr>
                <w:sz w:val="12"/>
                <w:szCs w:val="12"/>
                <w:color w:val="auto"/>
              </w:rPr>
            </w:pPr>
          </w:p>
        </w:tc>
        <w:tc>
          <w:tcPr>
            <w:tcW w:w="16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Notation</w:t>
            </w:r>
          </w:p>
        </w:tc>
        <w:tc>
          <w:tcPr>
            <w:tcW w:w="0" w:type="dxa"/>
            <w:vAlign w:val="bottom"/>
          </w:tcPr>
          <w:p>
            <w:pPr>
              <w:spacing w:after="0"/>
              <w:rPr>
                <w:sz w:val="1"/>
                <w:szCs w:val="1"/>
                <w:color w:val="auto"/>
              </w:rPr>
            </w:pPr>
          </w:p>
        </w:tc>
      </w:tr>
      <w:tr>
        <w:trPr>
          <w:trHeight w:val="149"/>
        </w:trPr>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1560" w:type="dxa"/>
            <w:vAlign w:val="bottom"/>
            <w:gridSpan w:val="2"/>
            <w:vMerge w:val="continue"/>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Paid or</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Principal</w:t>
            </w: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0" w:type="dxa"/>
            <w:vAlign w:val="bottom"/>
            <w:gridSpan w:val="2"/>
            <w:vMerge w:val="continue"/>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Loan</w:t>
            </w:r>
          </w:p>
        </w:tc>
        <w:tc>
          <w:tcPr>
            <w:tcW w:w="2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Loan Currency</w:t>
            </w: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Period/Rate</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Prepaid</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Balance</w:t>
            </w:r>
          </w:p>
        </w:tc>
        <w:tc>
          <w:tcPr>
            <w:tcW w:w="1680" w:type="dxa"/>
            <w:vAlign w:val="bottom"/>
          </w:tcPr>
          <w:p>
            <w:pPr>
              <w:ind w:left="560"/>
              <w:spacing w:after="0"/>
              <w:rPr>
                <w:sz w:val="20"/>
                <w:szCs w:val="20"/>
                <w:color w:val="auto"/>
              </w:rPr>
            </w:pPr>
            <w:r>
              <w:rPr>
                <w:rFonts w:ascii="Arial" w:cs="Arial" w:eastAsia="Arial" w:hAnsi="Arial"/>
                <w:sz w:val="14"/>
                <w:szCs w:val="14"/>
                <w:b w:val="1"/>
                <w:bCs w:val="1"/>
                <w:color w:val="auto"/>
              </w:rPr>
              <w:t>Made By</w:t>
            </w:r>
          </w:p>
        </w:tc>
        <w:tc>
          <w:tcPr>
            <w:tcW w:w="0" w:type="dxa"/>
            <w:vAlign w:val="bottom"/>
          </w:tcPr>
          <w:p>
            <w:pPr>
              <w:spacing w:after="0"/>
              <w:rPr>
                <w:sz w:val="1"/>
                <w:szCs w:val="1"/>
                <w:color w:val="auto"/>
              </w:rPr>
            </w:pPr>
          </w:p>
        </w:tc>
      </w:tr>
      <w:tr>
        <w:trPr>
          <w:trHeight w:val="118"/>
        </w:trPr>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9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5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5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5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6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57" w:right="239" w:bottom="0" w:gutter="0" w:footer="0" w:header="0"/>
        </w:sectPr>
      </w:pPr>
    </w:p>
    <w:bookmarkStart w:id="85" w:name="page86"/>
    <w:bookmarkEnd w:id="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704215</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85E1B"/>
    <w:multiLevelType w:val="hybridMultilevel"/>
    <w:lvl w:ilvl="0">
      <w:lvlJc w:val="left"/>
      <w:lvlText w:val="(%1)"/>
      <w:numFmt w:val="lowerRoman"/>
      <w:start w:val="5"/>
    </w:lvl>
  </w:abstractNum>
  <w:abstractNum w:abstractNumId="1">
    <w:nsid w:val="76272110"/>
    <w:multiLevelType w:val="hybridMultilevel"/>
    <w:lvl w:ilvl="0">
      <w:lvlJc w:val="left"/>
      <w:lvlText w:val="(%1)"/>
      <w:numFmt w:val="lowerLetter"/>
      <w:start w:val="26"/>
    </w:lvl>
  </w:abstractNum>
  <w:abstractNum w:abstractNumId="2">
    <w:nsid w:val="4C04A8AF"/>
    <w:multiLevelType w:val="hybridMultilevel"/>
    <w:lvl w:ilvl="0">
      <w:lvlJc w:val="left"/>
      <w:lvlText w:val="(%1)"/>
      <w:numFmt w:val="lowerRoman"/>
      <w:start w:val="4"/>
    </w:lvl>
  </w:abstractNum>
  <w:abstractNum w:abstractNumId="3">
    <w:nsid w:val="1716703B"/>
    <w:multiLevelType w:val="hybridMultilevel"/>
    <w:lvl w:ilvl="0">
      <w:lvlJc w:val="left"/>
      <w:lvlText w:val="(%1)"/>
      <w:numFmt w:val="decimal"/>
      <w:start w:val="2"/>
    </w:lvl>
  </w:abstractNum>
  <w:abstractNum w:abstractNumId="4">
    <w:nsid w:val="14E17E33"/>
    <w:multiLevelType w:val="hybridMultilevel"/>
    <w:lvl w:ilvl="0">
      <w:lvlJc w:val="left"/>
      <w:lvlText w:val="(%1)"/>
      <w:numFmt w:val="lowerRoman"/>
      <w:start w:val="1"/>
    </w:lvl>
  </w:abstractNum>
  <w:abstractNum w:abstractNumId="5">
    <w:nsid w:val="3222E7CD"/>
    <w:multiLevelType w:val="hybridMultilevel"/>
    <w:lvl w:ilvl="0">
      <w:lvlJc w:val="left"/>
      <w:lvlText w:val="(%1)"/>
      <w:numFmt w:val="lowerRoman"/>
      <w:start w:val="1"/>
    </w:lvl>
  </w:abstractNum>
  <w:abstractNum w:abstractNumId="6">
    <w:nsid w:val="74DE0EE3"/>
    <w:multiLevelType w:val="hybridMultilevel"/>
    <w:lvl w:ilvl="0">
      <w:lvlJc w:val="left"/>
      <w:lvlText w:val="(%1)"/>
      <w:numFmt w:val="lowerRoman"/>
      <w:start w:val="1"/>
    </w:lvl>
  </w:abstractNum>
  <w:abstractNum w:abstractNumId="7">
    <w:nsid w:val="68EBC550"/>
    <w:multiLevelType w:val="hybridMultilevel"/>
    <w:lvl w:ilvl="0">
      <w:lvlJc w:val="left"/>
      <w:lvlText w:val="(%1)"/>
      <w:numFmt w:val="lowerRoman"/>
      <w:start w:val="4"/>
    </w:lvl>
  </w:abstractNum>
  <w:abstractNum w:abstractNumId="8">
    <w:nsid w:val="2DF6D648"/>
    <w:multiLevelType w:val="hybridMultilevel"/>
    <w:lvl w:ilvl="0">
      <w:lvlJc w:val="left"/>
      <w:lvlText w:val="(%1)"/>
      <w:numFmt w:val="decimal"/>
      <w:start w:val="3"/>
    </w:lvl>
  </w:abstractNum>
  <w:abstractNum w:abstractNumId="9">
    <w:nsid w:val="46B7D447"/>
    <w:multiLevelType w:val="hybridMultilevel"/>
    <w:lvl w:ilvl="0">
      <w:lvlJc w:val="left"/>
      <w:lvlText w:val="(%1)"/>
      <w:numFmt w:val="lowerLetter"/>
      <w:start w:val="1"/>
    </w:lvl>
  </w:abstractNum>
  <w:abstractNum w:abstractNumId="10">
    <w:nsid w:val="4A2AC315"/>
    <w:multiLevelType w:val="hybridMultilevel"/>
    <w:lvl w:ilvl="0">
      <w:lvlJc w:val="left"/>
      <w:lvlText w:val="(%1)"/>
      <w:numFmt w:val="lowerRoman"/>
      <w:start w:val="1"/>
    </w:lvl>
  </w:abstractNum>
  <w:abstractNum w:abstractNumId="11">
    <w:nsid w:val="39EE015C"/>
    <w:multiLevelType w:val="hybridMultilevel"/>
    <w:lvl w:ilvl="0">
      <w:lvlJc w:val="left"/>
      <w:lvlText w:val="(%1)"/>
      <w:numFmt w:val="lowerLetter"/>
      <w:start w:val="2"/>
    </w:lvl>
    <w:lvl w:ilvl="1">
      <w:lvlJc w:val="left"/>
      <w:lvlText w:val="(%2)"/>
      <w:numFmt w:val="lowerLetter"/>
      <w:start w:val="2"/>
    </w:lvl>
  </w:abstractNum>
  <w:abstractNum w:abstractNumId="12">
    <w:nsid w:val="57FC4FBB"/>
    <w:multiLevelType w:val="hybridMultilevel"/>
    <w:lvl w:ilvl="0">
      <w:lvlJc w:val="left"/>
      <w:lvlText w:val="(%1)"/>
      <w:numFmt w:val="lowerLetter"/>
      <w:start w:val="2"/>
    </w:lvl>
  </w:abstractNum>
  <w:abstractNum w:abstractNumId="13">
    <w:nsid w:val="CC1016F"/>
    <w:multiLevelType w:val="hybridMultilevel"/>
    <w:lvl w:ilvl="0">
      <w:lvlJc w:val="left"/>
      <w:lvlText w:val="(%1)"/>
      <w:numFmt w:val="lowerLetter"/>
      <w:start w:val="4"/>
    </w:lvl>
  </w:abstractNum>
  <w:abstractNum w:abstractNumId="14">
    <w:nsid w:val="43F18422"/>
    <w:multiLevelType w:val="hybridMultilevel"/>
    <w:lvl w:ilvl="0">
      <w:lvlJc w:val="left"/>
      <w:lvlText w:val="(%1)"/>
      <w:numFmt w:val="lowerRoman"/>
      <w:start w:val="1"/>
    </w:lvl>
  </w:abstractNum>
  <w:abstractNum w:abstractNumId="15">
    <w:nsid w:val="60EF0119"/>
    <w:multiLevelType w:val="hybridMultilevel"/>
    <w:lvl w:ilvl="0">
      <w:lvlJc w:val="left"/>
      <w:lvlText w:val="(%1)"/>
      <w:numFmt w:val="lowerLetter"/>
      <w:start w:val="1"/>
    </w:lvl>
  </w:abstractNum>
  <w:abstractNum w:abstractNumId="16">
    <w:nsid w:val="26F324BA"/>
    <w:multiLevelType w:val="hybridMultilevel"/>
    <w:lvl w:ilvl="0">
      <w:lvlJc w:val="left"/>
      <w:lvlText w:val="(%1)"/>
      <w:numFmt w:val="lowerLetter"/>
      <w:start w:val="2"/>
    </w:lvl>
  </w:abstractNum>
  <w:abstractNum w:abstractNumId="17">
    <w:nsid w:val="7F01579B"/>
    <w:multiLevelType w:val="hybridMultilevel"/>
    <w:lvl w:ilvl="0">
      <w:lvlJc w:val="left"/>
      <w:lvlText w:val="(%1)"/>
      <w:numFmt w:val="lowerLetter"/>
      <w:start w:val="3"/>
    </w:lvl>
  </w:abstractNum>
  <w:abstractNum w:abstractNumId="18">
    <w:nsid w:val="49DA307D"/>
    <w:multiLevelType w:val="hybridMultilevel"/>
    <w:lvl w:ilvl="0">
      <w:lvlJc w:val="left"/>
      <w:lvlText w:val="(%1)"/>
      <w:numFmt w:val="lowerLetter"/>
      <w:start w:val="2"/>
    </w:lvl>
  </w:abstractNum>
  <w:abstractNum w:abstractNumId="19">
    <w:nsid w:val="7055A5F5"/>
    <w:multiLevelType w:val="hybridMultilevel"/>
    <w:lvl w:ilvl="0">
      <w:lvlJc w:val="left"/>
      <w:lvlText w:val="(%1)"/>
      <w:numFmt w:val="lowerLetter"/>
      <w:start w:val="3"/>
    </w:lvl>
  </w:abstractNum>
  <w:abstractNum w:abstractNumId="20">
    <w:nsid w:val="5FB8370B"/>
    <w:multiLevelType w:val="hybridMultilevel"/>
    <w:lvl w:ilvl="0">
      <w:lvlJc w:val="left"/>
      <w:lvlText w:val="(%1)"/>
      <w:numFmt w:val="lowerLetter"/>
      <w:start w:val="4"/>
    </w:lvl>
  </w:abstractNum>
  <w:abstractNum w:abstractNumId="21">
    <w:nsid w:val="50801EE1"/>
    <w:multiLevelType w:val="hybridMultilevel"/>
    <w:lvl w:ilvl="0">
      <w:lvlJc w:val="left"/>
      <w:lvlText w:val="(%1)"/>
      <w:numFmt w:val="lowerLetter"/>
      <w:start w:val="6"/>
    </w:lvl>
  </w:abstractNum>
  <w:abstractNum w:abstractNumId="22">
    <w:nsid w:val="488AC1A"/>
    <w:multiLevelType w:val="hybridMultilevel"/>
    <w:lvl w:ilvl="0">
      <w:lvlJc w:val="left"/>
      <w:lvlText w:val="(%1)"/>
      <w:numFmt w:val="lowerLetter"/>
      <w:start w:val="7"/>
    </w:lvl>
  </w:abstractNum>
  <w:abstractNum w:abstractNumId="23">
    <w:nsid w:val="5FB8011C"/>
    <w:multiLevelType w:val="hybridMultilevel"/>
    <w:lvl w:ilvl="0">
      <w:lvlJc w:val="left"/>
      <w:lvlText w:val="(%1)"/>
      <w:numFmt w:val="lowerLetter"/>
      <w:start w:val="10"/>
    </w:lvl>
  </w:abstractNum>
  <w:abstractNum w:abstractNumId="24">
    <w:nsid w:val="6AA78F7F"/>
    <w:multiLevelType w:val="hybridMultilevel"/>
    <w:lvl w:ilvl="0">
      <w:lvlJc w:val="left"/>
      <w:lvlText w:val="(%1)"/>
      <w:numFmt w:val="lowerLetter"/>
      <w:start w:val="25"/>
    </w:lvl>
    <w:lvl w:ilvl="1">
      <w:lvlJc w:val="left"/>
      <w:lvlText w:val="(%2)"/>
      <w:numFmt w:val="lowerLetter"/>
      <w:start w:val="2"/>
    </w:lvl>
  </w:abstractNum>
  <w:abstractNum w:abstractNumId="25">
    <w:nsid w:val="7672BD23"/>
    <w:multiLevelType w:val="hybridMultilevel"/>
    <w:lvl w:ilvl="0">
      <w:lvlJc w:val="left"/>
      <w:lvlText w:val="%1"/>
      <w:numFmt w:val="lowerLetter"/>
      <w:start w:val="1"/>
    </w:lvl>
    <w:lvl w:ilvl="1">
      <w:lvlJc w:val="left"/>
      <w:lvlText w:val="(%2)"/>
      <w:numFmt w:val="lowerLetter"/>
      <w:start w:val="2"/>
    </w:lvl>
  </w:abstractNum>
  <w:abstractNum w:abstractNumId="26">
    <w:nsid w:val="6FC75AF8"/>
    <w:multiLevelType w:val="hybridMultilevel"/>
    <w:lvl w:ilvl="0">
      <w:lvlJc w:val="left"/>
      <w:lvlText w:val="(%1)"/>
      <w:numFmt w:val="lowerLetter"/>
      <w:start w:val="9"/>
    </w:lvl>
    <w:lvl w:ilvl="1">
      <w:lvlJc w:val="left"/>
      <w:lvlText w:val="%2"/>
      <w:numFmt w:val="lowerLetter"/>
      <w:start w:val="1"/>
    </w:lvl>
  </w:abstractNum>
  <w:abstractNum w:abstractNumId="27">
    <w:nsid w:val="6A5F7029"/>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28">
    <w:nsid w:val="7D5E18F8"/>
    <w:multiLevelType w:val="hybridMultilevel"/>
    <w:lvl w:ilvl="0">
      <w:lvlJc w:val="left"/>
      <w:lvlText w:val="(%1)"/>
      <w:numFmt w:val="lowerLetter"/>
      <w:start w:val="4"/>
    </w:lvl>
  </w:abstractNum>
  <w:abstractNum w:abstractNumId="29">
    <w:nsid w:val="5F3534A4"/>
    <w:multiLevelType w:val="hybridMultilevel"/>
    <w:lvl w:ilvl="0">
      <w:lvlJc w:val="left"/>
      <w:lvlText w:val="%1"/>
      <w:numFmt w:val="lowerRoman"/>
      <w:start w:val="1"/>
    </w:lvl>
    <w:lvl w:ilvl="1">
      <w:lvlJc w:val="left"/>
      <w:lvlText w:val="(%2)"/>
      <w:numFmt w:val="lowerLetter"/>
      <w:start w:val="5"/>
    </w:lvl>
  </w:abstractNum>
  <w:abstractNum w:abstractNumId="30">
    <w:nsid w:val="73A1821B"/>
    <w:multiLevelType w:val="hybridMultilevel"/>
    <w:lvl w:ilvl="0">
      <w:lvlJc w:val="left"/>
      <w:lvlText w:val="(%1)"/>
      <w:numFmt w:val="lowerRoman"/>
      <w:start w:val="1"/>
    </w:lvl>
    <w:lvl w:ilvl="1">
      <w:lvlJc w:val="left"/>
      <w:lvlText w:val="%2"/>
      <w:numFmt w:val="lowerLetter"/>
      <w:start w:val="1"/>
    </w:lvl>
  </w:abstractNum>
  <w:abstractNum w:abstractNumId="31">
    <w:nsid w:val="7DE67713"/>
    <w:multiLevelType w:val="hybridMultilevel"/>
    <w:lvl w:ilvl="0">
      <w:lvlJc w:val="left"/>
      <w:lvlText w:val="(%1)"/>
      <w:numFmt w:val="lowerLetter"/>
      <w:start w:val="2"/>
    </w:lvl>
  </w:abstractNum>
  <w:abstractNum w:abstractNumId="32">
    <w:nsid w:val="555C55B5"/>
    <w:multiLevelType w:val="hybridMultilevel"/>
    <w:lvl w:ilvl="0">
      <w:lvlJc w:val="left"/>
      <w:lvlText w:val="(%1)"/>
      <w:numFmt w:val="lowerLetter"/>
      <w:start w:val="2"/>
    </w:lvl>
  </w:abstractNum>
  <w:abstractNum w:abstractNumId="33">
    <w:nsid w:val="3FA62ACA"/>
    <w:multiLevelType w:val="hybridMultilevel"/>
    <w:lvl w:ilvl="0">
      <w:lvlJc w:val="left"/>
      <w:lvlText w:val="(%1)"/>
      <w:numFmt w:val="lowerLetter"/>
      <w:start w:val="1"/>
    </w:lvl>
  </w:abstractNum>
  <w:abstractNum w:abstractNumId="34">
    <w:nsid w:val="14FCE74E"/>
    <w:multiLevelType w:val="hybridMultilevel"/>
    <w:lvl w:ilvl="0">
      <w:lvlJc w:val="left"/>
      <w:lvlText w:val="(%1)"/>
      <w:numFmt w:val="lowerLetter"/>
      <w:start w:val="35"/>
    </w:lvl>
    <w:lvl w:ilvl="1">
      <w:lvlJc w:val="left"/>
      <w:lvlText w:val="(%2)"/>
      <w:numFmt w:val="lowerLetter"/>
      <w:start w:val="2"/>
    </w:lvl>
  </w:abstractNum>
  <w:abstractNum w:abstractNumId="35">
    <w:nsid w:val="6A3DD3E8"/>
    <w:multiLevelType w:val="hybridMultilevel"/>
    <w:lvl w:ilvl="0">
      <w:lvlJc w:val="left"/>
      <w:lvlText w:val="(%1)"/>
      <w:numFmt w:val="lowerLetter"/>
      <w:start w:val="2"/>
    </w:lvl>
  </w:abstractNum>
  <w:abstractNum w:abstractNumId="36">
    <w:nsid w:val="71C91298"/>
    <w:multiLevelType w:val="hybridMultilevel"/>
    <w:lvl w:ilvl="0">
      <w:lvlJc w:val="left"/>
      <w:lvlText w:val="(%1)"/>
      <w:numFmt w:val="lowerLetter"/>
      <w:start w:val="3"/>
    </w:lvl>
  </w:abstractNum>
  <w:abstractNum w:abstractNumId="37">
    <w:nsid w:val="9DAF632"/>
    <w:multiLevelType w:val="hybridMultilevel"/>
    <w:lvl w:ilvl="0">
      <w:lvlJc w:val="left"/>
      <w:lvlText w:val="(%1)"/>
      <w:numFmt w:val="lowerLetter"/>
      <w:start w:val="2"/>
    </w:lvl>
  </w:abstractNum>
  <w:abstractNum w:abstractNumId="38">
    <w:nsid w:val="53299938"/>
    <w:multiLevelType w:val="hybridMultilevel"/>
    <w:lvl w:ilvl="0">
      <w:lvlJc w:val="left"/>
      <w:lvlText w:val="%1"/>
      <w:numFmt w:val="lowerRoman"/>
      <w:start w:val="1"/>
    </w:lvl>
    <w:lvl w:ilvl="1">
      <w:lvlJc w:val="left"/>
      <w:lvlText w:val="(%2)"/>
      <w:numFmt w:val="lowerLetter"/>
      <w:start w:val="4"/>
    </w:lvl>
  </w:abstractNum>
  <w:abstractNum w:abstractNumId="39">
    <w:nsid w:val="1FBFE8E0"/>
    <w:multiLevelType w:val="hybridMultilevel"/>
    <w:lvl w:ilvl="0">
      <w:lvlJc w:val="left"/>
      <w:lvlText w:val="(%1)"/>
      <w:numFmt w:val="lowerRoman"/>
      <w:start w:val="2"/>
    </w:lvl>
    <w:lvl w:ilvl="1">
      <w:lvlJc w:val="left"/>
      <w:lvlText w:val="(%2)"/>
      <w:numFmt w:val="lowerLetter"/>
      <w:start w:val="5"/>
    </w:lvl>
  </w:abstractNum>
  <w:abstractNum w:abstractNumId="40">
    <w:nsid w:val="5092CA79"/>
    <w:multiLevelType w:val="hybridMultilevel"/>
    <w:lvl w:ilvl="0">
      <w:lvlJc w:val="left"/>
      <w:lvlText w:val="(%1)"/>
      <w:numFmt w:val="lowerLetter"/>
      <w:start w:val="1"/>
    </w:lvl>
    <w:lvl w:ilvl="1">
      <w:lvlJc w:val="left"/>
      <w:lvlText w:val="(%2)"/>
      <w:numFmt w:val="lowerRoman"/>
      <w:start w:val="1"/>
    </w:lvl>
  </w:abstractNum>
  <w:abstractNum w:abstractNumId="41">
    <w:nsid w:val="1D545C4D"/>
    <w:multiLevelType w:val="hybridMultilevel"/>
    <w:lvl w:ilvl="0">
      <w:lvlJc w:val="left"/>
      <w:lvlText w:val="(%1)"/>
      <w:numFmt w:val="lowerRoman"/>
      <w:start w:val="1"/>
    </w:lvl>
  </w:abstractNum>
  <w:abstractNum w:abstractNumId="42">
    <w:nsid w:val="59ADEA3D"/>
    <w:multiLevelType w:val="hybridMultilevel"/>
    <w:lvl w:ilvl="0">
      <w:lvlJc w:val="left"/>
      <w:lvlText w:val="(%1)"/>
      <w:numFmt w:val="lowerLetter"/>
      <w:start w:val="2"/>
    </w:lvl>
  </w:abstractNum>
  <w:abstractNum w:abstractNumId="43">
    <w:nsid w:val="288F1A34"/>
    <w:multiLevelType w:val="hybridMultilevel"/>
    <w:lvl w:ilvl="0">
      <w:lvlJc w:val="left"/>
      <w:lvlText w:val="%1"/>
      <w:numFmt w:val="lowerLetter"/>
      <w:start w:val="1"/>
    </w:lvl>
    <w:lvl w:ilvl="1">
      <w:lvlJc w:val="left"/>
      <w:lvlText w:val="(%2)"/>
      <w:numFmt w:val="lowerLetter"/>
      <w:start w:val="3"/>
    </w:lvl>
  </w:abstractNum>
  <w:abstractNum w:abstractNumId="44">
    <w:nsid w:val="2A155DBC"/>
    <w:multiLevelType w:val="hybridMultilevel"/>
    <w:lvl w:ilvl="0">
      <w:lvlJc w:val="left"/>
      <w:lvlText w:val="(%1)"/>
      <w:numFmt w:val="lowerLetter"/>
      <w:start w:val="2"/>
    </w:lvl>
    <w:lvl w:ilvl="1">
      <w:lvlJc w:val="left"/>
      <w:lvlText w:val="%2"/>
      <w:numFmt w:val="lowerLetter"/>
      <w:start w:val="1"/>
    </w:lvl>
  </w:abstractNum>
  <w:abstractNum w:abstractNumId="45">
    <w:nsid w:val="1D9F6E5F"/>
    <w:multiLevelType w:val="hybridMultilevel"/>
    <w:lvl w:ilvl="0">
      <w:lvlJc w:val="left"/>
      <w:lvlText w:val="(%1)"/>
      <w:numFmt w:val="lowerLetter"/>
      <w:start w:val="4"/>
    </w:lvl>
  </w:abstractNum>
  <w:abstractNum w:abstractNumId="46">
    <w:nsid w:val="97E1B4E"/>
    <w:multiLevelType w:val="hybridMultilevel"/>
    <w:lvl w:ilvl="0">
      <w:lvlJc w:val="left"/>
      <w:lvlText w:val="(%1)"/>
      <w:numFmt w:val="lowerLetter"/>
      <w:start w:val="2"/>
    </w:lvl>
  </w:abstractNum>
  <w:abstractNum w:abstractNumId="47">
    <w:nsid w:val="51088277"/>
    <w:multiLevelType w:val="hybridMultilevel"/>
    <w:lvl w:ilvl="0">
      <w:lvlJc w:val="left"/>
      <w:lvlText w:val="(%1)"/>
      <w:numFmt w:val="lowerLetter"/>
      <w:start w:val="4"/>
    </w:lvl>
  </w:abstractNum>
  <w:abstractNum w:abstractNumId="48">
    <w:nsid w:val="1CA0C5FA"/>
    <w:multiLevelType w:val="hybridMultilevel"/>
    <w:lvl w:ilvl="0">
      <w:lvlJc w:val="left"/>
      <w:lvlText w:val="(%1)"/>
      <w:numFmt w:val="lowerLetter"/>
      <w:start w:val="6"/>
    </w:lvl>
  </w:abstractNum>
  <w:abstractNum w:abstractNumId="49">
    <w:nsid w:val="53584BCB"/>
    <w:multiLevelType w:val="hybridMultilevel"/>
    <w:lvl w:ilvl="0">
      <w:lvlJc w:val="left"/>
      <w:lvlText w:val="(%1)"/>
      <w:numFmt w:val="lowerRoman"/>
      <w:start w:val="2"/>
    </w:lvl>
  </w:abstractNum>
  <w:abstractNum w:abstractNumId="50">
    <w:nsid w:val="415E286C"/>
    <w:multiLevelType w:val="hybridMultilevel"/>
    <w:lvl w:ilvl="0">
      <w:lvlJc w:val="left"/>
      <w:lvlText w:val="(%1)"/>
      <w:numFmt w:val="upperLetter"/>
      <w:start w:val="1"/>
    </w:lvl>
  </w:abstractNum>
  <w:abstractNum w:abstractNumId="51">
    <w:nsid w:val="7C58FD05"/>
    <w:multiLevelType w:val="hybridMultilevel"/>
    <w:lvl w:ilvl="0">
      <w:lvlJc w:val="left"/>
      <w:lvlText w:val="(%1)"/>
      <w:numFmt w:val="decimal"/>
      <w:start w:val="1"/>
    </w:lvl>
  </w:abstractNum>
  <w:abstractNum w:abstractNumId="52">
    <w:nsid w:val="23D86AAC"/>
    <w:multiLevelType w:val="hybridMultilevel"/>
    <w:lvl w:ilvl="0">
      <w:lvlJc w:val="left"/>
      <w:lvlText w:val="(%1)"/>
      <w:numFmt w:val="decimal"/>
      <w:start w:val="4"/>
    </w:lvl>
  </w:abstractNum>
  <w:abstractNum w:abstractNumId="53">
    <w:nsid w:val="45E6D486"/>
    <w:multiLevelType w:val="hybridMultilevel"/>
    <w:lvl w:ilvl="0">
      <w:lvlJc w:val="left"/>
      <w:lvlText w:val="(%1)"/>
      <w:numFmt w:val="upperLetter"/>
      <w:start w:val="3"/>
    </w:lvl>
  </w:abstractNum>
  <w:abstractNum w:abstractNumId="54">
    <w:nsid w:val="5C10FE21"/>
    <w:multiLevelType w:val="hybridMultilevel"/>
    <w:lvl w:ilvl="0">
      <w:lvlJc w:val="left"/>
      <w:lvlText w:val="(%1)"/>
      <w:numFmt w:val="lowerLetter"/>
      <w:start w:val="7"/>
    </w:lvl>
  </w:abstractNum>
  <w:abstractNum w:abstractNumId="55">
    <w:nsid w:val="E7FFA2B"/>
    <w:multiLevelType w:val="hybridMultilevel"/>
    <w:lvl w:ilvl="0">
      <w:lvlJc w:val="left"/>
      <w:lvlText w:val="(%1)"/>
      <w:numFmt w:val="lowerLetter"/>
      <w:start w:val="8"/>
    </w:lvl>
  </w:abstractNum>
  <w:abstractNum w:abstractNumId="56">
    <w:nsid w:val="3C5991AA"/>
    <w:multiLevelType w:val="hybridMultilevel"/>
    <w:lvl w:ilvl="0">
      <w:lvlJc w:val="left"/>
      <w:lvlText w:val="(%1)"/>
      <w:numFmt w:val="lowerLetter"/>
      <w:start w:val="1"/>
    </w:lvl>
  </w:abstractNum>
  <w:abstractNum w:abstractNumId="57">
    <w:nsid w:val="4BD8591A"/>
    <w:multiLevelType w:val="hybridMultilevel"/>
    <w:lvl w:ilvl="0">
      <w:lvlJc w:val="left"/>
      <w:lvlText w:val="(%1)"/>
      <w:numFmt w:val="lowerLetter"/>
      <w:start w:val="2"/>
    </w:lvl>
  </w:abstractNum>
  <w:abstractNum w:abstractNumId="58">
    <w:nsid w:val="78DF6A55"/>
    <w:multiLevelType w:val="hybridMultilevel"/>
    <w:lvl w:ilvl="0">
      <w:lvlJc w:val="left"/>
      <w:lvlText w:val="%1"/>
      <w:numFmt w:val="lowerLetter"/>
      <w:start w:val="1"/>
    </w:lvl>
    <w:lvl w:ilvl="1">
      <w:lvlJc w:val="left"/>
      <w:lvlText w:val="(%2)"/>
      <w:numFmt w:val="lowerLetter"/>
      <w:start w:val="6"/>
    </w:lvl>
  </w:abstractNum>
  <w:abstractNum w:abstractNumId="59">
    <w:nsid w:val="39B7AAA2"/>
    <w:multiLevelType w:val="hybridMultilevel"/>
    <w:lvl w:ilvl="0">
      <w:lvlJc w:val="left"/>
      <w:lvlText w:val="(%1)"/>
      <w:numFmt w:val="lowerLetter"/>
      <w:start w:val="35"/>
    </w:lvl>
    <w:lvl w:ilvl="1">
      <w:lvlJc w:val="left"/>
      <w:lvlText w:val="%2"/>
      <w:numFmt w:val="lowerLetter"/>
      <w:start w:val="1"/>
    </w:lvl>
  </w:abstractNum>
  <w:abstractNum w:abstractNumId="60">
    <w:nsid w:val="2B0D8DBE"/>
    <w:multiLevelType w:val="hybridMultilevel"/>
    <w:lvl w:ilvl="0">
      <w:lvlJc w:val="left"/>
      <w:lvlText w:val="(%1)"/>
      <w:numFmt w:val="lowerLetter"/>
      <w:start w:val="2"/>
    </w:lvl>
  </w:abstractNum>
  <w:abstractNum w:abstractNumId="61">
    <w:nsid w:val="6C80EC70"/>
    <w:multiLevelType w:val="hybridMultilevel"/>
    <w:lvl w:ilvl="0">
      <w:lvlJc w:val="left"/>
      <w:lvlText w:val="(%1)"/>
      <w:numFmt w:val="lowerRoman"/>
      <w:start w:val="2"/>
    </w:lvl>
  </w:abstractNum>
  <w:abstractNum w:abstractNumId="62">
    <w:nsid w:val="379E21B5"/>
    <w:multiLevelType w:val="hybridMultilevel"/>
    <w:lvl w:ilvl="0">
      <w:lvlJc w:val="left"/>
      <w:lvlText w:val="(%1)"/>
      <w:numFmt w:val="lowerLetter"/>
      <w:start w:val="1"/>
    </w:lvl>
  </w:abstractNum>
  <w:abstractNum w:abstractNumId="63">
    <w:nsid w:val="69E373"/>
    <w:multiLevelType w:val="hybridMultilevel"/>
    <w:lvl w:ilvl="0">
      <w:lvlJc w:val="left"/>
      <w:lvlText w:val="(%1)"/>
      <w:numFmt w:val="lowerLetter"/>
      <w:start w:val="3"/>
    </w:lvl>
  </w:abstractNum>
  <w:abstractNum w:abstractNumId="64">
    <w:nsid w:val="2C27173B"/>
    <w:multiLevelType w:val="hybridMultilevel"/>
    <w:lvl w:ilvl="0">
      <w:lvlJc w:val="left"/>
      <w:lvlText w:val="(%1)"/>
      <w:numFmt w:val="lowerLetter"/>
      <w:start w:val="4"/>
    </w:lvl>
    <w:lvl w:ilvl="1">
      <w:lvlJc w:val="left"/>
      <w:lvlText w:val="(%2)"/>
      <w:numFmt w:val="lowerRoman"/>
      <w:start w:val="1"/>
    </w:lvl>
  </w:abstractNum>
  <w:abstractNum w:abstractNumId="65">
    <w:nsid w:val="4C9B0904"/>
    <w:multiLevelType w:val="hybridMultilevel"/>
    <w:lvl w:ilvl="0">
      <w:lvlJc w:val="left"/>
      <w:lvlText w:val="(%1)"/>
      <w:numFmt w:val="lowerLetter"/>
      <w:start w:val="7"/>
    </w:lvl>
  </w:abstractNum>
  <w:abstractNum w:abstractNumId="66">
    <w:nsid w:val="6AA7B75C"/>
    <w:multiLevelType w:val="hybridMultilevel"/>
    <w:lvl w:ilvl="0">
      <w:lvlJc w:val="left"/>
      <w:lvlText w:val="(%1)"/>
      <w:numFmt w:val="lowerLetter"/>
      <w:start w:val="1"/>
    </w:lvl>
  </w:abstractNum>
  <w:abstractNum w:abstractNumId="67">
    <w:nsid w:val="1DF029D3"/>
    <w:multiLevelType w:val="hybridMultilevel"/>
    <w:lvl w:ilvl="0">
      <w:lvlJc w:val="left"/>
      <w:lvlText w:val="(%1)"/>
      <w:numFmt w:val="lowerLetter"/>
      <w:start w:val="3"/>
    </w:lvl>
    <w:lvl w:ilvl="1">
      <w:lvlJc w:val="left"/>
      <w:lvlText w:val="(%2)"/>
      <w:numFmt w:val="lowerRoman"/>
      <w:start w:val="1"/>
    </w:lvl>
  </w:abstractNum>
  <w:abstractNum w:abstractNumId="68">
    <w:nsid w:val="5675FF36"/>
    <w:multiLevelType w:val="hybridMultilevel"/>
    <w:lvl w:ilvl="0">
      <w:lvlJc w:val="left"/>
      <w:lvlText w:val="%1"/>
      <w:numFmt w:val="lowerLetter"/>
      <w:start w:val="1"/>
    </w:lvl>
    <w:lvl w:ilvl="1">
      <w:lvlJc w:val="left"/>
      <w:lvlText w:val="(%2)"/>
      <w:numFmt w:val="lowerLetter"/>
      <w:start w:val="22"/>
    </w:lvl>
  </w:abstractNum>
  <w:abstractNum w:abstractNumId="69">
    <w:nsid w:val="3DD15094"/>
    <w:multiLevelType w:val="hybridMultilevel"/>
    <w:lvl w:ilvl="0">
      <w:lvlJc w:val="left"/>
      <w:lvlText w:val="(%1)"/>
      <w:numFmt w:val="lowerLetter"/>
      <w:start w:val="4"/>
    </w:lvl>
    <w:lvl w:ilvl="1">
      <w:lvlJc w:val="left"/>
      <w:lvlText w:val="%2"/>
      <w:numFmt w:val="lowerLetter"/>
      <w:start w:val="1"/>
    </w:lvl>
  </w:abstractNum>
  <w:abstractNum w:abstractNumId="70">
    <w:nsid w:val="3DB012B3"/>
    <w:multiLevelType w:val="hybridMultilevel"/>
    <w:lvl w:ilvl="0">
      <w:lvlJc w:val="left"/>
      <w:lvlText w:val="(%1)"/>
      <w:numFmt w:val="lowerRoman"/>
      <w:start w:val="2"/>
    </w:lvl>
  </w:abstractNum>
  <w:abstractNum w:abstractNumId="71">
    <w:nsid w:val="2708C9AF"/>
    <w:multiLevelType w:val="hybridMultilevel"/>
    <w:lvl w:ilvl="0">
      <w:lvlJc w:val="left"/>
      <w:lvlText w:val="(%1)"/>
      <w:numFmt w:val="lowerLetter"/>
      <w:start w:val="2"/>
    </w:lvl>
  </w:abstractNum>
  <w:abstractNum w:abstractNumId="72">
    <w:nsid w:val="5B25ACE2"/>
    <w:multiLevelType w:val="hybridMultilevel"/>
    <w:lvl w:ilvl="0">
      <w:lvlJc w:val="left"/>
      <w:lvlText w:val="(%1)"/>
      <w:numFmt w:val="lowerLetter"/>
      <w:start w:val="1"/>
    </w:lvl>
  </w:abstractNum>
  <w:abstractNum w:abstractNumId="73">
    <w:nsid w:val="175DFCF0"/>
    <w:multiLevelType w:val="hybridMultilevel"/>
    <w:lvl w:ilvl="0">
      <w:lvlJc w:val="left"/>
      <w:lvlText w:val="(%1)"/>
      <w:numFmt w:val="lowerLetter"/>
      <w:start w:val="2"/>
    </w:lvl>
  </w:abstractNum>
  <w:abstractNum w:abstractNumId="74">
    <w:nsid w:val="4F97E3E4"/>
    <w:multiLevelType w:val="hybridMultilevel"/>
    <w:lvl w:ilvl="0">
      <w:lvlJc w:val="left"/>
      <w:lvlText w:val="(%1)"/>
      <w:numFmt w:val="lowerLetter"/>
      <w:start w:val="2"/>
    </w:lvl>
  </w:abstractNum>
  <w:abstractNum w:abstractNumId="75">
    <w:nsid w:val="53B0A9E"/>
    <w:multiLevelType w:val="hybridMultilevel"/>
    <w:lvl w:ilvl="0">
      <w:lvlJc w:val="left"/>
      <w:lvlText w:val="(%1)"/>
      <w:numFmt w:val="lowerLetter"/>
      <w:start w:val="1"/>
    </w:lvl>
  </w:abstractNum>
  <w:abstractNum w:abstractNumId="76">
    <w:nsid w:val="34FD6B4F"/>
    <w:multiLevelType w:val="hybridMultilevel"/>
    <w:lvl w:ilvl="0">
      <w:lvlJc w:val="left"/>
      <w:lvlText w:val="(%1)"/>
      <w:numFmt w:val="lowerLetter"/>
      <w:start w:val="2"/>
    </w:lvl>
  </w:abstractNum>
  <w:abstractNum w:abstractNumId="77">
    <w:nsid w:val="5915FF32"/>
    <w:multiLevelType w:val="hybridMultilevel"/>
    <w:lvl w:ilvl="0">
      <w:lvlJc w:val="left"/>
      <w:lvlText w:val="(%1)"/>
      <w:numFmt w:val="lowerLetter"/>
      <w:start w:val="1"/>
    </w:lvl>
  </w:abstractNum>
  <w:abstractNum w:abstractNumId="78">
    <w:nsid w:val="56438D15"/>
    <w:multiLevelType w:val="hybridMultilevel"/>
    <w:lvl w:ilvl="0">
      <w:lvlJc w:val="left"/>
      <w:lvlText w:val="(%1)"/>
      <w:numFmt w:val="lowerLetter"/>
      <w:start w:val="2"/>
    </w:lvl>
  </w:abstractNum>
  <w:abstractNum w:abstractNumId="79">
    <w:nsid w:val="519E3149"/>
    <w:multiLevelType w:val="hybridMultilevel"/>
    <w:lvl w:ilvl="0">
      <w:lvlJc w:val="left"/>
      <w:lvlText w:val="(%1)"/>
      <w:numFmt w:val="lowerLetter"/>
      <w:start w:val="1"/>
    </w:lvl>
  </w:abstractNum>
  <w:abstractNum w:abstractNumId="80">
    <w:nsid w:val="2C6E4AFD"/>
    <w:multiLevelType w:val="hybridMultilevel"/>
    <w:lvl w:ilvl="0">
      <w:lvlJc w:val="left"/>
      <w:lvlText w:val="(%1)"/>
      <w:numFmt w:val="lowerLetter"/>
      <w:start w:val="1"/>
    </w:lvl>
  </w:abstractNum>
  <w:abstractNum w:abstractNumId="81">
    <w:nsid w:val="17A1B582"/>
    <w:multiLevelType w:val="hybridMultilevel"/>
    <w:lvl w:ilvl="0">
      <w:lvlJc w:val="left"/>
      <w:lvlText w:val="(%1)"/>
      <w:numFmt w:val="lowerLetter"/>
      <w:start w:val="3"/>
    </w:lvl>
  </w:abstractNum>
  <w:abstractNum w:abstractNumId="82">
    <w:nsid w:val="4DF72E4E"/>
    <w:multiLevelType w:val="hybridMultilevel"/>
    <w:lvl w:ilvl="0">
      <w:lvlJc w:val="left"/>
      <w:lvlText w:val="(%1)"/>
      <w:numFmt w:val="lowerLetter"/>
      <w:start w:val="4"/>
    </w:lvl>
  </w:abstractNum>
  <w:abstractNum w:abstractNumId="83">
    <w:nsid w:val="5046B5A9"/>
    <w:multiLevelType w:val="hybridMultilevel"/>
    <w:lvl w:ilvl="0">
      <w:lvlJc w:val="left"/>
      <w:lvlText w:val="(%1)"/>
      <w:numFmt w:val="lowerLetter"/>
      <w:start w:val="1"/>
    </w:lvl>
  </w:abstractNum>
  <w:abstractNum w:abstractNumId="84">
    <w:nsid w:val="5D888A08"/>
    <w:multiLevelType w:val="hybridMultilevel"/>
    <w:lvl w:ilvl="0">
      <w:lvlJc w:val="left"/>
      <w:lvlText w:val="(%1)"/>
      <w:numFmt w:val="lowerLetter"/>
      <w:start w:val="1"/>
    </w:lvl>
  </w:abstractNum>
  <w:abstractNum w:abstractNumId="85">
    <w:nsid w:val="2A082C70"/>
    <w:multiLevelType w:val="hybridMultilevel"/>
    <w:lvl w:ilvl="0">
      <w:lvlJc w:val="left"/>
      <w:lvlText w:val="(%1)"/>
      <w:numFmt w:val="lowerRoman"/>
      <w:start w:val="1"/>
    </w:lvl>
  </w:abstractNum>
  <w:abstractNum w:abstractNumId="86">
    <w:nsid w:val="5EC6AFD4"/>
    <w:multiLevelType w:val="hybridMultilevel"/>
    <w:lvl w:ilvl="0">
      <w:lvlJc w:val="left"/>
      <w:lvlText w:val="(%1)"/>
      <w:numFmt w:val="lowerLetter"/>
      <w:start w:val="1"/>
    </w:lvl>
  </w:abstractNum>
  <w:abstractNum w:abstractNumId="87">
    <w:nsid w:val="19E21BB2"/>
    <w:multiLevelType w:val="hybridMultilevel"/>
    <w:lvl w:ilvl="0">
      <w:lvlJc w:val="left"/>
      <w:lvlText w:val="(%1)"/>
      <w:numFmt w:val="lowerLetter"/>
      <w:start w:val="9"/>
    </w:lvl>
  </w:abstractNum>
  <w:abstractNum w:abstractNumId="88">
    <w:nsid w:val="75E0858A"/>
    <w:multiLevelType w:val="hybridMultilevel"/>
    <w:lvl w:ilvl="0">
      <w:lvlJc w:val="left"/>
      <w:lvlText w:val="(%1)"/>
      <w:numFmt w:val="lowerLetter"/>
      <w:start w:val="19"/>
    </w:lvl>
  </w:abstractNum>
  <w:abstractNum w:abstractNumId="89">
    <w:nsid w:val="57A61A29"/>
    <w:multiLevelType w:val="hybridMultilevel"/>
    <w:lvl w:ilvl="0">
      <w:lvlJc w:val="left"/>
      <w:lvlText w:val="%1"/>
      <w:numFmt w:val="lowerLetter"/>
      <w:start w:val="1"/>
    </w:lvl>
    <w:lvl w:ilvl="1">
      <w:lvlJc w:val="left"/>
      <w:lvlText w:val="(%2)"/>
      <w:numFmt w:val="lowerLetter"/>
      <w:start w:val="1"/>
    </w:lvl>
  </w:abstractNum>
  <w:abstractNum w:abstractNumId="90">
    <w:nsid w:val="5399C654"/>
    <w:multiLevelType w:val="hybridMultilevel"/>
    <w:lvl w:ilvl="0">
      <w:lvlJc w:val="left"/>
      <w:lvlText w:val="(%1)"/>
      <w:numFmt w:val="lowerLetter"/>
      <w:start w:val="35"/>
    </w:lvl>
    <w:lvl w:ilvl="1">
      <w:lvlJc w:val="left"/>
      <w:lvlText w:val="(%2)"/>
      <w:numFmt w:val="lowerLetter"/>
      <w:start w:val="4"/>
    </w:lvl>
  </w:abstractNum>
  <w:abstractNum w:abstractNumId="91">
    <w:nsid w:val="20EE1348"/>
    <w:multiLevelType w:val="hybridMultilevel"/>
    <w:lvl w:ilvl="0">
      <w:lvlJc w:val="left"/>
      <w:lvlText w:val="(%1)"/>
      <w:numFmt w:val="lowerLetter"/>
      <w:start w:val="5"/>
    </w:lvl>
    <w:lvl w:ilvl="1">
      <w:lvlJc w:val="left"/>
      <w:lvlText w:val="%2"/>
      <w:numFmt w:val="lowerLetter"/>
      <w:start w:val="1"/>
    </w:lvl>
  </w:abstractNum>
  <w:abstractNum w:abstractNumId="92">
    <w:nsid w:val="4427069A"/>
    <w:multiLevelType w:val="hybridMultilevel"/>
    <w:lvl w:ilvl="0">
      <w:lvlJc w:val="left"/>
      <w:lvlText w:val="(%1)"/>
      <w:numFmt w:val="lowerLetter"/>
      <w:start w:val="6"/>
    </w:lvl>
  </w:abstractNum>
  <w:abstractNum w:abstractNumId="93">
    <w:nsid w:val="B37E80A"/>
    <w:multiLevelType w:val="hybridMultilevel"/>
    <w:lvl w:ilvl="0">
      <w:lvlJc w:val="left"/>
      <w:lvlText w:val="(%1)"/>
      <w:numFmt w:val="lowerLetter"/>
      <w:start w:val="17"/>
    </w:lvl>
  </w:abstractNum>
  <w:abstractNum w:abstractNumId="94">
    <w:nsid w:val="2157F6BC"/>
    <w:multiLevelType w:val="hybridMultilevel"/>
    <w:lvl w:ilvl="0">
      <w:lvlJc w:val="left"/>
      <w:lvlText w:val="(%1)"/>
      <w:numFmt w:val="lowerRoman"/>
      <w:start w:val="1"/>
    </w:lvl>
  </w:abstractNum>
  <w:abstractNum w:abstractNumId="95">
    <w:nsid w:val="704E1DD5"/>
    <w:multiLevelType w:val="hybridMultilevel"/>
    <w:lvl w:ilvl="0">
      <w:lvlJc w:val="left"/>
      <w:lvlText w:val="(%1)"/>
      <w:numFmt w:val="upperLetter"/>
      <w:start w:val="2"/>
    </w:lvl>
    <w:lvl w:ilvl="1">
      <w:lvlJc w:val="left"/>
      <w:lvlText w:val="(%2)"/>
      <w:numFmt w:val="lowerRoman"/>
      <w:start w:val="2"/>
    </w:lvl>
  </w:abstractNum>
  <w:abstractNum w:abstractNumId="96">
    <w:nsid w:val="57D2F10E"/>
    <w:multiLevelType w:val="hybridMultilevel"/>
    <w:lvl w:ilvl="0">
      <w:lvlJc w:val="left"/>
      <w:lvlText w:val="(%1)"/>
      <w:numFmt w:val="lowerLetter"/>
      <w:start w:val="2"/>
    </w:lvl>
  </w:abstractNum>
  <w:abstractNum w:abstractNumId="97">
    <w:nsid w:val="BFFAE18"/>
    <w:multiLevelType w:val="hybridMultilevel"/>
    <w:lvl w:ilvl="0">
      <w:lvlJc w:val="left"/>
      <w:lvlText w:val="(%1)"/>
      <w:numFmt w:val="lowerLetter"/>
      <w:start w:val="3"/>
    </w:lvl>
  </w:abstractNum>
  <w:abstractNum w:abstractNumId="98">
    <w:nsid w:val="E3E47A8"/>
    <w:multiLevelType w:val="hybridMultilevel"/>
    <w:lvl w:ilvl="0">
      <w:lvlJc w:val="left"/>
      <w:lvlText w:val="%1"/>
      <w:numFmt w:val="lowerLetter"/>
      <w:start w:val="1"/>
    </w:lvl>
    <w:lvl w:ilvl="1">
      <w:lvlJc w:val="left"/>
      <w:lvlText w:val="(%2)"/>
      <w:numFmt w:val="lowerLetter"/>
      <w:start w:val="1"/>
    </w:lvl>
  </w:abstractNum>
  <w:abstractNum w:abstractNumId="99">
    <w:nsid w:val="2E48F044"/>
    <w:multiLevelType w:val="hybridMultilevel"/>
    <w:lvl w:ilvl="0">
      <w:lvlJc w:val="left"/>
      <w:lvlText w:val="(%1)"/>
      <w:numFmt w:val="lowerLetter"/>
      <w:start w:val="25"/>
    </w:lvl>
    <w:lvl w:ilvl="1">
      <w:lvlJc w:val="left"/>
      <w:lvlText w:val="%2"/>
      <w:numFmt w:val="lowerLetter"/>
      <w:start w:val="1"/>
    </w:lvl>
  </w:abstractNum>
  <w:abstractNum w:abstractNumId="100">
    <w:nsid w:val="49D0FEAC"/>
    <w:multiLevelType w:val="hybridMultilevel"/>
    <w:lvl w:ilvl="0">
      <w:lvlJc w:val="left"/>
      <w:lvlText w:val="%1"/>
      <w:numFmt w:val="decimal"/>
      <w:start w:val="1"/>
    </w:lvl>
    <w:lvl w:ilvl="1">
      <w:lvlJc w:val="left"/>
      <w:lvlText w:val="(%2)"/>
      <w:numFmt w:val="lowerLetter"/>
      <w:start w:val="2"/>
    </w:lvl>
  </w:abstractNum>
  <w:abstractNum w:abstractNumId="101">
    <w:nsid w:val="4BEE5A5B"/>
    <w:multiLevelType w:val="hybridMultilevel"/>
    <w:lvl w:ilvl="0">
      <w:lvlJc w:val="left"/>
      <w:lvlText w:val="(%1)"/>
      <w:numFmt w:val="decimal"/>
      <w:start w:val="4"/>
    </w:lvl>
    <w:lvl w:ilvl="1">
      <w:lvlJc w:val="left"/>
      <w:lvlText w:val="%2"/>
      <w:numFmt w:val="lowerLetter"/>
      <w:start w:val="1"/>
    </w:lvl>
  </w:abstractNum>
  <w:abstractNum w:abstractNumId="102">
    <w:nsid w:val="5551B9F3"/>
    <w:multiLevelType w:val="hybridMultilevel"/>
    <w:lvl w:ilvl="0">
      <w:lvlJc w:val="left"/>
      <w:lvlText w:val="(%1)"/>
      <w:numFmt w:val="lowerLetter"/>
      <w:start w:val="1"/>
    </w:lvl>
  </w:abstractNum>
  <w:abstractNum w:abstractNumId="103">
    <w:nsid w:val="24F6AB8E"/>
    <w:multiLevelType w:val="hybridMultilevel"/>
    <w:lvl w:ilvl="0">
      <w:lvlJc w:val="left"/>
      <w:lvlText w:val="(%1)"/>
      <w:numFmt w:val="lowerLetter"/>
      <w:start w:val="3"/>
    </w:lvl>
  </w:abstractNum>
  <w:abstractNum w:abstractNumId="104">
    <w:nsid w:val="634C574C"/>
    <w:multiLevelType w:val="hybridMultilevel"/>
    <w:lvl w:ilvl="0">
      <w:lvlJc w:val="left"/>
      <w:lvlText w:val="(%1)"/>
      <w:numFmt w:val="lowerLetter"/>
      <w:start w:val="8"/>
    </w:lvl>
  </w:abstractNum>
  <w:abstractNum w:abstractNumId="105">
    <w:nsid w:val="24E99DD7"/>
    <w:multiLevelType w:val="hybridMultilevel"/>
    <w:lvl w:ilvl="0">
      <w:lvlJc w:val="left"/>
      <w:lvlText w:val="(%1)"/>
      <w:numFmt w:val="lowerLetter"/>
      <w:start w:val="10"/>
    </w:lvl>
  </w:abstractNum>
  <w:abstractNum w:abstractNumId="106">
    <w:nsid w:val="2A31B62D"/>
    <w:multiLevelType w:val="hybridMultilevel"/>
    <w:lvl w:ilvl="0">
      <w:lvlJc w:val="left"/>
      <w:lvlText w:val="(%1)"/>
      <w:numFmt w:val="lowerRoman"/>
      <w:start w:val="2"/>
    </w:lvl>
  </w:abstractNum>
  <w:abstractNum w:abstractNumId="107">
    <w:nsid w:val="1849C29B"/>
    <w:multiLevelType w:val="hybridMultilevel"/>
    <w:lvl w:ilvl="0">
      <w:lvlJc w:val="left"/>
      <w:lvlText w:val="(%1)"/>
      <w:numFmt w:val="lowerRoman"/>
      <w:start w:val="2"/>
    </w:lvl>
  </w:abstractNum>
  <w:abstractNum w:abstractNumId="108">
    <w:nsid w:val="7DFF9D09"/>
    <w:multiLevelType w:val="hybridMultilevel"/>
    <w:lvl w:ilvl="0">
      <w:lvlJc w:val="left"/>
      <w:lvlText w:val="(%1)"/>
      <w:numFmt w:val="lowerRoman"/>
      <w:start w:val="1"/>
    </w:lvl>
  </w:abstractNum>
  <w:abstractNum w:abstractNumId="109">
    <w:nsid w:val="754342"/>
    <w:multiLevelType w:val="hybridMultilevel"/>
    <w:lvl w:ilvl="0">
      <w:lvlJc w:val="left"/>
      <w:lvlText w:val="(%1)"/>
      <w:numFmt w:val="lowerRoman"/>
      <w:start w:val="2"/>
    </w:lvl>
  </w:abstractNum>
  <w:abstractNum w:abstractNumId="110">
    <w:nsid w:val="69E7F3E5"/>
    <w:multiLevelType w:val="hybridMultilevel"/>
    <w:lvl w:ilvl="0">
      <w:lvlJc w:val="left"/>
      <w:lvlText w:val="(%1)"/>
      <w:numFmt w:val="lowerLetter"/>
      <w:start w:val="2"/>
    </w:lvl>
  </w:abstractNum>
  <w:abstractNum w:abstractNumId="111">
    <w:nsid w:val="2A6DE806"/>
    <w:multiLevelType w:val="hybridMultilevel"/>
    <w:lvl w:ilvl="0">
      <w:lvlJc w:val="left"/>
      <w:lvlText w:val="(%1)"/>
      <w:numFmt w:val="lowerLetter"/>
      <w:start w:val="3"/>
    </w:lvl>
    <w:lvl w:ilvl="1">
      <w:lvlJc w:val="left"/>
      <w:lvlText w:val="(%2)"/>
      <w:numFmt w:val="lowerLetter"/>
      <w:start w:val="9"/>
    </w:lvl>
  </w:abstractNum>
  <w:abstractNum w:abstractNumId="112">
    <w:nsid w:val="1816F8C4"/>
    <w:multiLevelType w:val="hybridMultilevel"/>
    <w:lvl w:ilvl="0">
      <w:lvlJc w:val="left"/>
      <w:lvlText w:val="(%1)"/>
      <w:numFmt w:val="lowerRoman"/>
      <w:start w:val="2"/>
    </w:lvl>
  </w:abstractNum>
  <w:abstractNum w:abstractNumId="113">
    <w:nsid w:val="37DF2233"/>
    <w:multiLevelType w:val="hybridMultilevel"/>
    <w:lvl w:ilvl="0">
      <w:lvlJc w:val="left"/>
      <w:lvlText w:val="%1"/>
      <w:numFmt w:val="lowerLetter"/>
      <w:start w:val="1"/>
    </w:lvl>
    <w:lvl w:ilvl="1">
      <w:lvlJc w:val="left"/>
      <w:lvlText w:val="(%2)"/>
      <w:numFmt w:val="lowerLetter"/>
      <w:start w:val="2"/>
    </w:lvl>
  </w:abstractNum>
  <w:abstractNum w:abstractNumId="114">
    <w:nsid w:val="7AB49DAF"/>
    <w:multiLevelType w:val="hybridMultilevel"/>
    <w:lvl w:ilvl="0">
      <w:lvlJc w:val="left"/>
      <w:lvlText w:val="(%1)"/>
      <w:numFmt w:val="lowerLetter"/>
      <w:start w:val="24"/>
    </w:lvl>
    <w:lvl w:ilvl="1">
      <w:lvlJc w:val="left"/>
      <w:lvlText w:val="%2"/>
      <w:numFmt w:val="lowerLetter"/>
      <w:start w:val="1"/>
    </w:lvl>
  </w:abstractNum>
  <w:abstractNum w:abstractNumId="115">
    <w:nsid w:val="759F82CD"/>
    <w:multiLevelType w:val="hybridMultilevel"/>
    <w:lvl w:ilvl="0">
      <w:lvlJc w:val="left"/>
      <w:lvlText w:val="(%1)"/>
      <w:numFmt w:val="lowerLetter"/>
      <w:start w:val="3"/>
    </w:lvl>
  </w:abstractNum>
  <w:abstractNum w:abstractNumId="116">
    <w:nsid w:val="61E74EA3"/>
    <w:multiLevelType w:val="hybridMultilevel"/>
    <w:lvl w:ilvl="0">
      <w:lvlJc w:val="left"/>
      <w:lvlText w:val="%1"/>
      <w:numFmt w:val="decimal"/>
      <w:start w:val="1"/>
    </w:lvl>
    <w:lvl w:ilvl="1">
      <w:lvlJc w:val="left"/>
      <w:lvlText w:val="(%2)"/>
      <w:numFmt w:val="lowerLetter"/>
      <w:start w:val="4"/>
    </w:lvl>
  </w:abstractNum>
  <w:abstractNum w:abstractNumId="117">
    <w:nsid w:val="597B4D84"/>
    <w:multiLevelType w:val="hybridMultilevel"/>
    <w:lvl w:ilvl="0">
      <w:lvlJc w:val="left"/>
      <w:lvlText w:val="(%1)"/>
      <w:numFmt w:val="decimal"/>
      <w:start w:val="1"/>
    </w:lvl>
    <w:lvl w:ilvl="1">
      <w:lvlJc w:val="left"/>
      <w:lvlText w:val="(%2)"/>
      <w:numFmt w:val="lowerLetter"/>
      <w:start w:val="5"/>
    </w:lvl>
  </w:abstractNum>
  <w:abstractNum w:abstractNumId="118">
    <w:nsid w:val="F819E7F"/>
    <w:multiLevelType w:val="hybridMultilevel"/>
    <w:lvl w:ilvl="0">
      <w:lvlJc w:val="left"/>
      <w:lvlText w:val="(%1)"/>
      <w:numFmt w:val="lowerLetter"/>
      <w:start w:val="2"/>
    </w:lvl>
  </w:abstractNum>
  <w:abstractNum w:abstractNumId="119">
    <w:nsid w:val="57C7D42D"/>
    <w:multiLevelType w:val="hybridMultilevel"/>
    <w:lvl w:ilvl="0">
      <w:lvlJc w:val="left"/>
      <w:lvlText w:val="(%1)"/>
      <w:numFmt w:val="decimal"/>
      <w:start w:val="2"/>
    </w:lvl>
    <w:lvl w:ilvl="1">
      <w:lvlJc w:val="left"/>
      <w:lvlText w:val="(%2)"/>
      <w:numFmt w:val="lowerLetter"/>
      <w:start w:val="3"/>
    </w:lvl>
  </w:abstractNum>
  <w:abstractNum w:abstractNumId="120">
    <w:nsid w:val="312167AD"/>
    <w:multiLevelType w:val="hybridMultilevel"/>
    <w:lvl w:ilvl="0">
      <w:lvlJc w:val="left"/>
      <w:lvlText w:val="(%1)"/>
      <w:numFmt w:val="lowerLetter"/>
      <w:start w:val="5"/>
    </w:lvl>
  </w:abstractNum>
  <w:abstractNum w:abstractNumId="121">
    <w:nsid w:val="631B64D4"/>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22">
    <w:nsid w:val="78B5E776"/>
    <w:multiLevelType w:val="hybridMultilevel"/>
    <w:lvl w:ilvl="0">
      <w:lvlJc w:val="left"/>
      <w:lvlText w:val="(%1)"/>
      <w:numFmt w:val="upperLetter"/>
      <w:start w:val="2"/>
    </w:lvl>
  </w:abstractNum>
  <w:abstractNum w:abstractNumId="123">
    <w:nsid w:val="75486E47"/>
    <w:multiLevelType w:val="hybridMultilevel"/>
    <w:lvl w:ilvl="0">
      <w:lvlJc w:val="left"/>
      <w:lvlText w:val="(%1)"/>
      <w:numFmt w:val="lowerRoman"/>
      <w:start w:val="3"/>
    </w:lvl>
  </w:abstractNum>
  <w:abstractNum w:abstractNumId="124">
    <w:nsid w:val="6E534CDE"/>
    <w:multiLevelType w:val="hybridMultilevel"/>
    <w:lvl w:ilvl="0">
      <w:lvlJc w:val="left"/>
      <w:lvlText w:val="%1"/>
      <w:numFmt w:val="lowerLetter"/>
      <w:start w:val="1"/>
    </w:lvl>
    <w:lvl w:ilvl="1">
      <w:lvlJc w:val="left"/>
      <w:lvlText w:val="(%2)"/>
      <w:numFmt w:val="lowerRoman"/>
      <w:start w:val="4"/>
    </w:lvl>
  </w:abstractNum>
  <w:abstractNum w:abstractNumId="125">
    <w:nsid w:val="1A0DDE32"/>
    <w:multiLevelType w:val="hybridMultilevel"/>
    <w:lvl w:ilvl="0">
      <w:lvlJc w:val="left"/>
      <w:lvlText w:val="(%1)"/>
      <w:numFmt w:val="lowerLetter"/>
      <w:start w:val="25"/>
    </w:lvl>
    <w:lvl w:ilvl="1">
      <w:lvlJc w:val="left"/>
      <w:lvlText w:val="%2"/>
      <w:numFmt w:val="lowerRoman"/>
      <w:start w:val="1"/>
    </w:lvl>
  </w:abstractNum>
  <w:abstractNum w:abstractNumId="126">
    <w:nsid w:val="65968C1C"/>
    <w:multiLevelType w:val="hybridMultilevel"/>
    <w:lvl w:ilvl="0">
      <w:lvlJc w:val="left"/>
      <w:lvlText w:val="(%1)"/>
      <w:numFmt w:val="lowerLetter"/>
      <w:start w:val="3"/>
    </w:lvl>
  </w:abstractNum>
  <w:abstractNum w:abstractNumId="127">
    <w:nsid w:val="46263DEC"/>
    <w:multiLevelType w:val="hybridMultilevel"/>
    <w:lvl w:ilvl="0">
      <w:lvlJc w:val="left"/>
      <w:lvlText w:val="(%1)"/>
      <w:numFmt w:val="upperLetter"/>
      <w:start w:val="2"/>
    </w:lvl>
    <w:lvl w:ilvl="1">
      <w:lvlJc w:val="left"/>
      <w:lvlText w:val="(%2)"/>
      <w:numFmt w:val="lowerLetter"/>
      <w:start w:val="4"/>
    </w:lvl>
  </w:abstractNum>
  <w:abstractNum w:abstractNumId="128">
    <w:nsid w:val="260D8C4A"/>
    <w:multiLevelType w:val="hybridMultilevel"/>
    <w:lvl w:ilvl="0">
      <w:lvlJc w:val="left"/>
      <w:lvlText w:val="(%1)"/>
      <w:numFmt w:val="lowerLetter"/>
      <w:start w:val="2"/>
    </w:lvl>
  </w:abstractNum>
  <w:abstractNum w:abstractNumId="129">
    <w:nsid w:val="73D4D3C4"/>
    <w:multiLevelType w:val="hybridMultilevel"/>
    <w:lvl w:ilvl="0">
      <w:lvlJc w:val="left"/>
      <w:lvlText w:val="(%1)"/>
      <w:numFmt w:val="lowerLetter"/>
      <w:start w:val="1"/>
    </w:lvl>
  </w:abstractNum>
  <w:abstractNum w:abstractNumId="130">
    <w:nsid w:val="746F2E30"/>
    <w:multiLevelType w:val="hybridMultilevel"/>
    <w:lvl w:ilvl="0">
      <w:lvlJc w:val="left"/>
      <w:lvlText w:val="(%1)"/>
      <w:numFmt w:val="lowerLetter"/>
      <w:start w:val="2"/>
    </w:lvl>
  </w:abstractNum>
  <w:abstractNum w:abstractNumId="131">
    <w:nsid w:val="6FDE8AF6"/>
    <w:multiLevelType w:val="hybridMultilevel"/>
    <w:lvl w:ilvl="0">
      <w:lvlJc w:val="left"/>
      <w:lvlText w:val="(%1)"/>
      <w:numFmt w:val="decimal"/>
      <w:start w:val="1"/>
    </w:lvl>
  </w:abstractNum>
  <w:abstractNum w:abstractNumId="132">
    <w:nsid w:val="3FC32E20"/>
    <w:multiLevelType w:val="hybridMultilevel"/>
    <w:lvl w:ilvl="0">
      <w:lvlJc w:val="left"/>
      <w:lvlText w:val="%1."/>
      <w:numFmt w:val="decimal"/>
      <w:start w:val="1"/>
    </w:lvl>
  </w:abstractNum>
  <w:abstractNum w:abstractNumId="133">
    <w:nsid w:val="49C0E823"/>
    <w:multiLevelType w:val="hybridMultilevel"/>
    <w:lvl w:ilvl="0">
      <w:lvlJc w:val="left"/>
      <w:lvlText w:val="(%1)"/>
      <w:numFmt w:val="decimal"/>
      <w:start w:val="2"/>
    </w:lvl>
  </w:abstractNum>
  <w:abstractNum w:abstractNumId="134">
    <w:nsid w:val="14D53685"/>
    <w:multiLevelType w:val="hybridMultilevel"/>
    <w:lvl w:ilvl="0">
      <w:lvlJc w:val="left"/>
      <w:lvlText w:val="(%1)"/>
      <w:numFmt w:val="decimal"/>
      <w:start w:val="3"/>
    </w:lvl>
  </w:abstractNum>
  <w:abstractNum w:abstractNumId="135">
    <w:nsid w:val="230F856C"/>
    <w:multiLevelType w:val="hybridMultilevel"/>
    <w:lvl w:ilvl="0">
      <w:lvlJc w:val="left"/>
      <w:lvlText w:val="%1."/>
      <w:numFmt w:val="decimal"/>
      <w:start w:val="1"/>
    </w:lvl>
  </w:abstractNum>
  <w:abstractNum w:abstractNumId="136">
    <w:nsid w:val="6EAA85FB"/>
    <w:multiLevelType w:val="hybridMultilevel"/>
    <w:lvl w:ilvl="0">
      <w:lvlJc w:val="left"/>
      <w:lvlText w:val="%1."/>
      <w:numFmt w:val="decimal"/>
      <w:start w:val="2"/>
    </w:lvl>
  </w:abstractNum>
  <w:abstractNum w:abstractNumId="137">
    <w:nsid w:val="3F06ECB2"/>
    <w:multiLevelType w:val="hybridMultilevel"/>
    <w:lvl w:ilvl="0">
      <w:lvlJc w:val="left"/>
      <w:lvlText w:val="%1."/>
      <w:numFmt w:val="decimal"/>
      <w:start w:val="1"/>
    </w:lvl>
  </w:abstractNum>
  <w:abstractNum w:abstractNumId="138">
    <w:nsid w:val="3B594807"/>
    <w:multiLevelType w:val="hybridMultilevel"/>
    <w:lvl w:ilvl="0">
      <w:lvlJc w:val="left"/>
      <w:lvlText w:val="%1."/>
      <w:numFmt w:val="decimal"/>
      <w:start w:val="2"/>
    </w:lvl>
  </w:abstractNum>
  <w:abstractNum w:abstractNumId="139">
    <w:nsid w:val="6CAA2304"/>
    <w:multiLevelType w:val="hybridMultilevel"/>
    <w:lvl w:ilvl="0">
      <w:lvlJc w:val="left"/>
      <w:lvlText w:val="%1."/>
      <w:numFmt w:val="decimal"/>
      <w:start w:val="3"/>
    </w:lvl>
  </w:abstractNum>
  <w:abstractNum w:abstractNumId="140">
    <w:nsid w:val="3F7C2FF4"/>
    <w:multiLevelType w:val="hybridMultilevel"/>
    <w:lvl w:ilvl="0">
      <w:lvlJc w:val="left"/>
      <w:lvlText w:val="%1."/>
      <w:numFmt w:val="decimal"/>
      <w:start w:val="1"/>
    </w:lvl>
  </w:abstractNum>
  <w:abstractNum w:abstractNumId="141">
    <w:nsid w:val="25413BEC"/>
    <w:multiLevelType w:val="hybridMultilevel"/>
    <w:lvl w:ilvl="0">
      <w:lvlJc w:val="left"/>
      <w:lvlText w:val="%1."/>
      <w:numFmt w:val="decimal"/>
      <w:start w:val="2"/>
    </w:lvl>
  </w:abstractNum>
  <w:abstractNum w:abstractNumId="142">
    <w:nsid w:val="17180B0B"/>
    <w:multiLevelType w:val="hybridMultilevel"/>
    <w:lvl w:ilvl="0">
      <w:lvlJc w:val="left"/>
      <w:lvlText w:val="%1."/>
      <w:numFmt w:val="decimal"/>
      <w:start w:val="3"/>
    </w:lvl>
  </w:abstractNum>
  <w:abstractNum w:abstractNumId="143">
    <w:nsid w:val="579328B9"/>
    <w:multiLevelType w:val="hybridMultilevel"/>
    <w:lvl w:ilvl="0">
      <w:lvlJc w:val="left"/>
      <w:lvlText w:val="%1."/>
      <w:numFmt w:val="decimal"/>
      <w:start w:val="5"/>
    </w:lvl>
  </w:abstractNum>
  <w:abstractNum w:abstractNumId="144">
    <w:nsid w:val="5D205E20"/>
    <w:multiLevelType w:val="hybridMultilevel"/>
    <w:lvl w:ilvl="0">
      <w:lvlJc w:val="left"/>
      <w:lvlText w:val="%1"/>
      <w:numFmt w:val="decimal"/>
      <w:start w:val="1"/>
    </w:lvl>
    <w:lvl w:ilvl="1">
      <w:lvlJc w:val="left"/>
      <w:lvlText w:val="%2."/>
      <w:numFmt w:val="upperLetter"/>
      <w:start w:val="1"/>
    </w:lvl>
  </w:abstractNum>
  <w:abstractNum w:abstractNumId="145">
    <w:nsid w:val="11CCA8BA"/>
    <w:multiLevelType w:val="hybridMultilevel"/>
    <w:lvl w:ilvl="0">
      <w:lvlJc w:val="left"/>
      <w:lvlText w:val="%1."/>
      <w:numFmt w:val="decimal"/>
      <w:start w:val="1"/>
    </w:lvl>
    <w:lvl w:ilvl="1">
      <w:lvlJc w:val="left"/>
      <w:lvlText w:val="%2"/>
      <w:numFmt w:val="upperLetter"/>
      <w:start w:val="1"/>
    </w:lvl>
  </w:abstractNum>
  <w:abstractNum w:abstractNumId="146">
    <w:nsid w:val="4D32AB86"/>
    <w:multiLevelType w:val="hybridMultilevel"/>
    <w:lvl w:ilvl="0">
      <w:lvlJc w:val="left"/>
      <w:lvlText w:val="(%1)"/>
      <w:numFmt w:val="decimal"/>
      <w:start w:val="1"/>
    </w:lvl>
  </w:abstractNum>
  <w:abstractNum w:abstractNumId="147">
    <w:nsid w:val="3F07ACC3"/>
    <w:multiLevelType w:val="hybridMultilevel"/>
    <w:lvl w:ilvl="0">
      <w:lvlJc w:val="left"/>
      <w:lvlText w:val="%1."/>
      <w:numFmt w:val="decimal"/>
      <w:start w:val="2"/>
    </w:lvl>
    <w:lvl w:ilvl="1">
      <w:lvlJc w:val="left"/>
      <w:lvlText w:val="%2."/>
      <w:numFmt w:val="decimal"/>
      <w:start w:val="8"/>
    </w:lvl>
    <w:lvl w:ilvl="2">
      <w:lvlJc w:val="left"/>
      <w:lvlText w:val="%3"/>
      <w:numFmt w:val="upperLetter"/>
      <w:start w:val="1"/>
    </w:lvl>
    <w:lvl w:ilvl="3">
      <w:lvlJc w:val="left"/>
      <w:lvlText w:val="%4"/>
      <w:numFmt w:val="upperLetter"/>
      <w:start w:val="1"/>
    </w:lvl>
    <w:lvl w:ilvl="4">
      <w:lvlJc w:val="left"/>
      <w:lvlText w:val="%5"/>
      <w:numFmt w:val="upperLetter"/>
      <w:start w:val="1"/>
    </w:lvl>
  </w:abstractNum>
  <w:abstractNum w:abstractNumId="148">
    <w:nsid w:val="6B47F63E"/>
    <w:multiLevelType w:val="hybridMultilevel"/>
    <w:lvl w:ilvl="0">
      <w:lvlJc w:val="left"/>
      <w:lvlText w:val="(%1)"/>
      <w:numFmt w:val="decimal"/>
      <w:start w:val="1"/>
    </w:lvl>
  </w:abstractNum>
  <w:abstractNum w:abstractNumId="149">
    <w:nsid w:val="5CB44A05"/>
    <w:multiLevelType w:val="hybridMultilevel"/>
    <w:lvl w:ilvl="0">
      <w:lvlJc w:val="left"/>
      <w:lvlText w:val="(%1)"/>
      <w:numFmt w:val="upperLetter"/>
      <w:start w:val="1"/>
    </w:lvl>
  </w:abstractNum>
  <w:abstractNum w:abstractNumId="150">
    <w:nsid w:val="16CF80F1"/>
    <w:multiLevelType w:val="hybridMultilevel"/>
    <w:lvl w:ilvl="0">
      <w:lvlJc w:val="left"/>
      <w:lvlText w:val="(%1)"/>
      <w:numFmt w:val="upperLetter"/>
      <w:start w:val="1"/>
    </w:lvl>
  </w:abstractNum>
  <w:abstractNum w:abstractNumId="151">
    <w:nsid w:val="1C695DEC"/>
    <w:multiLevelType w:val="hybridMultilevel"/>
    <w:lvl w:ilvl="0">
      <w:lvlJc w:val="left"/>
      <w:lvlText w:val="(%1)"/>
      <w:numFmt w:val="upperLetter"/>
      <w:start w:val="5"/>
    </w:lvl>
  </w:abstractNum>
  <w:abstractNum w:abstractNumId="152">
    <w:nsid w:val="3FCFAED9"/>
    <w:multiLevelType w:val="hybridMultilevel"/>
    <w:lvl w:ilvl="0">
      <w:lvlJc w:val="left"/>
      <w:lvlText w:val="(%1)"/>
      <w:numFmt w:val="upperLetter"/>
      <w:start w:val="1"/>
    </w:lvl>
  </w:abstractNum>
  <w:abstractNum w:abstractNumId="153">
    <w:nsid w:val="F856867"/>
    <w:multiLevelType w:val="hybridMultilevel"/>
    <w:lvl w:ilvl="0">
      <w:lvlJc w:val="left"/>
      <w:lvlText w:val="(%1)"/>
      <w:numFmt w:val="lowerRoman"/>
      <w:start w:val="1"/>
    </w:lvl>
  </w:abstractNum>
  <w:abstractNum w:abstractNumId="154">
    <w:nsid w:val="11B1CC33"/>
    <w:multiLevelType w:val="hybridMultilevel"/>
    <w:lvl w:ilvl="0">
      <w:lvlJc w:val="left"/>
      <w:lvlText w:val="(%1)"/>
      <w:numFmt w:val="lowerRoman"/>
      <w:start w:val="4"/>
    </w:lvl>
  </w:abstractNum>
  <w:abstractNum w:abstractNumId="155">
    <w:nsid w:val="2E22FBB7"/>
    <w:multiLevelType w:val="hybridMultilevel"/>
    <w:lvl w:ilvl="0">
      <w:lvlJc w:val="left"/>
      <w:lvlText w:val="(%1)"/>
      <w:numFmt w:val="upperLetter"/>
      <w:start w:val="1"/>
    </w:lvl>
  </w:abstractNum>
  <w:abstractNum w:abstractNumId="156">
    <w:nsid w:val="29934699"/>
    <w:multiLevelType w:val="hybridMultilevel"/>
    <w:lvl w:ilvl="0">
      <w:lvlJc w:val="left"/>
      <w:lvlText w:val="(%1)"/>
      <w:numFmt w:val="upperLetter"/>
      <w:start w:val="2"/>
    </w:lvl>
  </w:abstractNum>
  <w:abstractNum w:abstractNumId="157">
    <w:nsid w:val="77485850"/>
    <w:multiLevelType w:val="hybridMultilevel"/>
    <w:lvl w:ilvl="0">
      <w:lvlJc w:val="left"/>
      <w:lvlText w:val="(%1)"/>
      <w:numFmt w:val="upperLetter"/>
      <w:start w:val="1"/>
    </w:lvl>
  </w:abstractNum>
  <w:abstractNum w:abstractNumId="158">
    <w:nsid w:val="744939A3"/>
    <w:multiLevelType w:val="hybridMultilevel"/>
    <w:lvl w:ilvl="0">
      <w:lvlJc w:val="left"/>
      <w:lvlText w:val="(%1)"/>
      <w:numFmt w:val="upperLetter"/>
      <w:start w:val="1"/>
    </w:lvl>
  </w:abstractNum>
  <w:abstractNum w:abstractNumId="159">
    <w:nsid w:val="4FA0D2E3"/>
    <w:multiLevelType w:val="hybridMultilevel"/>
    <w:lvl w:ilvl="0">
      <w:lvlJc w:val="left"/>
      <w:lvlText w:val="(%1)"/>
      <w:numFmt w:val="upperLetter"/>
      <w:start w:val="2"/>
    </w:lvl>
  </w:abstractNum>
  <w:abstractNum w:abstractNumId="160">
    <w:nsid w:val="6B1D2C14"/>
    <w:multiLevelType w:val="hybridMultilevel"/>
    <w:lvl w:ilvl="0">
      <w:lvlJc w:val="left"/>
      <w:lvlText w:val="(%1)"/>
      <w:numFmt w:val="upperLetter"/>
      <w:start w:val="3"/>
    </w:lvl>
  </w:abstractNum>
  <w:abstractNum w:abstractNumId="161">
    <w:nsid w:val="68B867D3"/>
    <w:multiLevelType w:val="hybridMultilevel"/>
    <w:lvl w:ilvl="0">
      <w:lvlJc w:val="left"/>
      <w:lvlText w:val="(%1)"/>
      <w:numFmt w:val="upperLetter"/>
      <w:start w:val="1"/>
    </w:lvl>
  </w:abstractNum>
  <w:abstractNum w:abstractNumId="162">
    <w:nsid w:val="3F7F5DD9"/>
    <w:multiLevelType w:val="hybridMultilevel"/>
    <w:lvl w:ilvl="0">
      <w:lvlJc w:val="left"/>
      <w:lvlText w:val="(%1)"/>
      <w:numFmt w:val="lowerRoman"/>
      <w:start w:val="1"/>
    </w:lvl>
  </w:abstractNum>
  <w:abstractNum w:abstractNumId="163">
    <w:nsid w:val="2AE05A34"/>
    <w:multiLevelType w:val="hybridMultilevel"/>
    <w:lvl w:ilvl="0">
      <w:lvlJc w:val="left"/>
      <w:lvlText w:val="(%1)"/>
      <w:numFmt w:val="upperLetter"/>
      <w:start w:val="2"/>
    </w:lvl>
  </w:abstractNum>
  <w:abstractNum w:abstractNumId="164">
    <w:nsid w:val="32794FF7"/>
    <w:multiLevelType w:val="hybridMultilevel"/>
    <w:lvl w:ilvl="0">
      <w:lvlJc w:val="left"/>
      <w:lvlText w:val="(%1)"/>
      <w:numFmt w:val="lowerRoman"/>
      <w:start w:val="3"/>
    </w:lvl>
  </w:abstractNum>
  <w:abstractNum w:abstractNumId="165">
    <w:nsid w:val="5454945E"/>
    <w:multiLevelType w:val="hybridMultilevel"/>
    <w:lvl w:ilvl="0">
      <w:lvlJc w:val="left"/>
      <w:lvlText w:val="%1."/>
      <w:numFmt w:val="decimal"/>
      <w:start w:val="1"/>
    </w:lvl>
  </w:abstractNum>
  <w:abstractNum w:abstractNumId="166">
    <w:nsid w:val="4DEFDFA0"/>
    <w:multiLevelType w:val="hybridMultilevel"/>
    <w:lvl w:ilvl="0">
      <w:lvlJc w:val="left"/>
      <w:lvlText w:val="(%1)"/>
      <w:numFmt w:val="decimal"/>
      <w:start w:val="9"/>
    </w:lvl>
  </w:abstractNum>
  <w:abstractNum w:abstractNumId="167">
    <w:nsid w:val="2123D5F2"/>
    <w:multiLevelType w:val="hybridMultilevel"/>
    <w:lvl w:ilvl="0">
      <w:lvlJc w:val="left"/>
      <w:lvlText w:val="%1."/>
      <w:numFmt w:val="decimal"/>
      <w:start w:val="4"/>
    </w:lvl>
  </w:abstractNum>
  <w:abstractNum w:abstractNumId="168">
    <w:nsid w:val="135B8110"/>
    <w:multiLevelType w:val="hybridMultilevel"/>
    <w:lvl w:ilvl="0">
      <w:lvlJc w:val="left"/>
      <w:lvlText w:val="%1."/>
      <w:numFmt w:val="decimal"/>
      <w:start w:val="1"/>
    </w:lvl>
  </w:abstractNum>
  <w:abstractNum w:abstractNumId="169">
    <w:nsid w:val="94927A8"/>
    <w:multiLevelType w:val="hybridMultilevel"/>
    <w:lvl w:ilvl="0">
      <w:lvlJc w:val="left"/>
      <w:lvlText w:val="(%1)"/>
      <w:numFmt w:val="decimal"/>
      <w:start w:val="11"/>
    </w:lvl>
  </w:abstractNum>
  <w:abstractNum w:abstractNumId="170">
    <w:nsid w:val="DCDF8F6"/>
    <w:multiLevelType w:val="hybridMultilevel"/>
    <w:lvl w:ilvl="0">
      <w:lvlJc w:val="left"/>
      <w:lvlText w:val="%1."/>
      <w:numFmt w:val="decimal"/>
      <w:start w:val="1"/>
    </w:lvl>
  </w:abstractNum>
  <w:abstractNum w:abstractNumId="171">
    <w:nsid w:val="52D7B1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2019-12-06T06:02:22Z</dcterms:created>
  <dcterms:modified xsi:type="dcterms:W3CDTF">2019-12-06T06:02:22Z</dcterms:modified>
</cp:coreProperties>
</file>