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8-K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20" w:after="283"/>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April 29, 2025 (April 29, 2025)</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REGENERON PHARMACEUTICALS, INC. </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843" w:type="dxa"/>
        <w:jc w:val="center"/>
        <w:tblInd w:w="0" w:type="dxa"/>
        <w:tblLayout w:type="fixed"/>
        <w:tblCellMar>
          <w:top w:w="28" w:type="dxa"/>
          <w:left w:w="28" w:type="dxa"/>
          <w:bottom w:w="28" w:type="dxa"/>
          <w:right w:w="28" w:type="dxa"/>
        </w:tblCellMar>
      </w:tblPr>
      <w:tblGrid>
        <w:gridCol w:w="1148"/>
        <w:gridCol w:w="1011"/>
        <w:gridCol w:w="1020"/>
        <w:gridCol w:w="332"/>
        <w:gridCol w:w="332"/>
        <w:gridCol w:w="332"/>
        <w:gridCol w:w="332"/>
        <w:gridCol w:w="332"/>
        <w:gridCol w:w="334"/>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New York</w:t>
            </w:r>
          </w:p>
        </w:tc>
        <w:tc>
          <w:tcPr>
            <w:tcW w:w="1994"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000-19034</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13-3444607</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tbl>
      <w:tblPr>
        <w:tblW w:w="5648" w:type="dxa"/>
        <w:jc w:val="center"/>
        <w:tblInd w:w="0" w:type="dxa"/>
        <w:tblLayout w:type="fixed"/>
        <w:tblCellMar>
          <w:top w:w="28" w:type="dxa"/>
          <w:left w:w="28" w:type="dxa"/>
          <w:bottom w:w="28" w:type="dxa"/>
          <w:right w:w="28" w:type="dxa"/>
        </w:tblCellMar>
      </w:tblPr>
      <w:tblGrid>
        <w:gridCol w:w="512"/>
        <w:gridCol w:w="450"/>
        <w:gridCol w:w="450"/>
        <w:gridCol w:w="450"/>
        <w:gridCol w:w="450"/>
        <w:gridCol w:w="450"/>
        <w:gridCol w:w="450"/>
        <w:gridCol w:w="450"/>
        <w:gridCol w:w="450"/>
        <w:gridCol w:w="450"/>
        <w:gridCol w:w="450"/>
        <w:gridCol w:w="636"/>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5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777 Old Saw Mill River Road, Tarrytown, New York 10591-6707</w:t>
            </w:r>
          </w:p>
        </w:tc>
      </w:tr>
      <w:tr>
        <w:trPr/>
        <w:tc>
          <w:tcPr>
            <w:tcW w:w="5648" w:type="dxa"/>
            <w:gridSpan w:val="12"/>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tc>
      </w:tr>
    </w:tbl>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847-7000 </w:t>
      </w:r>
    </w:p>
    <w:p>
      <w:pPr>
        <w:pStyle w:val="TextBody"/>
        <w:bidi w:val="0"/>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073" w:type="dxa"/>
        <w:jc w:val="center"/>
        <w:tblInd w:w="0" w:type="dxa"/>
        <w:tblLayout w:type="fixed"/>
        <w:tblCellMar>
          <w:top w:w="28" w:type="dxa"/>
          <w:left w:w="28" w:type="dxa"/>
          <w:bottom w:w="28" w:type="dxa"/>
          <w:right w:w="28" w:type="dxa"/>
        </w:tblCellMar>
      </w:tblPr>
      <w:tblGrid>
        <w:gridCol w:w="1343"/>
        <w:gridCol w:w="1181"/>
        <w:gridCol w:w="1195"/>
        <w:gridCol w:w="534"/>
        <w:gridCol w:w="534"/>
        <w:gridCol w:w="536"/>
        <w:gridCol w:w="1095"/>
        <w:gridCol w:w="1095"/>
        <w:gridCol w:w="1560"/>
      </w:tblGrid>
      <w:tr>
        <w:trPr/>
        <w:tc>
          <w:tcPr>
            <w:tcW w:w="134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Trading Symbol(s)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REGN</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Item 2.02</w:t>
      </w:r>
      <w:r>
        <w:rPr>
          <w:color w:val="000000"/>
        </w:rPr>
        <w:t>    </w:t>
      </w:r>
      <w:r>
        <w:rPr>
          <w:rFonts w:ascii="Times New Roman;sans-serif" w:hAnsi="Times New Roman;sans-serif"/>
          <w:b/>
          <w:color w:val="000000"/>
          <w:sz w:val="20"/>
        </w:rPr>
        <w:t>Results of Operations and Financial Condition.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2025, Regeneron Pharmaceuticals, Inc. issued a press release announcing its financial and operating results for the quarter ended March 31, 2025. A copy of the press release is being furnished to the Securities and Exchange Commission as Exhibit 99.1 to this Current Report on Form 8-K and is incorporated by reference to this Item 2.02.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Item 9.01</w:t>
      </w:r>
      <w:r>
        <w:rPr>
          <w:color w:val="000000"/>
        </w:rPr>
        <w:t>    </w:t>
      </w:r>
      <w:r>
        <w:rPr>
          <w:rFonts w:ascii="Times New Roman;sans-serif" w:hAnsi="Times New Roman;sans-serif"/>
          <w:b/>
          <w:color w:val="000000"/>
          <w:sz w:val="20"/>
        </w:rPr>
        <w:t>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99.1 </w:t>
      </w:r>
      <w:hyperlink w:anchor="exhibit991q12025.htm">
        <w:r>
          <w:rPr>
            <w:rStyle w:val="InternetLink"/>
            <w:rFonts w:ascii="Times New Roman;sans-serif" w:hAnsi="Times New Roman;sans-serif"/>
            <w:b w:val="false"/>
            <w:color w:val="0000FF"/>
            <w:sz w:val="20"/>
            <w:u w:val="single"/>
          </w:rPr>
          <w:t>Press Release, dated April 29, 2025, Reporting First Quarter 2025 Financial and Operating Results.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 Cover Page Interactive Data File - the cover page XBRL tags are embedded within the Inline XBRL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left"/>
        <w:rPr/>
      </w:pPr>
      <w:r>
        <w:rPr/>
      </w:r>
    </w:p>
    <w:p>
      <w:pPr>
        <w:pStyle w:val="TextBody"/>
        <w:bidi w:val="0"/>
        <w:spacing w:lineRule="auto" w:line="288" w:before="0" w:after="60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8619" w:type="dxa"/>
        <w:jc w:val="center"/>
        <w:tblInd w:w="0" w:type="dxa"/>
        <w:tblLayout w:type="fixed"/>
        <w:tblCellMar>
          <w:top w:w="28" w:type="dxa"/>
          <w:left w:w="28" w:type="dxa"/>
          <w:bottom w:w="28" w:type="dxa"/>
          <w:right w:w="28" w:type="dxa"/>
        </w:tblCellMar>
      </w:tblPr>
      <w:tblGrid>
        <w:gridCol w:w="124"/>
        <w:gridCol w:w="109"/>
        <w:gridCol w:w="109"/>
        <w:gridCol w:w="589"/>
        <w:gridCol w:w="589"/>
        <w:gridCol w:w="592"/>
        <w:gridCol w:w="579"/>
        <w:gridCol w:w="579"/>
        <w:gridCol w:w="579"/>
        <w:gridCol w:w="1395"/>
        <w:gridCol w:w="1395"/>
        <w:gridCol w:w="1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65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REGENERON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Joseph J. LaRosa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J. LaRosa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drawing>
          <wp:inline distT="0" distB="0" distL="0" distR="0">
            <wp:extent cx="1447800" cy="228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47800" cy="22860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5"/>
        </w:rPr>
      </w:pPr>
      <w:r>
        <w:rPr>
          <w:rFonts w:ascii="Arial;sans-serif" w:hAnsi="Arial;sans-serif"/>
          <w:b w:val="false"/>
          <w:color w:val="000000"/>
          <w:sz w:val="25"/>
        </w:rPr>
        <w:t>Press Release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color w:val="0F4DBC"/>
          <w:sz w:val="32"/>
        </w:rPr>
      </w:pPr>
      <w:r>
        <w:rPr>
          <w:rFonts w:ascii="Arial;sans-serif" w:hAnsi="Arial;sans-serif"/>
          <w:b/>
          <w:color w:val="0F4DBC"/>
          <w:sz w:val="32"/>
        </w:rPr>
        <w:t>Regeneron Reports First Quarter 2025 Financial and Operating Results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First quarter 2025 revenues of $3.0 billion; GAAP diluted EPS of $7.27 and non-GAAP diluted EPS</w:t>
      </w:r>
      <w:r>
        <w:rPr>
          <w:rFonts w:ascii="Arial;sans-serif" w:hAnsi="Arial;sans-serif"/>
          <w:b w:val="false"/>
          <w:i/>
          <w:color w:val="000000"/>
          <w:sz w:val="13"/>
        </w:rPr>
        <w:t>(a)</w:t>
      </w:r>
      <w:r>
        <w:rPr>
          <w:color w:val="000000"/>
        </w:rPr>
        <w:t xml:space="preserve"> </w:t>
      </w:r>
      <w:r>
        <w:rPr>
          <w:rFonts w:ascii="Arial;sans-serif" w:hAnsi="Arial;sans-serif"/>
          <w:b w:val="false"/>
          <w:i/>
          <w:color w:val="000000"/>
          <w:sz w:val="24"/>
        </w:rPr>
        <w:t>of $8.22</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First quarter 2025 Dupixent</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4"/>
        </w:rPr>
        <w:t>global net sales</w:t>
      </w:r>
      <w:r>
        <w:rPr>
          <w:color w:val="000000"/>
        </w:rPr>
        <w:t xml:space="preserve"> </w:t>
      </w:r>
      <w:r>
        <w:rPr>
          <w:rFonts w:ascii="Arial;sans-serif" w:hAnsi="Arial;sans-serif"/>
          <w:b w:val="false"/>
          <w:i/>
          <w:color w:val="000000"/>
          <w:sz w:val="24"/>
        </w:rPr>
        <w:t>(recorded by Sanofi) increased 19% to $3.67 billion versus first quarter 2024</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First quarter 2025 EYLEA HD</w:t>
      </w:r>
      <w:r>
        <w:rPr>
          <w:rFonts w:ascii="Arial;sans-serif" w:hAnsi="Arial;sans-serif"/>
          <w:b w:val="false"/>
          <w:i/>
          <w:color w:val="000000"/>
          <w:sz w:val="13"/>
        </w:rPr>
        <w:t xml:space="preserve">® </w:t>
      </w:r>
      <w:r>
        <w:rPr>
          <w:rFonts w:ascii="Arial;sans-serif" w:hAnsi="Arial;sans-serif"/>
          <w:b w:val="false"/>
          <w:i/>
          <w:color w:val="000000"/>
          <w:sz w:val="24"/>
        </w:rPr>
        <w:t>U.S. net sales increased 54% to $307 million versus first quarter 2024; total EYLEA HD and EYLEA</w:t>
      </w:r>
      <w:r>
        <w:rPr>
          <w:rFonts w:ascii="Arial;sans-serif" w:hAnsi="Arial;sans-serif"/>
          <w:b w:val="false"/>
          <w:i/>
          <w:color w:val="000000"/>
          <w:sz w:val="13"/>
        </w:rPr>
        <w:t xml:space="preserve">® </w:t>
      </w:r>
      <w:r>
        <w:rPr>
          <w:rFonts w:ascii="Arial;sans-serif" w:hAnsi="Arial;sans-serif"/>
          <w:b w:val="false"/>
          <w:i/>
          <w:color w:val="000000"/>
          <w:sz w:val="24"/>
        </w:rPr>
        <w:t xml:space="preserve">U.S. net sales decreased 26% to $1.04 billion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Dupixent approved for chronic spontaneous urticaria (CSU) in U.S.; approved for chronic obstructive pulmonary disease (COPD) in Japan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FDA accepted for priority review EYLEA HD sBLA for both retinal vein occlusion (RVO) and for monthly dosing in approved indications; update provided on FDA review of EYLEA HD pre-filled syringe submission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Lynozyfic</w:t>
      </w:r>
      <w:r>
        <w:rPr>
          <w:color w:val="000000"/>
        </w:rPr>
        <w:t xml:space="preserve">™ </w:t>
      </w:r>
      <w:r>
        <w:rPr>
          <w:rFonts w:ascii="Arial;sans-serif" w:hAnsi="Arial;sans-serif"/>
          <w:b w:val="false"/>
          <w:i/>
          <w:color w:val="000000"/>
          <w:sz w:val="24"/>
        </w:rPr>
        <w:t>(linvoseltamab) approved in EU for relapsed/refractory multiple myeloma</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Regulatory applications submitted for Libtayo</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4"/>
        </w:rPr>
        <w:t>in adjuvant cutaneous squamous cell carcinoma (CSCC) in U.S. and EU</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Announced ongoing and planned investments in New York and North Carolina infrastructure and manufacturing expected to total more than $7 billion</w:t>
      </w:r>
    </w:p>
    <w:p>
      <w:pPr>
        <w:pStyle w:val="TextBody"/>
        <w:bidi w:val="0"/>
        <w:spacing w:lineRule="auto" w:line="288" w:before="240" w:after="160"/>
        <w:jc w:val="left"/>
        <w:rPr/>
      </w:pPr>
      <w:r>
        <w:rPr>
          <w:rFonts w:ascii="Arial;sans-serif" w:hAnsi="Arial;sans-serif"/>
          <w:b/>
          <w:color w:val="000000"/>
          <w:sz w:val="24"/>
        </w:rPr>
        <w:t>Tarrytown, New York (April 29, 2025) --</w:t>
      </w:r>
      <w:r>
        <w:rPr>
          <w:color w:val="000000"/>
        </w:rPr>
        <w:t xml:space="preserve"> </w:t>
      </w:r>
      <w:r>
        <w:rPr>
          <w:rFonts w:ascii="Arial;sans-serif" w:hAnsi="Arial;sans-serif"/>
          <w:b w:val="false"/>
          <w:color w:val="000000"/>
          <w:sz w:val="24"/>
        </w:rPr>
        <w:t>Regeneron Pharmaceuticals, Inc. (NASDAQ:</w:t>
      </w:r>
      <w:r>
        <w:rPr>
          <w:color w:val="000000"/>
        </w:rPr>
        <w:t xml:space="preserve"> </w:t>
      </w:r>
      <w:r>
        <w:rPr>
          <w:rFonts w:ascii="Arial;sans-serif" w:hAnsi="Arial;sans-serif"/>
          <w:b/>
          <w:color w:val="000000"/>
          <w:sz w:val="24"/>
        </w:rPr>
        <w:t>REGN</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today announced financial results for the first quarter of 2025 and provided a business update.</w:t>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"Regeneron has one of the most exciting pipelines in the industry, with unmatched diversity, scientific distinction, and potential to help millions of patients," said Leonard S. Schleifer, M.D., Ph.D., Board co-Chair, President and Chief Executive Officer of Regeneron. "We are laser focused on fulfilling the promise of this pipeline by advancing our clinical programs, and expect several important data readouts this year. We are also working to ensure our four blockbuster medicines reach even more patients who could benefit, with year-to-date progress including regulatory approvals for Dupixent in CSU in the U.S. and COPD in Japan."</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 xml:space="preserve">Financial Highlights </w:t>
      </w:r>
    </w:p>
    <w:tbl>
      <w:tblPr>
        <w:tblW w:w="8639" w:type="dxa"/>
        <w:jc w:val="left"/>
        <w:tblInd w:w="0" w:type="dxa"/>
        <w:tblLayout w:type="fixed"/>
        <w:tblCellMar>
          <w:top w:w="28" w:type="dxa"/>
          <w:left w:w="28" w:type="dxa"/>
          <w:bottom w:w="28" w:type="dxa"/>
          <w:right w:w="28" w:type="dxa"/>
        </w:tblCellMar>
      </w:tblPr>
      <w:tblGrid>
        <w:gridCol w:w="1573"/>
        <w:gridCol w:w="1385"/>
        <w:gridCol w:w="1391"/>
        <w:gridCol w:w="109"/>
        <w:gridCol w:w="109"/>
        <w:gridCol w:w="109"/>
        <w:gridCol w:w="226"/>
        <w:gridCol w:w="706"/>
        <w:gridCol w:w="109"/>
        <w:gridCol w:w="109"/>
        <w:gridCol w:w="109"/>
        <w:gridCol w:w="109"/>
        <w:gridCol w:w="226"/>
        <w:gridCol w:w="706"/>
        <w:gridCol w:w="109"/>
        <w:gridCol w:w="109"/>
        <w:gridCol w:w="109"/>
        <w:gridCol w:w="109"/>
        <w:gridCol w:w="240"/>
        <w:gridCol w:w="241"/>
        <w:gridCol w:w="746"/>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net income</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net income per share - diluted</w:t>
            </w:r>
            <w:r>
              <w:rPr>
                <w:rFonts w:ascii="Arial;sans-serif" w:hAnsi="Arial;sans-serif"/>
                <w:b w:val="false"/>
                <w:color w:val="000000"/>
                <w:sz w:val="14"/>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160"/>
        <w:jc w:val="left"/>
        <w:rPr>
          <w:rFonts w:ascii="Arial;sans-serif" w:hAnsi="Arial;sans-serif"/>
          <w:b w:val="false"/>
          <w:color w:val="000000"/>
          <w:sz w:val="24"/>
        </w:rPr>
      </w:pPr>
      <w:r>
        <w:rPr>
          <w:rFonts w:ascii="Arial;sans-serif" w:hAnsi="Arial;sans-serif"/>
          <w:b w:val="false"/>
          <w:color w:val="000000"/>
          <w:sz w:val="24"/>
        </w:rPr>
        <w:t>"We have made meaningful progress across our pipeline so far in 2025, including four regulatory approvals, nine regulatory submissions, and are poised to report pivotal or proof-of-concept data across programs in immunology, oncology, hematology, internal medicine, and rare diseases later this year," said Christopher Fenimore, Executive Vice President, Finance and Chief Financial Officer of Regeneron. "We continue to deploy capital with the goal of maximizing long-term shareholder value, with a focus on internal investment in our research, development, and commercial capabilities, along with returning capital directly to our shareholders through opportunistic share repurchases and our dividend program, which we initiated earlier this year."</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 xml:space="preserve">Business Highlights </w:t>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Key Pipeline Progress</w:t>
      </w:r>
    </w:p>
    <w:p>
      <w:pPr>
        <w:pStyle w:val="TextBody"/>
        <w:bidi w:val="0"/>
        <w:spacing w:lineRule="auto" w:line="288" w:before="0" w:after="160"/>
        <w:jc w:val="left"/>
        <w:rPr>
          <w:rFonts w:ascii="Arial;sans-serif" w:hAnsi="Arial;sans-serif"/>
          <w:b w:val="false"/>
          <w:color w:val="000000"/>
          <w:sz w:val="24"/>
        </w:rPr>
      </w:pPr>
      <w:r>
        <w:rPr>
          <w:rFonts w:ascii="Arial;sans-serif" w:hAnsi="Arial;sans-serif"/>
          <w:b w:val="false"/>
          <w:color w:val="000000"/>
          <w:sz w:val="24"/>
        </w:rPr>
        <w:t>Regeneron has approximately 45 product candidates in clinical development, including a number of marketed products for which it is investigating additional indications. Updates from the clinical pipeline include:</w:t>
      </w:r>
    </w:p>
    <w:p>
      <w:pPr>
        <w:pStyle w:val="TextBody"/>
        <w:bidi w:val="0"/>
        <w:spacing w:lineRule="auto" w:line="288" w:before="160" w:after="283"/>
        <w:jc w:val="left"/>
        <w:rPr/>
      </w:pPr>
      <w:r>
        <w:rPr>
          <w:rFonts w:ascii="Arial;sans-serif" w:hAnsi="Arial;sans-serif"/>
          <w:b w:val="false"/>
          <w:color w:val="000000"/>
          <w:sz w:val="24"/>
          <w:u w:val="single"/>
        </w:rPr>
        <w:t>Dupixent</w:t>
      </w:r>
      <w:r>
        <w:rPr>
          <w:color w:val="000000"/>
        </w:rPr>
        <w:t xml:space="preserve"> </w:t>
      </w:r>
      <w:r>
        <w:rPr>
          <w:rFonts w:ascii="Arial;sans-serif" w:hAnsi="Arial;sans-serif"/>
          <w:b w:val="false"/>
          <w:color w:val="000000"/>
          <w:sz w:val="24"/>
        </w:rPr>
        <w:t>(dupilumab)</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April 2025, the U.S. Food and Drug Administration (FDA) approved Dupixent for the treatment of adults and adolescents aged 12 years and older with CSU who remain symptomatic despite antihistamine treatment.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March 2025, Japan's Ministry of Health, Labour and Welfare (MHLW) approved Dupixent for the treatment of patients with COPD.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and Sanofi presented positive results from the pivotal Phase 2/3 trial in adults with moderate-to-severe bullous pemphigoid at the 2025 American Academy of Dermatology (AAD) Annual Meeting. In February 2025, the FDA accepted for priority review the supplemental Biologics License Application (sBLA) for Dupixent in bullous pemphigoid, with a target action date of June 20, 2025. A regulatory application has also been submitted in the European Union (EU).</w:t>
      </w:r>
    </w:p>
    <w:p>
      <w:pPr>
        <w:pStyle w:val="TextBody"/>
        <w:bidi w:val="0"/>
        <w:spacing w:lineRule="auto" w:line="288" w:before="160" w:after="283"/>
        <w:jc w:val="left"/>
        <w:rPr/>
      </w:pPr>
      <w:r>
        <w:rPr>
          <w:rFonts w:ascii="Arial;sans-serif" w:hAnsi="Arial;sans-serif"/>
          <w:b w:val="false"/>
          <w:color w:val="000000"/>
          <w:sz w:val="24"/>
          <w:u w:val="single"/>
        </w:rPr>
        <w:t>EYLEA HD</w:t>
      </w:r>
      <w:r>
        <w:rPr>
          <w:color w:val="000000"/>
        </w:rPr>
        <w:t xml:space="preserve"> </w:t>
      </w:r>
      <w:r>
        <w:rPr>
          <w:rFonts w:ascii="Arial;sans-serif" w:hAnsi="Arial;sans-serif"/>
          <w:b w:val="false"/>
          <w:color w:val="000000"/>
          <w:sz w:val="24"/>
        </w:rPr>
        <w:t>(aflibercept) 8 mg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April 2025, the FDA accepted for priority review an sBLA for both the treatment of macular edema following RVO, and broadening the dosing schedule to include every 4-week (monthly) dosing across approved indications. The FDA target action date is August 19, 2025, following the use of a priority review voucher.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FDA issued a Complete Response Letter (CRL) for the EYLEA HD pre-filled syringe on April 23, 2025. The Company held several teleconferences with the FDA to better understand the contents of the CRL, and believes the key outstanding issue relates to a question posed by the FDA to a third-party component supplier. This component supplier has expeditiously responded to FDA requests for information. The CRL did not identify any issues with the safety or efficacy of EYLEA HD, the usability of the device, proposed labelling, or pre-approval inspection findings.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April 2025, the FDA issued a CRL regarding the sBLA for the addition of extended dosing intervals. The FDA indicated that the submitted data did not support extended dosing intervals greater than every 16 weeks. The Company is evaluating the FDA’s decision.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presented positive results from the Phase 3 QUASAR trial for the treatment of patients with macular edema following RVO, including those with central, branch, and hemiretinal vein occlusions, at the Angiogenesis, Exudation, and Degeneration (Angiogenesis) 2025 annual meeting.</w:t>
      </w:r>
    </w:p>
    <w:p>
      <w:pPr>
        <w:pStyle w:val="TextBody"/>
        <w:bidi w:val="0"/>
        <w:spacing w:lineRule="auto" w:line="288"/>
        <w:ind w:left="0" w:right="0" w:hanging="360"/>
        <w:jc w:val="left"/>
        <w:rPr/>
      </w:pPr>
      <w:r>
        <w:rPr>
          <w:color w:val="000000"/>
        </w:rPr>
        <w:t>•</w:t>
      </w:r>
      <w:r>
        <w:rPr>
          <w:rFonts w:ascii="Arial;sans-serif" w:hAnsi="Arial;sans-serif"/>
          <w:b w:val="false"/>
          <w:color w:val="000000"/>
          <w:sz w:val="24"/>
        </w:rPr>
        <w:t xml:space="preserve">The Company announced positive three-year (156-week) results from an extension study of the Phase 3 PULSAR trial in patients with wet age-related macular degeneration (wAMD). Similar to the three-year results for the pivotal PHOTON trial in diabetic macular edema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(DME), the longer-term wAMD data demonstrated the vast majority of patients who entered the extension study sustained the visual gains and anatomic improvements achieved by the end of the second year, while also achieving substantially longer treatment intervals. The results were presented at the Angiogenesis 2025 annual meeting.</w:t>
      </w:r>
    </w:p>
    <w:p>
      <w:pPr>
        <w:pStyle w:val="TextBody"/>
        <w:bidi w:val="0"/>
        <w:spacing w:lineRule="auto" w:line="288" w:before="160" w:after="283"/>
        <w:jc w:val="left"/>
        <w:rPr>
          <w:rFonts w:ascii="Arial;sans-serif" w:hAnsi="Arial;sans-serif"/>
          <w:b w:val="false"/>
          <w:color w:val="000000"/>
          <w:sz w:val="24"/>
          <w:u w:val="single"/>
        </w:rPr>
      </w:pPr>
      <w:r>
        <w:rPr>
          <w:rFonts w:ascii="Arial;sans-serif" w:hAnsi="Arial;sans-serif"/>
          <w:b w:val="false"/>
          <w:color w:val="000000"/>
          <w:sz w:val="24"/>
          <w:u w:val="single"/>
        </w:rPr>
        <w:t>Oncology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submitted an sBLA to the FDA and a regulatory application in the EU for Libtayo (cemiplimab) in adjuvant CSCC based upon data from a Phase 3 trial which demonstrated that adjuvant treatment with Libtayo was the first and only immunotherapy that led to a statistically significant and clinically meaningful improvement in the primary endpoint of disease-free survival (DFS) in patients with high-risk CSCC after surgery.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FDA accepted for review the resubmission of the BLA for odronextamab, a bispecific antibody targeting CD20 and CD3, in relapsed/refractory (R/R) follicular lymphoma, with a target action date of July 30,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The FDA accepted for review the resubmission of the BLA for linvoseltamab, a bispecific antibody targeting BCMA and CD3, in R/R multiple myeloma, with a target action date of July 10, 2025.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European Commission (EC) granted conditional marketing approval of Lynozyfic (linvoseltamab) to treat adults with R/R multiple myeloma. The indication is specific to those who have received at least three prior therapies including a proteasome inhibitor, an immunomodulatory agent, and an anti-CD38 monoclonal antibody, and have demonstrated disease progression on the last therapy.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Enrollment was completed in a Phase 3 confirmatory trial (LINKER-MM3) for linvoseltamab in R/R multiple myeloma.</w:t>
      </w:r>
    </w:p>
    <w:p>
      <w:pPr>
        <w:pStyle w:val="TextBody"/>
        <w:bidi w:val="0"/>
        <w:spacing w:lineRule="auto" w:line="288" w:before="160" w:after="283"/>
        <w:jc w:val="left"/>
        <w:rPr>
          <w:rFonts w:ascii="Arial;sans-serif" w:hAnsi="Arial;sans-serif"/>
          <w:b w:val="false"/>
          <w:color w:val="000000"/>
          <w:sz w:val="24"/>
          <w:u w:val="single"/>
        </w:rPr>
      </w:pPr>
      <w:r>
        <w:rPr>
          <w:rFonts w:ascii="Arial;sans-serif" w:hAnsi="Arial;sans-serif"/>
          <w:b w:val="false"/>
          <w:color w:val="000000"/>
          <w:sz w:val="24"/>
          <w:u w:val="single"/>
        </w:rPr>
        <w:t>Other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presented updated data from the Phase 1/2 trial of DB-OTO, an AAV-based gene therapy, in children with profound genetic hearing loss due to variants of the otoferlin (OTOF) gene at the Association for Research in Otolaryngology’s (ARO) 48th Annual MidWinter Meeting. The data showed that 11 out of 12 children treated demonstrated a notable response, with improved hearing at various decibel hearing levels. This included updated results from the first child dosed, who received treatment at 10 months of age and at 48 weeks post-treatment showed continued near-normal levels of hearing, as well as formal speech perception improvements between 48- and 72-weeks post-treatment.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 Phase 3 study for itepekimab, an antibody to IL-33, in chronic rhinosinusitis with nasal polyposis (CRSwNP) was initiated.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 Phase 2 study for REGN5381, an agonist antibody to NPR1, in uncontrolled hypertension was initiated.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 Phase 2 study for REGN7544, an antagonist antibody to NPR1, in sepsis-induced hypotension was initiated.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FDA granted Orphan Drug designation for mibavademab, an agonist antibody to leptin receptor (LEPR), in generalized lipodystrophy; a Phase 3 study is ongoing.</w:t>
      </w:r>
    </w:p>
    <w:p>
      <w:pPr>
        <w:pStyle w:val="TextBody"/>
        <w:bidi w:val="0"/>
        <w:spacing w:lineRule="auto" w:line="288" w:before="160" w:after="283"/>
        <w:jc w:val="left"/>
        <w:rPr>
          <w:rFonts w:ascii="Arial;sans-serif" w:hAnsi="Arial;sans-serif"/>
          <w:b/>
          <w:color w:val="000000"/>
          <w:sz w:val="24"/>
          <w:u w:val="single"/>
        </w:rPr>
      </w:pPr>
      <w:r>
        <w:rPr>
          <w:rFonts w:ascii="Arial;sans-serif" w:hAnsi="Arial;sans-serif"/>
          <w:b/>
          <w:color w:val="000000"/>
          <w:sz w:val="24"/>
          <w:u w:val="single"/>
        </w:rPr>
        <w:t>Corporate Updates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reached resolution of its patent infringement litigation related to Biocon’s EYLEA (aflibercept) Injection 2 mg biosimilar product. The settlement precludes Biocon from launching its biosimilar product in the United States until the second half of 2026. All intellectual property-related litigation with Biocon in the United States has been dismissed.</w:t>
      </w:r>
    </w:p>
    <w:p>
      <w:pPr>
        <w:pStyle w:val="TextBody"/>
        <w:bidi w:val="0"/>
        <w:spacing w:lineRule="auto" w:line="288"/>
        <w:ind w:left="0" w:right="0" w:hanging="360"/>
        <w:jc w:val="left"/>
        <w:rPr/>
      </w:pPr>
      <w:r>
        <w:rPr>
          <w:color w:val="000000"/>
        </w:rPr>
        <w:t>•</w:t>
      </w:r>
      <w:r>
        <w:rPr>
          <w:rFonts w:ascii="Arial;sans-serif" w:hAnsi="Arial;sans-serif"/>
          <w:b w:val="false"/>
          <w:color w:val="000000"/>
          <w:sz w:val="24"/>
        </w:rPr>
        <w:t xml:space="preserve">The Company announced a 10-year agreement with FUJIFILM Diosynth Biotechnologies (Fujifilm) to manufacture and supply Regeneron's commercial bulk drug product at Fujifilm's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North Carolina campus. The agreement is anticipated to nearly double the Company's large-scale manufacturing capacity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u w:val="single"/>
        </w:rPr>
      </w:pPr>
      <w:r>
        <w:rPr>
          <w:rFonts w:ascii="Arial;sans-serif" w:hAnsi="Arial;sans-serif"/>
          <w:b/>
          <w:color w:val="000000"/>
          <w:sz w:val="24"/>
          <w:u w:val="single"/>
        </w:rPr>
        <w:t>First Quarter 2025 Financial Results</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Revenues</w:t>
      </w:r>
    </w:p>
    <w:tbl>
      <w:tblPr>
        <w:tblW w:w="8009" w:type="dxa"/>
        <w:jc w:val="left"/>
        <w:tblInd w:w="0" w:type="dxa"/>
        <w:tblLayout w:type="fixed"/>
        <w:tblCellMar>
          <w:top w:w="28" w:type="dxa"/>
          <w:left w:w="28" w:type="dxa"/>
          <w:bottom w:w="28" w:type="dxa"/>
          <w:right w:w="28" w:type="dxa"/>
        </w:tblCellMar>
      </w:tblPr>
      <w:tblGrid>
        <w:gridCol w:w="1304"/>
        <w:gridCol w:w="1142"/>
        <w:gridCol w:w="1153"/>
        <w:gridCol w:w="109"/>
        <w:gridCol w:w="109"/>
        <w:gridCol w:w="109"/>
        <w:gridCol w:w="226"/>
        <w:gridCol w:w="706"/>
        <w:gridCol w:w="109"/>
        <w:gridCol w:w="109"/>
        <w:gridCol w:w="109"/>
        <w:gridCol w:w="109"/>
        <w:gridCol w:w="226"/>
        <w:gridCol w:w="706"/>
        <w:gridCol w:w="109"/>
        <w:gridCol w:w="109"/>
        <w:gridCol w:w="109"/>
        <w:gridCol w:w="109"/>
        <w:gridCol w:w="299"/>
        <w:gridCol w:w="302"/>
        <w:gridCol w:w="746"/>
      </w:tblGrid>
      <w:tr>
        <w:trPr/>
        <w:tc>
          <w:tcPr>
            <w:tcW w:w="130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EYLEA HD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EYLEA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EYLEA HD and EYLEA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Libtayo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Libtayo - 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Total Libtayo - Global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Praluent</w:t>
            </w:r>
            <w:r>
              <w:rPr>
                <w:rFonts w:ascii="Arial;sans-serif" w:hAnsi="Arial;sans-serif"/>
                <w:b w:val="false"/>
                <w:color w:val="000000"/>
                <w:sz w:val="14"/>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Evkeeza</w:t>
            </w:r>
            <w:r>
              <w:rPr>
                <w:rFonts w:ascii="Arial;sans-serif" w:hAnsi="Arial;sans-serif"/>
                <w:b w:val="false"/>
                <w:color w:val="000000"/>
                <w:sz w:val="14"/>
              </w:rPr>
              <w:t xml:space="preserve">® </w:t>
            </w:r>
            <w:r>
              <w:rPr>
                <w:rFonts w:ascii="Arial;sans-serif" w:hAnsi="Arial;sans-serif"/>
                <w:b w:val="false"/>
                <w:color w:val="000000"/>
                <w:sz w:val="22"/>
              </w:rPr>
              <w:t>-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Inmazeb</w:t>
            </w:r>
            <w:r>
              <w:rPr>
                <w:rFonts w:ascii="Arial;sans-serif" w:hAnsi="Arial;sans-serif"/>
                <w:b w:val="false"/>
                <w:color w:val="000000"/>
                <w:sz w:val="14"/>
              </w:rPr>
              <w:t xml:space="preserve">® </w:t>
            </w:r>
            <w:r>
              <w:rPr>
                <w:rFonts w:ascii="Arial;sans-serif" w:hAnsi="Arial;sans-serif"/>
                <w:b w:val="false"/>
                <w:color w:val="000000"/>
                <w:sz w:val="22"/>
              </w:rPr>
              <w:t>- 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Sanofi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9" w:type="dxa"/>
            <w:gridSpan w:val="21"/>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Percentage not meaningful</w:t>
            </w:r>
          </w:p>
        </w:tc>
      </w:tr>
      <w:tr>
        <w:trPr/>
        <w:tc>
          <w:tcPr>
            <w:tcW w:w="8009" w:type="dxa"/>
            <w:gridSpan w:val="21"/>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Rest of world (ROW)</w:t>
            </w:r>
          </w:p>
        </w:tc>
      </w:tr>
    </w:tbl>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Net product sales of EYLEA HD increased in the first quarter of 2025, compared to the first quarter of 2024, primarily due to higher sales volumes.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 xml:space="preserve">Net product sales of EYLEA in the first quarter of 2025, compared to the first quarter of 2024, were negatively impacted by (i) lower volume as a result of continued competitive pressures (as described below), loss in market share to compounded bevacizumab due to patient affordability constraints, and the continued transition of patients to EYLEA HD, and (ii) a lower net selling price. </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In addition, total EYLEA and EYLEA HD net product sales were negatively impacted by lower wholesaler inventory levels at the end of the first quarter of 2025 compared to the end of the fourth quarter of 2024. Total EYLEA and EYLEA HD net product sales decreased 30% on a sequential basis; however, physician unit demand decreased sequentially by 11%.</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EYLEA net product sales have been, and are likely to continue to be, negatively impacted by increased competition from other anti-VEGF products, including biosimilars, as well as the transition of patients from EYLEA to EYLEA HD. In addition, if independent not-for-profit patient assistance funds that provide copay assistance are unable to support eligible patients, this will likely have a continued negative impact on patient affordability resulting in lower utilization of higher-cost anti-VEGF agents.</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 xml:space="preserve">Sanofi collaboration revenue increased in the first quarter of 2025, compared to the first quarter of 2024, due to an increase in the Company's share of profits from the commercialization of antibodies, which were $1.018 billion and $804 million in the first quarter of 2025 and 2024, respectively. The change in the Company's share of profits from commercialization of antibodies was driven by higher profits associated with an increase in Dupixent sales. </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Refer to Table 4 for a summary of collaboration revenue.</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Operating Expenses</w:t>
      </w:r>
    </w:p>
    <w:tbl>
      <w:tblPr>
        <w:tblW w:w="10205" w:type="dxa"/>
        <w:jc w:val="left"/>
        <w:tblInd w:w="0" w:type="dxa"/>
        <w:tblLayout w:type="fixed"/>
        <w:tblCellMar>
          <w:top w:w="28" w:type="dxa"/>
          <w:left w:w="28" w:type="dxa"/>
          <w:bottom w:w="28" w:type="dxa"/>
          <w:right w:w="28" w:type="dxa"/>
        </w:tblCellMar>
      </w:tblPr>
      <w:tblGrid>
        <w:gridCol w:w="652"/>
        <w:gridCol w:w="460"/>
        <w:gridCol w:w="467"/>
        <w:gridCol w:w="109"/>
        <w:gridCol w:w="109"/>
        <w:gridCol w:w="109"/>
        <w:gridCol w:w="226"/>
        <w:gridCol w:w="706"/>
        <w:gridCol w:w="109"/>
        <w:gridCol w:w="109"/>
        <w:gridCol w:w="109"/>
        <w:gridCol w:w="109"/>
        <w:gridCol w:w="226"/>
        <w:gridCol w:w="706"/>
        <w:gridCol w:w="109"/>
        <w:gridCol w:w="109"/>
        <w:gridCol w:w="109"/>
        <w:gridCol w:w="109"/>
        <w:gridCol w:w="300"/>
        <w:gridCol w:w="301"/>
        <w:gridCol w:w="681"/>
        <w:gridCol w:w="109"/>
        <w:gridCol w:w="109"/>
        <w:gridCol w:w="109"/>
        <w:gridCol w:w="226"/>
        <w:gridCol w:w="706"/>
        <w:gridCol w:w="109"/>
        <w:gridCol w:w="109"/>
        <w:gridCol w:w="109"/>
        <w:gridCol w:w="109"/>
        <w:gridCol w:w="226"/>
        <w:gridCol w:w="706"/>
        <w:gridCol w:w="109"/>
        <w:gridCol w:w="109"/>
        <w:gridCol w:w="109"/>
        <w:gridCol w:w="109"/>
        <w:gridCol w:w="235"/>
        <w:gridCol w:w="235"/>
        <w:gridCol w:w="748"/>
      </w:tblGrid>
      <w:tr>
        <w:trPr/>
        <w:tc>
          <w:tcPr>
            <w:tcW w:w="65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2"/>
              </w:rPr>
              <w:t>Non-GAAP</w:t>
            </w:r>
            <w:r>
              <w:rPr>
                <w:rFonts w:ascii="Arial;sans-serif" w:hAnsi="Arial;sans-serif"/>
                <w:b/>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Q1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Research and development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Acquired in-process research and development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n/a</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Selling, general, and administrative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Cost of goods sold (COGS)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Gross margin on net product sales</w:t>
            </w:r>
            <w:r>
              <w:rPr>
                <w:rFonts w:ascii="Arial;sans-serif" w:hAnsi="Arial;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Cost of collaboration and contract manufacturing (COCM)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n/a</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GAAP and non-GAAP amounts are equivalent as no non-GAAP adjustments have been recorded</w:t>
            </w:r>
          </w:p>
        </w:tc>
      </w:tr>
    </w:tbl>
    <w:p>
      <w:pPr>
        <w:pStyle w:val="TextBody"/>
        <w:bidi w:val="0"/>
        <w:spacing w:lineRule="auto" w:line="288" w:before="80" w:after="80"/>
        <w:ind w:left="0" w:right="0" w:hanging="360"/>
        <w:jc w:val="left"/>
        <w:rPr/>
      </w:pPr>
      <w:r>
        <w:rPr>
          <w:color w:val="000000"/>
        </w:rPr>
        <w:t>•</w:t>
      </w:r>
      <w:r>
        <w:rPr>
          <w:rFonts w:ascii="Arial;sans-serif" w:hAnsi="Arial;sans-serif"/>
          <w:b w:val="false"/>
          <w:color w:val="000000"/>
          <w:sz w:val="24"/>
        </w:rPr>
        <w:t>GAAP and non-GAAP R&amp;D expenses increased in the first quarter of 2025, compared to the first quarter of 2024, driven by the advancement of the Company's clinical pipeline and higher personnel-related costs.</w:t>
      </w:r>
    </w:p>
    <w:p>
      <w:pPr>
        <w:pStyle w:val="TextBody"/>
        <w:bidi w:val="0"/>
        <w:spacing w:lineRule="auto" w:line="288" w:before="80" w:after="80"/>
        <w:ind w:left="0" w:right="0" w:hanging="360"/>
        <w:jc w:val="left"/>
        <w:rPr/>
      </w:pPr>
      <w:r>
        <w:rPr>
          <w:color w:val="000000"/>
        </w:rPr>
        <w:t>•</w:t>
      </w:r>
      <w:r>
        <w:rPr>
          <w:rFonts w:ascii="Arial;sans-serif" w:hAnsi="Arial;sans-serif"/>
          <w:b w:val="false"/>
          <w:color w:val="000000"/>
          <w:sz w:val="24"/>
        </w:rPr>
        <w:t>GAAP and non-GAAP gross margin on net product sales was adversely impacted by higher inventory write-offs and reserves in the first quarter of 2025 compared to the first quarter of 2024.</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Other Financial Information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GAAP other income (expense), net included the recognition of net unrealized gains on equity securities of $140 million in the first quarter of 2025, compared to $196 million of net unrealized losses in the first quarter of 2024.</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In the first quarter of 2025, the Company's GAAP effective tax rate (ETR) was 10.6%, compared to (3.0%) in the first quarter of 2024. The GAAP ETR increased in the first quarter of 2025, compared to the first quarter of 2024, due to lower tax benefits from less stock option exercises. In the first quarter of 2025, the non-GAAP ETR was 11.6%, compared to 6.1% in the first quarter of 2024.</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A reconciliation of the Company's GAAP to non-GAAP results is included in Table 3 of this press release.</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Capital Allocation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 xml:space="preserve">In February 2025, the Company's board of directors authorized a new share repurchase program to repurchase up to an additional $3.0 billion of the Company's common stock. During the first quarter of 2025, the Company repurchased shares of its common stock and recorded the cost of the shares, or $1.052 billion, as Treasury Stock. As of March 31, 2025, an aggregate </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of $3.874 billion remained available for share repurchases under the Company's share repurchase programs.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In April 2025, the Company's board of directors declared a cash dividend of $0.88 per share on the Company's common stock and Class A stock, payable on June 6, 2025 to shareholders of record as of May 20, 2025.</w:t>
      </w:r>
    </w:p>
    <w:p>
      <w:pPr>
        <w:pStyle w:val="TextBody"/>
        <w:bidi w:val="0"/>
        <w:spacing w:lineRule="auto" w:line="288" w:before="160" w:after="160"/>
        <w:jc w:val="left"/>
        <w:rPr/>
      </w:pPr>
      <w:r>
        <w:rPr>
          <w:rFonts w:ascii="Arial;sans-serif" w:hAnsi="Arial;sans-serif"/>
          <w:b/>
          <w:i/>
          <w:color w:val="000000"/>
          <w:sz w:val="24"/>
        </w:rPr>
        <w:t>2025 Financial Guidance</w:t>
      </w:r>
      <w:r>
        <w:rPr>
          <w:rFonts w:ascii="Arial;sans-serif" w:hAnsi="Arial;sans-serif"/>
          <w:b/>
          <w:i/>
          <w:color w:val="000000"/>
          <w:sz w:val="14"/>
        </w:rPr>
        <w:t>(b)</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The Company's full year 2025 financial guidance consists of the following components:</w:t>
      </w:r>
    </w:p>
    <w:tbl>
      <w:tblPr>
        <w:tblW w:w="9935" w:type="dxa"/>
        <w:jc w:val="left"/>
        <w:tblInd w:w="0" w:type="dxa"/>
        <w:tblLayout w:type="fixed"/>
        <w:tblCellMar>
          <w:top w:w="28" w:type="dxa"/>
          <w:left w:w="28" w:type="dxa"/>
          <w:bottom w:w="28" w:type="dxa"/>
          <w:right w:w="28" w:type="dxa"/>
        </w:tblCellMar>
      </w:tblPr>
      <w:tblGrid>
        <w:gridCol w:w="1781"/>
        <w:gridCol w:w="1563"/>
        <w:gridCol w:w="1571"/>
        <w:gridCol w:w="111"/>
        <w:gridCol w:w="111"/>
        <w:gridCol w:w="111"/>
        <w:gridCol w:w="731"/>
        <w:gridCol w:w="731"/>
        <w:gridCol w:w="740"/>
        <w:gridCol w:w="182"/>
        <w:gridCol w:w="182"/>
        <w:gridCol w:w="182"/>
        <w:gridCol w:w="557"/>
        <w:gridCol w:w="557"/>
        <w:gridCol w:w="825"/>
      </w:tblGrid>
      <w:tr>
        <w:trPr/>
        <w:tc>
          <w:tcPr>
            <w:tcW w:w="178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2025 Guidance</w:t>
            </w:r>
          </w:p>
        </w:tc>
      </w:tr>
      <w:tr>
        <w:trPr/>
        <w:tc>
          <w:tcPr>
            <w:tcW w:w="4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Prior</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Updated</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R&amp;D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$5.560–$5.795 billion</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R&amp;D</w:t>
            </w:r>
            <w:r>
              <w:rPr>
                <w:rFonts w:ascii="Arial;sans-serif" w:hAnsi="Arial;sans-serif"/>
                <w:b w:val="false"/>
                <w:color w:val="000000"/>
                <w:sz w:val="14"/>
              </w:rPr>
              <w:t>(a)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$5.000–$5.200 billion</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SG&amp;A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$2.910–$3.095 billion</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SG&amp;A</w:t>
            </w:r>
            <w:r>
              <w:rPr>
                <w:rFonts w:ascii="Arial;sans-serif" w:hAnsi="Arial;sans-serif"/>
                <w:b w:val="false"/>
                <w:color w:val="000000"/>
                <w:sz w:val="14"/>
              </w:rPr>
              <w:t>(a)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$2.550–$2.700 billion</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GAAP gross margin on net product sales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84%–85%</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83%–84%</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gross margin on net product sales</w:t>
            </w:r>
            <w:r>
              <w:rPr>
                <w:rFonts w:ascii="Arial;sans-serif" w:hAnsi="Arial;sans-serif"/>
                <w:b w:val="false"/>
                <w:color w:val="000000"/>
                <w:sz w:val="14"/>
              </w:rPr>
              <w:t>(a)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87%–88%</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86%–87%</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COCM</w:t>
            </w:r>
            <w:r>
              <w:rPr>
                <w:rFonts w:ascii="Arial;sans-serif" w:hAnsi="Arial;sans-serif"/>
                <w:b w:val="false"/>
                <w:color w:val="000000"/>
                <w:sz w:val="14"/>
              </w:rPr>
              <w:t>(d)*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$1.000–$1.150 billion</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Capital expenditures</w:t>
            </w:r>
            <w:r>
              <w:rPr>
                <w:rFonts w:ascii="Arial;sans-serif" w:hAnsi="Arial;sans-serif"/>
                <w:b w:val="false"/>
                <w:color w:val="000000"/>
                <w:sz w:val="14"/>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$850–$975 million</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$850–$950 million</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effective tax rate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9%–11%</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effective tax rate</w:t>
            </w:r>
            <w:r>
              <w:rPr>
                <w:rFonts w:ascii="Arial;sans-serif" w:hAnsi="Arial;sans-serif"/>
                <w:b w:val="false"/>
                <w:color w:val="000000"/>
                <w:sz w:val="14"/>
              </w:rPr>
              <w:t>(a)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11%–13%</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GAAP and non-GAAP amounts are equivalent as no non-GAAP adjustments have been or are expected to be recorded</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A reconciliation of full year 2025 GAAP to non-GAAP financial guidance is included below:</w:t>
      </w:r>
    </w:p>
    <w:tbl>
      <w:tblPr>
        <w:tblW w:w="8571" w:type="dxa"/>
        <w:jc w:val="left"/>
        <w:tblInd w:w="0" w:type="dxa"/>
        <w:tblLayout w:type="fixed"/>
        <w:tblCellMar>
          <w:top w:w="28" w:type="dxa"/>
          <w:left w:w="28" w:type="dxa"/>
          <w:bottom w:w="28" w:type="dxa"/>
          <w:right w:w="28" w:type="dxa"/>
        </w:tblCellMar>
      </w:tblPr>
      <w:tblGrid>
        <w:gridCol w:w="2536"/>
        <w:gridCol w:w="1618"/>
        <w:gridCol w:w="1636"/>
        <w:gridCol w:w="109"/>
        <w:gridCol w:w="109"/>
        <w:gridCol w:w="109"/>
        <w:gridCol w:w="226"/>
        <w:gridCol w:w="706"/>
        <w:gridCol w:w="109"/>
        <w:gridCol w:w="109"/>
        <w:gridCol w:w="109"/>
        <w:gridCol w:w="109"/>
        <w:gridCol w:w="226"/>
        <w:gridCol w:w="706"/>
        <w:gridCol w:w="154"/>
      </w:tblGrid>
      <w:tr>
        <w:trPr/>
        <w:tc>
          <w:tcPr>
            <w:tcW w:w="253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Projected Range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22"/>
              </w:rPr>
            </w:pPr>
            <w:r>
              <w:rPr>
                <w:rFonts w:ascii="Arial;sans-serif" w:hAnsi="Arial;sans-serif"/>
                <w:b/>
                <w:color w:val="000000"/>
                <w:sz w:val="22"/>
              </w:rPr>
              <w:t>High</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GAAP R&amp;D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Non-GAAP R&amp;D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GAAP SG&amp;A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Non-GAAP SG&amp;A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gross margin on 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84%</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Non-GAAP gross margin on net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11%</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effect of GAAP to non-GAAP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2%</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Non-GAAP ETR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016"/>
        <w:gridCol w:w="2831"/>
        <w:gridCol w:w="40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left"/>
              <w:rPr>
                <w:rFonts w:ascii="Arial;sans-serif" w:hAnsi="Arial;sans-serif"/>
                <w:b w:val="false"/>
                <w:color w:val="000000"/>
                <w:sz w:val="22"/>
              </w:rPr>
            </w:pPr>
            <w:r>
              <w:rPr>
                <w:rFonts w:ascii="Arial;sans-serif" w:hAnsi="Arial;sans-serif"/>
                <w:b w:val="false"/>
                <w:color w:val="000000"/>
                <w:sz w:val="22"/>
              </w:rPr>
              <w:t>This press release uses non-GAAP R&amp;D, non-GAAP SG&amp;A, non-GAAP COGS, non-GAAP gross margin on net product sales, non-GAAP other operating (income) expense, net, non-GAAP other income (expense), net, non-GAAP ETR,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pStyle w:val="TableContents"/>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The Company's 2025 financial guidance does not assume the completion of any business development transactions not completed as of the date of this press release.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margin on net product sales represents gross profit expressed as a percentage of total net product sales recorded by the Company. Gross profit is calculated as net product sales less cost of goods sold.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w:t>
            </w:r>
          </w:p>
        </w:tc>
        <w:tc>
          <w:tcPr>
            <w:tcW w:w="98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Corresponding reimbursements from collaborators and others for manufacturing product is recorded within revenues.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Conference Call Information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Regeneron will host a conference call and simultaneous webcast to discuss its first quarter 2025 financial and operating results on Tuesday, April 29, 2025,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About Regeneron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pStyle w:val="TextBody"/>
        <w:bidi w:val="0"/>
        <w:spacing w:lineRule="auto" w:line="288" w:before="160" w:after="160"/>
        <w:jc w:val="left"/>
        <w:rPr/>
      </w:pPr>
      <w:r>
        <w:rPr>
          <w:rFonts w:ascii="Arial;sans-serif" w:hAnsi="Arial;sans-serif"/>
          <w:b w:val="false"/>
          <w:color w:val="000000"/>
          <w:sz w:val="24"/>
        </w:rPr>
        <w:t xml:space="preserve">Regeneron pushes the boundaries of scientific discovery and accelerates drug development using its proprietary technologies, such as </w:t>
      </w:r>
      <w:r>
        <w:rPr>
          <w:rFonts w:ascii="Arial;sans-serif" w:hAnsi="Arial;sans-serif"/>
          <w:b w:val="false"/>
          <w:i/>
          <w:color w:val="000000"/>
          <w:sz w:val="24"/>
        </w:rPr>
        <w:t>VelociSuite</w:t>
      </w:r>
      <w:r>
        <w:rPr>
          <w:rFonts w:ascii="Arial;sans-serif" w:hAnsi="Arial;sans-serif"/>
          <w:b w:val="false"/>
          <w:color w:val="000000"/>
          <w:sz w:val="16"/>
        </w:rPr>
        <w:t>®</w:t>
      </w:r>
      <w:r>
        <w:rPr>
          <w:rFonts w:ascii="Arial;sans-serif" w:hAnsi="Arial;sans-serif"/>
          <w:b w:val="false"/>
          <w:color w:val="000000"/>
          <w:sz w:val="24"/>
        </w:rPr>
        <w:t>, which produces optimized fully human antibodies and new classes of bispecific antibodies. Regeneron is shaping the next frontier of medicine with data-powered insights from the Regeneron Genetics Center</w:t>
      </w:r>
      <w:r>
        <w:rPr>
          <w:rFonts w:ascii="Arial;sans-serif" w:hAnsi="Arial;sans-serif"/>
          <w:b w:val="false"/>
          <w:color w:val="000000"/>
          <w:sz w:val="16"/>
        </w:rPr>
        <w:t>®</w:t>
      </w:r>
      <w:r>
        <w:rPr>
          <w:color w:val="000000"/>
        </w:rPr>
        <w:t> </w:t>
      </w:r>
      <w:r>
        <w:rPr>
          <w:rFonts w:ascii="Arial;sans-serif" w:hAnsi="Arial;sans-serif"/>
          <w:b w:val="false"/>
          <w:color w:val="000000"/>
          <w:sz w:val="24"/>
        </w:rPr>
        <w:t>and pioneering genetic medicine platforms, enabling Regeneron to identify innovative targets and complementary approaches to potentially treat or cure diseases.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For more information, please visit www.regeneron.com or follow Regeneron on LinkedIn, Instagram, Facebook, or X.</w: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Forward-Looking Statements and Use of Digital Media</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competing drugs and product candidates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(including biosimilar versions of Regeneron's Products);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 the nature, timing, and possible success and therapeutic applications of Regeneron's Products and Regeneron's Product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jc w:val="left"/>
        <w:rPr/>
      </w:pPr>
      <w:r>
        <w:rPr>
          <w:rFonts w:ascii="Arial;sans-serif" w:hAnsi="Arial;sans-serif"/>
          <w:b w:val="false"/>
          <w:color w:val="000000"/>
          <w:sz w:val="24"/>
        </w:rPr>
        <w:t>Candidates and research and clinical programs now underway or planned, including without limitation EYLEA HD</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(aflibercept) Injection 8 mg, EYLEA</w:t>
      </w:r>
      <w:r>
        <w:rPr>
          <w:rFonts w:ascii="Arial;sans-serif" w:hAnsi="Arial;sans-serif"/>
          <w:b/>
          <w:color w:val="000000"/>
          <w:sz w:val="16"/>
        </w:rPr>
        <w:t>®</w:t>
      </w:r>
      <w:r>
        <w:rPr>
          <w:color w:val="000000"/>
        </w:rPr>
        <w:t xml:space="preserve"> </w:t>
      </w:r>
      <w:r>
        <w:rPr>
          <w:rFonts w:ascii="Arial;sans-serif" w:hAnsi="Arial;sans-serif"/>
          <w:b w:val="false"/>
          <w:color w:val="000000"/>
          <w:sz w:val="24"/>
        </w:rPr>
        <w:t>(aflibercept) Injection, Dupixent</w:t>
      </w:r>
      <w:r>
        <w:rPr>
          <w:rFonts w:ascii="Arial;sans-serif" w:hAnsi="Arial;sans-serif"/>
          <w:b/>
          <w:color w:val="000000"/>
          <w:sz w:val="16"/>
        </w:rPr>
        <w:t>®</w:t>
      </w:r>
      <w:r>
        <w:rPr>
          <w:color w:val="000000"/>
        </w:rPr>
        <w:t xml:space="preserve"> </w:t>
      </w:r>
      <w:r>
        <w:rPr>
          <w:rFonts w:ascii="Arial;sans-serif" w:hAnsi="Arial;sans-serif"/>
          <w:b w:val="false"/>
          <w:color w:val="000000"/>
          <w:sz w:val="24"/>
        </w:rPr>
        <w:t>(dupilumab), Libtayo</w:t>
      </w:r>
      <w:r>
        <w:rPr>
          <w:rFonts w:ascii="Arial;sans-serif" w:hAnsi="Arial;sans-serif"/>
          <w:b/>
          <w:color w:val="000000"/>
          <w:sz w:val="16"/>
        </w:rPr>
        <w:t>®</w:t>
      </w:r>
      <w:r>
        <w:rPr>
          <w:color w:val="000000"/>
        </w:rPr>
        <w:t xml:space="preserve"> </w:t>
      </w:r>
      <w:r>
        <w:rPr>
          <w:rFonts w:ascii="Arial;sans-serif" w:hAnsi="Arial;sans-serif"/>
          <w:b w:val="false"/>
          <w:color w:val="000000"/>
          <w:sz w:val="24"/>
        </w:rPr>
        <w:t>(cemiplimab), Praluent</w:t>
      </w:r>
      <w:r>
        <w:rPr>
          <w:rFonts w:ascii="Arial;sans-serif" w:hAnsi="Arial;sans-serif"/>
          <w:b/>
          <w:color w:val="000000"/>
          <w:sz w:val="16"/>
        </w:rPr>
        <w:t>®</w:t>
      </w:r>
      <w:r>
        <w:rPr>
          <w:color w:val="000000"/>
        </w:rPr>
        <w:t xml:space="preserve"> </w:t>
      </w:r>
      <w:r>
        <w:rPr>
          <w:rFonts w:ascii="Arial;sans-serif" w:hAnsi="Arial;sans-serif"/>
          <w:b w:val="false"/>
          <w:color w:val="000000"/>
          <w:sz w:val="24"/>
        </w:rPr>
        <w:t>(alirocumab), Kevzara</w:t>
      </w:r>
      <w:r>
        <w:rPr>
          <w:rFonts w:ascii="Arial;sans-serif" w:hAnsi="Arial;sans-serif"/>
          <w:b/>
          <w:color w:val="000000"/>
          <w:sz w:val="16"/>
        </w:rPr>
        <w:t>®</w:t>
      </w:r>
      <w:r>
        <w:rPr>
          <w:color w:val="000000"/>
        </w:rPr>
        <w:t xml:space="preserve"> </w:t>
      </w:r>
      <w:r>
        <w:rPr>
          <w:rFonts w:ascii="Arial;sans-serif" w:hAnsi="Arial;sans-serif"/>
          <w:b w:val="false"/>
          <w:color w:val="000000"/>
          <w:sz w:val="24"/>
        </w:rPr>
        <w:t>(sarilumab), Evkeeza</w:t>
      </w:r>
      <w:r>
        <w:rPr>
          <w:rFonts w:ascii="Arial;sans-serif" w:hAnsi="Arial;sans-serif"/>
          <w:b/>
          <w:color w:val="000000"/>
          <w:sz w:val="16"/>
        </w:rPr>
        <w:t>®</w:t>
      </w:r>
      <w:r>
        <w:rPr>
          <w:color w:val="000000"/>
        </w:rPr>
        <w:t xml:space="preserve"> </w:t>
      </w:r>
      <w:r>
        <w:rPr>
          <w:rFonts w:ascii="Arial;sans-serif" w:hAnsi="Arial;sans-serif"/>
          <w:b w:val="false"/>
          <w:color w:val="000000"/>
          <w:sz w:val="24"/>
        </w:rPr>
        <w:t>(evinacumab), Veopoz</w:t>
      </w:r>
      <w:r>
        <w:rPr>
          <w:rFonts w:ascii="Arial;sans-serif" w:hAnsi="Arial;sans-serif"/>
          <w:b/>
          <w:color w:val="000000"/>
          <w:sz w:val="16"/>
        </w:rPr>
        <w:t>®</w:t>
      </w:r>
      <w:r>
        <w:rPr>
          <w:color w:val="000000"/>
        </w:rPr>
        <w:t xml:space="preserve"> </w:t>
      </w:r>
      <w:r>
        <w:rPr>
          <w:rFonts w:ascii="Arial;sans-serif" w:hAnsi="Arial;sans-serif"/>
          <w:b w:val="false"/>
          <w:color w:val="000000"/>
          <w:sz w:val="24"/>
        </w:rPr>
        <w:t>(pozelimab), Ordspono</w:t>
      </w:r>
      <w:r>
        <w:rPr>
          <w:color w:val="000000"/>
        </w:rPr>
        <w:t xml:space="preserve">™ </w:t>
      </w:r>
      <w:r>
        <w:rPr>
          <w:rFonts w:ascii="Arial;sans-serif" w:hAnsi="Arial;sans-serif"/>
          <w:b w:val="false"/>
          <w:color w:val="000000"/>
          <w:sz w:val="24"/>
        </w:rPr>
        <w:t>(odronextamab), Lynozyfic</w:t>
      </w:r>
      <w:r>
        <w:rPr>
          <w:color w:val="000000"/>
        </w:rPr>
        <w:t xml:space="preserve">™ </w:t>
      </w:r>
      <w:r>
        <w:rPr>
          <w:rFonts w:ascii="Arial;sans-serif" w:hAnsi="Arial;sans-serif"/>
          <w:b w:val="false"/>
          <w:color w:val="000000"/>
          <w:sz w:val="24"/>
        </w:rPr>
        <w:t xml:space="preserve">(linvoseltamab), itepekimab, fianlimab, garetosmab, Regeneron's other oncology programs (including its costimulatory bispecific portfolio), REGN5713-5715, nexiguran ziclumeran (nex-z, NTLA-2001), REGN1908-1909, mibavademab,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the ability of Regeneron to manufacture and manage supply chains for multiple products and product candidates and risks associated with tariffs and other trade restrictions;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 coverage and reimbursement determinations by such payors and other third parties and new policies and procedures adopted by such payors and other third parties;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w:t>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U.S. Securities and Exchange Commission, including its Form 10-K for the fiscal year ended December 31, 2024 and its Form 10-Q for the quarterly period ended March 31, 2025.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pStyle w:val="TextBody"/>
        <w:bidi w:val="0"/>
        <w:spacing w:lineRule="auto" w:line="288" w:before="160" w:after="283"/>
        <w:jc w:val="left"/>
        <w:rPr>
          <w:rFonts w:ascii="Arial;sans-serif" w:hAnsi="Arial;sans-serif"/>
          <w:b w:val="false"/>
          <w:color w:val="000000"/>
          <w:sz w:val="24"/>
        </w:rPr>
      </w:pPr>
      <w:r>
        <w:rPr>
          <w:rFonts w:ascii="Arial;sans-serif" w:hAnsi="Arial;sans-serif"/>
          <w:b w:val="false"/>
          <w:color w:val="000000"/>
          <w:sz w:val="24"/>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This press release and/or the financial results attached to this press release include amounts that are considered "non-GAAP financial measures" under SEC rules. As required, Regeneron has provided reconciliations of such non-GAAP financial measures.</w: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val="false"/>
          <w:color w:val="000000"/>
          <w:sz w:val="18"/>
        </w:rPr>
      </w:pPr>
      <w:r>
        <w:rPr>
          <w:rFonts w:ascii="Arial;sans-serif" w:hAnsi="Arial;sans-serif"/>
          <w:b w:val="false"/>
          <w:color w:val="000000"/>
          <w:sz w:val="18"/>
        </w:rPr>
        <w:t>###</w:t>
      </w:r>
    </w:p>
    <w:tbl>
      <w:tblPr>
        <w:tblW w:w="5729" w:type="dxa"/>
        <w:jc w:val="center"/>
        <w:tblInd w:w="0" w:type="dxa"/>
        <w:tblLayout w:type="fixed"/>
        <w:tblCellMar>
          <w:top w:w="28" w:type="dxa"/>
          <w:left w:w="28" w:type="dxa"/>
          <w:bottom w:w="28" w:type="dxa"/>
          <w:right w:w="28" w:type="dxa"/>
        </w:tblCellMar>
      </w:tblPr>
      <w:tblGrid>
        <w:gridCol w:w="923"/>
        <w:gridCol w:w="811"/>
        <w:gridCol w:w="817"/>
        <w:gridCol w:w="109"/>
        <w:gridCol w:w="109"/>
        <w:gridCol w:w="109"/>
        <w:gridCol w:w="986"/>
        <w:gridCol w:w="771"/>
        <w:gridCol w:w="109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Contact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Crowe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Christina Chan</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Affairs</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914-847-8790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914-847-8827</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ryan.crowe@regeneron.com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christina.chan@regeneron.com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w:t>
      </w:r>
    </w:p>
    <w:tbl>
      <w:tblPr>
        <w:tblW w:w="8429" w:type="dxa"/>
        <w:jc w:val="center"/>
        <w:tblInd w:w="0" w:type="dxa"/>
        <w:tblLayout w:type="fixed"/>
        <w:tblCellMar>
          <w:top w:w="28" w:type="dxa"/>
          <w:left w:w="28" w:type="dxa"/>
          <w:bottom w:w="28" w:type="dxa"/>
          <w:right w:w="28" w:type="dxa"/>
        </w:tblCellMar>
      </w:tblPr>
      <w:tblGrid>
        <w:gridCol w:w="1850"/>
        <w:gridCol w:w="1628"/>
        <w:gridCol w:w="1652"/>
        <w:gridCol w:w="109"/>
        <w:gridCol w:w="109"/>
        <w:gridCol w:w="109"/>
        <w:gridCol w:w="211"/>
        <w:gridCol w:w="916"/>
        <w:gridCol w:w="109"/>
        <w:gridCol w:w="109"/>
        <w:gridCol w:w="109"/>
        <w:gridCol w:w="109"/>
        <w:gridCol w:w="232"/>
        <w:gridCol w:w="1008"/>
        <w:gridCol w:w="169"/>
      </w:tblGrid>
      <w:tr>
        <w:trPr/>
        <w:tc>
          <w:tcPr>
            <w:tcW w:w="1850"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37,759.4 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37,759.4 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 except per share data)</w:t>
      </w:r>
    </w:p>
    <w:tbl>
      <w:tblPr>
        <w:tblW w:w="7356" w:type="dxa"/>
        <w:jc w:val="center"/>
        <w:tblInd w:w="0" w:type="dxa"/>
        <w:tblLayout w:type="fixed"/>
        <w:tblCellMar>
          <w:top w:w="28" w:type="dxa"/>
          <w:left w:w="28" w:type="dxa"/>
          <w:bottom w:w="28" w:type="dxa"/>
          <w:right w:w="28" w:type="dxa"/>
        </w:tblCellMar>
      </w:tblPr>
      <w:tblGrid>
        <w:gridCol w:w="1591"/>
        <w:gridCol w:w="1398"/>
        <w:gridCol w:w="1406"/>
        <w:gridCol w:w="109"/>
        <w:gridCol w:w="109"/>
        <w:gridCol w:w="109"/>
        <w:gridCol w:w="211"/>
        <w:gridCol w:w="811"/>
        <w:gridCol w:w="109"/>
        <w:gridCol w:w="109"/>
        <w:gridCol w:w="109"/>
        <w:gridCol w:w="109"/>
        <w:gridCol w:w="211"/>
        <w:gridCol w:w="811"/>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Three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collaboration and contract manufacturing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3</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FINANCIAL INFORMATION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 except per share data)</w:t>
      </w:r>
    </w:p>
    <w:tbl>
      <w:tblPr>
        <w:tblW w:w="8256" w:type="dxa"/>
        <w:jc w:val="center"/>
        <w:tblInd w:w="0" w:type="dxa"/>
        <w:tblLayout w:type="fixed"/>
        <w:tblCellMar>
          <w:top w:w="28" w:type="dxa"/>
          <w:left w:w="28" w:type="dxa"/>
          <w:bottom w:w="28" w:type="dxa"/>
          <w:right w:w="28" w:type="dxa"/>
        </w:tblCellMar>
      </w:tblPr>
      <w:tblGrid>
        <w:gridCol w:w="1919"/>
        <w:gridCol w:w="1680"/>
        <w:gridCol w:w="1696"/>
        <w:gridCol w:w="109"/>
        <w:gridCol w:w="109"/>
        <w:gridCol w:w="109"/>
        <w:gridCol w:w="211"/>
        <w:gridCol w:w="811"/>
        <w:gridCol w:w="109"/>
        <w:gridCol w:w="109"/>
        <w:gridCol w:w="109"/>
        <w:gridCol w:w="109"/>
        <w:gridCol w:w="211"/>
        <w:gridCol w:w="81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Three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R&amp;D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R&amp;D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GAAP 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Non-GAAP 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of GAAP to non-GAAP reconciling items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effect of GAAP to non-GAAP reconciling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used in calculating: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center"/>
        <w:rPr/>
      </w:pPr>
      <w:r>
        <w:rPr>
          <w:rFonts w:ascii="Arial;sans-serif" w:hAnsi="Arial;sans-serif"/>
          <w:b/>
          <w:color w:val="000000"/>
          <w:sz w:val="20"/>
        </w:rPr>
        <w:t xml:space="preserve">RECONCILIATION OF GAAP TO NON-GAAP FINANCIAL INFORMATION (Unaudited) </w:t>
      </w:r>
      <w:r>
        <w:rPr>
          <w:rFonts w:ascii="Arial;sans-serif" w:hAnsi="Arial;sans-serif"/>
          <w:b/>
          <w:i/>
          <w:color w:val="000000"/>
          <w:sz w:val="20"/>
        </w:rPr>
        <w:t>(continued)</w:t>
      </w:r>
    </w:p>
    <w:p>
      <w:pPr>
        <w:pStyle w:val="TextBody"/>
        <w:bidi w:val="0"/>
        <w:spacing w:before="0" w:after="0"/>
        <w:jc w:val="center"/>
        <w:rPr/>
      </w:pPr>
      <w:r>
        <w:rPr/>
      </w:r>
    </w:p>
    <w:tbl>
      <w:tblPr>
        <w:tblW w:w="8196" w:type="dxa"/>
        <w:jc w:val="center"/>
        <w:tblInd w:w="0" w:type="dxa"/>
        <w:tblLayout w:type="fixed"/>
        <w:tblCellMar>
          <w:top w:w="28" w:type="dxa"/>
          <w:left w:w="28" w:type="dxa"/>
          <w:bottom w:w="28" w:type="dxa"/>
          <w:right w:w="28" w:type="dxa"/>
        </w:tblCellMar>
      </w:tblPr>
      <w:tblGrid>
        <w:gridCol w:w="1898"/>
        <w:gridCol w:w="1665"/>
        <w:gridCol w:w="1672"/>
        <w:gridCol w:w="109"/>
        <w:gridCol w:w="109"/>
        <w:gridCol w:w="109"/>
        <w:gridCol w:w="211"/>
        <w:gridCol w:w="811"/>
        <w:gridCol w:w="109"/>
        <w:gridCol w:w="109"/>
        <w:gridCol w:w="109"/>
        <w:gridCol w:w="109"/>
        <w:gridCol w:w="211"/>
        <w:gridCol w:w="811"/>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Three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Effective tax rate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ETR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(3.0%)</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effect of GAAP to non-GAAP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Gross margin on net product sales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GAAP gross margin on 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86%</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Non-GAAP gross margin on net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Free cash flow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Capital expenditures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COLLABORATION REVENUE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691"/>
        <w:gridCol w:w="2270"/>
        <w:gridCol w:w="2281"/>
        <w:gridCol w:w="109"/>
        <w:gridCol w:w="109"/>
        <w:gridCol w:w="109"/>
        <w:gridCol w:w="211"/>
        <w:gridCol w:w="811"/>
        <w:gridCol w:w="109"/>
        <w:gridCol w:w="109"/>
        <w:gridCol w:w="109"/>
        <w:gridCol w:w="109"/>
        <w:gridCol w:w="211"/>
        <w:gridCol w:w="811"/>
        <w:gridCol w:w="156"/>
      </w:tblGrid>
      <w:tr>
        <w:trPr/>
        <w:tc>
          <w:tcPr>
            <w:tcW w:w="2691"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Three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r>
      <w:tr>
        <w:trPr/>
        <w:tc>
          <w:tcPr>
            <w:tcW w:w="7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Sanofi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Regeneron's share of profits in connection with commercialization of antibodies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Reimbursement for manufacturing of commercial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Sanofi collaboration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Bayer collaboration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Regeneron's share of profits in connection with commercialization of EYLEA 8 mg and EYLEA outside the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Reimbursement for manufacturing of commercial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Bayer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5</w:t>
      </w:r>
    </w:p>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NET PRODUCT SALES OF REGENERON-DISCOVERED PRODUCTS (Unaudited)</w:t>
      </w:r>
    </w:p>
    <w:p>
      <w:pPr>
        <w:pStyle w:val="TextBody"/>
        <w:bidi w:val="0"/>
        <w:spacing w:lineRule="auto" w:line="288" w:before="0" w:after="120"/>
        <w:jc w:val="center"/>
        <w:rPr>
          <w:rFonts w:ascii="Arial;sans-serif" w:hAnsi="Arial;sans-serif"/>
          <w:b/>
          <w:i/>
          <w:color w:val="000000"/>
          <w:sz w:val="20"/>
        </w:rPr>
      </w:pPr>
      <w:r>
        <w:rPr>
          <w:rFonts w:ascii="Arial;sans-serif" w:hAnsi="Arial;sans-serif"/>
          <w:b/>
          <w:i/>
          <w:color w:val="000000"/>
          <w:sz w:val="20"/>
        </w:rPr>
        <w:t>(In millions)</w:t>
      </w:r>
    </w:p>
    <w:tbl>
      <w:tblPr>
        <w:tblW w:w="10984" w:type="dxa"/>
        <w:jc w:val="center"/>
        <w:tblInd w:w="0" w:type="dxa"/>
        <w:tblLayout w:type="fixed"/>
        <w:tblCellMar>
          <w:top w:w="28" w:type="dxa"/>
          <w:left w:w="28" w:type="dxa"/>
          <w:bottom w:w="28" w:type="dxa"/>
          <w:right w:w="28" w:type="dxa"/>
        </w:tblCellMar>
      </w:tblPr>
      <w:tblGrid>
        <w:gridCol w:w="442"/>
        <w:gridCol w:w="244"/>
        <w:gridCol w:w="245"/>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646"/>
        <w:gridCol w:w="109"/>
        <w:gridCol w:w="109"/>
        <w:gridCol w:w="109"/>
        <w:gridCol w:w="109"/>
        <w:gridCol w:w="211"/>
        <w:gridCol w:w="811"/>
        <w:gridCol w:w="109"/>
        <w:gridCol w:w="109"/>
        <w:gridCol w:w="109"/>
        <w:gridCol w:w="109"/>
        <w:gridCol w:w="258"/>
        <w:gridCol w:w="223"/>
        <w:gridCol w:w="662"/>
      </w:tblGrid>
      <w:tr>
        <w:trPr/>
        <w:tc>
          <w:tcPr>
            <w:tcW w:w="4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Three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Sales)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EYLEA HD</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EYLEA</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EYLEA HD and EYLEA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Dupixent</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Libtayo</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Praluent</w:t>
            </w:r>
            <w:r>
              <w:rPr>
                <w:rFonts w:ascii="Arial;sans-serif" w:hAnsi="Arial;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Kevzara</w:t>
            </w:r>
            <w:r>
              <w:rPr>
                <w:rFonts w:ascii="Arial;sans-serif" w:hAnsi="Arial;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products</w:t>
            </w:r>
            <w:r>
              <w:rPr>
                <w:rFonts w:ascii="Arial;sans-serif" w:hAnsi="Arial;sans-serif"/>
                <w:b w:val="false"/>
                <w:color w:val="000000"/>
                <w:sz w:val="13"/>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4"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The table above includes net product sales of Regeneron-discovered products. Such net product sales are recorded by the Company or others, as further described in the footnotes below.</w:t>
            </w:r>
          </w:p>
        </w:tc>
      </w:tr>
      <w:tr>
        <w:trPr/>
        <w:tc>
          <w:tcPr>
            <w:tcW w:w="10984"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18"/>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tc>
      </w:tr>
      <w:tr>
        <w:trPr/>
        <w:tc>
          <w:tcPr>
            <w:tcW w:w="10984"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(b)</w:t>
            </w:r>
            <w:r>
              <w:rPr>
                <w:color w:val="000000"/>
              </w:rPr>
              <w:t xml:space="preserve"> </w:t>
            </w:r>
            <w:r>
              <w:rPr>
                <w:rFonts w:ascii="Arial;sans-serif" w:hAnsi="Arial;sans-serif"/>
                <w:b w:val="false"/>
                <w:color w:val="000000"/>
                <w:sz w:val="18"/>
              </w:rPr>
              <w:t xml:space="preserve">Sanofi records global net product sales of Dupixent and Kevzara, and the Company records its share of profits in connection with global sales of such products within Collaboration revenue </w:t>
            </w:r>
          </w:p>
        </w:tc>
      </w:tr>
      <w:tr>
        <w:trPr/>
        <w:tc>
          <w:tcPr>
            <w:tcW w:w="10984"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(c)</w:t>
            </w:r>
            <w:r>
              <w:rPr>
                <w:color w:val="000000"/>
              </w:rPr>
              <w:t xml:space="preserve"> </w:t>
            </w:r>
            <w:r>
              <w:rPr>
                <w:rFonts w:ascii="Arial;sans-serif" w:hAnsi="Arial;sans-serif"/>
                <w:b w:val="false"/>
                <w:color w:val="000000"/>
                <w:sz w:val="18"/>
              </w:rPr>
              <w:t>The Company records global net product sales of Libtayo and pays Sanofi a royalty on such sales</w:t>
            </w:r>
          </w:p>
        </w:tc>
      </w:tr>
      <w:tr>
        <w:trPr/>
        <w:tc>
          <w:tcPr>
            <w:tcW w:w="10984"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(d)</w:t>
            </w:r>
            <w:r>
              <w:rPr>
                <w:color w:val="000000"/>
              </w:rPr>
              <w:t xml:space="preserve"> </w:t>
            </w:r>
            <w:r>
              <w:rPr>
                <w:rFonts w:ascii="Arial;sans-serif" w:hAnsi="Arial;sans-serif"/>
                <w:b w:val="false"/>
                <w:color w:val="000000"/>
                <w:sz w:val="18"/>
              </w:rPr>
              <w:t>The Company records net product sales of Praluent in the United States. Sanofi records net product sales of Praluent outside the United States and pays the Company a royalty on such sales, which is recorded within Other revenue.</w:t>
            </w:r>
          </w:p>
        </w:tc>
      </w:tr>
      <w:tr>
        <w:trPr/>
        <w:tc>
          <w:tcPr>
            <w:tcW w:w="10984"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(e)</w:t>
            </w:r>
            <w:r>
              <w:rPr>
                <w:color w:val="000000"/>
              </w:rPr>
              <w:t xml:space="preserve"> </w:t>
            </w:r>
            <w:r>
              <w:rPr>
                <w:rFonts w:ascii="Arial;sans-serif" w:hAnsi="Arial;sans-serif"/>
                <w:b w:val="false"/>
                <w:color w:val="000000"/>
                <w:sz w:val="18"/>
              </w:rPr>
              <w:t>Included in this line item are products which are sold by the Company and others. Refer to "First Quarter 2025 Financial Results" section above for a complete listing of net product sales recorded by the Company. Not included in this line item are net product sales of ARCALYST</w:t>
            </w:r>
            <w:r>
              <w:rPr>
                <w:rFonts w:ascii="Times New Roman;sans-serif" w:hAnsi="Times New Roman;sans-serif"/>
                <w:b w:val="false"/>
                <w:color w:val="000000"/>
                <w:sz w:val="12"/>
              </w:rPr>
              <w:t>®</w:t>
            </w:r>
            <w:r>
              <w:rPr>
                <w:rFonts w:ascii="Arial;sans-serif" w:hAnsi="Arial;sans-serif"/>
                <w:b w:val="false"/>
                <w:color w:val="000000"/>
                <w:sz w:val="18"/>
              </w:rPr>
              <w:t>, which are recorded by Kiniksa.</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5838</Words>
  <Characters>32898</Characters>
  <CharactersWithSpaces>38125</CharactersWithSpaces>
  <Paragraphs>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