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5"/>
        <w:spacing w:after="0"/>
        <w:rPr>
          <w:sz w:val="20"/>
          <w:szCs w:val="20"/>
          <w:color w:val="auto"/>
        </w:rPr>
      </w:pPr>
      <w:r>
        <w:rPr>
          <w:rFonts w:ascii="Courier New" w:cs="Courier New" w:eastAsia="Courier New" w:hAnsi="Courier New"/>
          <w:sz w:val="15"/>
          <w:szCs w:val="15"/>
          <w:color w:val="auto"/>
        </w:rPr>
        <w:t>AS FILED WITH THE SECURITIES AND EXCHANGE COMMISSION ON MARCH 10, 2000</w:t>
      </w:r>
    </w:p>
    <w:p>
      <w:pPr>
        <w:spacing w:after="0" w:line="363" w:lineRule="exact"/>
        <w:rPr>
          <w:sz w:val="24"/>
          <w:szCs w:val="24"/>
          <w:color w:val="auto"/>
        </w:rPr>
      </w:pPr>
    </w:p>
    <w:p>
      <w:pPr>
        <w:ind w:left="4985"/>
        <w:spacing w:after="0"/>
        <w:rPr>
          <w:sz w:val="20"/>
          <w:szCs w:val="20"/>
          <w:color w:val="auto"/>
        </w:rPr>
      </w:pPr>
      <w:r>
        <w:rPr>
          <w:rFonts w:ascii="Courier New" w:cs="Courier New" w:eastAsia="Courier New" w:hAnsi="Courier New"/>
          <w:sz w:val="15"/>
          <w:szCs w:val="15"/>
          <w:color w:val="auto"/>
        </w:rPr>
        <w:t>REGISTRATION NO. 333-31764</w:t>
      </w:r>
    </w:p>
    <w:p>
      <w:pPr>
        <w:spacing w:after="0" w:line="185"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1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7" w:lineRule="exact"/>
        <w:rPr>
          <w:rFonts w:ascii="Courier New" w:cs="Courier New" w:eastAsia="Courier New" w:hAnsi="Courier New"/>
          <w:sz w:val="15"/>
          <w:szCs w:val="15"/>
          <w:color w:val="auto"/>
        </w:rPr>
      </w:pPr>
    </w:p>
    <w:p>
      <w:pPr>
        <w:ind w:left="26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AMENDMENT NO. 1</w:t>
      </w:r>
    </w:p>
    <w:p>
      <w:pPr>
        <w:spacing w:after="0" w:line="8"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S-3</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REGISTRATION STATEMENT</w:t>
      </w:r>
    </w:p>
    <w:p>
      <w:pPr>
        <w:spacing w:after="0" w:line="8" w:lineRule="exact"/>
        <w:rPr>
          <w:sz w:val="24"/>
          <w:szCs w:val="24"/>
          <w:color w:val="auto"/>
        </w:rPr>
      </w:pPr>
    </w:p>
    <w:p>
      <w:pPr>
        <w:ind w:left="3425"/>
        <w:spacing w:after="0"/>
        <w:rPr>
          <w:sz w:val="20"/>
          <w:szCs w:val="20"/>
          <w:color w:val="auto"/>
        </w:rPr>
      </w:pPr>
      <w:r>
        <w:rPr>
          <w:rFonts w:ascii="Courier New" w:cs="Courier New" w:eastAsia="Courier New" w:hAnsi="Courier New"/>
          <w:sz w:val="15"/>
          <w:szCs w:val="15"/>
          <w:color w:val="auto"/>
        </w:rPr>
        <w:t>UNDER</w:t>
      </w:r>
    </w:p>
    <w:p>
      <w:pPr>
        <w:spacing w:after="0" w:line="8"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THE SECURITIES ACT OF 1933</w:t>
      </w:r>
    </w:p>
    <w:p>
      <w:pPr>
        <w:spacing w:after="0" w:line="363"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54"/>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44"/>
          </w:cols>
          <w:pgMar w:left="315" w:top="769" w:right="1440" w:bottom="0" w:gutter="0" w:footer="0" w:header="0"/>
        </w:sectPr>
      </w:pPr>
    </w:p>
    <w:p>
      <w:pPr>
        <w:spacing w:after="0" w:line="185" w:lineRule="exact"/>
        <w:rPr>
          <w:sz w:val="24"/>
          <w:szCs w:val="24"/>
          <w:color w:val="auto"/>
        </w:rPr>
      </w:pPr>
    </w:p>
    <w:p>
      <w:pPr>
        <w:jc w:val="center"/>
        <w:ind w:right="1875"/>
        <w:spacing w:after="0"/>
        <w:rPr>
          <w:sz w:val="20"/>
          <w:szCs w:val="20"/>
          <w:color w:val="auto"/>
        </w:rPr>
      </w:pPr>
      <w:r>
        <w:rPr>
          <w:rFonts w:ascii="Courier New" w:cs="Courier New" w:eastAsia="Courier New" w:hAnsi="Courier New"/>
          <w:sz w:val="15"/>
          <w:szCs w:val="15"/>
          <w:color w:val="auto"/>
        </w:rPr>
        <w:t>NEW YORK</w:t>
      </w:r>
    </w:p>
    <w:p>
      <w:pPr>
        <w:spacing w:after="0" w:line="8" w:lineRule="exact"/>
        <w:rPr>
          <w:sz w:val="24"/>
          <w:szCs w:val="24"/>
          <w:color w:val="auto"/>
        </w:rPr>
      </w:pPr>
    </w:p>
    <w:p>
      <w:pPr>
        <w:jc w:val="center"/>
        <w:ind w:right="195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jc w:val="center"/>
        <w:ind w:right="187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13-3444607</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825" w:space="720"/>
            <w:col w:w="4599"/>
          </w:cols>
          <w:pgMar w:left="315" w:top="769" w:right="1440" w:bottom="0" w:gutter="0" w:footer="0" w:header="0"/>
          <w:type w:val="continuous"/>
        </w:sectPr>
      </w:pPr>
    </w:p>
    <w:p>
      <w:pPr>
        <w:ind w:left="2405"/>
        <w:spacing w:after="0"/>
        <w:rPr>
          <w:sz w:val="20"/>
          <w:szCs w:val="20"/>
          <w:color w:val="auto"/>
        </w:rPr>
      </w:pPr>
      <w:r>
        <w:rPr>
          <w:rFonts w:ascii="Courier New" w:cs="Courier New" w:eastAsia="Courier New" w:hAnsi="Courier New"/>
          <w:sz w:val="15"/>
          <w:szCs w:val="15"/>
          <w:color w:val="auto"/>
        </w:rPr>
        <w:t>777 OLD SAW MILL RIVER ROAD</w:t>
      </w:r>
    </w:p>
    <w:p>
      <w:pPr>
        <w:spacing w:after="0" w:line="8"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TARRYTOWN, NEW YORK 10591-6707</w:t>
      </w:r>
    </w:p>
    <w:p>
      <w:pPr>
        <w:spacing w:after="0" w:line="8" w:lineRule="exact"/>
        <w:rPr>
          <w:sz w:val="24"/>
          <w:szCs w:val="24"/>
          <w:color w:val="auto"/>
        </w:rPr>
      </w:pPr>
    </w:p>
    <w:p>
      <w:pPr>
        <w:ind w:left="3045"/>
        <w:spacing w:after="0"/>
        <w:rPr>
          <w:sz w:val="20"/>
          <w:szCs w:val="20"/>
          <w:color w:val="auto"/>
        </w:rPr>
      </w:pPr>
      <w:r>
        <w:rPr>
          <w:rFonts w:ascii="Courier New" w:cs="Courier New" w:eastAsia="Courier New" w:hAnsi="Courier New"/>
          <w:sz w:val="15"/>
          <w:szCs w:val="15"/>
          <w:color w:val="auto"/>
        </w:rPr>
        <w:t>(914) 347-7000</w:t>
      </w:r>
    </w:p>
    <w:p>
      <w:pPr>
        <w:spacing w:after="0" w:line="8" w:lineRule="exact"/>
        <w:rPr>
          <w:sz w:val="24"/>
          <w:szCs w:val="24"/>
          <w:color w:val="auto"/>
        </w:rPr>
      </w:pPr>
    </w:p>
    <w:p>
      <w:pPr>
        <w:ind w:left="645" w:right="3499" w:firstLine="739"/>
        <w:spacing w:after="0" w:line="256"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70"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MURRAY A. GOLDBERG</w:t>
      </w:r>
    </w:p>
    <w:p>
      <w:pPr>
        <w:spacing w:after="0" w:line="8" w:lineRule="exact"/>
        <w:rPr>
          <w:sz w:val="24"/>
          <w:szCs w:val="24"/>
          <w:color w:val="auto"/>
        </w:rPr>
      </w:pPr>
    </w:p>
    <w:tbl>
      <w:tblPr>
        <w:tblLayout w:type="fixed"/>
        <w:tblInd w:w="2225" w:type="dxa"/>
        <w:tblCellMar>
          <w:top w:w="0" w:type="dxa"/>
          <w:left w:w="0" w:type="dxa"/>
          <w:bottom w:w="0" w:type="dxa"/>
          <w:right w:w="0" w:type="dxa"/>
        </w:tblCellMar>
      </w:tblPr>
      <w:tr>
        <w:trPr>
          <w:trHeight w:val="174"/>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CHIEF</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FINANCIAL OFFICER</w:t>
            </w:r>
          </w:p>
        </w:tc>
      </w:tr>
      <w:tr>
        <w:trPr>
          <w:trHeight w:val="178"/>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REGENERON</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PHARMACEUTICALS, INC.</w:t>
            </w:r>
          </w:p>
        </w:tc>
      </w:tr>
      <w:tr>
        <w:trPr>
          <w:trHeight w:val="178"/>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777 OLD</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SAW MILL RIVER ROAD</w:t>
            </w:r>
          </w:p>
        </w:tc>
      </w:tr>
    </w:tbl>
    <w:p>
      <w:pPr>
        <w:spacing w:after="0" w:line="3"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TARRYTOWN, NEW YORK 10591-6707</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(914) 347-7000</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144"/>
          </w:cols>
          <w:pgMar w:left="315" w:top="769" w:right="1440" w:bottom="0" w:gutter="0" w:footer="0" w:header="0"/>
          <w:type w:val="continuous"/>
        </w:sectPr>
      </w:pPr>
    </w:p>
    <w:p>
      <w:pPr>
        <w:spacing w:after="0" w:line="185"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MATTHEW J. MALLOW, ESQ.</w:t>
      </w:r>
    </w:p>
    <w:p>
      <w:pPr>
        <w:spacing w:after="0" w:line="8" w:lineRule="exact"/>
        <w:rPr>
          <w:sz w:val="24"/>
          <w:szCs w:val="24"/>
          <w:color w:val="auto"/>
        </w:rPr>
      </w:pPr>
    </w:p>
    <w:p>
      <w:pPr>
        <w:ind w:left="745"/>
        <w:spacing w:after="0"/>
        <w:rPr>
          <w:sz w:val="20"/>
          <w:szCs w:val="20"/>
          <w:color w:val="auto"/>
        </w:rPr>
      </w:pPr>
      <w:r>
        <w:rPr>
          <w:rFonts w:ascii="Courier New" w:cs="Courier New" w:eastAsia="Courier New" w:hAnsi="Courier New"/>
          <w:sz w:val="15"/>
          <w:szCs w:val="15"/>
          <w:color w:val="auto"/>
        </w:rPr>
        <w:t>DAVID J. GOLDSCHMIDT, ESQ.</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SKADDEN, ARPS, SLATE, MEAGHER &amp; FLOM LLP</w:t>
      </w:r>
    </w:p>
    <w:p>
      <w:pPr>
        <w:spacing w:after="0" w:line="8"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FOUR TIMES SQUARE</w:t>
      </w:r>
    </w:p>
    <w:p>
      <w:pPr>
        <w:spacing w:after="0" w:line="8"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NEW YORK, NEW YORK 10036-6522</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(212) 735-3000</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JI HOON HONG, ESQ.</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SHEARMAN &amp; STERLING</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599 LEXINGTON AVENUE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NEW YORK 10022-6069</w:t>
      </w:r>
    </w:p>
    <w:p>
      <w:pPr>
        <w:spacing w:after="0" w:line="8"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(212) 848-4000</w:t>
      </w:r>
    </w:p>
    <w:p>
      <w:pPr>
        <w:spacing w:after="0" w:line="362" w:lineRule="exact"/>
        <w:rPr>
          <w:sz w:val="24"/>
          <w:szCs w:val="24"/>
          <w:color w:val="auto"/>
        </w:rPr>
      </w:pPr>
    </w:p>
    <w:p>
      <w:pPr>
        <w:sectPr>
          <w:pgSz w:w="11900" w:h="16838" w:orient="portrait"/>
          <w:cols w:equalWidth="0" w:num="2">
            <w:col w:w="3905" w:space="720"/>
            <w:col w:w="5519"/>
          </w:cols>
          <w:pgMar w:left="315" w:top="769" w:right="1440" w:bottom="0" w:gutter="0" w:footer="0" w:header="0"/>
          <w:type w:val="continuous"/>
        </w:sect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759" w:firstLine="462"/>
        <w:spacing w:after="0" w:line="25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0" w:lineRule="exact"/>
        <w:rPr>
          <w:sz w:val="24"/>
          <w:szCs w:val="24"/>
          <w:color w:val="auto"/>
        </w:rPr>
      </w:pPr>
    </w:p>
    <w:p>
      <w:pPr>
        <w:ind w:left="5" w:right="2859" w:firstLine="462"/>
        <w:spacing w:after="0" w:line="253"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3" w:lineRule="exact"/>
        <w:rPr>
          <w:sz w:val="24"/>
          <w:szCs w:val="24"/>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4" w:lineRule="exact"/>
        <w:rPr>
          <w:sz w:val="24"/>
          <w:szCs w:val="24"/>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4"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If this form is a post-effective amendment filed pursuant to Rule</w:t>
      </w:r>
    </w:p>
    <w:p>
      <w:pPr>
        <w:spacing w:after="0" w:line="8" w:lineRule="exact"/>
        <w:rPr>
          <w:sz w:val="24"/>
          <w:szCs w:val="24"/>
          <w:color w:val="auto"/>
        </w:rPr>
      </w:pPr>
    </w:p>
    <w:p>
      <w:pPr>
        <w:ind w:left="5" w:right="2759"/>
        <w:spacing w:after="0" w:line="253" w:lineRule="auto"/>
        <w:rPr>
          <w:sz w:val="20"/>
          <w:szCs w:val="20"/>
          <w:color w:val="auto"/>
        </w:rPr>
      </w:pPr>
      <w:r>
        <w:rPr>
          <w:rFonts w:ascii="Courier New" w:cs="Courier New" w:eastAsia="Courier New" w:hAnsi="Courier New"/>
          <w:sz w:val="15"/>
          <w:szCs w:val="15"/>
          <w:color w:val="auto"/>
        </w:rPr>
        <w:t>462(c)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left="5" w:right="2859" w:firstLine="462"/>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4"/>
          <w:szCs w:val="24"/>
          <w:color w:val="auto"/>
        </w:rPr>
      </w:pPr>
    </w:p>
    <w:p>
      <w:pPr>
        <w:ind w:left="5" w:right="2859"/>
        <w:spacing w:after="0" w:line="25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w:t>
      </w:r>
    </w:p>
    <w:p>
      <w:pPr>
        <w:sectPr>
          <w:pgSz w:w="11900" w:h="16838" w:orient="portrait"/>
          <w:cols w:equalWidth="0" w:num="1">
            <w:col w:w="10144"/>
          </w:cols>
          <w:pgMar w:left="315" w:top="769" w:right="1440" w:bottom="0" w:gutter="0" w:footer="0" w:header="0"/>
          <w:type w:val="continuous"/>
        </w:sectPr>
      </w:pPr>
    </w:p>
    <w:bookmarkStart w:id="1" w:name="page2"/>
    <w:bookmarkEnd w:id="1"/>
    <w:p>
      <w:pPr>
        <w:ind w:left="5" w:right="2859"/>
        <w:spacing w:after="0" w:line="252" w:lineRule="auto"/>
        <w:rPr>
          <w:sz w:val="20"/>
          <w:szCs w:val="20"/>
          <w:color w:val="auto"/>
        </w:rPr>
      </w:pPr>
      <w:r>
        <w:rPr>
          <w:rFonts w:ascii="Courier New" w:cs="Courier New" w:eastAsia="Courier New" w:hAnsi="Courier New"/>
          <w:sz w:val="15"/>
          <w:szCs w:val="15"/>
          <w:color w:val="auto"/>
        </w:rPr>
        <w:t>A FURTHER AMENDMENT SPECIFICALLY STATING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52" w:lineRule="exact"/>
        <w:rPr>
          <w:sz w:val="20"/>
          <w:szCs w:val="20"/>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4"/>
          </w:cols>
          <w:pgMar w:left="315" w:top="142" w:right="1440" w:bottom="1440" w:gutter="0" w:footer="0" w:header="0"/>
        </w:sectPr>
      </w:pPr>
    </w:p>
    <w:bookmarkStart w:id="2" w:name="page3"/>
    <w:bookmarkEnd w:id="2"/>
    <w:p>
      <w:pPr>
        <w:ind w:right="2759"/>
        <w:spacing w:after="0" w:line="25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SUBJECT TO COMPLETION</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PRELIMINARY PROSPECTUS DATED MARCH 10, 2000</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4,000,000 SHARES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Regeneron is selling 4,000,000 shares.</w:t>
      </w:r>
    </w:p>
    <w:p>
      <w:pPr>
        <w:spacing w:after="0" w:line="363" w:lineRule="exact"/>
        <w:rPr>
          <w:sz w:val="20"/>
          <w:szCs w:val="20"/>
          <w:color w:val="auto"/>
        </w:rPr>
      </w:pPr>
    </w:p>
    <w:p>
      <w:pPr>
        <w:ind w:right="2939" w:firstLine="831"/>
        <w:spacing w:after="0" w:line="253" w:lineRule="auto"/>
        <w:rPr>
          <w:sz w:val="20"/>
          <w:szCs w:val="20"/>
          <w:color w:val="auto"/>
        </w:rPr>
      </w:pPr>
      <w:r>
        <w:rPr>
          <w:rFonts w:ascii="Courier New" w:cs="Courier New" w:eastAsia="Courier New" w:hAnsi="Courier New"/>
          <w:sz w:val="15"/>
          <w:szCs w:val="15"/>
          <w:color w:val="auto"/>
        </w:rPr>
        <w:t>The shares are quoted on the Nasdaq National Market under the symbol "REGN." On March 8, 2000, the last sale price of the shares as reported on the Nasdaq National Market was $41 3/4 per share.</w:t>
      </w:r>
    </w:p>
    <w:p>
      <w:pPr>
        <w:spacing w:after="0" w:line="351" w:lineRule="exact"/>
        <w:rPr>
          <w:sz w:val="20"/>
          <w:szCs w:val="20"/>
          <w:color w:val="auto"/>
        </w:rPr>
      </w:pPr>
    </w:p>
    <w:p>
      <w:pPr>
        <w:ind w:right="2859" w:firstLine="831"/>
        <w:spacing w:after="0" w:line="256" w:lineRule="auto"/>
        <w:rPr>
          <w:sz w:val="20"/>
          <w:szCs w:val="20"/>
          <w:color w:val="auto"/>
        </w:rPr>
      </w:pPr>
      <w:r>
        <w:rPr>
          <w:rFonts w:ascii="Courier New" w:cs="Courier New" w:eastAsia="Courier New" w:hAnsi="Courier New"/>
          <w:sz w:val="15"/>
          <w:szCs w:val="15"/>
          <w:color w:val="auto"/>
        </w:rPr>
        <w:t>INVESTING IN THE COMMON STOCK INVOLVES RISKS THAT ARE DESCRIBED IN THE "RISK FACTORS" SECTION BEGINNING ON PAGE 8 OF THIS 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3"/>
        </w:trPr>
        <w:tc>
          <w:tcPr>
            <w:tcW w:w="5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PER SHARE</w:t>
            </w:r>
          </w:p>
        </w:tc>
        <w:tc>
          <w:tcPr>
            <w:tcW w:w="740" w:type="dxa"/>
            <w:vAlign w:val="bottom"/>
          </w:tcPr>
          <w:p>
            <w:pPr>
              <w:jc w:val="center"/>
              <w:ind w:left="3"/>
              <w:spacing w:after="0"/>
              <w:rPr>
                <w:sz w:val="20"/>
                <w:szCs w:val="20"/>
                <w:color w:val="auto"/>
              </w:rPr>
            </w:pPr>
            <w:r>
              <w:rPr>
                <w:rFonts w:ascii="Courier New" w:cs="Courier New" w:eastAsia="Courier New" w:hAnsi="Courier New"/>
                <w:sz w:val="15"/>
                <w:szCs w:val="15"/>
                <w:color w:val="auto"/>
              </w:rPr>
              <w:t>TOTAL</w:t>
            </w:r>
          </w:p>
        </w:tc>
      </w:tr>
      <w:tr>
        <w:trPr>
          <w:trHeight w:val="178"/>
        </w:trPr>
        <w:tc>
          <w:tcPr>
            <w:tcW w:w="530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300" w:type="dxa"/>
            <w:vAlign w:val="bottom"/>
          </w:tcPr>
          <w:p>
            <w:pPr>
              <w:spacing w:after="0"/>
              <w:rPr>
                <w:sz w:val="20"/>
                <w:szCs w:val="20"/>
                <w:color w:val="auto"/>
              </w:rPr>
            </w:pPr>
            <w:r>
              <w:rPr>
                <w:rFonts w:ascii="Courier New" w:cs="Courier New" w:eastAsia="Courier New" w:hAnsi="Courier New"/>
                <w:sz w:val="15"/>
                <w:szCs w:val="15"/>
                <w:color w:val="auto"/>
              </w:rPr>
              <w:t>Public offering price..................................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3"/>
              <w:spacing w:after="0"/>
              <w:rPr>
                <w:sz w:val="20"/>
                <w:szCs w:val="20"/>
                <w:color w:val="auto"/>
              </w:rPr>
            </w:pPr>
            <w:r>
              <w:rPr>
                <w:rFonts w:ascii="Courier New" w:cs="Courier New" w:eastAsia="Courier New" w:hAnsi="Courier New"/>
                <w:sz w:val="15"/>
                <w:szCs w:val="15"/>
                <w:color w:val="auto"/>
                <w:w w:val="88"/>
              </w:rPr>
              <w:t>$</w:t>
            </w:r>
          </w:p>
        </w:tc>
      </w:tr>
      <w:tr>
        <w:trPr>
          <w:trHeight w:val="178"/>
        </w:trPr>
        <w:tc>
          <w:tcPr>
            <w:tcW w:w="530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3"/>
              <w:spacing w:after="0"/>
              <w:rPr>
                <w:sz w:val="20"/>
                <w:szCs w:val="20"/>
                <w:color w:val="auto"/>
              </w:rPr>
            </w:pPr>
            <w:r>
              <w:rPr>
                <w:rFonts w:ascii="Courier New" w:cs="Courier New" w:eastAsia="Courier New" w:hAnsi="Courier New"/>
                <w:sz w:val="15"/>
                <w:szCs w:val="15"/>
                <w:color w:val="auto"/>
                <w:w w:val="88"/>
              </w:rPr>
              <w:t>$</w:t>
            </w:r>
          </w:p>
        </w:tc>
      </w:tr>
      <w:tr>
        <w:trPr>
          <w:trHeight w:val="178"/>
        </w:trPr>
        <w:tc>
          <w:tcPr>
            <w:tcW w:w="5300" w:type="dxa"/>
            <w:vAlign w:val="bottom"/>
          </w:tcPr>
          <w:p>
            <w:pPr>
              <w:spacing w:after="0"/>
              <w:rPr>
                <w:sz w:val="20"/>
                <w:szCs w:val="20"/>
                <w:color w:val="auto"/>
              </w:rPr>
            </w:pPr>
            <w:r>
              <w:rPr>
                <w:rFonts w:ascii="Courier New" w:cs="Courier New" w:eastAsia="Courier New" w:hAnsi="Courier New"/>
                <w:sz w:val="15"/>
                <w:szCs w:val="15"/>
                <w:color w:val="auto"/>
              </w:rPr>
              <w:t>Proceeds, before expenses, to Regeneron................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3"/>
              <w:spacing w:after="0"/>
              <w:rPr>
                <w:sz w:val="20"/>
                <w:szCs w:val="20"/>
                <w:color w:val="auto"/>
              </w:rPr>
            </w:pPr>
            <w:r>
              <w:rPr>
                <w:rFonts w:ascii="Courier New" w:cs="Courier New" w:eastAsia="Courier New" w:hAnsi="Courier New"/>
                <w:sz w:val="15"/>
                <w:szCs w:val="15"/>
                <w:color w:val="auto"/>
                <w:w w:val="88"/>
              </w:rPr>
              <w:t>$</w:t>
            </w:r>
          </w:p>
        </w:tc>
      </w:tr>
    </w:tbl>
    <w:p>
      <w:pPr>
        <w:spacing w:after="0" w:line="359" w:lineRule="exact"/>
        <w:rPr>
          <w:sz w:val="20"/>
          <w:szCs w:val="20"/>
          <w:color w:val="auto"/>
        </w:rPr>
      </w:pPr>
    </w:p>
    <w:p>
      <w:pPr>
        <w:ind w:right="2939" w:firstLine="831"/>
        <w:spacing w:after="0" w:line="252" w:lineRule="auto"/>
        <w:rPr>
          <w:sz w:val="20"/>
          <w:szCs w:val="20"/>
          <w:color w:val="auto"/>
        </w:rPr>
      </w:pPr>
      <w:r>
        <w:rPr>
          <w:rFonts w:ascii="Courier New" w:cs="Courier New" w:eastAsia="Courier New" w:hAnsi="Courier New"/>
          <w:sz w:val="15"/>
          <w:szCs w:val="15"/>
          <w:color w:val="auto"/>
        </w:rPr>
        <w:t>The underwriters may also purchase up to an additional 600,000 shares from a selling shareholder at the public offering price, less the underwriting discount, within 30 days from the date of this prospectus to cover over-allotments.</w:t>
      </w:r>
    </w:p>
    <w:p>
      <w:pPr>
        <w:spacing w:after="0" w:line="174" w:lineRule="exact"/>
        <w:rPr>
          <w:sz w:val="20"/>
          <w:szCs w:val="20"/>
          <w:color w:val="auto"/>
        </w:rPr>
      </w:pPr>
    </w:p>
    <w:p>
      <w:pPr>
        <w:ind w:right="2759" w:firstLine="831"/>
        <w:spacing w:after="0" w:line="25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5140" w:type="dxa"/>
            <w:vAlign w:val="bottom"/>
          </w:tcPr>
          <w:p>
            <w:pPr>
              <w:spacing w:after="0"/>
              <w:rPr>
                <w:sz w:val="20"/>
                <w:szCs w:val="20"/>
                <w:color w:val="auto"/>
              </w:rPr>
            </w:pPr>
            <w:r>
              <w:rPr>
                <w:rFonts w:ascii="Courier New" w:cs="Courier New" w:eastAsia="Courier New" w:hAnsi="Courier New"/>
                <w:sz w:val="15"/>
                <w:szCs w:val="15"/>
                <w:color w:val="auto"/>
              </w:rPr>
              <w:t>The shares will be ready for delivery on or about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8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LEHMAN BROTHERS</w:t>
      </w:r>
    </w:p>
    <w:p>
      <w:pPr>
        <w:spacing w:after="0" w:line="8"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J.P. MORGAN &amp; CO.</w:t>
      </w:r>
    </w:p>
    <w:p>
      <w:pPr>
        <w:spacing w:after="0" w:line="8"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5"/>
          <w:szCs w:val="15"/>
          <w:color w:val="auto"/>
        </w:rPr>
        <w:t>ROBERTSON STEPHENS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3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r>
      <w:tr>
        <w:trPr>
          <w:trHeight w:val="533"/>
        </w:trPr>
        <w:tc>
          <w:tcPr>
            <w:tcW w:w="364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The date of this prospectus is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ectPr>
          <w:pgSz w:w="11900" w:h="16838" w:orient="portrait"/>
          <w:cols w:equalWidth="0" w:num="1">
            <w:col w:w="10139"/>
          </w:cols>
          <w:pgMar w:left="320" w:top="651"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8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5"/>
                <w:szCs w:val="15"/>
                <w:color w:val="auto"/>
              </w:rPr>
            </w:pPr>
          </w:p>
        </w:tc>
      </w:tr>
      <w:tr>
        <w:trPr>
          <w:trHeight w:val="355"/>
        </w:trPr>
        <w:tc>
          <w:tcPr>
            <w:tcW w:w="67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8"/>
        </w:trPr>
        <w:tc>
          <w:tcPr>
            <w:tcW w:w="6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This Prospectus Contains Forward-Looking Statements.....................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Investment Company Act Considerations...................................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Selling Shareholder.....................................................</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w:t>
            </w:r>
          </w:p>
        </w:tc>
      </w:tr>
      <w:tr>
        <w:trPr>
          <w:trHeight w:val="178"/>
        </w:trPr>
        <w:tc>
          <w:tcPr>
            <w:tcW w:w="678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w:t>
            </w:r>
          </w:p>
        </w:tc>
      </w:tr>
    </w:tbl>
    <w:p>
      <w:pPr>
        <w:spacing w:after="0" w:line="18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this prospectus, "Regeneron," "our company," "we," "us"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51" w:right="1440" w:bottom="1440" w:gutter="0" w:footer="0" w:header="0"/>
        </w:sectPr>
      </w:pPr>
    </w:p>
    <w:bookmarkStart w:id="4" w:name="page5"/>
    <w:bookmarkEnd w:id="4"/>
    <w:p>
      <w:pPr>
        <w:ind w:left="3320"/>
        <w:spacing w:after="0"/>
        <w:rPr>
          <w:sz w:val="20"/>
          <w:szCs w:val="20"/>
          <w:color w:val="auto"/>
        </w:rPr>
      </w:pPr>
      <w:r>
        <w:rPr>
          <w:rFonts w:ascii="Courier New" w:cs="Courier New" w:eastAsia="Courier New" w:hAnsi="Courier New"/>
          <w:sz w:val="15"/>
          <w:szCs w:val="15"/>
          <w:color w:val="auto"/>
        </w:rPr>
        <w:t>SUMMARY</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8, 2000.</w:t>
      </w:r>
    </w:p>
    <w:p>
      <w:pPr>
        <w:spacing w:after="0" w:line="35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REGENERON PHARMACEUTICALS, INC.</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35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200" w:lineRule="exact"/>
        <w:rPr>
          <w:sz w:val="20"/>
          <w:szCs w:val="20"/>
          <w:color w:val="auto"/>
        </w:rPr>
      </w:pPr>
    </w:p>
    <w:p>
      <w:pPr>
        <w:spacing w:after="0" w:line="332"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 AXOKINE (pegylated) that in preclinical studies is substantially longer acting than unmodified AXOKINE. This may allow less frequent and lower dosing in patients.</w:t>
      </w:r>
    </w:p>
    <w:p>
      <w:pPr>
        <w:spacing w:after="0" w:line="200" w:lineRule="exact"/>
        <w:rPr>
          <w:sz w:val="20"/>
          <w:szCs w:val="20"/>
          <w:color w:val="auto"/>
        </w:rPr>
      </w:pPr>
    </w:p>
    <w:p>
      <w:pPr>
        <w:spacing w:after="0" w:line="332" w:lineRule="exact"/>
        <w:rPr>
          <w:sz w:val="20"/>
          <w:szCs w:val="20"/>
          <w:color w:val="auto"/>
        </w:rPr>
      </w:pPr>
    </w:p>
    <w:p>
      <w:pPr>
        <w:ind w:left="640" w:right="293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CYTOKINE TRAPS: Protein-based antagonists for cytokines such as interleukin-1 (called IL-1), interleukin-4 (IL-4) and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200" w:lineRule="exact"/>
        <w:rPr>
          <w:sz w:val="20"/>
          <w:szCs w:val="20"/>
          <w:color w:val="auto"/>
        </w:rPr>
      </w:pPr>
    </w:p>
    <w:p>
      <w:pPr>
        <w:spacing w:after="0" w:line="332"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200" w:lineRule="exact"/>
        <w:rPr>
          <w:sz w:val="20"/>
          <w:szCs w:val="20"/>
          <w:color w:val="auto"/>
        </w:rPr>
      </w:pPr>
    </w:p>
    <w:p>
      <w:pPr>
        <w:spacing w:after="0" w:line="328"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 diseases), and for</w:t>
      </w:r>
    </w:p>
    <w:p>
      <w:pPr>
        <w:sectPr>
          <w:pgSz w:w="11900" w:h="16838" w:orient="portrait"/>
          <w:cols w:equalWidth="0" w:num="1">
            <w:col w:w="10139"/>
          </w:cols>
          <w:pgMar w:left="320" w:top="651" w:right="1440" w:bottom="0" w:gutter="0" w:footer="0" w:header="0"/>
        </w:sectPr>
      </w:pPr>
    </w:p>
    <w:bookmarkStart w:id="5" w:name="page6"/>
    <w:bookmarkEnd w:id="5"/>
    <w:p>
      <w:pPr>
        <w:ind w:right="2939"/>
        <w:spacing w:after="0" w:line="256" w:lineRule="auto"/>
        <w:rPr>
          <w:sz w:val="20"/>
          <w:szCs w:val="20"/>
          <w:color w:val="auto"/>
        </w:rPr>
      </w:pPr>
      <w:r>
        <w:rPr>
          <w:rFonts w:ascii="Courier New" w:cs="Courier New" w:eastAsia="Courier New" w:hAnsi="Courier New"/>
          <w:sz w:val="15"/>
          <w:szCs w:val="15"/>
          <w:color w:val="auto"/>
        </w:rPr>
        <w:t>promoting the growth and mobilization of certain hemopoietic cells such as stem cells and platelets.</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99"/>
          </w:cols>
          <w:pgMar w:left="960" w:top="142" w:right="1440" w:bottom="1440" w:gutter="0" w:footer="0" w:header="0"/>
        </w:sectPr>
      </w:pPr>
    </w:p>
    <w:bookmarkStart w:id="6" w:name="page7"/>
    <w:bookmarkEnd w:id="6"/>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BRAIN-DERIVED NEUROTROPHIC FACTOR, OR BDNF: Promotes survival of the spinal cord neurons that die in amyotrophic lateral sclerosis (or ALS, commonly known as Lou Gehrig's Disease) in preclinical models. BDNF is in clinical trials for ALS using two routes of administration; one of these trials is based on the results of a prior Phase III clinical trial.</w:t>
      </w:r>
    </w:p>
    <w:p>
      <w:pPr>
        <w:spacing w:after="0" w:line="351"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NEUROTROPHIN-3, OR NT-3: Acts on the neurons of the intestinal tract and is in clinical trial for the treatment of constipating disorders associated with spinal cord injury and other neurologic diseases.</w:t>
      </w:r>
    </w:p>
    <w:p>
      <w:pPr>
        <w:spacing w:after="0" w:line="35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currently developing AXOKINE and our Cytokine Traps independently of any corporate partners. We are developing BDNF in partnership with Amgen Inc. and Sumitomo Pharmaceuticals Company, Ltd., NT-3 in partnership with Amgen and our VEGF Trap, Angiopoietins and other product candidates in partnership with The Procter &amp; Gamble Company. In all of these partnerships, we retain 50% U.S. commercialization rights. We also have numerous academic collaborations.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manufacturing facilities in Tarrytown, New York, and Rensselaer, New York, were designed to comply with the Food and Drug Administration's current good manufacturing practices (called GMP). The Tarrytown facility produces preclinical and clinical supplies of our products and product candidates. At the Rensselaer facility, we manufacture products for Sumitomo Pharmaceuticals and Merck &amp; Co., Inc. under contracts with them. We will continue to upgrade and expand our manufacturing facilities as we advance our products toward commercialization.</w:t>
      </w:r>
    </w:p>
    <w:p>
      <w:pPr>
        <w:spacing w:after="0" w:line="35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believe that we possess a strong intellectual property position, including 42 issued U.S. patents and more than 100 pending applications in all key areas of our research and development, including angiogenesis, bone and cartilage formation, Cytokine Traps, muscle atrophy and neurological disorders. We have a policy to file patent applications to protect technology, inventions and improvements we consider important to the development of our business. We also rely on trade secrets, know-how and continuing technological innovation to maintain and enhance our competitive position.</w:t>
      </w:r>
    </w:p>
    <w:p>
      <w:pPr>
        <w:spacing w:after="0" w:line="35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Each member of our senior management team has at least ten years of experience in the biopharmaceutical industry. In addition, our Board of Directors consists of noted business and scientific leaders, including the former Chairman and CEO of Merck and three Nobel Laureates. In a 1997 survey by the Institute for Scientific Information, our Chief Scientific Officer was listed among the 11 most highly cited scientists and was the only non-academic scientist in the group. We believe that we have been successful in attracting skilled and experienced personnel in a highly competitive environment. As of December 31, 1999, we had 437 full-time employees, 82 of whom hold a Ph.D. or M.D. degree or both.</w:t>
      </w:r>
    </w:p>
    <w:p>
      <w:pPr>
        <w:spacing w:after="0" w:line="200" w:lineRule="exact"/>
        <w:rPr>
          <w:sz w:val="20"/>
          <w:szCs w:val="20"/>
          <w:color w:val="auto"/>
        </w:rPr>
      </w:pPr>
    </w:p>
    <w:p>
      <w:pPr>
        <w:spacing w:after="0" w:line="33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RECENT DEVELOPMENTS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recently entered into a collaboration under a binding memorandum of understanding with Medarex, Inc.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have also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82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5080" w:type="dxa"/>
            <w:vAlign w:val="bottom"/>
            <w:gridSpan w:val="2"/>
          </w:tcPr>
          <w:p>
            <w:pPr>
              <w:ind w:left="2300"/>
              <w:spacing w:after="0"/>
              <w:rPr>
                <w:sz w:val="20"/>
                <w:szCs w:val="20"/>
                <w:color w:val="auto"/>
              </w:rPr>
            </w:pPr>
            <w:r>
              <w:rPr>
                <w:rFonts w:ascii="Courier New" w:cs="Courier New" w:eastAsia="Courier New" w:hAnsi="Courier New"/>
                <w:sz w:val="15"/>
                <w:szCs w:val="15"/>
                <w:color w:val="auto"/>
              </w:rPr>
              <w:t>SELECTED PRODUCTS AND PROGRAMS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88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TECHNOLOGY PLATFORMS USED</w:t>
            </w:r>
          </w:p>
        </w:tc>
        <w:tc>
          <w:tcPr>
            <w:tcW w:w="2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 DISCOVERY AND</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PROGRAM AND PRODUCT</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TARGETED INDICATION</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STAGE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COMMERCIALIZATION RIGHTS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AXOKINE(R) Second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Obesity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Generation Ciliary</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complications of</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obesity such as Type II</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diabetes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BDNF (Brain-derived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Amyotrophic lateral</w:t>
            </w: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sclerosis (ALS)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Intrathecal (U.S.)</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Subcutaneous (U.S.)</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Subcutaneous (Japan)</w:t>
            </w:r>
          </w:p>
        </w:tc>
        <w:tc>
          <w:tcPr>
            <w:tcW w:w="23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Sumitomo Pharmaceuticals</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NT-3 (Neurotrophin-3)</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Constipating conditions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associated with spinal</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cord injury and other</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medical conditions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CYTOKINE TRAPS</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IL-1</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Rheumatoid arthritis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and other inflammatory</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IL-4</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IL-4/13</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IL-2, IL-3, IL-5, IL-6,</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Multiple</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IL-15, gamma-interferon,</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TGF-beta and others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ANGIOGENESIS</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VEGF Trap</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Cancer</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Angiopoietin-1</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Ischemia, vascular</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Preclinical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leak, edema and</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Ephrins, Angiopoietin-2</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Cancer, ischemia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MUSCLE DISEASES AND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Muscle atrophy and</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injury</w:t>
            </w: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BONE AND CARTILAGE</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RORs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Osteoarthritis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DDRs</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Fibrosis and cirrhosis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G-PROTEIN COUPLED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Multiple targets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Research</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RECEPTORS</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710"/>
        </w:trPr>
        <w:tc>
          <w:tcPr>
            <w:tcW w:w="2480" w:type="dxa"/>
            <w:vAlign w:val="bottom"/>
          </w:tcPr>
          <w:p>
            <w:pPr>
              <w:spacing w:after="0"/>
              <w:rPr>
                <w:sz w:val="24"/>
                <w:szCs w:val="24"/>
                <w:color w:val="auto"/>
              </w:rPr>
            </w:pPr>
          </w:p>
        </w:tc>
        <w:tc>
          <w:tcPr>
            <w:tcW w:w="2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55"/>
        </w:trPr>
        <w:tc>
          <w:tcPr>
            <w:tcW w:w="74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We are a New York corporation organized on January 8, 1988. Our executive</w:t>
            </w: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8"/>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offices are at 777 Old Saw Mill River Road, Tarrytown,</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New York 10591-6707 and</w:t>
            </w: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our telephone number is (914) 347-7000.</w:t>
            </w: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600" w:type="dxa"/>
            <w:vAlign w:val="bottom"/>
          </w:tcPr>
          <w:p>
            <w:pPr>
              <w:ind w:left="1120"/>
              <w:spacing w:after="0"/>
              <w:rPr>
                <w:sz w:val="20"/>
                <w:szCs w:val="20"/>
                <w:color w:val="auto"/>
              </w:rPr>
            </w:pPr>
            <w:r>
              <w:rPr>
                <w:rFonts w:ascii="Courier New" w:cs="Courier New" w:eastAsia="Courier New" w:hAnsi="Courier New"/>
                <w:sz w:val="15"/>
                <w:szCs w:val="15"/>
                <w:color w:val="auto"/>
              </w:rPr>
              <w:t>5</w:t>
            </w:r>
          </w:p>
        </w:tc>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340"/>
          </w:cols>
          <w:pgMar w:left="320" w:top="473" w:right="239" w:bottom="532" w:gutter="0" w:footer="0" w:header="0"/>
        </w:sectPr>
      </w:pPr>
    </w:p>
    <w:bookmarkStart w:id="8" w:name="page9"/>
    <w:bookmarkEnd w:id="8"/>
    <w:p>
      <w:pPr>
        <w:ind w:left="3145"/>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425"/>
          </w:cols>
          <w:pgMar w:left="315" w:top="651"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Common stock offered by Regeneron............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 shares</w:t>
      </w:r>
    </w:p>
    <w:p>
      <w:pPr>
        <w:spacing w:after="0" w:line="8"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Shares outstanding after the offering:</w:t>
      </w:r>
    </w:p>
    <w:p>
      <w:pPr>
        <w:sectPr>
          <w:pgSz w:w="11900" w:h="16838" w:orient="portrait"/>
          <w:cols w:equalWidth="0" w:num="1">
            <w:col w:w="10425"/>
          </w:cols>
          <w:pgMar w:left="315" w:top="651" w:right="1159" w:bottom="1440" w:gutter="0" w:footer="0" w:header="0"/>
          <w:type w:val="continuous"/>
        </w:sectPr>
      </w:pP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Class A stock..............................</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33,641,005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2,789,511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36,430,516 shares</w:t>
      </w:r>
    </w:p>
    <w:p>
      <w:pPr>
        <w:spacing w:after="0" w:line="185"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Risk factors.................................</w:t>
      </w:r>
    </w:p>
    <w:p>
      <w:pPr>
        <w:spacing w:after="0" w:line="3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We estimate that our net proceeds from this offering will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$158.1 million, assuming a public offering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$41.75 per share. We intend to use these net proceeds for working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general corporate purposes, including: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All of the costs to fund preclinical and clinical development of</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candidates that are being developed independent of any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corporate partner, such as AXOKINE and Cytokine Traps;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Our share of the costs to fund preclinical and clinical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development of product candidates that have been partnered, such</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BDNF, NT-3, VEGF Trap and Angiopoietins;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Basic research;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Commercialization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Purchase of equipment and expansion of manufacturing facilities;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Potential acquisitions of companies and technologies which</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complement our business.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"Risk Factors" and other information included in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for a discussion of factors you should carefully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 before deciding to invest in shares of our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REGN</w:t>
      </w:r>
    </w:p>
    <w:p>
      <w:pPr>
        <w:spacing w:after="0" w:line="200" w:lineRule="exact"/>
        <w:rPr>
          <w:sz w:val="20"/>
          <w:szCs w:val="20"/>
          <w:color w:val="auto"/>
        </w:rPr>
      </w:pPr>
    </w:p>
    <w:p>
      <w:pPr>
        <w:sectPr>
          <w:pgSz w:w="11900" w:h="16838" w:orient="portrait"/>
          <w:cols w:equalWidth="0" w:num="2">
            <w:col w:w="4165" w:space="180"/>
            <w:col w:w="6080"/>
          </w:cols>
          <w:pgMar w:left="315" w:top="651" w:right="115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5" w:right="3400" w:firstLine="462"/>
        <w:spacing w:after="0" w:line="250" w:lineRule="auto"/>
        <w:rPr>
          <w:sz w:val="20"/>
          <w:szCs w:val="20"/>
          <w:color w:val="auto"/>
        </w:rPr>
      </w:pPr>
      <w:r>
        <w:rPr>
          <w:rFonts w:ascii="Courier New" w:cs="Courier New" w:eastAsia="Courier New" w:hAnsi="Courier New"/>
          <w:sz w:val="15"/>
          <w:szCs w:val="15"/>
          <w:color w:val="auto"/>
        </w:rPr>
        <w:t>The number of shares outstanding after the offering is derived from our records and excludes (1) options to purchase 5,523,222 shares of our common stock under our 1990 Long-Term Incentive Plan, of which 2,361,777 were exercisable at March 8, 2000, (2) options to purchase 333,000 shares of our common stock which have been granted subject to shareholder approval, and</w:t>
      </w:r>
    </w:p>
    <w:p>
      <w:pPr>
        <w:spacing w:after="0" w:line="3" w:lineRule="exact"/>
        <w:rPr>
          <w:sz w:val="20"/>
          <w:szCs w:val="20"/>
          <w:color w:val="auto"/>
        </w:rPr>
      </w:pPr>
    </w:p>
    <w:p>
      <w:pPr>
        <w:jc w:val="both"/>
        <w:ind w:left="5" w:right="3400" w:hanging="5"/>
        <w:spacing w:after="0" w:line="253" w:lineRule="auto"/>
        <w:tabs>
          <w:tab w:leader="none" w:pos="3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1,557,400 warrants held by Procter &amp; Gamble and Medtronic as of March 8, 2000. In addition, the number of shares outstanding includes those issued in connection with the exercise of 700,000 warrants by Amgen on March 2, 2000.</w:t>
      </w:r>
    </w:p>
    <w:p>
      <w:pPr>
        <w:spacing w:after="0" w:line="200" w:lineRule="exact"/>
        <w:rPr>
          <w:sz w:val="20"/>
          <w:szCs w:val="20"/>
          <w:color w:val="auto"/>
        </w:rPr>
      </w:pPr>
    </w:p>
    <w:p>
      <w:pPr>
        <w:spacing w:after="0" w:line="328" w:lineRule="exact"/>
        <w:rPr>
          <w:sz w:val="20"/>
          <w:szCs w:val="20"/>
          <w:color w:val="auto"/>
        </w:rPr>
      </w:pPr>
    </w:p>
    <w:p>
      <w:pPr>
        <w:ind w:left="5" w:right="3320" w:firstLine="462"/>
        <w:spacing w:after="0" w:line="256" w:lineRule="auto"/>
        <w:rPr>
          <w:sz w:val="20"/>
          <w:szCs w:val="20"/>
          <w:color w:val="auto"/>
        </w:rPr>
      </w:pPr>
      <w:r>
        <w:rPr>
          <w:rFonts w:ascii="Courier New" w:cs="Courier New" w:eastAsia="Courier New" w:hAnsi="Courier New"/>
          <w:sz w:val="15"/>
          <w:szCs w:val="15"/>
          <w:color w:val="auto"/>
        </w:rPr>
        <w:t>Holders of our Class A stock are entitled to ten votes per share and the holders of our common stock are entitled to one vote per share.</w:t>
      </w:r>
    </w:p>
    <w:p>
      <w:pPr>
        <w:spacing w:after="0" w:line="34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425"/>
          </w:cols>
          <w:pgMar w:left="315" w:top="651" w:right="11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4"/>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SUMMARY SELECTED FINANCIAL DATA</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88"/>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YEAR</w:t>
            </w:r>
          </w:p>
        </w:tc>
        <w:tc>
          <w:tcPr>
            <w:tcW w:w="240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ENDED DECEMBER 31,</w:t>
            </w: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15"/>
                <w:szCs w:val="15"/>
                <w:color w:val="auto"/>
              </w:rPr>
            </w:pPr>
          </w:p>
        </w:tc>
        <w:tc>
          <w:tcPr>
            <w:tcW w:w="53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(IN THOUSANDS, EXCEPT PER SHARE DATA)</w:t>
            </w:r>
          </w:p>
        </w:tc>
        <w:tc>
          <w:tcPr>
            <w:tcW w:w="92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research and development..................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$ 24,539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$ 19,714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$ 17,400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$ 17,303</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$ 23,247</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Research progress payments.........................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9,500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manufacturing.............................</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9,960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9,113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4,458</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2,451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1,140</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Investment income..................................</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5,207</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6,242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2,997</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39,706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45,193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33,100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24,114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27,384</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44,940</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37,047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27,770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28,269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23,310</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Loss in Amgen-Regeneron Partners...................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4,159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2,484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3,403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13,805</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6,355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5,838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5,765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5,880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5,764</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3,426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3,019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4,389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6,084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5,886</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Contract manufacturing.............................</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3,612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2,617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1,205</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850</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62,776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53,818</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44,679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56,538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50,892</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(8,625)</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$(11,579)</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$(32,424)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Class A and common stock</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2823"/>
              <w:spacing w:after="0"/>
              <w:rPr>
                <w:sz w:val="20"/>
                <w:szCs w:val="20"/>
                <w:color w:val="auto"/>
              </w:rPr>
            </w:pPr>
            <w:r>
              <w:rPr>
                <w:rFonts w:ascii="Courier New" w:cs="Courier New" w:eastAsia="Courier New" w:hAnsi="Courier New"/>
                <w:sz w:val="15"/>
                <w:szCs w:val="15"/>
                <w:color w:val="auto"/>
              </w:rPr>
              <w:t>outstanding, basic and</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diluted............................................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31,308</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30,992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28,702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24,464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19,768</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Net loss per share, basic and diluted................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(0.74)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(0.28)</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(0.40)</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065"/>
        </w:trPr>
        <w:tc>
          <w:tcPr>
            <w:tcW w:w="5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15"/>
                <w:szCs w:val="15"/>
                <w:color w:val="auto"/>
              </w:rPr>
            </w:pPr>
          </w:p>
        </w:tc>
        <w:tc>
          <w:tcPr>
            <w:tcW w:w="53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12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securities.........................................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$ 93,599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$113,530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$128,041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$ 97,028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$ 59,622</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Working capital......................................</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59,725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83,499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88,953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72,960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36,254</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136,999</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156,915</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168,380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137,582</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93,811</w:t>
            </w:r>
          </w:p>
        </w:tc>
      </w:tr>
      <w:tr>
        <w:trPr>
          <w:trHeight w:val="178"/>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 payable,</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long-term portion..................................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2,731</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3,066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3,752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5,148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5,978</w:t>
            </w:r>
          </w:p>
        </w:tc>
      </w:tr>
      <w:tr>
        <w:trPr>
          <w:trHeight w:val="178"/>
        </w:trPr>
        <w:tc>
          <w:tcPr>
            <w:tcW w:w="5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Shareholders' equity.................................</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109,532</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131,227</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138,897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106,931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67,856</w:t>
            </w:r>
          </w:p>
        </w:tc>
      </w:tr>
      <w:tr>
        <w:trPr>
          <w:trHeight w:val="533"/>
        </w:trPr>
        <w:tc>
          <w:tcPr>
            <w:tcW w:w="512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20"/>
          </w:cols>
          <w:pgMar w:left="320" w:top="651" w:right="1159" w:bottom="1440" w:gutter="0" w:footer="0" w:header="0"/>
        </w:sectPr>
      </w:pPr>
    </w:p>
    <w:bookmarkStart w:id="10" w:name="page11"/>
    <w:bookmarkEnd w:id="10"/>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You should carefully consider the following risk factors before you decide to buy our common stock. If any of these risks actually occur, our business, financial condition, operating results or cash flows could be materially adversely affected. This could cause the trading price of our common stock to decline and you may lose part or all of your investment.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 INDUSTRY AND STRATEGY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MOST DRUG RESEARCH AND DEVELOPMENT PROGRAMS FAIL.</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Only a small minority of all research and development programs ultimately result in commercially successful drugs. It is not possible to predict whether any program will succeed until it actually produces a drug that is commercially marketed for a significant period of time. We are attempting to develop drugs for human therapeutic uses and we cannot assure you that any of our research and development activities will be successful or that any of our potential product candidates will be commercialized. If our clinical trials are not successful, we will not be able to develop and commercialize any of our products. The Phase III trial of BDNF that Amgen-Regeneron Partners conducted during 1995 and 1996 for ALS failed to achieve its expected results.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order to obtain regulatory approvals for the commercial sale of our product candidates, we will be required to complete extensive clinical trials in humans to demonstrate the safety and efficacy of the products. While we seek to broaden our product pipeline, as described below, we have limited experience in conducting clinical trials in these new product areas.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clinical trial may fail for a number of reasons, including:</w:t>
      </w:r>
    </w:p>
    <w:p>
      <w:pPr>
        <w:spacing w:after="0" w:line="200" w:lineRule="exact"/>
        <w:rPr>
          <w:sz w:val="20"/>
          <w:szCs w:val="20"/>
          <w:color w:val="auto"/>
        </w:rPr>
      </w:pPr>
    </w:p>
    <w:p>
      <w:pPr>
        <w:spacing w:after="0" w:line="340"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failure to enroll a sufficient number of patients meeting eligibility criteria;</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failure of the product candidate to demonstrate safety or efficacy;</w:t>
      </w:r>
    </w:p>
    <w:p>
      <w:pPr>
        <w:spacing w:after="0" w:line="200" w:lineRule="exact"/>
        <w:rPr>
          <w:sz w:val="20"/>
          <w:szCs w:val="20"/>
          <w:color w:val="auto"/>
        </w:rPr>
      </w:pPr>
    </w:p>
    <w:p>
      <w:pPr>
        <w:spacing w:after="0" w:line="340" w:lineRule="exact"/>
        <w:rPr>
          <w:sz w:val="20"/>
          <w:szCs w:val="20"/>
          <w:color w:val="auto"/>
        </w:rPr>
      </w:pPr>
    </w:p>
    <w:p>
      <w:pPr>
        <w:jc w:val="both"/>
        <w:ind w:left="640" w:right="339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the development of serious or life-threatening adverse events, for example, side effects, caused by or connected with exposure to the product candidate; and</w:t>
      </w:r>
    </w:p>
    <w:p>
      <w:pPr>
        <w:spacing w:after="0" w:line="200" w:lineRule="exact"/>
        <w:rPr>
          <w:sz w:val="20"/>
          <w:szCs w:val="20"/>
          <w:color w:val="auto"/>
        </w:rPr>
      </w:pPr>
    </w:p>
    <w:p>
      <w:pPr>
        <w:spacing w:after="0" w:line="328"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failure of clinical investigators, trial monitors and other consultants, or trial subjects to comply with trial plan or protocol.</w:t>
      </w:r>
    </w:p>
    <w:p>
      <w:pPr>
        <w:spacing w:after="0" w:line="348"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5"/>
          <w:szCs w:val="15"/>
          <w:color w:val="auto"/>
        </w:rPr>
        <w:t>THERE ARE RISKS INVOLVED IN EXPANDING OUR INITIAL FOCUS AND BROADENING OUR PRODUCT PIPELINE.</w:t>
      </w:r>
    </w:p>
    <w:p>
      <w:pPr>
        <w:spacing w:after="0" w:line="34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Expanding from our initial focus on degenerative neurologic disease and broadening our product pipeline to include drug candidates for the treatment of other diseases involves risks. As we expand our focus to broaden our product pipeline and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We may have to enter into collaboration arrangements with others that may require us to relinquish rights to certain of our technologies, product candidates or products that we would otherwise pursue independently. We cannot assure you that we will be able to acquire the necessary expertise or enter into collaboration agreements on acceptable terms to develop additional drug candidates.</w:t>
      </w:r>
    </w:p>
    <w:p>
      <w:pPr>
        <w:spacing w:after="0" w:line="353"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WE HAVE INCURRED SUBSTANTIAL LOSSES AND EXPECT TO INCUR LOSSES OVER THE NEXT SEVERAL YEARS.</w:t>
      </w:r>
    </w:p>
    <w:p>
      <w:pPr>
        <w:spacing w:after="0" w:line="348"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have not received revenue from the commercialization of our product candidates. We do not expect to receive any revenue from the commercialization of our products for several years. We have incurred losses in each year since inception of operations in 1988. As of December 31, 1999, we had an accumulated deficit of $200.3 million. We do not know if we will ever have an approved product or achieve significant revenues or profitable operations.</w:t>
      </w:r>
    </w:p>
    <w:p>
      <w:pPr>
        <w:sectPr>
          <w:pgSz w:w="11900" w:h="16838" w:orient="portrait"/>
          <w:cols w:equalWidth="0" w:num="1">
            <w:col w:w="10139"/>
          </w:cols>
          <w:pgMar w:left="320" w:top="651" w:right="1440" w:bottom="168" w:gutter="0" w:footer="0" w:header="0"/>
        </w:sectPr>
      </w:pPr>
    </w:p>
    <w:bookmarkStart w:id="11" w:name="page12"/>
    <w:bookmarkEnd w:id="11"/>
    <w:p>
      <w:pPr>
        <w:ind w:left="248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019"/>
          </w:cols>
          <w:pgMar w:left="1440" w:top="142" w:right="1440" w:bottom="1440" w:gutter="0" w:footer="0" w:header="0"/>
        </w:sectPr>
      </w:pPr>
    </w:p>
    <w:bookmarkStart w:id="12" w:name="page13"/>
    <w:bookmarkEnd w:id="12"/>
    <w:p>
      <w:pPr>
        <w:ind w:right="3039"/>
        <w:spacing w:after="0" w:line="256" w:lineRule="auto"/>
        <w:rPr>
          <w:sz w:val="20"/>
          <w:szCs w:val="20"/>
          <w:color w:val="auto"/>
        </w:rPr>
      </w:pPr>
      <w:r>
        <w:rPr>
          <w:rFonts w:ascii="Courier New" w:cs="Courier New" w:eastAsia="Courier New" w:hAnsi="Courier New"/>
          <w:sz w:val="15"/>
          <w:szCs w:val="15"/>
          <w:color w:val="auto"/>
        </w:rPr>
        <w:t>WE MAY REQUIRE ADDITIONAL FINANCING, WHICH MAY BE DIFFICULT TO OBTAIN AND MAY DILUTE YOUR OWNERSHIP INTEREST.</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To date, we have received revenues from (1) our licensees and collaborators for research and development efforts, (2) Merck and Sumitomo Pharmaceuticals for contract manufacturing and (3) investment income. We cannot assure you that these revenues will continue or to what extent our expenses will be reimbursed by our licensees or collaborators. In the absence of revenues from the commercialization of our product candidates or other sources (the amount, timing, nature, or source of which we cannot predict),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0" w:lineRule="auto"/>
        <w:rPr>
          <w:sz w:val="20"/>
          <w:szCs w:val="20"/>
          <w:color w:val="auto"/>
        </w:rPr>
      </w:pPr>
      <w:r>
        <w:rPr>
          <w:rFonts w:ascii="Courier New" w:cs="Courier New" w:eastAsia="Courier New" w:hAnsi="Courier New"/>
          <w:sz w:val="15"/>
          <w:szCs w:val="15"/>
          <w:color w:val="auto"/>
        </w:rPr>
        <w:t>We have had negative cash flow from operations in each year since our inception. We expect that the funding requirements for our activities will remain substantial and could increase significantly if, among other things, our development or clinical trial programs are successful or our research is expanded. In addition, we are required to provide capital from time to time to fund and remain equal partners with Amgen in Amgen-Regeneron Partners. Our aggregate capital contributions to Amgen-Regeneron Partners from the partnership's inception in June 1993 through December 31, 1999 was</w:t>
      </w:r>
    </w:p>
    <w:p>
      <w:pPr>
        <w:spacing w:after="0" w:line="5"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$51.1 million. We expect that our capital contributions in 2000 will total at least $4.5 million. These contributions could increase or decrease, depending upon, among other things, the nature and cost of ongoing and additional BDNF and NT-3 studies that Amgen-Regeneron Partners may conduct and the outcomes of those studies. In addition, the amount needed to fund our operations will also depend on other factors, including:</w:t>
      </w:r>
    </w:p>
    <w:p>
      <w:pPr>
        <w:spacing w:after="0" w:line="200" w:lineRule="exact"/>
        <w:rPr>
          <w:sz w:val="20"/>
          <w:szCs w:val="20"/>
          <w:color w:val="auto"/>
        </w:rPr>
      </w:pPr>
    </w:p>
    <w:p>
      <w:pPr>
        <w:spacing w:after="0" w:line="328"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potential future need to expand our professional and support staff and facilities to support new areas of research and development;</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success of our research and development programs;</w:t>
      </w:r>
    </w:p>
    <w:p>
      <w:pPr>
        <w:spacing w:after="0" w:line="200" w:lineRule="exact"/>
        <w:rPr>
          <w:sz w:val="20"/>
          <w:szCs w:val="20"/>
          <w:color w:val="auto"/>
        </w:rPr>
      </w:pPr>
    </w:p>
    <w:p>
      <w:pPr>
        <w:spacing w:after="0" w:line="340"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status of patent and other intellectual property right developments; and</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extent and success of any collaborative research arrangements.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anticipate the net proceeds from this offering, together with our cash, cash equivalents and marketable securities of approximately $93.6 million, will be sufficient for our working capital needs for several years. 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raise additional funds by issuing equity securities, including as a result of the exercise by Procter &amp; Gamble or Medtronic of their warrants, further dilution to our then existing shareholders may result.</w:t>
      </w:r>
    </w:p>
    <w:p>
      <w:pPr>
        <w:spacing w:after="0" w:line="354"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OUR SUCCESS DEPENDS UPON OBTAINING FDA AND FOREIGN REGULATORY APPROVAL TO MARKET PRODUCTS CURRENTLY UNDER DEVELOPMENT.</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safety, effectiveness, testing, manufacture, distribution, labeling, storage, record-keeping, approval, advertising and promotion of our product candidates and the research and development activities associated with them are subject to extensive federal, state and foreign regulation. If we fail to obtain the necessary approvals or comply with regulatory requirements, or if any of our approvals are restricted, suspended or revoked, there could be a material adverse effect on us. Even if we are able to develop drugs and related therapies that are approved for sale by the FDA or by foreign regulatory authorities, we cannot assure you that any such drugs or related therapies will be commercially successful.</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compounds we are developing will require significant additional time-consuming and costly research and development, including further preclinical and clinical testing, before we can file an application for commercial approval. As an initial step in the FDA regulatory approval process, preclinical studies are typically conducted in animals to identify potential safety problems. The results of preclinical studies are submitted to the FDA as a part of Investigation of New Drugs, or the IND, which is filed to comply with FDA regulations before beginning human clinical studies. For several of our drug</w:t>
      </w:r>
    </w:p>
    <w:p>
      <w:pPr>
        <w:sectPr>
          <w:pgSz w:w="11900" w:h="16838" w:orient="portrait"/>
          <w:cols w:equalWidth="0" w:num="1">
            <w:col w:w="10139"/>
          </w:cols>
          <w:pgMar w:left="320" w:top="828" w:right="1440" w:bottom="0" w:gutter="0" w:footer="0" w:header="0"/>
        </w:sectPr>
      </w:pPr>
    </w:p>
    <w:bookmarkStart w:id="13" w:name="page14"/>
    <w:bookmarkEnd w:id="13"/>
    <w:p>
      <w:pPr>
        <w:ind w:right="3499"/>
        <w:spacing w:after="0" w:line="253" w:lineRule="auto"/>
        <w:rPr>
          <w:sz w:val="20"/>
          <w:szCs w:val="20"/>
          <w:color w:val="auto"/>
        </w:rPr>
      </w:pPr>
      <w:r>
        <w:rPr>
          <w:rFonts w:ascii="Courier New" w:cs="Courier New" w:eastAsia="Courier New" w:hAnsi="Courier New"/>
          <w:sz w:val="15"/>
          <w:szCs w:val="15"/>
          <w:color w:val="auto"/>
        </w:rPr>
        <w:t>candidates, no reliably predictive animal model exists. As a result, no indication of efficacy for human beings is available until these product candidates progress to human clinical trials.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142" w:right="1440" w:bottom="1440" w:gutter="0" w:footer="0" w:header="0"/>
        </w:sectPr>
      </w:pPr>
    </w:p>
    <w:bookmarkStart w:id="14" w:name="page15"/>
    <w:bookmarkEnd w:id="14"/>
    <w:p>
      <w:pPr>
        <w:ind w:right="2759" w:firstLine="462"/>
        <w:spacing w:after="0" w:line="251" w:lineRule="auto"/>
        <w:rPr>
          <w:sz w:val="20"/>
          <w:szCs w:val="20"/>
          <w:color w:val="auto"/>
        </w:rPr>
      </w:pPr>
      <w:r>
        <w:rPr>
          <w:rFonts w:ascii="Courier New" w:cs="Courier New" w:eastAsia="Courier New" w:hAnsi="Courier New"/>
          <w:sz w:val="15"/>
          <w:szCs w:val="15"/>
          <w:color w:val="auto"/>
        </w:rPr>
        <w:t>The submission of an IND, may not result in FDA authorization to commence clinical trials. If clinical trials begin, we may not complete testing of any of our product candidates within any specific time period, if at all. Our compounds may prove to have undesirable and unintended toxic side effects that may interrupt or delay clinical studies and could ultimately prevent or limit their commercial use. The creation of antibodies against the therapeutic protein may totally or partially neutralize the effectiveness of the protein or, in some cases, can cross react with the patient's own proteins, resulting in an "auto-immune type" disease. We or the regulatory authorities may suspend or terminate clinical trials at any time if the people participating in such trials are believed to be exposed to unacceptable health risks. Clinical trials, if completed, may not show any potential product to be safe or effective. Thus, the FDA and other regulatory authorities may not approve any of our product candidates for any disease indication.</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extensive regulatory approval process required by the FDA and by comparable agencies in other countries can take many years and requires the expenditure of substantial resources. This gives larger companies with greater financial resources a competitive advantage. Data obtained from preclinical and clinical activities are subject to different interpretations which could delay, limit, or prevent FDA regulatory approval. We may encounter delays or rejections based upon changes in FDA policy for drug approval during the period of development and FDA regulatory review. We may also encounter similar delays or rejection of applications in foreign countries. We cannot assure you that even after such time and expenditures, regulatory approval will be obtained for any compounds we develop. Moreover, even if approval is granted, such approval may have limitations on the indicated uses for which compounds may be marketed. Subsequent discovery of previously unknown problems with a product or its manufacturer may result in restrictions on the product or manufacturer, including withdrawal of the product from the market.</w:t>
      </w:r>
    </w:p>
    <w:p>
      <w:pPr>
        <w:spacing w:after="0" w:line="353"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WE FACE SUBSTANTIAL COMPETITION, WHICH MAY RESULT IN OTHERS DISCOVERING, DEVELOPING OR COMMERCIALIZING PRODUCTS BEFORE OR MORE SUCCESSFULLY THAN WE DO.</w:t>
      </w:r>
    </w:p>
    <w:p>
      <w:pPr>
        <w:spacing w:after="0" w:line="34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or form collaborative arrangements or merge with large pharmaceutical companies. We also compete with academic institutions, government agencies and other public and private research organizations in the development of technologies and processes and, in some instances, compete with others in acquiring technology from such institutions, agencies and organizations. We cannot assure you that we will be able to produce approved compounds that have commercial potential. Even if we achieve product commercialization, one or more of our competitors may achieve product commercialization earlier than we do or obtain patent protection that dominates or adversely affects our activities.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There is substantial competition in the discovery and development of treatments for obesity and obesity-related morbidities, including Type II diabetes, as well as established and cost-effective and emerging prescription and over-the-counter treatments for these conditions. For example, Amgen and a number of other pharmaceutical companies are developing leptin and related molecules. Clinical trials of leptin are currently under way.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 The treatment of constipating conditions is highly competitive, with a number of companies providing over-the-counter remedies and other competitors attempting to discover and develop improved over-the-counter or prescription treatments.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as well as many others.</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828" w:right="1440" w:bottom="359" w:gutter="0" w:footer="0" w:header="0"/>
        </w:sectPr>
      </w:pPr>
    </w:p>
    <w:bookmarkStart w:id="15" w:name="page16"/>
    <w:bookmarkEnd w:id="15"/>
    <w:p>
      <w:pPr>
        <w:ind w:right="2759" w:firstLine="462"/>
        <w:spacing w:after="0" w:line="251" w:lineRule="auto"/>
        <w:rPr>
          <w:sz w:val="20"/>
          <w:szCs w:val="20"/>
          <w:color w:val="auto"/>
        </w:rPr>
      </w:pPr>
      <w:r>
        <w:rPr>
          <w:rFonts w:ascii="Courier New" w:cs="Courier New" w:eastAsia="Courier New" w:hAnsi="Courier New"/>
          <w:sz w:val="15"/>
          <w:szCs w:val="15"/>
          <w:color w:val="auto"/>
        </w:rPr>
        <w:t>More specifically, our efforts to develop treatments for neurologic diseases and conditions are being conducted in a highly competitive environment. Even if BDNF is shown to be safe and effective to treat ALS or other conditions, other companies have developed or are developing drugs for the treatment of the same or similar conditions, including Rhone-Poulenc Rorer and Sanofi Pharmaceuticals, Inc. Amgen is a direct competitor of ours in the field of neurotrophic factors and possibly other fields. Other potential competitors include Genentech and Cephalon, Inc., which is in a collaboration with Chiron Corporation. Amgen, Genentech, Cephalon and others have filed patent applications and obtained issued patents relating to neurotrophic factors, or have announced that they are actively pursuing preclinical or clinical development programs in the area of neurotrophic factors. Other companies have developed or are developing drugs based on technology other than neurotrophic factors for the treatment of diseases and injuries relating to the nervous system (including ALS). We are also aware that several pharmaceutical companies are conducting clinical trials in ALS with drugs that are orally administered. Our developments relating to treatments for asthma or other inflammatory conditions, obesity, diabetes and other conditions are subject to a similarly competitive environment.</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also compete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76"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73"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WE DEPEND ON THE COLLABORATIVE EFFORTS OF OUR ACADEMIC AND CORPORATE PARTNERS FOR RESEARCH, DEVELOPMENT AND COMMERCIALIZATION OF SOME OF OUR PRODUCTS.</w:t>
      </w:r>
    </w:p>
    <w:p>
      <w:pPr>
        <w:spacing w:after="0" w:line="34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strategy for research, development and commercialization of some of our products involves entering into various arrangements with academic and corporate partners and others. As a result, our strategy depends, in part, upon the success of these outside parties in performing their responsibilities. Our collaborators may also be our competitors, such as Amgen. We cannot control the amount and timing of resources that our collaborators devote to performing their contractual obligations. We cannot assure you that these parties will perform their obligations as expected or that any revenue will be derived from these arrangements.</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our collaborators breach or terminate their agreement with us or otherwise fail to conduct their collaborative activities in a timely manner,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 Our agreement with Procter &amp; Gamble has an early termination provision whereby either party has the right to terminate the agreement on June 30, 2002 by giving the other party one year's notice on or before June 30, 2001. The termination or cancellation of collaborative arrangements could adversely affect our financial condition, intellectual property position and operations.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200" w:lineRule="exact"/>
        <w:rPr>
          <w:sz w:val="20"/>
          <w:szCs w:val="20"/>
          <w:color w:val="auto"/>
        </w:rPr>
      </w:pPr>
    </w:p>
    <w:p>
      <w:pPr>
        <w:spacing w:after="0" w:line="331" w:lineRule="exact"/>
        <w:rPr>
          <w:sz w:val="20"/>
          <w:szCs w:val="20"/>
          <w:color w:val="auto"/>
        </w:rPr>
      </w:pPr>
    </w:p>
    <w:p>
      <w:pPr>
        <w:jc w:val="both"/>
        <w:ind w:right="2939" w:firstLine="462"/>
        <w:spacing w:after="0" w:line="253" w:lineRule="auto"/>
        <w:rPr>
          <w:sz w:val="20"/>
          <w:szCs w:val="20"/>
          <w:color w:val="auto"/>
        </w:rPr>
      </w:pPr>
      <w:r>
        <w:rPr>
          <w:rFonts w:ascii="Courier New" w:cs="Courier New" w:eastAsia="Courier New" w:hAnsi="Courier New"/>
          <w:sz w:val="15"/>
          <w:szCs w:val="15"/>
          <w:color w:val="auto"/>
        </w:rPr>
        <w:t>Other than our contractual rights under our license agreements, we may be limited in our ability to convince our licensees to fulfill their obligations. If our licensees fail to act promptly and effectively, or if a</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828" w:right="1440" w:bottom="359" w:gutter="0" w:footer="0" w:header="0"/>
        </w:sectPr>
      </w:pPr>
    </w:p>
    <w:bookmarkStart w:id="16" w:name="page17"/>
    <w:bookmarkEnd w:id="16"/>
    <w:p>
      <w:pPr>
        <w:ind w:right="3399"/>
        <w:spacing w:after="0" w:line="256" w:lineRule="auto"/>
        <w:rPr>
          <w:sz w:val="20"/>
          <w:szCs w:val="20"/>
          <w:color w:val="auto"/>
        </w:rPr>
      </w:pPr>
      <w:r>
        <w:rPr>
          <w:rFonts w:ascii="Courier New" w:cs="Courier New" w:eastAsia="Courier New" w:hAnsi="Courier New"/>
          <w:sz w:val="15"/>
          <w:szCs w:val="15"/>
          <w:color w:val="auto"/>
        </w:rPr>
        <w:t>dispute arises, it could have a material adverse effect on our results of operations and the price of our common stock.</w:t>
      </w:r>
    </w:p>
    <w:p>
      <w:pPr>
        <w:spacing w:after="0" w:line="348"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rely upon scientific, technical and clinical data supplied by academic and corporate collaborators, licensors, licensees, independent contractors and others in the evaluation and development of potential therapeutic compounds. We cannot assure you that there are no errors or omissions in this data that would materially adversely affect the development of these compounds.</w:t>
      </w:r>
    </w:p>
    <w:p>
      <w:pPr>
        <w:spacing w:after="0" w:line="351"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may seek additional collaborative arrangements to develop and commercialize our products in the future. We cannot assure you that we will be able to negotiate acceptable collaborative arrangements in the future or that they will be on favorable terms or that any collaborative arrangements will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RISKS RELATING TO PRODUCT MANUFACTURING.</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0" w:lineRule="auto"/>
        <w:rPr>
          <w:sz w:val="20"/>
          <w:szCs w:val="20"/>
          <w:color w:val="auto"/>
        </w:rPr>
      </w:pPr>
      <w:r>
        <w:rPr>
          <w:rFonts w:ascii="Courier New" w:cs="Courier New" w:eastAsia="Courier New" w:hAnsi="Courier New"/>
          <w:sz w:val="15"/>
          <w:szCs w:val="15"/>
          <w:color w:val="auto"/>
        </w:rPr>
        <w:t>If we are unable to manufacture our products, we would be unable to proceed with or could experience delays in the regulatory process for our product candidates under development, and experience delays in the commercialization of our products. We cannot assure you that we will be able to manufacture products successfully or in a cost-effective manner at our facilities. We may also have difficulties obtaining the raw materials and supplies necessary to manufacture our product candidates or the products we manufacture for others. If we are unable to develop our own manufacturing facilities or to obtain or retain third-party manufacturing on acceptable terms, we may not be able to conduct certain future preclinical and clinical testing or to supply commercial quantities of our product candidates. Our dependence upon third parties for the manufacture of some of our products and related therapies may adversely</w:t>
      </w:r>
    </w:p>
    <w:p>
      <w:pPr>
        <w:spacing w:after="0" w:line="7"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affect our profit margins and our ability to develop and deliver products on a timely and competitive basis.</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0" w:lineRule="exact"/>
        <w:rPr>
          <w:sz w:val="20"/>
          <w:szCs w:val="20"/>
          <w:color w:val="auto"/>
        </w:rPr>
      </w:pPr>
    </w:p>
    <w:p>
      <w:pPr>
        <w:spacing w:after="0" w:line="329"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SINCE WE HAVE NO SALES AND MARKETING EXPERIENCE OR INFRASTRUCTURE, WE MAY HAVE TO RELY ON THIRD PARTIES.</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have no sales, marketing and distribution experience or infrastructure. We may have to rely significantly on sales, marketing and distribution arrangements with third parties for the products we are developing. If in the future we determine to perform sales, marketing and distribution functions ourselves, we would face a number of additional risks, including:</w:t>
      </w:r>
    </w:p>
    <w:p>
      <w:pPr>
        <w:spacing w:after="0" w:line="200" w:lineRule="exact"/>
        <w:rPr>
          <w:sz w:val="20"/>
          <w:szCs w:val="20"/>
          <w:color w:val="auto"/>
        </w:rPr>
      </w:pPr>
    </w:p>
    <w:p>
      <w:pPr>
        <w:spacing w:after="0" w:line="329"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we may not be able to attract and build a significant marketing or sales force;</w:t>
      </w:r>
    </w:p>
    <w:p>
      <w:pPr>
        <w:spacing w:after="0" w:line="200" w:lineRule="exact"/>
        <w:rPr>
          <w:sz w:val="20"/>
          <w:szCs w:val="20"/>
          <w:color w:val="auto"/>
        </w:rPr>
      </w:pPr>
    </w:p>
    <w:p>
      <w:pPr>
        <w:spacing w:after="0" w:line="325" w:lineRule="exact"/>
        <w:rPr>
          <w:sz w:val="20"/>
          <w:szCs w:val="20"/>
          <w:color w:val="auto"/>
        </w:rPr>
      </w:pPr>
    </w:p>
    <w:p>
      <w:pPr>
        <w:ind w:left="640" w:right="377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cost of establishing a marketing or sales force may not be justifiable in light of any product revenues; and</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direct sales and marketing efforts may not be successful.</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PRODUCTS MAY NOT ACHIEVE COMMERCIAL SUCCESS.</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commercial success of any of our products will depend upon their</w:t>
      </w:r>
    </w:p>
    <w:p>
      <w:pPr>
        <w:sectPr>
          <w:pgSz w:w="11900" w:h="16838" w:orient="portrait"/>
          <w:cols w:equalWidth="0" w:num="1">
            <w:col w:w="10139"/>
          </w:cols>
          <w:pgMar w:left="320" w:top="828" w:right="1440" w:bottom="0" w:gutter="0" w:footer="0" w:header="0"/>
        </w:sectPr>
      </w:pPr>
    </w:p>
    <w:bookmarkStart w:id="17" w:name="page18"/>
    <w:bookmarkEnd w:id="17"/>
    <w:p>
      <w:pPr>
        <w:jc w:val="both"/>
        <w:ind w:right="2859"/>
        <w:spacing w:after="0" w:line="253" w:lineRule="auto"/>
        <w:rPr>
          <w:sz w:val="20"/>
          <w:szCs w:val="20"/>
          <w:color w:val="auto"/>
        </w:rPr>
      </w:pPr>
      <w:r>
        <w:rPr>
          <w:rFonts w:ascii="Courier New" w:cs="Courier New" w:eastAsia="Courier New" w:hAnsi="Courier New"/>
          <w:sz w:val="15"/>
          <w:szCs w:val="15"/>
          <w:color w:val="auto"/>
        </w:rPr>
        <w:t>acceptance by patients, the medical community and third-party payors and on our ability to successfully develop, manufacture and market our products. Among the factors that we believe will materially affect acceptance of our products are:</w:t>
      </w:r>
    </w:p>
    <w:p>
      <w:pPr>
        <w:spacing w:after="0" w:line="200" w:lineRule="exact"/>
        <w:rPr>
          <w:sz w:val="20"/>
          <w:szCs w:val="20"/>
          <w:color w:val="auto"/>
        </w:rPr>
      </w:pPr>
    </w:p>
    <w:p>
      <w:pPr>
        <w:spacing w:after="0" w:line="328"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the timing of receipt of approvals for marketing our products and the countries in which those approvals are obtained;</w:t>
      </w:r>
    </w:p>
    <w:p>
      <w:pPr>
        <w:spacing w:after="0" w:line="34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safety and efficacy of our products;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the success of physician education programs;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142" w:right="1440" w:bottom="1440" w:gutter="0" w:footer="0" w:header="0"/>
        </w:sectPr>
      </w:pPr>
    </w:p>
    <w:bookmarkStart w:id="18" w:name="page19"/>
    <w:bookmarkEnd w:id="18"/>
    <w:p>
      <w:pPr>
        <w:ind w:left="645" w:right="2939" w:hanging="179"/>
        <w:spacing w:after="0" w:line="256" w:lineRule="auto"/>
        <w:tabs>
          <w:tab w:leader="none" w:pos="625" w:val="left"/>
        </w:tabs>
        <w:rPr>
          <w:sz w:val="20"/>
          <w:szCs w:val="20"/>
          <w:color w:val="auto"/>
        </w:rPr>
      </w:pPr>
      <w:r>
        <w:rPr>
          <w:rFonts w:ascii="Courier New" w:cs="Courier New" w:eastAsia="Courier New" w:hAnsi="Courier New"/>
          <w:sz w:val="15"/>
          <w:szCs w:val="15"/>
          <w:color w:val="auto"/>
        </w:rPr>
        <w:t>o</w:t>
        <w:tab/>
        <w:t>the cost of our products in comparison with conventional or alternative therapeutic products; and</w:t>
      </w:r>
    </w:p>
    <w:p>
      <w:pPr>
        <w:spacing w:after="0" w:line="170" w:lineRule="exact"/>
        <w:rPr>
          <w:sz w:val="20"/>
          <w:szCs w:val="20"/>
          <w:color w:val="auto"/>
        </w:rPr>
      </w:pPr>
    </w:p>
    <w:p>
      <w:pPr>
        <w:ind w:left="645" w:right="2759" w:hanging="179"/>
        <w:spacing w:after="0" w:line="256" w:lineRule="auto"/>
        <w:tabs>
          <w:tab w:leader="none" w:pos="625" w:val="left"/>
        </w:tabs>
        <w:rPr>
          <w:sz w:val="20"/>
          <w:szCs w:val="20"/>
          <w:color w:val="auto"/>
        </w:rPr>
      </w:pPr>
      <w:r>
        <w:rPr>
          <w:rFonts w:ascii="Courier New" w:cs="Courier New" w:eastAsia="Courier New" w:hAnsi="Courier New"/>
          <w:sz w:val="15"/>
          <w:szCs w:val="15"/>
          <w:color w:val="auto"/>
        </w:rPr>
        <w:t>o</w:t>
        <w:tab/>
        <w:t>the availability of government and third-party payor reimbursement of our products.</w:t>
      </w:r>
    </w:p>
    <w:p>
      <w:pPr>
        <w:spacing w:after="0" w:line="348" w:lineRule="exact"/>
        <w:rPr>
          <w:sz w:val="20"/>
          <w:szCs w:val="20"/>
          <w:color w:val="auto"/>
        </w:rPr>
      </w:pPr>
    </w:p>
    <w:p>
      <w:pPr>
        <w:ind w:left="5" w:right="2859"/>
        <w:spacing w:after="0" w:line="253" w:lineRule="auto"/>
        <w:rPr>
          <w:sz w:val="20"/>
          <w:szCs w:val="20"/>
          <w:color w:val="auto"/>
        </w:rPr>
      </w:pPr>
      <w:r>
        <w:rPr>
          <w:rFonts w:ascii="Courier New" w:cs="Courier New" w:eastAsia="Courier New" w:hAnsi="Courier New"/>
          <w:sz w:val="15"/>
          <w:szCs w:val="15"/>
          <w:color w:val="auto"/>
        </w:rPr>
        <w:t>IF WE FAIL TO OBTAIN AN ADEQUATE LEVEL OF REIMBURSEMENT FOR OUR FUTURE PRODUCTS BY THIRD-PARTY PAYORS, THERE MAY BE NO COMMERCIALLY VIABLE MARKETS FOR OUR PRODUCTS.</w:t>
      </w:r>
    </w:p>
    <w:p>
      <w:pPr>
        <w:spacing w:after="0" w:line="351" w:lineRule="exact"/>
        <w:rPr>
          <w:sz w:val="20"/>
          <w:szCs w:val="20"/>
          <w:color w:val="auto"/>
        </w:rPr>
      </w:pPr>
    </w:p>
    <w:p>
      <w:pPr>
        <w:ind w:left="5" w:right="2859" w:firstLine="462"/>
        <w:spacing w:after="0" w:line="252" w:lineRule="auto"/>
        <w:rPr>
          <w:sz w:val="20"/>
          <w:szCs w:val="20"/>
          <w:color w:val="auto"/>
        </w:rPr>
      </w:pPr>
      <w:r>
        <w:rPr>
          <w:rFonts w:ascii="Courier New" w:cs="Courier New" w:eastAsia="Courier New" w:hAnsi="Courier New"/>
          <w:sz w:val="15"/>
          <w:szCs w:val="15"/>
          <w:color w:val="auto"/>
        </w:rPr>
        <w:t>The success of our products will depend, in part, upon the extent to which a consumer will be willing to pay the price or be able to obtain reimbursement for the cost of these products from government health administration authorities, private health insurers and other organizations.</w:t>
      </w:r>
    </w:p>
    <w:p>
      <w:pPr>
        <w:spacing w:after="0" w:line="352" w:lineRule="exact"/>
        <w:rPr>
          <w:sz w:val="20"/>
          <w:szCs w:val="20"/>
          <w:color w:val="auto"/>
        </w:rPr>
      </w:pPr>
    </w:p>
    <w:p>
      <w:pPr>
        <w:ind w:left="5" w:right="2759" w:firstLine="462"/>
        <w:spacing w:after="0" w:line="250" w:lineRule="auto"/>
        <w:rPr>
          <w:sz w:val="20"/>
          <w:szCs w:val="20"/>
          <w:color w:val="auto"/>
        </w:rPr>
      </w:pPr>
      <w:r>
        <w:rPr>
          <w:rFonts w:ascii="Courier New" w:cs="Courier New" w:eastAsia="Courier New" w:hAnsi="Courier New"/>
          <w:sz w:val="15"/>
          <w:szCs w:val="15"/>
          <w:color w:val="auto"/>
        </w:rPr>
        <w:t>Significant uncertainties exist as to the reimbursement status of newly approved therapeutic products. Medicare generally does not provide reimbursement for self-administered prescription therapeutic agents. We cannot assure you that</w:t>
      </w:r>
    </w:p>
    <w:p>
      <w:pPr>
        <w:spacing w:after="0" w:line="2" w:lineRule="exact"/>
        <w:rPr>
          <w:sz w:val="20"/>
          <w:szCs w:val="20"/>
          <w:color w:val="auto"/>
        </w:rPr>
      </w:pPr>
    </w:p>
    <w:p>
      <w:pPr>
        <w:ind w:left="5" w:right="2939" w:hanging="5"/>
        <w:spacing w:after="0" w:line="252" w:lineRule="auto"/>
        <w:tabs>
          <w:tab w:leader="none" w:pos="37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in the United States or foreign countries will be available for any of our products or (2) if available, there will be no decrease in the future or (3) that reimbursement amounts will not reduce the demand for or the price of our products. The unavailability or inadequacy of third-party reimbursement for our products could have a material adverse effect on us.</w:t>
      </w:r>
    </w:p>
    <w:p>
      <w:pPr>
        <w:spacing w:after="0" w:line="351" w:lineRule="exact"/>
        <w:rPr>
          <w:sz w:val="20"/>
          <w:szCs w:val="20"/>
          <w:color w:val="auto"/>
        </w:rPr>
      </w:pPr>
    </w:p>
    <w:p>
      <w:pPr>
        <w:ind w:left="5" w:right="2759" w:firstLine="462"/>
        <w:spacing w:after="0" w:line="251" w:lineRule="auto"/>
        <w:rPr>
          <w:sz w:val="20"/>
          <w:szCs w:val="20"/>
          <w:color w:val="auto"/>
        </w:rPr>
      </w:pPr>
      <w:r>
        <w:rPr>
          <w:rFonts w:ascii="Courier New" w:cs="Courier New" w:eastAsia="Courier New" w:hAnsi="Courier New"/>
          <w:sz w:val="15"/>
          <w:szCs w:val="15"/>
          <w:color w:val="auto"/>
        </w:rPr>
        <w:t>Third-party payors are increasingly challenging the prices charged for medical services and products and the trend towards managed care in the United States and the growth of organizations such as health maintenance organizations, which could control or significantly influence the purchase of health care services and products, as well as legislative proposals to reform health care or reduce government insurance programs, may result in lower prices for our products. The cost containment measures that health care providers are instituting and the effect of any health care reform could affect our ability to sell our products and may have a material adverse effect on us. We are unable to forecast what additional legislation or regulation, if any, relating to the health care industry or third-party coverage and reimbursement may be enacted in the future or what effect such legislation or regulation would have on our business.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RISKS RELATED TO INTELLECTUAL PROPERTY</w:t>
      </w:r>
    </w:p>
    <w:p>
      <w:pPr>
        <w:spacing w:after="0" w:line="185" w:lineRule="exact"/>
        <w:rPr>
          <w:sz w:val="20"/>
          <w:szCs w:val="20"/>
          <w:color w:val="auto"/>
        </w:rPr>
      </w:pPr>
    </w:p>
    <w:p>
      <w:pPr>
        <w:ind w:left="5" w:right="3039"/>
        <w:spacing w:after="0" w:line="256" w:lineRule="auto"/>
        <w:rPr>
          <w:sz w:val="20"/>
          <w:szCs w:val="20"/>
          <w:color w:val="auto"/>
        </w:rPr>
      </w:pPr>
      <w:r>
        <w:rPr>
          <w:rFonts w:ascii="Courier New" w:cs="Courier New" w:eastAsia="Courier New" w:hAnsi="Courier New"/>
          <w:sz w:val="15"/>
          <w:szCs w:val="15"/>
          <w:color w:val="auto"/>
        </w:rPr>
        <w:t>WE MAY NOT BE ABLE TO OBTAIN PATENT PROTECTION FOR OUR DISCOVERIES AND WE MAY INFRINGE PATENT RIGHTS OF OTHERS.</w:t>
      </w:r>
    </w:p>
    <w:p>
      <w:pPr>
        <w:spacing w:after="0" w:line="348" w:lineRule="exact"/>
        <w:rPr>
          <w:sz w:val="20"/>
          <w:szCs w:val="20"/>
          <w:color w:val="auto"/>
        </w:rPr>
      </w:pPr>
    </w:p>
    <w:p>
      <w:pPr>
        <w:ind w:left="5" w:right="2859" w:firstLine="462"/>
        <w:spacing w:after="0" w:line="251" w:lineRule="auto"/>
        <w:rPr>
          <w:sz w:val="20"/>
          <w:szCs w:val="20"/>
          <w:color w:val="auto"/>
        </w:rPr>
      </w:pPr>
      <w:r>
        <w:rPr>
          <w:rFonts w:ascii="Courier New" w:cs="Courier New" w:eastAsia="Courier New" w:hAnsi="Courier New"/>
          <w:sz w:val="15"/>
          <w:szCs w:val="15"/>
          <w:color w:val="auto"/>
        </w:rPr>
        <w:t>We believe that patent protection of, and freedom to use, products or processes that may result from our research and development efforts, our licensors, licensees or collaborators is important to the possible commercialization of our product candidates. We or our licensors or collaborators have filed patent applications on products and processes relating to AXOKINE, Cytokine Traps, Angiopoietins, BDNF and NT-3, as well as other technologies and inventions in the United States and in certain foreign countries. Although we have obtained a number of U.S. patents, we cannot assure you that any additional patents will be issued. Moreover, we cannot assure you that our products or processes will not be found to infringe the patents of others or that any issued of our patents will provide adequate protection against competitive products or otherwise be commercially valuable. Related to patent issues, in March 1998, we and Amgen entered into an agreement not to sue each other with respect to our activities relating to CNTF and AXOKINE. The agreement also provides a simple mechanism for resolving our patent interferences and related opposition and other patent proceedings relating to CNTF and AXOKINE without protracted litigation. We also granted Amgen a license to use CNTF and second generation CNTFs other than AXOKINE to treat retinal degenerative conditions. We will not pay royalties or make other payments to Amgen in consideration of this agreement.</w:t>
      </w:r>
    </w:p>
    <w:p>
      <w:pPr>
        <w:spacing w:after="0" w:line="200" w:lineRule="exact"/>
        <w:rPr>
          <w:sz w:val="20"/>
          <w:szCs w:val="20"/>
          <w:color w:val="auto"/>
        </w:rPr>
      </w:pPr>
    </w:p>
    <w:p>
      <w:pPr>
        <w:spacing w:after="0" w:line="330" w:lineRule="exact"/>
        <w:rPr>
          <w:sz w:val="20"/>
          <w:szCs w:val="20"/>
          <w:color w:val="auto"/>
        </w:rPr>
      </w:pPr>
    </w:p>
    <w:p>
      <w:pPr>
        <w:ind w:left="5" w:right="2759" w:firstLine="462"/>
        <w:spacing w:after="0" w:line="251" w:lineRule="auto"/>
        <w:rPr>
          <w:sz w:val="20"/>
          <w:szCs w:val="20"/>
          <w:color w:val="auto"/>
        </w:rPr>
      </w:pPr>
      <w:r>
        <w:rPr>
          <w:rFonts w:ascii="Courier New" w:cs="Courier New" w:eastAsia="Courier New" w:hAnsi="Courier New"/>
          <w:sz w:val="15"/>
          <w:szCs w:val="15"/>
          <w:color w:val="auto"/>
        </w:rPr>
        <w:t>In addition, 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to file products and process patent applications with respect to our inventions. However, we cannot assure you that we will file any such applications or, if filed, that the patents will be issued. Patents issued to or licensed by us may be infringed by the products or processes of others.</w:t>
      </w:r>
    </w:p>
    <w:p>
      <w:pPr>
        <w:spacing w:after="0" w:line="200" w:lineRule="exact"/>
        <w:rPr>
          <w:sz w:val="20"/>
          <w:szCs w:val="20"/>
          <w:color w:val="auto"/>
        </w:rPr>
      </w:pPr>
    </w:p>
    <w:p>
      <w:pPr>
        <w:spacing w:after="0" w:line="331" w:lineRule="exact"/>
        <w:rPr>
          <w:sz w:val="20"/>
          <w:szCs w:val="20"/>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Defense and enforcement of our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our</w:t>
      </w:r>
    </w:p>
    <w:p>
      <w:pPr>
        <w:sectPr>
          <w:pgSz w:w="11900" w:h="16838" w:orient="portrait"/>
          <w:cols w:equalWidth="0" w:num="1">
            <w:col w:w="10144"/>
          </w:cols>
          <w:pgMar w:left="315" w:top="651" w:right="1440" w:bottom="0" w:gutter="0" w:footer="0" w:header="0"/>
        </w:sectPr>
      </w:pPr>
    </w:p>
    <w:bookmarkStart w:id="19" w:name="page20"/>
    <w:bookmarkEnd w:id="19"/>
    <w:p>
      <w:pPr>
        <w:ind w:left="2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319" w:right="1440" w:bottom="1440" w:gutter="0" w:footer="0" w:header="0"/>
        </w:sectPr>
      </w:pPr>
    </w:p>
    <w:bookmarkStart w:id="20" w:name="page21"/>
    <w:bookmarkEnd w:id="20"/>
    <w:p>
      <w:pPr>
        <w:jc w:val="both"/>
        <w:ind w:right="2759"/>
        <w:spacing w:after="0" w:line="253" w:lineRule="auto"/>
        <w:rPr>
          <w:sz w:val="20"/>
          <w:szCs w:val="20"/>
          <w:color w:val="auto"/>
        </w:rPr>
      </w:pPr>
      <w:r>
        <w:rPr>
          <w:rFonts w:ascii="Courier New" w:cs="Courier New" w:eastAsia="Courier New" w:hAnsi="Courier New"/>
          <w:sz w:val="15"/>
          <w:szCs w:val="15"/>
          <w:color w:val="auto"/>
        </w:rPr>
        <w:t>products or processes or pay licensing fees or cease certain activities to take into account patent rights of third parties, causing additional unexpected costs and delays which may have a material adverse effect on us.</w:t>
      </w:r>
    </w:p>
    <w:p>
      <w:pPr>
        <w:spacing w:after="0" w:line="351"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IF WE ARE NOT ABLE TO KEEP OUR TRADE SECRETS CONFIDENTIAL, OUR TECHNOLOGY AND INFORMATION MAY BE USED BY OTHERS TO COMPETE AGAINST US.</w:t>
      </w:r>
    </w:p>
    <w:p>
      <w:pPr>
        <w:spacing w:after="0" w:line="34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to our reliance on patents, we attempt to protect our proprietary products and processes by relying on trade secret laws and nondisclosure and confidentiality agreements and exclusive licensing arrangements with our employees and certain other persons who have access to our proprietary products or processes or have licensing or research arrangements exclusive to us. Despite these protections, no assurance can be given that these agreements or arrangements will provide meaningful protection for our trade secrets in the event of unauthorized use or disclosure of such information or that others will not independently develop or obtain access to such products or processes or that our competitive position will not be adversely affected thereby. No assurance can be given that others will not independently develop substantially equivalent proprietary information and techniques or otherwise gain access to our trade secrets or technology or that we can meaningfully protect our rights to our trade secrets.</w:t>
      </w:r>
    </w:p>
    <w:p>
      <w:pPr>
        <w:spacing w:after="0" w:line="353"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5"/>
          <w:szCs w:val="15"/>
          <w:color w:val="auto"/>
        </w:rPr>
        <w:t>WE MAY BECOME INVOLVED IN EXPENSIVE PATENT LITIGATION OR OTHER INTELLECTUAL PROPERTY PROCEEDINGS WHICH COULD RESULT IN LIABILITY FOR DAMAGES OR STOP OUR PRODUCT DEVELOPMENT AND COMMERCIALIZATION EFFORTS.</w:t>
      </w:r>
    </w:p>
    <w:p>
      <w:pPr>
        <w:spacing w:after="0" w:line="35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There has been substantial litigation and other proceedings regarding the complex patent and other intellectual property rights in the pharmaceutical and biotechnology industries. In addition to the patent interference proceeding described above, we may become a party to patent litigation or other proceedings regarding intellectual property rights.</w:t>
      </w:r>
    </w:p>
    <w:p>
      <w:pPr>
        <w:spacing w:after="0" w:line="351"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Other types of situations in which we may become involved in patent litigation or other intellectual property proceedings include:</w:t>
      </w:r>
    </w:p>
    <w:p>
      <w:pPr>
        <w:spacing w:after="0" w:line="170"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we may initiate litigation or other proceedings against third parties to enforce our patent rights;</w:t>
      </w:r>
    </w:p>
    <w:p>
      <w:pPr>
        <w:spacing w:after="0" w:line="170" w:lineRule="exact"/>
        <w:rPr>
          <w:sz w:val="20"/>
          <w:szCs w:val="20"/>
          <w:color w:val="auto"/>
        </w:rPr>
      </w:pPr>
    </w:p>
    <w:p>
      <w:pPr>
        <w:jc w:val="both"/>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we may initiate litigation or other proceedings against third parties to seek to invalidate the patents held by these third parties or to obtain a judgment that our products or services do not infringe the third parties' patents;</w:t>
      </w:r>
    </w:p>
    <w:p>
      <w:pPr>
        <w:spacing w:after="0" w:line="174" w:lineRule="exact"/>
        <w:rPr>
          <w:sz w:val="20"/>
          <w:szCs w:val="20"/>
          <w:color w:val="auto"/>
        </w:rPr>
      </w:pPr>
    </w:p>
    <w:p>
      <w:pPr>
        <w:ind w:left="640" w:right="303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if our competitors file patent applications that claim technology also claimed by us, we may participate in interference or opposition proceedings to determine the priority of invention; and</w:t>
      </w:r>
    </w:p>
    <w:p>
      <w:pPr>
        <w:spacing w:after="0" w:line="173" w:lineRule="exact"/>
        <w:rPr>
          <w:sz w:val="20"/>
          <w:szCs w:val="20"/>
          <w:color w:val="auto"/>
        </w:rPr>
      </w:pPr>
    </w:p>
    <w:p>
      <w:pPr>
        <w:ind w:left="640" w:right="28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if third parties initiate litigation claiming that our processes or products infringe their patent or other intellectual property rights, we will need to defend against such claims.</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cost to us of any patent litigation or other proceedings, even if resolved in our favor, could be substantial. Some of our competitors may be able to sustain the cost of such litigation or proceedings more effectively than we can because of their substantially greater financial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or not at all.</w:t>
      </w:r>
    </w:p>
    <w:p>
      <w:pPr>
        <w:spacing w:after="0" w:line="176"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Uncertainties resulting from the litigation and continuation of patent litigation or other proceedings could have a material adverse effect on our ability to compete in the marketplace. Patent litigation and other proceedings may also absorb significant management time.</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5"/>
          <w:szCs w:val="15"/>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the licensor will have the right to terminate the license.</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828" w:right="1440" w:bottom="1069" w:gutter="0" w:footer="0" w:header="0"/>
        </w:sectPr>
      </w:pPr>
    </w:p>
    <w:bookmarkStart w:id="21" w:name="page22"/>
    <w:bookmarkEnd w:id="21"/>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ONGOING OPERATIONS</w:t>
      </w:r>
    </w:p>
    <w:p>
      <w:pPr>
        <w:spacing w:after="0" w:line="185" w:lineRule="exact"/>
        <w:rPr>
          <w:sz w:val="20"/>
          <w:szCs w:val="20"/>
          <w:color w:val="auto"/>
        </w:rPr>
      </w:pPr>
    </w:p>
    <w:p>
      <w:pPr>
        <w:ind w:right="2859"/>
        <w:spacing w:after="0" w:line="253" w:lineRule="auto"/>
        <w:rPr>
          <w:sz w:val="20"/>
          <w:szCs w:val="20"/>
          <w:color w:val="auto"/>
        </w:rPr>
      </w:pPr>
      <w:r>
        <w:rPr>
          <w:rFonts w:ascii="Courier New" w:cs="Courier New" w:eastAsia="Courier New" w:hAnsi="Courier New"/>
          <w:sz w:val="15"/>
          <w:szCs w:val="15"/>
          <w:color w:val="auto"/>
        </w:rPr>
        <w:t>RECRUITING AND RETAINING QUALIFIED SCIENTIFIC AND MANAGEMENT PERSONNEL TO PERFORM RESEARCH AND DEVELOPMENT WORK AND TO COMMERCIALIZE PRODUCTS IS CRITICAL TO OUR SUCCESS.</w:t>
      </w:r>
    </w:p>
    <w:p>
      <w:pPr>
        <w:spacing w:after="0" w:line="35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Although we believe we have been successful in attracting and retaining skilled and experienced scientific and management personnel, we cannot assure you that we will be able to continue to attract and retain such personnel on acceptable terms. The loss of any of our key personnel, in particular (1) our Chairman, P. Roy Vagelos, M.D., (2) our President and Chief Executive Officer, Leonard S. Schleifer, M.D., Ph.D. and (3) our Chief Scientific Officer, George D. Yancopoulos, M.D., Ph.D., may have an adverse effect on us. In addition, our anticipated growth and expansion into new areas requiring additional expertise are expected to place increased demands on our resources and require the recruitment of additional management personnel and the development of additional expertise by existing management personnel. The failure to acquire such services or to develop such expertise could have a material adverse effect on us.</w:t>
      </w:r>
    </w:p>
    <w:p>
      <w:pPr>
        <w:spacing w:after="0" w:line="354"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WE COULD BE EXPOSED TO SIGNIFICANT LIABILITY CLAIMS IF WE ARE UNABLE TO OBTAIN INSURANCE AT ACCEPTABLE COSTS OR OTHERWISE TO PROTECT US AGAINST POTENTIAL PRODUCT LIABILITY CLAIMS.</w:t>
      </w:r>
    </w:p>
    <w:p>
      <w:pPr>
        <w:spacing w:after="0" w:line="35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testing, manufacturing and marketing of human pharmaceutical products entail significant inherent risks. Their use in clinical trials and their sale may expose us to liability claims. These claims might be made directly by consumers or by pharmaceutical companies or others selling the products. We are insured by health care product liability insurance policies, including a policy carried by Amgen-Regeneron Partners, the purpose of which is to cover certain claims that could arise during the clinical trials of BDNF and NT-3. Such coverage or the amount and scope of any coverage obtained in the future may be inadequate to protect Regeneron in the event of a successful liability claim and we cannot assure you that the amount of such insurance can be purchased, increased or renewed. We cannot assure you that we will avoid a significant product liability claim or recall that could have a material adverse effect on us.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COMMON STOCK</w:t>
      </w:r>
    </w:p>
    <w:p>
      <w:pPr>
        <w:spacing w:after="0" w:line="185"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5"/>
          <w:szCs w:val="15"/>
          <w:color w:val="auto"/>
        </w:rPr>
        <w:t>OUR STOCK PRICE COULD BE VOLATILE, WHICH COULD CAUSE YOU TO LOSE PART OR ALL OF YOUR INVESTMENT.</w:t>
      </w:r>
    </w:p>
    <w:p>
      <w:pPr>
        <w:spacing w:after="0" w:line="348"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There has been a history of significant volatility in the market price of shares of biotechnology companies, including our shares and it is likely that the market price of our common stock will continue to be highly volatile. In 1998, the bid price for our common stock fluctuated from a low of $5.75 a share to $11.00 a share. In 1999, the bid price fluctuated from a low of $5.38 per share to a high of $13.00 per share. From January 1, 2000 to March 8, 2000, the bid price fluctuated from a low of $11.50 per share to a high of $56.44 per share. The following factors may have a significant effect on the market price of our common stock:</w:t>
      </w: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fluctuations in our operating results,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clinical trial results,</w:t>
      </w:r>
    </w:p>
    <w:p>
      <w:pPr>
        <w:spacing w:after="0" w:line="200" w:lineRule="exact"/>
        <w:rPr>
          <w:sz w:val="20"/>
          <w:szCs w:val="20"/>
          <w:color w:val="auto"/>
        </w:rPr>
      </w:pPr>
    </w:p>
    <w:p>
      <w:pPr>
        <w:spacing w:after="0" w:line="340" w:lineRule="exact"/>
        <w:rPr>
          <w:sz w:val="20"/>
          <w:szCs w:val="20"/>
          <w:color w:val="auto"/>
        </w:rPr>
      </w:pPr>
    </w:p>
    <w:p>
      <w:pPr>
        <w:ind w:left="640" w:right="285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announcements of technological innovations or new commercial therapeutic products introduced by us or our competitors,</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governmental regulation,</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regulatory delays,</w:t>
      </w:r>
    </w:p>
    <w:p>
      <w:pPr>
        <w:spacing w:after="0" w:line="200" w:lineRule="exact"/>
        <w:rPr>
          <w:sz w:val="20"/>
          <w:szCs w:val="20"/>
          <w:color w:val="auto"/>
        </w:rPr>
      </w:pPr>
    </w:p>
    <w:p>
      <w:pPr>
        <w:spacing w:after="0" w:line="340" w:lineRule="exact"/>
        <w:rPr>
          <w:sz w:val="20"/>
          <w:szCs w:val="20"/>
          <w:color w:val="auto"/>
        </w:rPr>
      </w:pPr>
    </w:p>
    <w:p>
      <w:pPr>
        <w:ind w:left="640" w:hanging="184"/>
        <w:spacing w:after="0"/>
        <w:tabs>
          <w:tab w:leader="none" w:pos="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in patent or other proprietary rights,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759" w:hanging="184"/>
        <w:spacing w:after="0" w:line="256" w:lineRule="auto"/>
        <w:tabs>
          <w:tab w:leader="none" w:pos="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concern as to the safety or other implications of the drugs sought to be developed by us or the genetic engineering involved in their</w:t>
      </w:r>
    </w:p>
    <w:p>
      <w:pPr>
        <w:sectPr>
          <w:pgSz w:w="11900" w:h="16841" w:orient="portrait"/>
          <w:cols w:equalWidth="0" w:num="1">
            <w:col w:w="10139"/>
          </w:cols>
          <w:pgMar w:left="320" w:top="651" w:right="1440" w:bottom="0" w:gutter="0" w:footer="0" w:header="0"/>
        </w:sectPr>
      </w:pPr>
    </w:p>
    <w:bookmarkStart w:id="22" w:name="page23"/>
    <w:bookmarkEnd w:id="22"/>
    <w:p>
      <w:pPr>
        <w:ind w:left="180"/>
        <w:spacing w:after="0"/>
        <w:rPr>
          <w:sz w:val="20"/>
          <w:szCs w:val="20"/>
          <w:color w:val="auto"/>
        </w:rPr>
      </w:pPr>
      <w:r>
        <w:rPr>
          <w:rFonts w:ascii="Courier New" w:cs="Courier New" w:eastAsia="Courier New" w:hAnsi="Courier New"/>
          <w:sz w:val="15"/>
          <w:szCs w:val="15"/>
          <w:color w:val="auto"/>
        </w:rPr>
        <w:t>production, and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general market conditions.</w:t>
      </w:r>
    </w:p>
    <w:p>
      <w:pPr>
        <w:spacing w:after="0" w:line="363"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679"/>
          </w:cols>
          <w:pgMar w:left="780" w:top="141" w:right="1440" w:bottom="1440" w:gutter="0" w:footer="0" w:header="0"/>
        </w:sectPr>
      </w:pPr>
    </w:p>
    <w:bookmarkStart w:id="23" w:name="page24"/>
    <w:bookmarkEnd w:id="23"/>
    <w:p>
      <w:pPr>
        <w:ind w:right="3219"/>
        <w:spacing w:after="0" w:line="256" w:lineRule="auto"/>
        <w:rPr>
          <w:sz w:val="20"/>
          <w:szCs w:val="20"/>
          <w:color w:val="auto"/>
        </w:rPr>
      </w:pPr>
      <w:r>
        <w:rPr>
          <w:rFonts w:ascii="Courier New" w:cs="Courier New" w:eastAsia="Courier New" w:hAnsi="Courier New"/>
          <w:sz w:val="15"/>
          <w:szCs w:val="15"/>
          <w:color w:val="auto"/>
        </w:rPr>
        <w:t>OUR EXISTING SHAREHOLDERS MAY BE ABLE TO INFLUENCE THE OUTCOME OF CORPORATE ACTIONS.</w:t>
      </w:r>
    </w:p>
    <w:p>
      <w:pPr>
        <w:spacing w:after="0" w:line="34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Holders of Class A stock (the shareholders who purchased their stock from us before our initial public offering) are entitled to ten votes per share and holders of common stock are entitled to one vote per share. Upon completion of this offering, holders of Class A stock will hold 7.7% of our outstanding common and Class A stock, or common shares, and 45.3% of the combined voting power of the common shares and, if acting together, will be in position to significantly influence the election of our directors and to effect or prevent certain corporate transactions which require majority or supermajority approval of the combined classes, including mergers and other business combinations. Upon the completion of this offering:</w:t>
      </w:r>
    </w:p>
    <w:p>
      <w:pPr>
        <w:spacing w:after="0" w:line="200" w:lineRule="exact"/>
        <w:rPr>
          <w:sz w:val="20"/>
          <w:szCs w:val="20"/>
          <w:color w:val="auto"/>
        </w:rPr>
      </w:pPr>
    </w:p>
    <w:p>
      <w:pPr>
        <w:spacing w:after="0" w:line="33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o our current officers and directors will own 10.4% of our outstanding</w:t>
      </w:r>
    </w:p>
    <w:p>
      <w:pPr>
        <w:spacing w:after="0" w:line="8" w:lineRule="exact"/>
        <w:rPr>
          <w:sz w:val="20"/>
          <w:szCs w:val="20"/>
          <w:color w:val="auto"/>
        </w:rPr>
      </w:pPr>
    </w:p>
    <w:p>
      <w:pPr>
        <w:ind w:left="640" w:right="3399"/>
        <w:spacing w:after="0" w:line="256" w:lineRule="auto"/>
        <w:rPr>
          <w:sz w:val="20"/>
          <w:szCs w:val="20"/>
          <w:color w:val="auto"/>
        </w:rPr>
      </w:pPr>
      <w:r>
        <w:rPr>
          <w:rFonts w:ascii="Courier New" w:cs="Courier New" w:eastAsia="Courier New" w:hAnsi="Courier New"/>
          <w:sz w:val="15"/>
          <w:szCs w:val="15"/>
          <w:color w:val="auto"/>
        </w:rPr>
        <w:t>common shares and 40.2% of the combined voting power of our common shares;</w:t>
      </w:r>
    </w:p>
    <w:p>
      <w:pPr>
        <w:spacing w:after="0" w:line="200" w:lineRule="exact"/>
        <w:rPr>
          <w:sz w:val="20"/>
          <w:szCs w:val="20"/>
          <w:color w:val="auto"/>
        </w:rPr>
      </w:pPr>
    </w:p>
    <w:p>
      <w:pPr>
        <w:spacing w:after="0" w:line="325" w:lineRule="exact"/>
        <w:rPr>
          <w:sz w:val="20"/>
          <w:szCs w:val="20"/>
          <w:color w:val="auto"/>
        </w:rPr>
      </w:pPr>
    </w:p>
    <w:p>
      <w:pPr>
        <w:ind w:left="640" w:right="311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Procter &amp; Gamble will hold 14.1% of our outstanding common shares and 8.4% of the combined voting power of our common shares; and</w:t>
      </w:r>
    </w:p>
    <w:p>
      <w:pPr>
        <w:spacing w:after="0" w:line="200" w:lineRule="exact"/>
        <w:rPr>
          <w:sz w:val="20"/>
          <w:szCs w:val="20"/>
          <w:color w:val="auto"/>
        </w:rPr>
      </w:pPr>
    </w:p>
    <w:p>
      <w:pPr>
        <w:spacing w:after="0" w:line="325"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Amgen will hold 13.5% of our outstanding common shares and 8.0% of the combined voting power of our common shares.</w:t>
      </w:r>
    </w:p>
    <w:p>
      <w:pPr>
        <w:spacing w:after="0" w:line="200" w:lineRule="exact"/>
        <w:rPr>
          <w:sz w:val="20"/>
          <w:szCs w:val="20"/>
          <w:color w:val="auto"/>
        </w:rPr>
      </w:pPr>
    </w:p>
    <w:p>
      <w:pPr>
        <w:spacing w:after="0" w:line="325"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WE HAVE ANTITAKEOVER DEFENSES THAT COULD DELAY OR PREVENT AN ACQUISITION AND COULD ADVERSELY AFFECT THE PRICE OF OUR COMMON STOCK.</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00" w:lineRule="exact"/>
        <w:rPr>
          <w:sz w:val="20"/>
          <w:szCs w:val="20"/>
          <w:color w:val="auto"/>
        </w:rPr>
      </w:pPr>
    </w:p>
    <w:p>
      <w:pPr>
        <w:spacing w:after="0" w:line="33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5"/>
          <w:szCs w:val="15"/>
          <w:color w:val="auto"/>
        </w:rPr>
        <w:t>o authorization to issue "blank check" preferred stock, which is preferred</w:t>
      </w:r>
    </w:p>
    <w:p>
      <w:pPr>
        <w:spacing w:after="0" w:line="8" w:lineRule="exact"/>
        <w:rPr>
          <w:sz w:val="20"/>
          <w:szCs w:val="20"/>
          <w:color w:val="auto"/>
        </w:rPr>
      </w:pPr>
    </w:p>
    <w:p>
      <w:pPr>
        <w:ind w:left="640" w:right="3039"/>
        <w:spacing w:after="0" w:line="253" w:lineRule="auto"/>
        <w:rPr>
          <w:sz w:val="20"/>
          <w:szCs w:val="20"/>
          <w:color w:val="auto"/>
        </w:rPr>
      </w:pPr>
      <w:r>
        <w:rPr>
          <w:rFonts w:ascii="Courier New" w:cs="Courier New" w:eastAsia="Courier New" w:hAnsi="Courier New"/>
          <w:sz w:val="15"/>
          <w:szCs w:val="15"/>
          <w:color w:val="auto"/>
        </w:rPr>
        <w:t>stock that can be created and issued by the board of directors without prior shareholder approval, with rights senior to our common stockholders; and</w:t>
      </w:r>
    </w:p>
    <w:p>
      <w:pPr>
        <w:spacing w:after="0" w:line="200" w:lineRule="exact"/>
        <w:rPr>
          <w:sz w:val="20"/>
          <w:szCs w:val="20"/>
          <w:color w:val="auto"/>
        </w:rPr>
      </w:pPr>
    </w:p>
    <w:p>
      <w:pPr>
        <w:spacing w:after="0" w:line="328" w:lineRule="exact"/>
        <w:rPr>
          <w:sz w:val="20"/>
          <w:szCs w:val="20"/>
          <w:color w:val="auto"/>
        </w:rPr>
      </w:pPr>
    </w:p>
    <w:p>
      <w:pPr>
        <w:ind w:left="640" w:right="3039" w:hanging="179"/>
        <w:spacing w:after="0" w:line="256" w:lineRule="auto"/>
        <w:tabs>
          <w:tab w:leader="none" w:pos="620" w:val="left"/>
        </w:tabs>
        <w:rPr>
          <w:sz w:val="20"/>
          <w:szCs w:val="20"/>
          <w:color w:val="auto"/>
        </w:rPr>
      </w:pPr>
      <w:r>
        <w:rPr>
          <w:rFonts w:ascii="Courier New" w:cs="Courier New" w:eastAsia="Courier New" w:hAnsi="Courier New"/>
          <w:sz w:val="15"/>
          <w:szCs w:val="15"/>
          <w:color w:val="auto"/>
        </w:rPr>
        <w:t>o</w:t>
        <w:tab/>
        <w:t>a staggered board of directors, so that it would take three successive annual meetings to replace all directors.</w:t>
      </w:r>
    </w:p>
    <w:p>
      <w:pPr>
        <w:spacing w:after="0" w:line="200" w:lineRule="exact"/>
        <w:rPr>
          <w:sz w:val="20"/>
          <w:szCs w:val="20"/>
          <w:color w:val="auto"/>
        </w:rPr>
      </w:pPr>
    </w:p>
    <w:p>
      <w:pPr>
        <w:spacing w:after="0" w:line="325"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In addition, we have a shareholders rights plan which will make it more difficult for a third party to acquire us without the support of our board of directors and principal shareholders.</w:t>
      </w:r>
    </w:p>
    <w:p>
      <w:pPr>
        <w:spacing w:after="0" w:line="200" w:lineRule="exact"/>
        <w:rPr>
          <w:sz w:val="20"/>
          <w:szCs w:val="20"/>
          <w:color w:val="auto"/>
        </w:rPr>
      </w:pPr>
    </w:p>
    <w:p>
      <w:pPr>
        <w:spacing w:after="0" w:line="328" w:lineRule="exact"/>
        <w:rPr>
          <w:sz w:val="20"/>
          <w:szCs w:val="20"/>
          <w:color w:val="auto"/>
        </w:rPr>
      </w:pPr>
    </w:p>
    <w:p>
      <w:pPr>
        <w:jc w:val="both"/>
        <w:ind w:right="3039"/>
        <w:spacing w:after="0" w:line="256" w:lineRule="auto"/>
        <w:rPr>
          <w:sz w:val="20"/>
          <w:szCs w:val="20"/>
          <w:color w:val="auto"/>
        </w:rPr>
      </w:pPr>
      <w:r>
        <w:rPr>
          <w:rFonts w:ascii="Courier New" w:cs="Courier New" w:eastAsia="Courier New" w:hAnsi="Courier New"/>
          <w:sz w:val="15"/>
          <w:szCs w:val="15"/>
          <w:color w:val="auto"/>
        </w:rPr>
        <w:t>A SIGNIFICANT NUMBER OF OUR SHARES ARE ELIGIBLE FOR RESALE. THIS COULD REDUCE OUR SHARE PRICE AND IMPAIR OUR ABILITY TO RAISE FUNDS IN NEW SHARE OFFERINGS.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Immediately after completion of this offering, we will have 36,430,516 shares of Class A and common stock outstanding and available for resale beginning at various points of time in the future. In addition, we will have 5,856,222 outstanding stock options, including 333,000 stock options subject to shareholder approval, and 1,557,400 warrants held by Procter &amp; Gamble and Medtronic as of March 8, 2000.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WILL SUFFER IMMEDIATE AND SUBSTANTIAL DILUTION.</w:t>
      </w:r>
    </w:p>
    <w:p>
      <w:pPr>
        <w:sectPr>
          <w:pgSz w:w="11900" w:h="16838" w:orient="portrait"/>
          <w:cols w:equalWidth="0" w:num="1">
            <w:col w:w="10139"/>
          </w:cols>
          <w:pgMar w:left="320" w:top="651" w:right="1440" w:bottom="181" w:gutter="0" w:footer="0" w:header="0"/>
        </w:sectPr>
      </w:pPr>
    </w:p>
    <w:bookmarkStart w:id="24" w:name="page25"/>
    <w:bookmarkEnd w:id="24"/>
    <w:p>
      <w:pPr>
        <w:ind w:right="2759" w:firstLine="462"/>
        <w:spacing w:after="0" w:line="251" w:lineRule="auto"/>
        <w:rPr>
          <w:sz w:val="20"/>
          <w:szCs w:val="20"/>
          <w:color w:val="auto"/>
        </w:rPr>
      </w:pPr>
      <w:r>
        <w:rPr>
          <w:rFonts w:ascii="Courier New" w:cs="Courier New" w:eastAsia="Courier New" w:hAnsi="Courier New"/>
          <w:sz w:val="15"/>
          <w:szCs w:val="15"/>
          <w:color w:val="auto"/>
        </w:rPr>
        <w:t>The price you will pay for our common stock in this offering will be substantially higher than the $7.56 pro forma net tangible book value per share of our outstanding Class A and common stock as of December 31, 1999. As a result, you will experience immediate dilution of $34.19 in net tangible book value per share, and our current shareholders will experience an immediate increase in the net tangible book value per share of their shares of Class A and common stock of $4.07.</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141" w:right="1440" w:bottom="1440" w:gutter="0" w:footer="0" w:header="0"/>
        </w:sectPr>
      </w:pPr>
    </w:p>
    <w:bookmarkStart w:id="25" w:name="page26"/>
    <w:bookmarkEnd w:id="25"/>
    <w:p>
      <w:pPr>
        <w:ind w:left="1280"/>
        <w:spacing w:after="0"/>
        <w:rPr>
          <w:sz w:val="20"/>
          <w:szCs w:val="20"/>
          <w:color w:val="auto"/>
        </w:rPr>
      </w:pPr>
      <w:r>
        <w:rPr>
          <w:rFonts w:ascii="Courier New" w:cs="Courier New" w:eastAsia="Courier New" w:hAnsi="Courier New"/>
          <w:sz w:val="15"/>
          <w:szCs w:val="15"/>
          <w:color w:val="auto"/>
        </w:rPr>
        <w:t>THIS PROSPECTUS CONTAINS FORWARD-LOOKING STATEMENTS</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anticipated business strategies,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anticipated clinical trials,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intention to introduce new products candidates,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anticipated trends in our businesses,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future capital expenditures, and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our ability to conduct clinical trials and obtain regulatory approval.</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In light of these risks, uncertainties and assumptions, the forward-looking events discussed in this prospectus might not occur.</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For these statements, we claim the protection of the safe harbor for forward-looking statements contained in Section 21E of the Securities Act. Our actual results could differ materially from those anticipated in these forward-looking statements as a result of various factors, including all of the risks discussed in "Risk Factors" and elsewhere in this prospectus.</w:t>
      </w:r>
    </w:p>
    <w:p>
      <w:pPr>
        <w:spacing w:after="0" w:line="351"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363"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estimate that the net proceeds we will receive from the sale of 4,000,000 shares of our common stock will be approximately $158,100,000 at an assumed public offering price of $41.75 per share, after deducting underwriting discounts and commissions and the estimated expenses of this offering. We will not receive any proceeds from the sale of shares of our common stock by our selling shareholder, Amgen Inc., if the underwriters exercise their over-allotment option.</w:t>
      </w:r>
    </w:p>
    <w:p>
      <w:pPr>
        <w:spacing w:after="0" w:line="200" w:lineRule="exact"/>
        <w:rPr>
          <w:sz w:val="20"/>
          <w:szCs w:val="20"/>
          <w:color w:val="auto"/>
        </w:rPr>
      </w:pPr>
    </w:p>
    <w:p>
      <w:pPr>
        <w:spacing w:after="0" w:line="332"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We intend to use these net proceeds for working capital and general corporate purposes, including:</w:t>
      </w:r>
    </w:p>
    <w:p>
      <w:pPr>
        <w:spacing w:after="0" w:line="200" w:lineRule="exact"/>
        <w:rPr>
          <w:sz w:val="20"/>
          <w:szCs w:val="20"/>
          <w:color w:val="auto"/>
        </w:rPr>
      </w:pPr>
    </w:p>
    <w:p>
      <w:pPr>
        <w:spacing w:after="0" w:line="325" w:lineRule="exact"/>
        <w:rPr>
          <w:sz w:val="20"/>
          <w:szCs w:val="20"/>
          <w:color w:val="auto"/>
        </w:rPr>
      </w:pPr>
    </w:p>
    <w:p>
      <w:pPr>
        <w:jc w:val="both"/>
        <w:ind w:left="640" w:right="27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All of the costs to fund preclinical and clinical development of product candidates that are being developed independent of any corporate partner, such as AXOKINE and Cytokine Traps;</w:t>
      </w:r>
    </w:p>
    <w:p>
      <w:pPr>
        <w:spacing w:after="0" w:line="200" w:lineRule="exact"/>
        <w:rPr>
          <w:sz w:val="20"/>
          <w:szCs w:val="20"/>
          <w:color w:val="auto"/>
        </w:rPr>
      </w:pPr>
    </w:p>
    <w:p>
      <w:pPr>
        <w:spacing w:after="0" w:line="328" w:lineRule="exact"/>
        <w:rPr>
          <w:sz w:val="20"/>
          <w:szCs w:val="20"/>
          <w:color w:val="auto"/>
        </w:rPr>
      </w:pPr>
    </w:p>
    <w:p>
      <w:pPr>
        <w:ind w:left="640" w:right="303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Our share of the costs to fund preclinical and clinical development of product candidates that have been partnered, such as BDNF, NT-3, VEGF Trap and Angiopoietins;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Basic research;</w:t>
      </w:r>
    </w:p>
    <w:p>
      <w:pPr>
        <w:sectPr>
          <w:pgSz w:w="11900" w:h="16838" w:orient="portrait"/>
          <w:cols w:equalWidth="0" w:num="1">
            <w:col w:w="10139"/>
          </w:cols>
          <w:pgMar w:left="320" w:top="651" w:right="1440" w:bottom="181" w:gutter="0" w:footer="0" w:header="0"/>
        </w:sectPr>
      </w:pPr>
    </w:p>
    <w:bookmarkStart w:id="26" w:name="page27"/>
    <w:bookmarkEnd w:id="26"/>
    <w:p>
      <w:pPr>
        <w:ind w:left="460"/>
        <w:spacing w:after="0"/>
        <w:rPr>
          <w:sz w:val="20"/>
          <w:szCs w:val="20"/>
          <w:color w:val="auto"/>
        </w:rPr>
      </w:pPr>
      <w:r>
        <w:rPr>
          <w:rFonts w:ascii="Courier New" w:cs="Courier New" w:eastAsia="Courier New" w:hAnsi="Courier New"/>
          <w:sz w:val="15"/>
          <w:szCs w:val="15"/>
          <w:color w:val="auto"/>
        </w:rPr>
        <w:t>o Commercialization expenses;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 Purchase of equipment and expansion of manufacturing facilities; and</w:t>
      </w:r>
    </w:p>
    <w:p>
      <w:pPr>
        <w:spacing w:after="0" w:line="200" w:lineRule="exact"/>
        <w:rPr>
          <w:sz w:val="20"/>
          <w:szCs w:val="20"/>
          <w:color w:val="auto"/>
        </w:rPr>
      </w:pPr>
    </w:p>
    <w:p>
      <w:pPr>
        <w:spacing w:after="0" w:line="340" w:lineRule="exact"/>
        <w:rPr>
          <w:sz w:val="20"/>
          <w:szCs w:val="20"/>
          <w:color w:val="auto"/>
        </w:rPr>
      </w:pPr>
    </w:p>
    <w:p>
      <w:pPr>
        <w:jc w:val="both"/>
        <w:ind w:left="640" w:right="2759" w:hanging="179"/>
        <w:spacing w:after="0" w:line="253" w:lineRule="auto"/>
        <w:tabs>
          <w:tab w:leader="none" w:pos="620" w:val="left"/>
        </w:tabs>
        <w:rPr>
          <w:sz w:val="20"/>
          <w:szCs w:val="20"/>
          <w:color w:val="auto"/>
        </w:rPr>
      </w:pPr>
      <w:r>
        <w:rPr>
          <w:rFonts w:ascii="Courier New" w:cs="Courier New" w:eastAsia="Courier New" w:hAnsi="Courier New"/>
          <w:sz w:val="15"/>
          <w:szCs w:val="15"/>
          <w:color w:val="auto"/>
        </w:rPr>
        <w:t>o</w:t>
        <w:tab/>
        <w:t>Potential acquisitions of companies and technologies which complement our business. No such transactions are planned or being negotiated as of the date of this prospectus.</w:t>
      </w:r>
    </w:p>
    <w:p>
      <w:pPr>
        <w:spacing w:after="0" w:line="351"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DIVIDEND POLICY</w:t>
      </w:r>
    </w:p>
    <w:p>
      <w:pPr>
        <w:spacing w:after="0" w:line="18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We have never paid cash dividends and do not anticipate paying any in the foreseeable future. In addition, under the terms of certain of our debt agreements, we are not permitted to declare or pay cash dividends.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142" w:right="1440" w:bottom="1440" w:gutter="0" w:footer="0" w:header="0"/>
        </w:sectPr>
      </w:pPr>
    </w:p>
    <w:bookmarkStart w:id="27" w:name="page28"/>
    <w:bookmarkEnd w:id="27"/>
    <w:p>
      <w:pPr>
        <w:jc w:val="center"/>
        <w:ind w:right="3240"/>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ind w:right="3240" w:firstLine="462"/>
        <w:spacing w:after="0" w:line="252" w:lineRule="auto"/>
        <w:rPr>
          <w:sz w:val="20"/>
          <w:szCs w:val="20"/>
          <w:color w:val="auto"/>
        </w:rPr>
      </w:pPr>
      <w:r>
        <w:rPr>
          <w:rFonts w:ascii="Courier New" w:cs="Courier New" w:eastAsia="Courier New" w:hAnsi="Courier New"/>
          <w:sz w:val="15"/>
          <w:szCs w:val="15"/>
          <w:color w:val="auto"/>
        </w:rPr>
        <w:t>The following table sets forth our capitalization as of December 31, 1999 and as adjusted to give effect to our sale of 4,000,000 shares of our common stock in this offering,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23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AT DECEMBER 31, 1999</w:t>
            </w:r>
          </w:p>
        </w:tc>
      </w:tr>
      <w:tr>
        <w:trPr>
          <w:trHeight w:val="178"/>
        </w:trPr>
        <w:tc>
          <w:tcPr>
            <w:tcW w:w="826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ACTUAL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spacing w:after="0"/>
              <w:rPr>
                <w:sz w:val="15"/>
                <w:szCs w:val="15"/>
                <w:color w:val="auto"/>
              </w:rPr>
            </w:pPr>
          </w:p>
        </w:tc>
        <w:tc>
          <w:tcPr>
            <w:tcW w:w="23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 THOUSANDS, EXCEPT</w:t>
            </w:r>
          </w:p>
        </w:tc>
      </w:tr>
      <w:tr>
        <w:trPr>
          <w:trHeight w:val="178"/>
        </w:trPr>
        <w:tc>
          <w:tcPr>
            <w:tcW w:w="8260" w:type="dxa"/>
            <w:vAlign w:val="bottom"/>
          </w:tcPr>
          <w:p>
            <w:pPr>
              <w:spacing w:after="0"/>
              <w:rPr>
                <w:sz w:val="15"/>
                <w:szCs w:val="15"/>
                <w:color w:val="auto"/>
              </w:rPr>
            </w:pPr>
          </w:p>
        </w:tc>
        <w:tc>
          <w:tcPr>
            <w:tcW w:w="2360" w:type="dxa"/>
            <w:vAlign w:val="bottom"/>
            <w:gridSpan w:val="2"/>
          </w:tcPr>
          <w:p>
            <w:pPr>
              <w:jc w:val="right"/>
              <w:ind w:right="583"/>
              <w:spacing w:after="0"/>
              <w:rPr>
                <w:sz w:val="20"/>
                <w:szCs w:val="20"/>
                <w:color w:val="auto"/>
              </w:rPr>
            </w:pPr>
            <w:r>
              <w:rPr>
                <w:rFonts w:ascii="Courier New" w:cs="Courier New" w:eastAsia="Courier New" w:hAnsi="Courier New"/>
                <w:sz w:val="15"/>
                <w:szCs w:val="15"/>
                <w:color w:val="auto"/>
              </w:rPr>
              <w:t>SHARE DATA)</w:t>
            </w:r>
          </w:p>
        </w:tc>
      </w:tr>
      <w:tr>
        <w:trPr>
          <w:trHeight w:val="355"/>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93,599</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$ 251,699</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Capital lease obligations--long-term portion............................................</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1,204</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1,204</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Note payable--long-term portion.........................................................</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1,527</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1,527</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243"/>
              <w:spacing w:after="0"/>
              <w:rPr>
                <w:sz w:val="20"/>
                <w:szCs w:val="20"/>
                <w:color w:val="auto"/>
              </w:rPr>
            </w:pPr>
            <w:r>
              <w:rPr>
                <w:rFonts w:ascii="Courier New" w:cs="Courier New" w:eastAsia="Courier New" w:hAnsi="Courier New"/>
                <w:sz w:val="15"/>
                <w:szCs w:val="15"/>
                <w:color w:val="auto"/>
              </w:rPr>
              <w:t>Shareholders' equity:</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outstanding--none..................................................................</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Class A stock, $.001 par value; 40,000,000 shares authorized, 3,605,133 shares issued</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and outstanding--actual and as adjusted............................................</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8"/>
        </w:trPr>
        <w:tc>
          <w:tcPr>
            <w:tcW w:w="82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$.001 par value; 60,000,000 shares authorized; 27,817,636 shares issued</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and outstanding--actual; 31,817,636 shares issued and outstanding--as adjusted.....</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Additional paid-in capital............................................................</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310,296</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468,392</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deficit...................................................................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(200,303)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(200,303)</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other comprehensive loss..................................................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shareholders' equity.........................................................</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109,532</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267,632</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8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capitalization...............................................................</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$ 112,263</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$ 270,363</w:t>
            </w:r>
          </w:p>
        </w:tc>
      </w:tr>
      <w:tr>
        <w:trPr>
          <w:trHeight w:val="178"/>
        </w:trPr>
        <w:tc>
          <w:tcPr>
            <w:tcW w:w="82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710"/>
        </w:trPr>
        <w:tc>
          <w:tcPr>
            <w:tcW w:w="8260" w:type="dxa"/>
            <w:vAlign w:val="bottom"/>
          </w:tcPr>
          <w:p>
            <w:pPr>
              <w:jc w:val="right"/>
              <w:ind w:right="4403"/>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620"/>
          </w:cols>
          <w:pgMar w:left="320" w:top="651" w:right="959" w:bottom="1440" w:gutter="0" w:footer="0" w:header="0"/>
        </w:sectPr>
      </w:pPr>
    </w:p>
    <w:bookmarkStart w:id="28" w:name="page29"/>
    <w:bookmarkEnd w:id="28"/>
    <w:p>
      <w:pPr>
        <w:ind w:left="3320"/>
        <w:spacing w:after="0"/>
        <w:rPr>
          <w:sz w:val="20"/>
          <w:szCs w:val="20"/>
          <w:color w:val="auto"/>
        </w:rPr>
      </w:pPr>
      <w:r>
        <w:rPr>
          <w:rFonts w:ascii="Courier New" w:cs="Courier New" w:eastAsia="Courier New" w:hAnsi="Courier New"/>
          <w:sz w:val="15"/>
          <w:szCs w:val="15"/>
          <w:color w:val="auto"/>
        </w:rPr>
        <w:t>DILUTION</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As of December 31, 1999, our net tangible book value before the offering was $109.5 million or $3.49 per common share. "Net tangible book value per share" is determined by dividing our net tangible book value (total assets less total liabilities) by the number of common shares outstanding. After giving effect to the sale of the shares of our common stock in this offering and after deducting underwriting discounts and commissions and the estimated expenses of this offering, our pro forma net tangible book value as of December 31, 1999 would have been $267.6 million in the aggregate, or $7.56 per common share. This represents an immediate increase in net tangible book value of $4.07 per common share to existing holders and immediate dilution of $34.19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Assumed public offering price...............................................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$41.75</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tangible book value per common share before this offering.............</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$3.49</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Increase attributable to new investors....................................</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4.07</w:t>
            </w:r>
          </w:p>
        </w:tc>
      </w:tr>
      <w:tr>
        <w:trPr>
          <w:trHeight w:val="178"/>
        </w:trPr>
        <w:tc>
          <w:tcPr>
            <w:tcW w:w="7160" w:type="dxa"/>
            <w:vAlign w:val="bottom"/>
          </w:tcPr>
          <w:p>
            <w:pPr>
              <w:spacing w:after="0"/>
              <w:rPr>
                <w:sz w:val="15"/>
                <w:szCs w:val="15"/>
                <w:color w:val="auto"/>
              </w:rPr>
            </w:pP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Pro forma net tangible book value per common share after this offering......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Dilution to new investors...................................................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$34.19</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7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3"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"Dilution" means the difference between the public offering price per share of common stock and the pro forma net tangible book value per common share after giving effect to this offering.</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651" w:right="1440" w:bottom="1440" w:gutter="0" w:footer="0" w:header="0"/>
        </w:sectPr>
      </w:pPr>
    </w:p>
    <w:bookmarkStart w:id="29" w:name="page30"/>
    <w:bookmarkEnd w:id="29"/>
    <w:p>
      <w:pPr>
        <w:ind w:left="2580"/>
        <w:spacing w:after="0"/>
        <w:rPr>
          <w:sz w:val="20"/>
          <w:szCs w:val="20"/>
          <w:color w:val="auto"/>
        </w:rPr>
      </w:pPr>
      <w:r>
        <w:rPr>
          <w:rFonts w:ascii="Courier New" w:cs="Courier New" w:eastAsia="Courier New" w:hAnsi="Courier New"/>
          <w:sz w:val="15"/>
          <w:szCs w:val="15"/>
          <w:color w:val="auto"/>
        </w:rPr>
        <w:t>SELECTED FINANCIAL DATA</w:t>
      </w:r>
    </w:p>
    <w:p>
      <w:pPr>
        <w:spacing w:after="0" w:line="185" w:lineRule="exact"/>
        <w:rPr>
          <w:sz w:val="20"/>
          <w:szCs w:val="20"/>
          <w:color w:val="auto"/>
        </w:rPr>
      </w:pPr>
    </w:p>
    <w:p>
      <w:pPr>
        <w:ind w:right="3040" w:firstLine="462"/>
        <w:spacing w:after="0" w:line="251" w:lineRule="auto"/>
        <w:rPr>
          <w:sz w:val="20"/>
          <w:szCs w:val="20"/>
          <w:color w:val="auto"/>
        </w:rPr>
      </w:pPr>
      <w:r>
        <w:rPr>
          <w:rFonts w:ascii="Courier New" w:cs="Courier New" w:eastAsia="Courier New" w:hAnsi="Courier New"/>
          <w:sz w:val="15"/>
          <w:szCs w:val="15"/>
          <w:color w:val="auto"/>
        </w:rPr>
        <w:t>We have derived the selected financial data presented below for the years ended December 31, 1999, 1998 and 1997 and at December 31, 1999 and 1998 from our audited financial statements and notes thereto included in our Annual Report on Form 10-K for the year ended December 31, 1999 which is incorporated by reference in this prospectus. We have derived the selected financial data for the years ended December 31, 1996 and 1995 and at December 31, 1997, 1996 and 1995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0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5"/>
                <w:szCs w:val="15"/>
                <w:color w:val="auto"/>
              </w:rPr>
            </w:pPr>
          </w:p>
        </w:tc>
      </w:tr>
      <w:tr>
        <w:trPr>
          <w:trHeight w:val="178"/>
        </w:trPr>
        <w:tc>
          <w:tcPr>
            <w:tcW w:w="5020" w:type="dxa"/>
            <w:vAlign w:val="bottom"/>
          </w:tcPr>
          <w:p>
            <w:pPr>
              <w:spacing w:after="0"/>
              <w:rPr>
                <w:sz w:val="15"/>
                <w:szCs w:val="15"/>
                <w:color w:val="auto"/>
              </w:rPr>
            </w:pPr>
          </w:p>
        </w:tc>
        <w:tc>
          <w:tcPr>
            <w:tcW w:w="540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0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(IN THOUSANDS, EXCEPT PER SHARE DATA)</w:t>
            </w:r>
          </w:p>
        </w:tc>
        <w:tc>
          <w:tcPr>
            <w:tcW w:w="920" w:type="dxa"/>
            <w:vAlign w:val="bottom"/>
          </w:tcPr>
          <w:p>
            <w:pPr>
              <w:spacing w:after="0"/>
              <w:rPr>
                <w:sz w:val="15"/>
                <w:szCs w:val="15"/>
                <w:color w:val="auto"/>
              </w:rPr>
            </w:pP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research and development..................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$ 24,539</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$ 19,714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$ 17,400</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$ 17,303</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$ 23,247</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Research progress payments.........................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9,500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manufacturing.............................</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9,960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9,113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4,458</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2,451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1,140</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Investment income..................................</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5,207</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6,866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6,242</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4,360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2,997</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39,706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45,193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33,100</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24,114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27,384</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44,940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37,047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27,770</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28,269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23,310</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Loss in Amgen-Regeneron Partners...................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4,159</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2,484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3,403</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14,250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13,805</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General and administrative.........................</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6,355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5,838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5,765</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5,880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5,764</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Depreciation and amortization......................</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3,426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3,019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4,389</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6,084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5,886</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Contract manufacturing.............................</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3,612</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5,002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2,617</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735</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1,205</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850</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62,776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53,818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44,679</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56,538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50,892</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$(23,070)</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(8,625)</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$(11,579)</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$(32,424)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Class A and common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outstanding, basic and diluted ....................</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31,308</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30,992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28,702</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24,464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19,768</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loss per share, basic and diluted................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(0.74)</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(0.28)</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(0.40)</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r>
        <w:trPr>
          <w:trHeight w:val="178"/>
        </w:trPr>
        <w:tc>
          <w:tcPr>
            <w:tcW w:w="502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spacing w:after="0"/>
              <w:rPr>
                <w:sz w:val="15"/>
                <w:szCs w:val="15"/>
                <w:color w:val="auto"/>
              </w:rPr>
            </w:pPr>
          </w:p>
        </w:tc>
        <w:tc>
          <w:tcPr>
            <w:tcW w:w="5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r>
      <w:tr>
        <w:trPr>
          <w:trHeight w:val="178"/>
        </w:trPr>
        <w:tc>
          <w:tcPr>
            <w:tcW w:w="50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 ....</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$ 93,599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$113,530</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$128,041</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$ 97,028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$ 59,622</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59,725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83,499</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88,953</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72,960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36,254</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136,999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156,915</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168,380</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137,582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93,811</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note payable,</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long-term portion..................................</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3,066</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3,752</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r>
        <w:trPr>
          <w:trHeight w:val="1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109,532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131,227</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138,897</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106,931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67,856</w:t>
            </w:r>
          </w:p>
        </w:tc>
      </w:tr>
      <w:tr>
        <w:trPr>
          <w:trHeight w:val="710"/>
        </w:trPr>
        <w:tc>
          <w:tcPr>
            <w:tcW w:w="5020" w:type="dxa"/>
            <w:vAlign w:val="bottom"/>
          </w:tcPr>
          <w:p>
            <w:pPr>
              <w:ind w:left="3600"/>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20"/>
          </w:cols>
          <w:pgMar w:left="320" w:top="651" w:right="1159" w:bottom="1440" w:gutter="0" w:footer="0" w:header="0"/>
        </w:sectPr>
      </w:pPr>
    </w:p>
    <w:bookmarkStart w:id="30" w:name="page31"/>
    <w:bookmarkEnd w:id="30"/>
    <w:p>
      <w:pPr>
        <w:ind w:left="3320"/>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35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200" w:lineRule="exact"/>
        <w:rPr>
          <w:sz w:val="20"/>
          <w:szCs w:val="20"/>
          <w:color w:val="auto"/>
        </w:rPr>
      </w:pPr>
    </w:p>
    <w:p>
      <w:pPr>
        <w:spacing w:after="0" w:line="332"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 AXOKINE (pegylated) that in preclinical studies is substantially longer acting than unmodified AXOKINE. This may allow less frequent and lower dosing in patients.</w:t>
      </w:r>
    </w:p>
    <w:p>
      <w:pPr>
        <w:spacing w:after="0" w:line="200" w:lineRule="exact"/>
        <w:rPr>
          <w:sz w:val="20"/>
          <w:szCs w:val="20"/>
          <w:color w:val="auto"/>
        </w:rPr>
      </w:pPr>
    </w:p>
    <w:p>
      <w:pPr>
        <w:spacing w:after="0" w:line="332" w:lineRule="exact"/>
        <w:rPr>
          <w:sz w:val="20"/>
          <w:szCs w:val="20"/>
          <w:color w:val="auto"/>
        </w:rPr>
      </w:pPr>
    </w:p>
    <w:p>
      <w:pPr>
        <w:ind w:left="640" w:right="293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CYTOKINE TRAPS: Protein-based antagonists for cytokines such as interleukin-1 (called IL-1), interleukin-4 (IL-4), and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200" w:lineRule="exact"/>
        <w:rPr>
          <w:sz w:val="20"/>
          <w:szCs w:val="20"/>
          <w:color w:val="auto"/>
        </w:rPr>
      </w:pPr>
    </w:p>
    <w:p>
      <w:pPr>
        <w:spacing w:after="0" w:line="332"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200" w:lineRule="exact"/>
        <w:rPr>
          <w:sz w:val="20"/>
          <w:szCs w:val="20"/>
          <w:color w:val="auto"/>
        </w:rPr>
      </w:pPr>
    </w:p>
    <w:p>
      <w:pPr>
        <w:spacing w:after="0" w:line="328" w:lineRule="exact"/>
        <w:rPr>
          <w:sz w:val="20"/>
          <w:szCs w:val="20"/>
          <w:color w:val="auto"/>
        </w:rPr>
      </w:pPr>
    </w:p>
    <w:p>
      <w:pPr>
        <w:ind w:left="640" w:right="2759" w:hanging="179"/>
        <w:spacing w:after="0" w:line="251" w:lineRule="auto"/>
        <w:tabs>
          <w:tab w:leader="none" w:pos="620" w:val="left"/>
        </w:tabs>
        <w:rPr>
          <w:sz w:val="20"/>
          <w:szCs w:val="20"/>
          <w:color w:val="auto"/>
        </w:rPr>
      </w:pPr>
      <w:r>
        <w:rPr>
          <w:rFonts w:ascii="Courier New" w:cs="Courier New" w:eastAsia="Courier New" w:hAnsi="Courier New"/>
          <w:sz w:val="15"/>
          <w:szCs w:val="15"/>
          <w:color w:val="auto"/>
        </w:rPr>
        <w:t>o</w:t>
        <w:tab/>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diseases such as stroke, diabetic retinopathy and inflammatory diseases) and for promoting the growth and mobilization of certain hemopoietic cells such as stem cells and platelets.</w:t>
      </w:r>
    </w:p>
    <w:p>
      <w:pPr>
        <w:spacing w:after="0" w:line="200" w:lineRule="exact"/>
        <w:rPr>
          <w:sz w:val="20"/>
          <w:szCs w:val="20"/>
          <w:color w:val="auto"/>
        </w:rPr>
      </w:pPr>
    </w:p>
    <w:p>
      <w:pPr>
        <w:spacing w:after="0" w:line="331" w:lineRule="exact"/>
        <w:rPr>
          <w:sz w:val="20"/>
          <w:szCs w:val="20"/>
          <w:color w:val="auto"/>
        </w:rPr>
      </w:pPr>
    </w:p>
    <w:p>
      <w:pPr>
        <w:ind w:left="640" w:right="2759" w:hanging="179"/>
        <w:spacing w:after="0" w:line="252" w:lineRule="auto"/>
        <w:tabs>
          <w:tab w:leader="none" w:pos="620" w:val="left"/>
        </w:tabs>
        <w:rPr>
          <w:sz w:val="20"/>
          <w:szCs w:val="20"/>
          <w:color w:val="auto"/>
        </w:rPr>
      </w:pPr>
      <w:r>
        <w:rPr>
          <w:rFonts w:ascii="Courier New" w:cs="Courier New" w:eastAsia="Courier New" w:hAnsi="Courier New"/>
          <w:sz w:val="15"/>
          <w:szCs w:val="15"/>
          <w:color w:val="auto"/>
        </w:rPr>
        <w:t>o</w:t>
        <w:tab/>
        <w:t>BRAIN-DERIVED NEUROTROPHIC FACTOR, OR BDNF: Promotes survival of the spinal cord neurons that die in amyotrophic lateral sclerosis (or ALS, commonly known as Lou Gehrig's Disease) in pre-clinical models. BDNF is in clinical trials for ALS using two routes of administration; one of these trials is based on the results of a prior phase III clinical trial.</w:t>
      </w:r>
    </w:p>
    <w:p>
      <w:pPr>
        <w:sectPr>
          <w:pgSz w:w="11900" w:h="16838" w:orient="portrait"/>
          <w:cols w:equalWidth="0" w:num="1">
            <w:col w:w="10139"/>
          </w:cols>
          <w:pgMar w:left="320" w:top="651" w:right="1440" w:bottom="0" w:gutter="0" w:footer="0" w:header="0"/>
        </w:sectPr>
      </w:pPr>
    </w:p>
    <w:bookmarkStart w:id="31" w:name="page32"/>
    <w:bookmarkEnd w:id="31"/>
    <w:p>
      <w:pPr>
        <w:ind w:right="2859" w:hanging="179"/>
        <w:spacing w:after="0" w:line="253" w:lineRule="auto"/>
        <w:rPr>
          <w:sz w:val="20"/>
          <w:szCs w:val="20"/>
          <w:color w:val="auto"/>
        </w:rPr>
      </w:pPr>
      <w:r>
        <w:rPr>
          <w:rFonts w:ascii="Courier New" w:cs="Courier New" w:eastAsia="Courier New" w:hAnsi="Courier New"/>
          <w:sz w:val="15"/>
          <w:szCs w:val="15"/>
          <w:color w:val="auto"/>
        </w:rPr>
        <w:t>o</w:t>
      </w:r>
      <w:r>
        <w:rPr>
          <w:sz w:val="20"/>
          <w:szCs w:val="20"/>
          <w:color w:val="auto"/>
        </w:rPr>
        <w:t xml:space="preserve"> </w:t>
      </w:r>
      <w:r>
        <w:rPr>
          <w:rFonts w:ascii="Courier New" w:cs="Courier New" w:eastAsia="Courier New" w:hAnsi="Courier New"/>
          <w:sz w:val="15"/>
          <w:szCs w:val="15"/>
          <w:color w:val="auto"/>
        </w:rPr>
        <w:t>NEUROTROPHIN-3, OR NT-3: Acts on the neurons of the intestinal tract and is in clinical trial for the treatment of constipating disorders associated with spinal cord injury and other neurologic diseases.</w:t>
      </w:r>
    </w:p>
    <w:p>
      <w:pPr>
        <w:spacing w:after="0" w:line="17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99"/>
          </w:cols>
          <w:pgMar w:left="960" w:top="14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TECHNOLOGY PLATFORMS</w:t>
      </w:r>
    </w:p>
    <w:p>
      <w:pPr>
        <w:spacing w:after="0" w:line="363"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Our ability to discover and develop product candidates for a wide variety of serious medical conditions results from the leveraging of several powerful technology platforms, many of which were developed or enhanced by us.</w:t>
      </w:r>
    </w:p>
    <w:p>
      <w:pPr>
        <w:spacing w:after="0" w:line="35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Targeted Genomics and Bioinformatics. In contrast to basic genomics approaches, which attempt to identify every gene in a cell or genome, we use Targeted Genomics approaches to identify specific genes likely to be of therapeutic interest. Such approaches include homology cloning using low-stringency hybridization approaches, homology cloning using degenerate oligonucleotides in polymerase chain reaction-based amplification searches, subtractive hybridization approaches and bioinformatics-based algorithms that search public genomic and expressed sequence tag (EST) databases for genes of interest. These approaches have resulted in the discovery of a wide variety of important genes useful for developing drugs in a diverse number of therapeutic areas, including angiogenesis, cancer, muscle disorders, bone and cartilage formation, fibrosis and inflammatory diseases. A particular focus of these efforts is the identification of so-called orphan receptors, as described in the next section.</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Functionomics: Orphan Receptor Technology and Functional Cloning of Growth Factors for these Orphan Receptors. The therapeutic utility of many growth factors depends, in part, on the exquisite specificity of their actions. This specificity is determined largely by the limited distribution of receptors for these factors on the target cells of interest. Using proprietary technology initially developed for the discovery and characterization of neurotrophic factors and their receptors described in the previous section on Targeted Genomics and Bioinformatics, we have discovered new receptor proteins specifically expressed on particular cell populations of potentially important clinical interest. These cell populations include not only additional subsets of neurons but non-neuronal cells, such as the endothelial cells that constitute blood vessels, skeletal muscle cells, cartilage cells and hemopoietic cells. Because these novel receptor proteins initially have no defined growth factor partner, they are termed orphan receptors. We have also obtained licenses and established collaborations for additional orphan receptors, including licenses from The Salk Institute for Biological Studies. Our scientists then define the growth factor-binding portion of the orphan receptors and engineer it into an antibody-like reagent, termed a receptor-body. This receptor-body is used to detect a source of the unknown growth factor and a cDNA library is produced from this source. The millions of cDNAs in this library are then introduced into millions of mammalian cells and the rare cell that has taken up the cDNA encoding the unknown growth factor is detected using the receptor-body. The cell is then isolated and its cDNA amplified, allowing for the molecular cloning of the unknown growth factor. These approaches have allowed our scientists to clone growth factor families such as the Angiopoietins and Ephrins.</w:t>
      </w:r>
    </w:p>
    <w:p>
      <w:pPr>
        <w:spacing w:after="0" w:line="35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Designer Protein Therapeutics and Genetic Engineering. In cases in which the natural gene product is itself not a product candidate, we utilize our Designer Protein Therapeutics platform approaches to genetically engineer product candidates with the desired properties. These technologies allow us to develop derivatives of the growth factors and their receptors, which can allow for modified agonistic or antagonistic properties that may prove to be therapeutically useful. Examples include the generation of AXOKINE as a second generation version of CNTF and the development of Cytokine Traps and the VEGF Trap. Traps are derivatives of the receptors for cytokines and VEGF, in which the binding portions of two different receptor components are combined to form a very high-affinity antagonist. These Traps are comprised of fully human sequences which, in preclinical studies, display useful therapeutic properties such as prolonged half-life in the circulation. This technology platform has already produced more than 10 patented proteins, several of which are in preclinical development.</w:t>
      </w:r>
    </w:p>
    <w:p>
      <w:pPr>
        <w:spacing w:after="0" w:line="35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Additional research and development capabilities. These capabilities include molecular and cellular biology, protein chemistry, transgenics and gene knockouts, disease modeling, viral gene delivery of proteins, recombinant expression of proteins and large-scale manufacturing of recombinant proteins.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5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OUR PROGRAMS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gridSpan w:val="3"/>
          </w:tcPr>
          <w:p>
            <w:pPr>
              <w:ind w:left="2300"/>
              <w:spacing w:after="0"/>
              <w:rPr>
                <w:sz w:val="20"/>
                <w:szCs w:val="20"/>
                <w:color w:val="auto"/>
              </w:rPr>
            </w:pPr>
            <w:r>
              <w:rPr>
                <w:rFonts w:ascii="Courier New" w:cs="Courier New" w:eastAsia="Courier New" w:hAnsi="Courier New"/>
                <w:sz w:val="15"/>
                <w:szCs w:val="15"/>
                <w:color w:val="auto"/>
              </w:rPr>
              <w:t>SELECTED PRODUCTS AND PROGRAMS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88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TECHNOLOGY PLATFORMS USED</w:t>
            </w:r>
          </w:p>
        </w:tc>
        <w:tc>
          <w:tcPr>
            <w:tcW w:w="2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 DISCOVERY AND</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PROGRAM AND PRODUCT</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TARGETED INDICATION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STAGE</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COMMERCIALIZATION RIGHTS</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AXOKINE(R) Second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Obesity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Generation Ciliary</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complications of</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obesity such as Type</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II diabetes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BDNF (Brain-derived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Amyotrophic lateral</w:t>
            </w: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Neurotrophic Factor)</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sclerosis (ALS)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Intrathecal (U.S.)</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Subcutaneous (U.S.)</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Subcutaneous (Japan)</w:t>
            </w:r>
          </w:p>
        </w:tc>
        <w:tc>
          <w:tcPr>
            <w:tcW w:w="208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Sumitomo Pharmaceuticals</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NT-3 (Neurotrophin-3)</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Constipating</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 Amgen</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associated with</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spinal cord injury</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and other medical</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conditions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CYTOKINE TRAPS</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IL-1</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Rheumatoid arthritis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and other</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inflammatory</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IL-4</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IL-4/13</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Asthma and allergic</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IL-2, IL-3, IL-5, IL-6,</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Multiple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IL-15, gamma-interferon,</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TGF-beta and others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ANGIOGENESIS</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VEGF Trap</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Cancer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Angiopoietin-1</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Ischemia, vascular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Preclinical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leak, edema and</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Ephrins, Angiopoietin-2</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Cancer, ischemia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hemopoiesis</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DESIGNER PROTEIN</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THERAPEUTICS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MUSCLE DISEASES AND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Muscle atrophy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DISORDERS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injury</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BONE AND CARTILAGE</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RORs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Osteoarthritis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DDRs</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Fibrosis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cirrhosis</w:t>
            </w: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TARGETED GENOMICS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G-PROTEIN COUPLED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Multiple targets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Research</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Regeneron and</w:t>
            </w:r>
          </w:p>
        </w:tc>
      </w:tr>
      <w:tr>
        <w:trPr>
          <w:trHeight w:val="178"/>
        </w:trPr>
        <w:tc>
          <w:tcPr>
            <w:tcW w:w="2480" w:type="dxa"/>
            <w:vAlign w:val="bottom"/>
          </w:tcPr>
          <w:p>
            <w:pPr>
              <w:spacing w:after="0"/>
              <w:rPr>
                <w:sz w:val="20"/>
                <w:szCs w:val="20"/>
                <w:color w:val="auto"/>
              </w:rPr>
            </w:pPr>
            <w:r>
              <w:rPr>
                <w:rFonts w:ascii="Courier New" w:cs="Courier New" w:eastAsia="Courier New" w:hAnsi="Courier New"/>
                <w:sz w:val="15"/>
                <w:szCs w:val="15"/>
                <w:color w:val="auto"/>
              </w:rPr>
              <w:t>FUNCTIONOMICS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RECEPTORS</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Procter &amp; Gamble</w:t>
            </w:r>
          </w:p>
        </w:tc>
      </w:tr>
      <w:tr>
        <w:trPr>
          <w:trHeight w:val="178"/>
        </w:trPr>
        <w:tc>
          <w:tcPr>
            <w:tcW w:w="248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710"/>
        </w:trPr>
        <w:tc>
          <w:tcPr>
            <w:tcW w:w="2480" w:type="dxa"/>
            <w:vAlign w:val="bottom"/>
          </w:tcPr>
          <w:p>
            <w:pPr>
              <w:spacing w:after="0"/>
              <w:rPr>
                <w:sz w:val="24"/>
                <w:szCs w:val="24"/>
                <w:color w:val="auto"/>
              </w:rPr>
            </w:pPr>
          </w:p>
        </w:tc>
        <w:tc>
          <w:tcPr>
            <w:tcW w:w="2500" w:type="dxa"/>
            <w:vAlign w:val="bottom"/>
          </w:tcPr>
          <w:p>
            <w:pPr>
              <w:ind w:left="1120"/>
              <w:spacing w:after="0"/>
              <w:rPr>
                <w:sz w:val="20"/>
                <w:szCs w:val="20"/>
                <w:color w:val="auto"/>
              </w:rPr>
            </w:pPr>
            <w:r>
              <w:rPr>
                <w:rFonts w:ascii="Courier New" w:cs="Courier New" w:eastAsia="Courier New" w:hAnsi="Courier New"/>
                <w:sz w:val="15"/>
                <w:szCs w:val="15"/>
                <w:color w:val="auto"/>
              </w:rPr>
              <w:t>23</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980"/>
          </w:cols>
          <w:pgMar w:left="320" w:top="651" w:right="599" w:bottom="887" w:gutter="0" w:footer="0" w:header="0"/>
        </w:sectPr>
      </w:pPr>
    </w:p>
    <w:bookmarkStart w:id="34" w:name="page35"/>
    <w:bookmarkEnd w:id="34"/>
    <w:p>
      <w:pPr>
        <w:ind w:right="2859" w:firstLine="462"/>
        <w:spacing w:after="0" w:line="251" w:lineRule="auto"/>
        <w:rPr>
          <w:sz w:val="20"/>
          <w:szCs w:val="20"/>
          <w:color w:val="auto"/>
        </w:rPr>
      </w:pPr>
      <w:r>
        <w:rPr>
          <w:rFonts w:ascii="Courier New" w:cs="Courier New" w:eastAsia="Courier New" w:hAnsi="Courier New"/>
          <w:sz w:val="15"/>
          <w:szCs w:val="15"/>
          <w:color w:val="auto"/>
        </w:rPr>
        <w:t>AXOKINE. AXOKINE is our patented second generation ciliary neurotrophic factor, called CNTF. In an earlier clinical program, CNTF was evaluated as a potential treatment for patients with ALS. It was discovered that reduced appetite and weight loss were among the prominent adverse events in these patients. Later preclinical studies with AXOKINE in animal models of obesity confirmed the ability of AXOKINE to induce substantial weight loss, preferentially of fat as opposed to lean body mass. AXOKINE is effective in all obesity models studied to date, which include diet induced obesity and genetic obesity rodent models (db/db and ob/ob mice) and causes marked weight loss in lean animals.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AXOKINE has similarities to and important differences from leptin, a protein that is secreted by fat cells which another company is currently evaluating in clinical trials in obese people. AXOKINE and leptin use similar intracellular signaling pathways but signal through different, but closely related, receptors; they interact with the CNTF and the leptin receptor, respectively. AXOKINE causes weight loss comparable to leptin in ob/ob mice; ob/ob mice are genetically obese mice which lack leptin but have the intact leptin receptor. Leptin in pharmacological doses does not induce weight loss in mice made obese with high fat/high calorie diet. In contrast, AXOKINE in this model produces a 30% weight loss in three weeks without causing obvious signs of toxicity.</w:t>
      </w:r>
    </w:p>
    <w:p>
      <w:pPr>
        <w:spacing w:after="0" w:line="200" w:lineRule="exact"/>
        <w:rPr>
          <w:sz w:val="20"/>
          <w:szCs w:val="20"/>
          <w:color w:val="auto"/>
        </w:rPr>
      </w:pPr>
    </w:p>
    <w:p>
      <w:pPr>
        <w:spacing w:after="0" w:line="331"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vast majority of obese humans have intact leptin receptors and increased serum leptin levels. Hence, human obesity does not appear to be a leptin deficient state but, rather, a condition of leptin resistance. Based on the animal studies, AXOKINE is anticipated to be pharmacologically active in patients with obesity, despite their elevated leptin levels and leptin resistance.</w:t>
      </w:r>
    </w:p>
    <w:p>
      <w:pPr>
        <w:spacing w:after="0" w:line="35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Obesity is a major health problem in all developed countries. The prevalence of obesity in the United States has increased substantially during the past decade. According to the 1997 National Task Force on the Prevention and Treatment of Obesity, one in three American adults is now considered overweight. A 1998 National Institutes of Health report confirmed that obesity significantly increases a number of health risks, including Type II diabetes. Type II diabetes is estimated to affect more than 15 million people in the United States, with 80 to 90 percent of these people having obesity as a contributing factor to their diabetes. Obesity-related conditions such as stroke and myocardial infarct are estimated to contribute to 300,000 deaths yearly, ranking second only to smoking as a cause of preventable death. Expenses and loss of income caused by obesity have been estimated to reach $68 billion annually. Current treatment of obesity consists of diet, exercise and other lifestyle changes, and a limited number of drugs. The fact that the population overall is rapidly becoming more obese testifies to the fact that treatment of obesity is difficult and characterized by very high recidivism.</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developing AXOKINE for the treatment of obesity and complications of obesity such as non-insulin dependent diabetes mellitus (also known as NIDDM or adult onset diabetes or Type II diabetes). We expect to start a Phase II clinical trial in March of 2000 to test the safety and efficacy of AXOKINE in severely obese patients.</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the first quarter of 1999, we commenced a Phase I clinical study with Procter &amp; Gamble to determine the safety of AXOKINE administered subcutaneously for a short duration to mildly to moderately obese healthy volunteers. In September 1999, we summarized preliminary interim results of the Phase I safety study. Patients received increasing doses of AXOKINE (or placebo) administered subcutaneously in both single and multiple dose regimens. The single dose study demonstrated that AXOKINE is well tolerated at low doses. At higher single doses, nausea, vomiting, and herpes cold sores were observed. Increased cold sores caused by herpes simplex virus, or HSV, were also reported in previous clinical studies of CNTF, AXOKINE's parent molecule. As of the date of our summary of interim results, the multiple dose study (daily administration for 14 days) had been conducted at doses that were well tolerated in the single dose part of the study. Nine patients and four placebo patients had been completed with no reports of nausea, cough, or herpes cold sores. The treated patients lost weight and had decreased food (caloric) intake compared with those on placebo. One patient in the multiple low dose group, who was HSV-positive prior to treatment and had been previously diagnosed with Bell's palsy, had a recurrence of Bell's palsy approximately two weeks after the patient's last administration of AXOKINE.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After examining the interim data from the Phase I study (including the possibility that the market for AXOKINE might be limited to HSV-negative patients) as part of an internal review of drug development programs and budgets, Procter &amp; Gamble decided to return to us the product rights to AXOKINE. We and Procter &amp;</w:t>
      </w:r>
    </w:p>
    <w:p>
      <w:pPr>
        <w:sectPr>
          <w:pgSz w:w="11900" w:h="16838" w:orient="portrait"/>
          <w:cols w:equalWidth="0" w:num="1">
            <w:col w:w="10139"/>
          </w:cols>
          <w:pgMar w:left="320" w:top="828" w:right="1440" w:bottom="0" w:gutter="0" w:footer="0" w:header="0"/>
        </w:sectPr>
      </w:pPr>
    </w:p>
    <w:bookmarkStart w:id="35" w:name="page36"/>
    <w:bookmarkEnd w:id="35"/>
    <w:p>
      <w:pPr>
        <w:ind w:left="2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319" w:right="1440" w:bottom="1440" w:gutter="0" w:footer="0" w:header="0"/>
        </w:sectPr>
      </w:pPr>
    </w:p>
    <w:bookmarkStart w:id="36" w:name="page37"/>
    <w:bookmarkEnd w:id="36"/>
    <w:p>
      <w:pPr>
        <w:ind w:right="2859"/>
        <w:spacing w:after="0" w:line="253" w:lineRule="auto"/>
        <w:rPr>
          <w:sz w:val="20"/>
          <w:szCs w:val="20"/>
          <w:color w:val="auto"/>
        </w:rPr>
      </w:pPr>
      <w:r>
        <w:rPr>
          <w:rFonts w:ascii="Courier New" w:cs="Courier New" w:eastAsia="Courier New" w:hAnsi="Courier New"/>
          <w:sz w:val="15"/>
          <w:szCs w:val="15"/>
          <w:color w:val="auto"/>
        </w:rPr>
        <w:t>Gamble completed the Phase I study in HSV-negative patients. Under certain circumstances, Procter &amp; Gamble will continue to be entitled to receive a small royalty on any sales of AXOKINE.</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At completion, the multiple dose study included a total of 27 patients at four doses that were generally well tolerated in the single-dose part of the study. Overall, the treated patients lost weight and had decreased food (caloric) intake compared to those on placebo. At doses up to 2 mcg/kg/day in patients, some of whom were HSV-positive and some of whom were HSV-negative, and at doses above 2 mcg/k/day in patients, all of whom were HSV-negative, there were no reports of vomiting or herpes cold sores. Some patients in the study experienced a reversible and generally asymptomatic increase in pulse rate in a dose-related fashion. One patient in the 1 mcg/kg/day group who had been previously diagnosed with Bell's palsy had a recurrence of Bell's palsy approximately two weeks after the patient's last administration of AXOKINE. It is not known whether AXOKINE had any role in this patient's recurrence of Bell's palsy, and the patient recovered. Bell's palsy is a potentially permanently disfiguring condition but most often resolves spontaneously within weeks. Many researchers believe that Bell's palsy may be caused by HSV.</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Based on the results of the Phase I study, we expect to start in March 2000 a double-blind, placebo-controlled Phase II dose-ranging trial to study the safety and efficacy of AXOKINE in severely obese patients. The study will be conducted in approximately 175 obese patients at six centers with patients treated for 90 days at doses up to 2 mcg/kg/day, i.e., doses that were not associated with herpes cold sores in the Phase I trial. There will be no restriction as to a subject's prior history of herpes cold sores. The Phase II study is designed to confirm the weight loss observed in the Phase I trial and determine the lowest effective well-tolerated dose. We also plan to collect additional data in the study about the relationship of AXOKINE and reactivation of HSV, about the effect of AXOKINE on pulse rate, and about the possible development of neutralizing antibodies when AXOKINE is administered for a longer time.</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We are also developing a modified form of AXOKINE (pegylated) that in preclinical studies is substantially longer acting than unmodified AXOKINE. This may allow less frequent and lower dosing in patients.</w:t>
      </w:r>
    </w:p>
    <w:p>
      <w:pPr>
        <w:spacing w:after="0" w:line="200" w:lineRule="exact"/>
        <w:rPr>
          <w:sz w:val="20"/>
          <w:szCs w:val="20"/>
          <w:color w:val="auto"/>
        </w:rPr>
      </w:pPr>
    </w:p>
    <w:p>
      <w:pPr>
        <w:spacing w:after="0" w:line="328" w:lineRule="exact"/>
        <w:rPr>
          <w:sz w:val="20"/>
          <w:szCs w:val="20"/>
          <w:color w:val="auto"/>
        </w:rPr>
      </w:pPr>
    </w:p>
    <w:p>
      <w:pPr>
        <w:jc w:val="both"/>
        <w:ind w:right="2759" w:firstLine="462"/>
        <w:spacing w:after="0" w:line="252" w:lineRule="auto"/>
        <w:rPr>
          <w:sz w:val="20"/>
          <w:szCs w:val="20"/>
          <w:color w:val="auto"/>
        </w:rPr>
      </w:pPr>
      <w:r>
        <w:rPr>
          <w:rFonts w:ascii="Courier New" w:cs="Courier New" w:eastAsia="Courier New" w:hAnsi="Courier New"/>
          <w:sz w:val="15"/>
          <w:szCs w:val="15"/>
          <w:color w:val="auto"/>
        </w:rPr>
        <w:t>We have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Cytokine Traps. Our widely-cited research on the CNTF class of neurotrophic factors led to the discovery that CNTF, although it is a neurotrophic factor, belongs to the "superfamily" of factors referred to as cytokines. Cytokines are soluble proteins secreted by the cells of the body. In many cases, cytokines act as messengers to help regulate immune and inflammatory responses. In excess, cytokines can be harmful and have been linked to a variety of diseases. This cytokine superfamily includes factors such as erythropoietin, thrombopoietin, granulocyte-colony stimulating factor and the interleukins (or ILs). Our research has led to proprietary insights into the receptors and signal transduction mechanisms used by the entire cytokine superfamily and to novel approaches to develop both agonists and antagonists for a variety of cytokines. Our scientists have created protein-based antagonists for IL-1, IL-4, IL-6 and a single antagonist that blocks both IL-4 and IL-13. These antagonists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Cytokine Traps. Because pathological levels of IL-1, IL-4, IL-6 and IL-13 seem to contribute to a variety of disease states, these Cytokine Traps have the potential to be important therapeutic agents. Our Cytokine Traps soak up excess cytokines, blocking their harmful effects. Blocking cytokines and growth factors is a proven therapeutic approach with a number of drugs already approved or in clinical development.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animal models, our IL-1 trap blocks the activity of IL-1. IL-1 is a principal mediator of joint inflammation characteristic of rheumatoid arthritis and is thought to be responsible for cartilage and bone damage close to the joint. Over two million people (1% of the U.S. population) are estimated to have rheumatoid arthritis; of these, 10% eventually become disabled. A recently reported study by another company suggested that blocking IL-1 may be an effective therapeutic strategy to treat rheumatoid arthritis.</w:t>
      </w:r>
    </w:p>
    <w:p>
      <w:pPr>
        <w:sectPr>
          <w:pgSz w:w="11900" w:h="16838" w:orient="portrait"/>
          <w:cols w:equalWidth="0" w:num="1">
            <w:col w:w="10139"/>
          </w:cols>
          <w:pgMar w:left="320" w:top="828" w:right="1440" w:bottom="0" w:gutter="0" w:footer="0" w:header="0"/>
        </w:sectPr>
      </w:pPr>
    </w:p>
    <w:bookmarkStart w:id="37" w:name="page38"/>
    <w:bookmarkEnd w:id="37"/>
    <w:p>
      <w:pPr>
        <w:ind w:left="2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319" w:right="1440" w:bottom="1440" w:gutter="0" w:footer="0" w:header="0"/>
        </w:sectPr>
      </w:pPr>
    </w:p>
    <w:bookmarkStart w:id="38" w:name="page39"/>
    <w:bookmarkEnd w:id="38"/>
    <w:p>
      <w:pPr>
        <w:ind w:right="2759"/>
        <w:spacing w:after="0" w:line="251" w:lineRule="auto"/>
        <w:rPr>
          <w:sz w:val="20"/>
          <w:szCs w:val="20"/>
          <w:color w:val="auto"/>
        </w:rPr>
      </w:pPr>
      <w:r>
        <w:rPr>
          <w:rFonts w:ascii="Courier New" w:cs="Courier New" w:eastAsia="Courier New" w:hAnsi="Courier New"/>
          <w:sz w:val="15"/>
          <w:szCs w:val="15"/>
          <w:color w:val="auto"/>
        </w:rPr>
        <w:t>Our IL-1 trap is expected to be 1000 times more potent than this molecule, based upon preclinical studies. Antagonists for IL-4 and IL-13 may be therapeutically useful in an assortment of allergy and asthma-related disease situations in which IL-4 and IL-13 are thought to play a contributory role and in a variety of vaccination settings in which blocking IL-4 and IL-13 may help elicit more of the desired type of immune response to the vaccine. We have developed both an IL-4 trap and an IL-4/13 trap which is a single molecule that can block both interleukin-4 and interleukin-13. IL-6 has been implicated in the pathology and progression of multiple myeloma, certain solid tumors, AIDS, lymphomas (both AIDS-related and non-AIDS-related), osteoporosis, and other conditions. We plan to commence a clinical trial of at least one of our Cytokine Traps this year.</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Our research regarding protein-based cytokine antagonists currently includes molecular and cellular research to improve or modify our Cytokine Trap technology, process development efforts to produce experimental and clinical research quantities of the Cytokine Traps and in vivo and in vitro studies to further understand and demonstrate the efficacy of the Cytokine Traps. We also have patents covering additional Cytokine Traps for IL-2, IL-3, IL-5, IL-15, gamma-interferon, transforming growth factor beta, and others, which are being pursued at the research level.</w:t>
      </w:r>
    </w:p>
    <w:p>
      <w:pPr>
        <w:spacing w:after="0" w:line="200" w:lineRule="exact"/>
        <w:rPr>
          <w:sz w:val="20"/>
          <w:szCs w:val="20"/>
          <w:color w:val="auto"/>
        </w:rPr>
      </w:pPr>
    </w:p>
    <w:p>
      <w:pPr>
        <w:spacing w:after="0" w:line="332" w:lineRule="exact"/>
        <w:rPr>
          <w:sz w:val="20"/>
          <w:szCs w:val="20"/>
          <w:color w:val="auto"/>
        </w:rPr>
      </w:pPr>
    </w:p>
    <w:p>
      <w:pPr>
        <w:jc w:val="both"/>
        <w:ind w:right="3119" w:firstLine="462"/>
        <w:spacing w:after="0" w:line="250" w:lineRule="auto"/>
        <w:rPr>
          <w:sz w:val="20"/>
          <w:szCs w:val="20"/>
          <w:color w:val="auto"/>
        </w:rPr>
      </w:pPr>
      <w:r>
        <w:rPr>
          <w:rFonts w:ascii="Courier New" w:cs="Courier New" w:eastAsia="Courier New" w:hAnsi="Courier New"/>
          <w:sz w:val="15"/>
          <w:szCs w:val="15"/>
          <w:color w:val="auto"/>
        </w:rPr>
        <w:t>BDNF. Brain-derived neurotrophic factor is a naturally occurring human protein. During 1995 and 1996, Amgen conducted, on behalf of Amgen-Regeneron Partners, a Phase III BDNF clinical trial to treat ALS. This study involved</w:t>
      </w:r>
    </w:p>
    <w:p>
      <w:pPr>
        <w:spacing w:after="0" w:line="2"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three to five years following diagnosis. It is estimated that approximately 25,000 people in the United States have ALS. In January 1997, we and Amgen announced that the Phase III study failed to demonstrate clinical efficacy. Although that trial failed to achieve its predetermined end points, subsequent analyses indicated that a retrospectively-defined subset of ALS patients in the trial may have received a survival benefit from BDNF treatment.</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BDNF is currently being developed by Amgen-Regeneron Partners for potential use in treating ALS through two routes of administration: intrathecal (infusion into the spinal fluid through an implanted pump, supplied by Medtronic) and subcutaneous (injection under the skin). In the fourth quarter of 1998, Amgen, on behalf of the partnership, began an intrathecal study in more than 200 patients with ALS. Subcutaneous studies conducted by us on behalf of the partnership began in the first quarter of 1998. The subcutaneous studies are based on retrospective analysis of the data from the Phase III trial of BDNF that was completed in 1996, as described earlier. A double-blind, placebo-controlled, multi-center study of more than 300 ALS patients who will receive BDNF subcutaneously began in August 1999. We and Sumitomo Pharmaceuticals are collaborating in the development of BDNF in Japan, initially for the treatment of ALS.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NT-3. Amgen-Regeneron Partners' clinical development of NT-3 is currently focused on constipating conditions. In 1998, we, on behalf of Amgen-Regeneron Partners, completed a small clinical study that included healthy volunteers and patients suffering from severe idiopathic constipation, and began additional exploratory studies that are continuing in 2000 in patients who suffer from constipation associated with conditions such as spinal cord injury and the use of narcotic analgesics. In February 2000, we initiated a double-blind, placebo-controlled Phase II study in more than 100 patients with functional constipation. We and Amgen are developing NT-3 in the United States under a license from Takeda Chemical Industries, Ltd.</w:t>
      </w:r>
    </w:p>
    <w:p>
      <w:pPr>
        <w:spacing w:after="0" w:line="35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Angiogenesis and Hemopoiesis.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828" w:right="1440" w:bottom="891" w:gutter="0" w:footer="0" w:header="0"/>
        </w:sectPr>
      </w:pPr>
    </w:p>
    <w:bookmarkStart w:id="39" w:name="page40"/>
    <w:bookmarkEnd w:id="39"/>
    <w:p>
      <w:pPr>
        <w:ind w:right="3219"/>
        <w:spacing w:after="0" w:line="256" w:lineRule="auto"/>
        <w:rPr>
          <w:sz w:val="20"/>
          <w:szCs w:val="20"/>
          <w:color w:val="auto"/>
        </w:rPr>
      </w:pPr>
      <w:r>
        <w:rPr>
          <w:rFonts w:ascii="Courier New" w:cs="Courier New" w:eastAsia="Courier New" w:hAnsi="Courier New"/>
          <w:sz w:val="15"/>
          <w:szCs w:val="15"/>
          <w:color w:val="auto"/>
        </w:rPr>
        <w:t>inflammatory diseases. Finally, some disease processes such as tumor growth depend on the induction of new blood vessels.</w:t>
      </w:r>
    </w:p>
    <w:p>
      <w:pPr>
        <w:spacing w:after="0" w:line="17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Vascular endothelial growth factor (VEGF) was the first growth factor shown to be specific for blood vessels, by virtue of having its receptor specifically expressed on blood vessel cells. Our scientists have used their Targeted Genomics and Functionomics technology platforms to discover a second family of angiogenic growth factors, termed the Angiopoietins, and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To discover the Angiopoietins, our scientists exploited their platform technologies. They first used Targeted Genomics approaches to identify a new family of growth factor receptor proteins expressed on blood vessels. These proteins were termed orphan receptors because their putative ligands had not yet been identified. Our scientists then used functional expression cloning technologies (Functionomics) to discover the growth factors for these orphan receptors, which they termed the Angiopoietins. Finally, they and their collaborators performed an assortment of functional studies to define the biologic roles of the Angiopoietins and their potential applications in disease processes.</w:t>
      </w:r>
    </w:p>
    <w:p>
      <w:pPr>
        <w:spacing w:after="0" w:line="35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These studies have revealed that VEGF and the Angiopoietins normally function in a coordinated and collaborative manner during blood vessel growth. Thus, the growth of new blood vessels to nourish ischemic tissue seemingly requires use of both these agents. In addition, Angiopoietin-1 seems to play a critical role in stabilizing the vessel wall, and the use of this growth factor has the ability to prevent or repair leaky vessels. In terms of blocking vessel growth, both VEGF and Angiopoietin manipulation seem to be of value. Currently, we have a highly potent VEGF antagonist, termed the VEGF-Trap, in preclinical development as an anti-angiogenic agent for cancer. In addition, we have Angiopoietin-1 and engineered designer versions in preclinical studies aimed at evaluating its utility for blocking blood vessel leak, and for growing blood vessels in ischemia. Finally, as part of our collaboration with Procter &amp; Gamble, we are developing animal models and high-throughput screens and conducting medicinal chemistry efforts to develop small molecule regulators of angiogenesis.</w:t>
      </w:r>
    </w:p>
    <w:p>
      <w:pPr>
        <w:spacing w:after="0" w:line="353"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Hemopoietic stem cells and blood vessel cells share a common precursor, termed the hemangioblast. The receptors for the Angiopoietins are thus also expressed on hemopoietic lineage cells. The Angiopoietins are in preclinical studies for their abilities to promote growth and mobilization of hemopoietic stem cells and megakaryocytes.</w:t>
      </w:r>
    </w:p>
    <w:p>
      <w:pPr>
        <w:spacing w:after="0" w:line="173" w:lineRule="exact"/>
        <w:rPr>
          <w:sz w:val="20"/>
          <w:szCs w:val="20"/>
          <w:color w:val="auto"/>
        </w:rPr>
      </w:pPr>
    </w:p>
    <w:p>
      <w:pPr>
        <w:jc w:val="both"/>
        <w:ind w:right="2759" w:firstLine="462"/>
        <w:spacing w:after="0" w:line="253" w:lineRule="auto"/>
        <w:rPr>
          <w:sz w:val="20"/>
          <w:szCs w:val="20"/>
          <w:color w:val="auto"/>
        </w:rPr>
      </w:pPr>
      <w:r>
        <w:rPr>
          <w:rFonts w:ascii="Courier New" w:cs="Courier New" w:eastAsia="Courier New" w:hAnsi="Courier New"/>
          <w:sz w:val="15"/>
          <w:szCs w:val="15"/>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351" w:lineRule="exact"/>
        <w:rPr>
          <w:sz w:val="20"/>
          <w:szCs w:val="20"/>
          <w:color w:val="auto"/>
        </w:rPr>
      </w:pPr>
    </w:p>
    <w:p>
      <w:pPr>
        <w:ind w:right="3219" w:firstLine="462"/>
        <w:spacing w:after="0" w:line="256" w:lineRule="auto"/>
        <w:rPr>
          <w:sz w:val="20"/>
          <w:szCs w:val="20"/>
          <w:color w:val="auto"/>
        </w:rPr>
      </w:pPr>
      <w:r>
        <w:rPr>
          <w:rFonts w:ascii="Courier New" w:cs="Courier New" w:eastAsia="Courier New" w:hAnsi="Courier New"/>
          <w:sz w:val="15"/>
          <w:szCs w:val="15"/>
          <w:color w:val="auto"/>
        </w:rPr>
        <w:t>This work in angiogenesis and hemopoiesis is being conducted in collaboration with scientists at Procter &amp; Gamble as part of our agreement.</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muscle program is currently focused on conducting in vivo and in vitro experiments with the objective of demonstrating and further understanding the molecular mechanisms involved in muscle atrophy. This work is being conducted in collaboration with scientists at Procter &amp; Gamble as part of our agreement.</w:t>
      </w:r>
    </w:p>
    <w:p>
      <w:pPr>
        <w:spacing w:after="0" w:line="200" w:lineRule="exact"/>
        <w:rPr>
          <w:sz w:val="20"/>
          <w:szCs w:val="20"/>
          <w:color w:val="auto"/>
        </w:rPr>
      </w:pPr>
    </w:p>
    <w:p>
      <w:pPr>
        <w:spacing w:after="0" w:line="3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51" w:right="1440" w:bottom="1440" w:gutter="0" w:footer="0" w:header="0"/>
        </w:sectPr>
      </w:pPr>
    </w:p>
    <w:bookmarkStart w:id="40" w:name="page41"/>
    <w:bookmarkEnd w:id="40"/>
    <w:p>
      <w:pPr>
        <w:ind w:right="2759" w:firstLine="462"/>
        <w:spacing w:after="0" w:line="251" w:lineRule="auto"/>
        <w:rPr>
          <w:sz w:val="20"/>
          <w:szCs w:val="20"/>
          <w:color w:val="auto"/>
        </w:rPr>
      </w:pPr>
      <w:r>
        <w:rPr>
          <w:rFonts w:ascii="Courier New" w:cs="Courier New" w:eastAsia="Courier New" w:hAnsi="Courier New"/>
          <w:sz w:val="15"/>
          <w:szCs w:val="15"/>
          <w:color w:val="auto"/>
        </w:rPr>
        <w:t>Other Early Stage Programs: Cartilage Growth Factor Receptor System and Osteoarthritis, Collagen Receptors and Fibrosis, and G-Protein Coupled Receptors. Osteoarthritis results from the wearing down of the articular cartilage surfaces that cover joints. Thus, growth factors that specifically act on cartilage cells could have utility in osteoarthritis. Using our platform technologies that utilize Targeted Genomics to discover orphan receptors, together with our functional biology capabilities,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as revealed by gene knockout technology. In addition, together with collaborators, our scientists have proven that mutations in this growth factor receptor system cause inherited defects in cartilage development in humans. Thus, this growth factor receptor system is an exciting new target for cartilage diseases such as osteoarthritis.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354" w:lineRule="exact"/>
        <w:rPr>
          <w:sz w:val="20"/>
          <w:szCs w:val="20"/>
          <w:color w:val="auto"/>
        </w:rPr>
      </w:pPr>
    </w:p>
    <w:p>
      <w:pPr>
        <w:jc w:val="both"/>
        <w:ind w:right="3039" w:firstLine="462"/>
        <w:spacing w:after="0" w:line="253" w:lineRule="auto"/>
        <w:rPr>
          <w:sz w:val="20"/>
          <w:szCs w:val="20"/>
          <w:color w:val="auto"/>
        </w:rPr>
      </w:pPr>
      <w:r>
        <w:rPr>
          <w:rFonts w:ascii="Courier New" w:cs="Courier New" w:eastAsia="Courier New" w:hAnsi="Courier New"/>
          <w:sz w:val="15"/>
          <w:szCs w:val="15"/>
          <w:color w:val="auto"/>
        </w:rPr>
        <w:t>We also have an intensive program to discover and characterize G-Protein Coupled Receptors, which have historically been among the most useful targets for pharmaceuticals.</w:t>
      </w:r>
    </w:p>
    <w:p>
      <w:pPr>
        <w:spacing w:after="0" w:line="200" w:lineRule="exact"/>
        <w:rPr>
          <w:sz w:val="20"/>
          <w:szCs w:val="20"/>
          <w:color w:val="auto"/>
        </w:rPr>
      </w:pPr>
    </w:p>
    <w:p>
      <w:pPr>
        <w:spacing w:after="0" w:line="328" w:lineRule="exact"/>
        <w:rPr>
          <w:sz w:val="20"/>
          <w:szCs w:val="20"/>
          <w:color w:val="auto"/>
        </w:rPr>
      </w:pPr>
    </w:p>
    <w:p>
      <w:pPr>
        <w:ind w:right="3499" w:firstLine="462"/>
        <w:spacing w:after="0" w:line="256" w:lineRule="auto"/>
        <w:rPr>
          <w:sz w:val="20"/>
          <w:szCs w:val="20"/>
          <w:color w:val="auto"/>
        </w:rPr>
      </w:pPr>
      <w:r>
        <w:rPr>
          <w:rFonts w:ascii="Courier New" w:cs="Courier New" w:eastAsia="Courier New" w:hAnsi="Courier New"/>
          <w:sz w:val="15"/>
          <w:szCs w:val="15"/>
          <w:color w:val="auto"/>
        </w:rPr>
        <w:t>The work in these programs is being conducted in collaboration with scientists at Procter &amp; Gamble as part of our agreement.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COLLABORATIVE RELATIONSHIPS</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currently conduct programs in collaboration with academic and corporate partners and independently. We have entered into research collaboration and licensing agreements with various corporate partners, including Procter &amp; Gamble, Amgen and Sumitomo Pharmaceuticals.</w:t>
      </w:r>
    </w:p>
    <w:p>
      <w:pPr>
        <w:spacing w:after="0" w:line="174"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Procter &amp; Gamble. The majority of our scientific resources are devoted to our collaborative activities with Procter &amp; Gamble in the fields of angiogenesis, cancer, bone growth and related areas, muscle injury and atrophy and small molecule (orally active) drugs.</w:t>
      </w:r>
    </w:p>
    <w:p>
      <w:pPr>
        <w:spacing w:after="0" w:line="17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May 1997, we entered into a ten-year collaboration agreement with Procter &amp; Gamble to discover, develop and commercialize pharmaceutical products. Procter &amp; Gamble agreed over the first five years of the various agreements to purchase up to $60.0 million in our equity, of which, as of December 31, 1999, it had purchased $42.9 million. In addition, Procter &amp; Gamble purchased $10.0 million of our common stock in 1997. Procter &amp; Gamble agreed over the first five years of the various agreements to provide up to $94.7 million in support of our research efforts related to the collaboration, of which we had received $24.0 million as of December 31, 1999.</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September 1997, our ten-year agreement with Procter &amp; Gamble was expanded to include AXOKINE and related molecules, and we agreed to develop AXOKINE initially to treat obesity associated with Type II diabetes. In the first quarter of 1999, we and Procter &amp; Gamble commenced a Phase I clinical study to determine the safety of AXOKINE administered subcutaneously for a short duration to mildly to moderately obese healthy volunteers. After examining the interim data from the Phase I study (including the possibility that the market for AXOKINE might be limited to herpes simplex virus (commonly called HSV)-negative patients) as part of an internal review of drug development programs and budgets, Procter &amp; Gamble decided to return to us the product rights to AXOKINE. We and Procter &amp; Gamble completed the Phase I study in HSV-negative patients. Based on the final results of the Phase I study, we expect to start in March 2000 a double-blind, placebo-controlled Phase II dose-ranging trial to study the safety and efficacy of AXOKINE in severely obese patients. Under certain circumstances, Procter &amp; Gamble will continue to be entitled to receive a small royalty on any sales of AXOKINE. Procter &amp; Gamble's decision to return to us product rights to AXOKINE has no impact on our broader relationship with Procter &amp; Gamble.</w:t>
      </w:r>
    </w:p>
    <w:p>
      <w:pPr>
        <w:spacing w:after="0" w:line="200" w:lineRule="exact"/>
        <w:rPr>
          <w:sz w:val="20"/>
          <w:szCs w:val="20"/>
          <w:color w:val="auto"/>
        </w:rPr>
      </w:pPr>
    </w:p>
    <w:p>
      <w:pPr>
        <w:spacing w:after="0" w:line="331"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Under our agreement with Procter &amp; Gamble, any drugs that may result from the collaboration will be jointly developed and marketed, with the parties equally sharing development costs and profits. In addition,</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651" w:right="1440" w:bottom="891" w:gutter="0" w:footer="0" w:header="0"/>
        </w:sectPr>
      </w:pPr>
    </w:p>
    <w:bookmarkStart w:id="41" w:name="page42"/>
    <w:bookmarkEnd w:id="41"/>
    <w:p>
      <w:pPr>
        <w:ind w:right="2759"/>
        <w:spacing w:after="0" w:line="251" w:lineRule="auto"/>
        <w:rPr>
          <w:sz w:val="20"/>
          <w:szCs w:val="20"/>
          <w:color w:val="auto"/>
        </w:rPr>
      </w:pPr>
      <w:r>
        <w:rPr>
          <w:rFonts w:ascii="Courier New" w:cs="Courier New" w:eastAsia="Courier New" w:hAnsi="Courier New"/>
          <w:sz w:val="15"/>
          <w:szCs w:val="15"/>
          <w:color w:val="auto"/>
        </w:rPr>
        <w:t>during the second five years of the Procter &amp; Gamble Agreement, the companies will share all collaboration costs equally. Either party may terminate collaborative research after five years, subject to reversion of certain rights to us. We contributed our technologies and intellectual property relating to a broad set of our programs and activities, as well as future research programs and activities, to the collaboration. Excluded from the collaboration with Procter &amp; Gamble are our neurotrophic factor and cytokine research programs. Our neurotrophic factor programs will continue to be developed in collaboration with Amgen and Sumitomo Pharmaceuticals. Our cytokine research programs will continue to be developed independently. In addition to the potential development of protein-based therapeutics, the collaboration will seek to discover and develop small molecule, orally active therapeutics useful in the treatment of muscle diseases and conditions.</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Amgen. We and Amgen are conducting clinical trials of BDNF and NT-3 on behalf of Amgen-Regeneron Partners, a general partnership owned equally by us and Amgen. We are required to fund 50% of the development costs of Amgen-Regeneron Partners to maintain 50% of the commercialization rights. Assuming equal capital contributions to Amgen-Regeneron Partners, we and Amgen share any profits or losses of Amgen-Regeneron Partners equally. BDNF is currently being developed by Amgen-Regeneron Partners for potential use in treating ALS through two routes of administration: intrathecal (infusion into the spinal fluid through an implanted pump, supplied by Medtronic, Inc.) and subcutaneous (injection under the skin). The Amgen-Regeneron Partners Phase III trial of BDNF for ALS, completed in 1996, failed to achieve its predetermined end points, but subsequent analyses indicated that a retrospectively defined subset of ALS patients in the trial may have received a survival benefit from BDNF treatment.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859" w:firstLine="462"/>
        <w:spacing w:after="0" w:line="252" w:lineRule="auto"/>
        <w:rPr>
          <w:sz w:val="20"/>
          <w:szCs w:val="20"/>
          <w:color w:val="auto"/>
        </w:rPr>
      </w:pPr>
      <w:r>
        <w:rPr>
          <w:rFonts w:ascii="Courier New" w:cs="Courier New" w:eastAsia="Courier New" w:hAnsi="Courier New"/>
          <w:sz w:val="15"/>
          <w:szCs w:val="15"/>
          <w:color w:val="auto"/>
        </w:rPr>
        <w:t>Under our agreement with Amgen, following preclinical development, we will attempt to develop with Amgen and, if such effort is successful, commercialize, market, and distribute BDNF and NT-3 drug products in the United States through Amgen-Regeneron Partners.</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development and commercialization of BDNF and NT-3 outside of the United States, Japan, China, and certain other Pacific Rim countries will be conducted solely by Amgen through a license from us and, with respect to NT-3, from Takeda (under a license agreement between Amgen-Regeneron, Genentech, Inc., and Takeda).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Sumitomo. In connection with a $4.4 million equity investment made by Sumitomo Chemical Company, Ltd. in March 1989, we granted Sumitomo Chemical a limited right of first negotiation to license up to three of the product candidates we decide to commercialize in Japan on financial and commercial terms as we may offer. We are obligated periodically to inform and, if requested, to meet with Sumitomo Chemical management about our progress in research and development.</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collaborative agreement in June 1994 with Sumitomo Pharmaceuticals, an affiliate of Sumitomo Chemical, to develop BDNF in Japan, was the first of such license agreements. Under the terms of the agreement, Sumitomo Pharmaceuticals agreed to pay up to $40.0 million to us, including $25.0 million in research payments (all of which we have received) and up to $15.0 million in progress payments payable upon achievement of certain development milestones, of which $5.0 million was received (reduced by $0.5 million of Japanese withholding tax) in August 1998 in connection with Sumitomo's initiating a Phase I safety study of BDNF in Japan. In addition, Sumitomo Pharmaceuticals agreed to reimburse us for our activities in developing manufacturing processes for BDNF and supplying BDNF and other research materials to Sumitomo Pharmaceuticals. The agreement may be terminated by Sumitomo Pharmaceuticals at its discretion; such termination would result in the reversion to us of all rights to BDNF in Japan.</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Medarex. We recently entered into a collaboration under a binding memorandum of understanding with Medarex, Inc.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w:t>
      </w:r>
    </w:p>
    <w:p>
      <w:pPr>
        <w:sectPr>
          <w:pgSz w:w="11900" w:h="16838" w:orient="portrait"/>
          <w:cols w:equalWidth="0" w:num="1">
            <w:col w:w="10139"/>
          </w:cols>
          <w:pgMar w:left="320" w:top="828"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availability, market opportunity, competitive factors, intellectual property</w:t>
      </w:r>
    </w:p>
    <w:p>
      <w:pPr>
        <w:sectPr>
          <w:pgSz w:w="11900" w:h="16838" w:orient="portrait"/>
          <w:cols w:equalWidth="0" w:num="1">
            <w:col w:w="10139"/>
          </w:cols>
          <w:pgMar w:left="320" w:top="142" w:right="1440" w:bottom="1440" w:gutter="0" w:footer="0" w:header="0"/>
        </w:sectPr>
      </w:pP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142" w:right="1440" w:bottom="1440" w:gutter="0" w:footer="0" w:header="0"/>
          <w:type w:val="continuous"/>
        </w:sectPr>
      </w:pPr>
    </w:p>
    <w:bookmarkStart w:id="43" w:name="page44"/>
    <w:bookmarkEnd w:id="43"/>
    <w:p>
      <w:pPr>
        <w:ind w:right="2939"/>
        <w:spacing w:after="0" w:line="251" w:lineRule="auto"/>
        <w:rPr>
          <w:sz w:val="20"/>
          <w:szCs w:val="20"/>
          <w:color w:val="auto"/>
        </w:rPr>
      </w:pPr>
      <w:r>
        <w:rPr>
          <w:rFonts w:ascii="Courier New" w:cs="Courier New" w:eastAsia="Courier New" w:hAnsi="Courier New"/>
          <w:sz w:val="15"/>
          <w:szCs w:val="15"/>
          <w:color w:val="auto"/>
        </w:rPr>
        <w:t>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 We and Medarex agreed to share preclinical and clinical responsibilities and intend to jointly market any drugs that result from this collaboration.</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Emisphere. We have also recently signed an agreement with Emisphere Technologies, Inc.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under certain conditions will make additional payments, including license and milestone payments. We will receive exclusive worldwide commercialization rights to oral products that result from the collaboration and pay Emisphere a royalty on sales of any such products.</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Other Agreements. We have agreements with individual researchers and universities to conduct sponsored research and development programs. The goal of these agreements is to extend our capabilities and to acquire proprietary rights to the results of sponsored research. We are a party to a number of sponsored research agreements which include grants to us of exclusive licenses to certain discoveries and technologies developed at, among other places, the Max Planck Institute and the University of California at San Francisco. We have also collaborated with Glaxo Wellcome plc to discover and develop small molecule-based treatments for neurodegenerative diseases. In addition to these sponsored research agreements, we (individually or in partnership with our collaborators) provide resource material and information that relate to its product candidates and research programs to over 400 investigators at private and public institutions throughout the world. We provide supplies, materials and know-how to these investigators on a confidential basis in exchange for access to additional research and ownership of certain proprietary rights resulting from the work of the investigators.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maintain a manufacturing facility in Tarrytown, New York. This facility, which was designed to comply with FDA current good manufacturing practices (called GMP), produces preclinical and clinical supplies of our products and product candidates.</w:t>
      </w:r>
    </w:p>
    <w:p>
      <w:pPr>
        <w:spacing w:after="0" w:line="200" w:lineRule="exact"/>
        <w:rPr>
          <w:sz w:val="20"/>
          <w:szCs w:val="20"/>
          <w:color w:val="auto"/>
        </w:rPr>
      </w:pPr>
    </w:p>
    <w:p>
      <w:pPr>
        <w:spacing w:after="0" w:line="329"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In 1993, we purchased our Rensselaer, New York manufacturing facility, which is being used to manufacture products for Sumitomo Pharmaceuticals and Merck under contracts with them. We may use the facility to produce other product candidates and materials in the future.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42 U.S. patents and we have more than 100 pending applications. We are the exclusive or nonexclusive licensee of a number of additional U.S. patents and patent applications. We also rely upon trade secrets, know-how and continuing technological innovation to develop and maintain its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As of December 31, 1999, we had 437 full-time employees, 82 of whom hold a Ph.D. or M.D. degree or both. We believe that we have been successful in attracting skilled and experienced personnel in a highly competitive environment.</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828" w:right="1440" w:bottom="181" w:gutter="0" w:footer="0" w:header="0"/>
        </w:sectPr>
      </w:pPr>
    </w:p>
    <w:bookmarkStart w:id="44" w:name="page45"/>
    <w:bookmarkEnd w:id="44"/>
    <w:p>
      <w:pPr>
        <w:ind w:left="3220"/>
        <w:spacing w:after="0"/>
        <w:rPr>
          <w:sz w:val="20"/>
          <w:szCs w:val="20"/>
          <w:color w:val="auto"/>
        </w:rPr>
      </w:pPr>
      <w:r>
        <w:rPr>
          <w:rFonts w:ascii="Courier New" w:cs="Courier New" w:eastAsia="Courier New" w:hAnsi="Courier New"/>
          <w:sz w:val="15"/>
          <w:szCs w:val="15"/>
          <w:color w:val="auto"/>
        </w:rPr>
        <w:t>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85"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following table provides information with respect to our directors and executive officers as of February 29, 2000: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spacing w:after="0"/>
              <w:rPr>
                <w:sz w:val="20"/>
                <w:szCs w:val="20"/>
                <w:color w:val="auto"/>
              </w:rPr>
            </w:pPr>
            <w:r>
              <w:rPr>
                <w:rFonts w:ascii="Courier New" w:cs="Courier New" w:eastAsia="Courier New" w:hAnsi="Courier New"/>
                <w:sz w:val="15"/>
                <w:szCs w:val="15"/>
                <w:color w:val="auto"/>
              </w:rPr>
              <w:t>P. Roy Vagelos,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70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 (Class II)</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 President, Chief Executive</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Officer and Founder</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Charles A. Baker................................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67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Michael S. Brown,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 and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Alfred G. Gilman,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 and Co-Founder</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Joseph L. Goldstein,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60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 and Member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Fred A. Middleton...............................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Eric M. Shooter,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76</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 and Chairman of Scientific</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Advisory Board</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George L. Sing..................................</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 (Class III)</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Research and Chief</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Scientific Officer</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Clinical Affairs</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Finance &amp; Administration, Chief</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 Treasurer and Assistant</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Hans-Peter Guler,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Clinical Sciences</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Stephen L. Holst................................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Quality Assurance and Regulatory</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Affairs</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Richard X. Horne................................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Staff Vice President, Human Resources</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William G. Roberts, M.D.........................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Regulatory Development</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Randall G. Rupp,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Manufacturing and Process</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Science</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Joseph M. Sorrentino,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Intellectual Property</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Preclinical Development and</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Biomolecular Science</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David M. Valenzuela, Ph.D.......................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Genomics and Bioinformatics</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Douglas S. McCorkle.............................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Controller and Assistant Treasurer</w:t>
            </w:r>
          </w:p>
        </w:tc>
      </w:tr>
      <w:tr>
        <w:trPr>
          <w:trHeight w:val="1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Beverly C. Dubs.................................</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Administrative Controller and Assistant</w:t>
            </w:r>
          </w:p>
        </w:tc>
      </w:tr>
      <w:tr>
        <w:trPr>
          <w:trHeight w:val="178"/>
        </w:trPr>
        <w:tc>
          <w:tcPr>
            <w:tcW w:w="4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Treasurer</w:t>
            </w:r>
          </w:p>
        </w:tc>
      </w:tr>
    </w:tbl>
    <w:p>
      <w:pPr>
        <w:spacing w:after="0" w:line="200" w:lineRule="exact"/>
        <w:rPr>
          <w:sz w:val="20"/>
          <w:szCs w:val="20"/>
          <w:color w:val="auto"/>
        </w:rPr>
      </w:pPr>
    </w:p>
    <w:p>
      <w:pPr>
        <w:spacing w:after="0" w:line="336"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Board of Directors is divided into three classes, denominated Class I, Class II and Class III, with members of each class holding office for staggered three-year terms. Our Scientific Advisory Board consists of individuals with recognized expertise in neurobiology, clinical neurology, molecular biology and related fields who advise us about present and long-term scientific planning, research and development.</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P. Roy Vagelos, M.D., 70, has been chairman of the board of our company and a member of the Scientific Advisory Board since January 1995. He became a part-time employee of Regeneron in January 1999. Prior to joining Regeneron, Dr. Vagelos was Chairman of the Board and Chief Executive Officer of</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651" w:right="1440" w:bottom="1440" w:gutter="0" w:footer="0" w:header="0"/>
        </w:sectPr>
      </w:pPr>
    </w:p>
    <w:bookmarkStart w:id="45" w:name="page46"/>
    <w:bookmarkEnd w:id="45"/>
    <w:p>
      <w:pPr>
        <w:ind w:right="2759"/>
        <w:spacing w:after="0" w:line="252" w:lineRule="auto"/>
        <w:rPr>
          <w:sz w:val="20"/>
          <w:szCs w:val="20"/>
          <w:color w:val="auto"/>
        </w:rPr>
      </w:pPr>
      <w:r>
        <w:rPr>
          <w:rFonts w:ascii="Courier New" w:cs="Courier New" w:eastAsia="Courier New" w:hAnsi="Courier New"/>
          <w:sz w:val="15"/>
          <w:szCs w:val="15"/>
          <w:color w:val="auto"/>
        </w:rPr>
        <w:t>Merck &amp; Co., Inc. He joined Merck in 1975, became a director in 1984, President and Chief Executive Officer in 1985 and Chairman in 1986. Dr. Vagelos retired from all positions with Merck in 1994. He is also currently a member of the Board of Directors of PepsiCo, Inc., The Prudential Insurance Company of America and Estee Lauder Companies.</w:t>
      </w:r>
    </w:p>
    <w:p>
      <w:pPr>
        <w:spacing w:after="0" w:line="351" w:lineRule="exact"/>
        <w:rPr>
          <w:sz w:val="20"/>
          <w:szCs w:val="20"/>
          <w:color w:val="auto"/>
        </w:rPr>
      </w:pPr>
    </w:p>
    <w:p>
      <w:pPr>
        <w:ind w:right="2759" w:firstLine="462"/>
        <w:spacing w:after="0" w:line="250" w:lineRule="auto"/>
        <w:rPr>
          <w:sz w:val="20"/>
          <w:szCs w:val="20"/>
          <w:color w:val="auto"/>
        </w:rPr>
      </w:pPr>
      <w:r>
        <w:rPr>
          <w:rFonts w:ascii="Courier New" w:cs="Courier New" w:eastAsia="Courier New" w:hAnsi="Courier New"/>
          <w:sz w:val="15"/>
          <w:szCs w:val="15"/>
          <w:color w:val="auto"/>
        </w:rPr>
        <w:t>Leonard S. Schleifer, M.D., Ph.D., 47,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w:t>
      </w:r>
    </w:p>
    <w:p>
      <w:pPr>
        <w:spacing w:after="0" w:line="4" w:lineRule="exact"/>
        <w:rPr>
          <w:sz w:val="20"/>
          <w:szCs w:val="20"/>
          <w:color w:val="auto"/>
        </w:rPr>
      </w:pPr>
    </w:p>
    <w:p>
      <w:pPr>
        <w:jc w:val="both"/>
        <w:ind w:right="2759"/>
        <w:spacing w:after="0" w:line="253" w:lineRule="auto"/>
        <w:rPr>
          <w:sz w:val="20"/>
          <w:szCs w:val="20"/>
          <w:color w:val="auto"/>
        </w:rPr>
      </w:pPr>
      <w:r>
        <w:rPr>
          <w:rFonts w:ascii="Courier New" w:cs="Courier New" w:eastAsia="Courier New" w:hAnsi="Courier New"/>
          <w:sz w:val="15"/>
          <w:szCs w:val="15"/>
          <w:color w:val="auto"/>
        </w:rPr>
        <w:t>Dr. Schleifer received his M.D. and Ph.D. in Pharmacology from the University of Virginia. Dr. Schleifer is a licensed physician and is certified in Neurology by the American Board of Psychiatry and Neurology.</w:t>
      </w:r>
    </w:p>
    <w:p>
      <w:pPr>
        <w:spacing w:after="0" w:line="35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Charles A. Baker, 67, has been a director of our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w:t>
      </w:r>
    </w:p>
    <w:p>
      <w:pPr>
        <w:spacing w:after="0" w:line="176" w:lineRule="exact"/>
        <w:rPr>
          <w:sz w:val="20"/>
          <w:szCs w:val="20"/>
          <w:color w:val="auto"/>
        </w:rPr>
      </w:pPr>
    </w:p>
    <w:p>
      <w:pPr>
        <w:ind w:right="2939" w:firstLine="462"/>
        <w:spacing w:after="0" w:line="250" w:lineRule="auto"/>
        <w:rPr>
          <w:sz w:val="20"/>
          <w:szCs w:val="20"/>
          <w:color w:val="auto"/>
        </w:rPr>
      </w:pPr>
      <w:r>
        <w:rPr>
          <w:rFonts w:ascii="Courier New" w:cs="Courier New" w:eastAsia="Courier New" w:hAnsi="Courier New"/>
          <w:sz w:val="15"/>
          <w:szCs w:val="15"/>
          <w:color w:val="auto"/>
        </w:rPr>
        <w:t>Michael S. Brown, M.D., 59, has been a director of our company since June 1991 and a member of our Scientific Advisory Board since January 1988.</w:t>
      </w:r>
    </w:p>
    <w:p>
      <w:pPr>
        <w:spacing w:after="0" w:line="1"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5"/>
          <w:szCs w:val="15"/>
          <w:color w:val="auto"/>
        </w:rPr>
        <w:t>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 Brown and</w:t>
      </w:r>
    </w:p>
    <w:p>
      <w:pPr>
        <w:spacing w:after="0" w:line="3"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Dr. Goldstein jointly received the Nobel Prize for Physiology or Medicine in 1985.</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Alfred G. Gilman, M.D., Ph.D., 58,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76"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177"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Fred A. Middleton, 50,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77" w:lineRule="exact"/>
        <w:rPr>
          <w:sz w:val="20"/>
          <w:szCs w:val="20"/>
          <w:color w:val="auto"/>
        </w:rPr>
      </w:pPr>
    </w:p>
    <w:p>
      <w:pPr>
        <w:ind w:right="3219" w:firstLine="462"/>
        <w:spacing w:after="0" w:line="250" w:lineRule="auto"/>
        <w:rPr>
          <w:sz w:val="20"/>
          <w:szCs w:val="20"/>
          <w:color w:val="auto"/>
        </w:rPr>
      </w:pPr>
      <w:r>
        <w:rPr>
          <w:rFonts w:ascii="Courier New" w:cs="Courier New" w:eastAsia="Courier New" w:hAnsi="Courier New"/>
          <w:sz w:val="15"/>
          <w:szCs w:val="15"/>
          <w:color w:val="auto"/>
        </w:rPr>
        <w:t>Eric M. Shooter, Ph.D., 76, a co-founder of our company, has been a director of our company and chairman of the Scientific Advisory Board since</w:t>
      </w:r>
    </w:p>
    <w:p>
      <w:pPr>
        <w:spacing w:after="0" w:line="1"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51" w:right="1440" w:bottom="1440" w:gutter="0" w:footer="0" w:header="0"/>
        </w:sectPr>
      </w:pPr>
    </w:p>
    <w:bookmarkStart w:id="46" w:name="page47"/>
    <w:bookmarkEnd w:id="46"/>
    <w:p>
      <w:pPr>
        <w:ind w:right="2859" w:firstLine="462"/>
        <w:spacing w:after="0" w:line="251" w:lineRule="auto"/>
        <w:rPr>
          <w:sz w:val="20"/>
          <w:szCs w:val="20"/>
          <w:color w:val="auto"/>
        </w:rPr>
      </w:pPr>
      <w:r>
        <w:rPr>
          <w:rFonts w:ascii="Courier New" w:cs="Courier New" w:eastAsia="Courier New" w:hAnsi="Courier New"/>
          <w:sz w:val="15"/>
          <w:szCs w:val="15"/>
          <w:color w:val="auto"/>
        </w:rPr>
        <w:t>George L. Sing, 51, has been a director of our company since January 1988. From 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Since 1993, Mr. Sing has been a general partner of Zitan Partners, an investment and advisory firm.</w:t>
      </w:r>
    </w:p>
    <w:p>
      <w:pPr>
        <w:spacing w:after="0" w:line="354"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George D. Yancopoulos, M.D., Ph.D., 40, has been senior vice president, Research since June 1997 and chief scientific officer since January 1998. Dr. Yancopoulos was Vice President, Discovery from January 1992 until June 1997 and was employed by us since March 1989 as Senior Staff Scientist and Head of Discovery from January 1991 to January 1992.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35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Jesse M. Cedarbaum, M.D., 48, has been our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Murray A. Goldberg, 55, has been our vice president, Finance and Administration, Treasurer and Chief Financial Officer since March 1995 and Assistant Secretary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354" w:lineRule="exact"/>
        <w:rPr>
          <w:sz w:val="20"/>
          <w:szCs w:val="20"/>
          <w:color w:val="auto"/>
        </w:rPr>
      </w:pPr>
    </w:p>
    <w:p>
      <w:pPr>
        <w:jc w:val="both"/>
        <w:ind w:right="2759" w:firstLine="462"/>
        <w:spacing w:after="0" w:line="250" w:lineRule="auto"/>
        <w:rPr>
          <w:sz w:val="20"/>
          <w:szCs w:val="20"/>
          <w:color w:val="auto"/>
        </w:rPr>
      </w:pPr>
      <w:r>
        <w:rPr>
          <w:rFonts w:ascii="Courier New" w:cs="Courier New" w:eastAsia="Courier New" w:hAnsi="Courier New"/>
          <w:sz w:val="15"/>
          <w:szCs w:val="15"/>
          <w:color w:val="auto"/>
        </w:rPr>
        <w:t>Hans-Peter Guler, M.D., 51, has been our vice president, Clinical Sciences since April 1998. From 1994 until joining the Company, Dr. Guler was employed by Chiron Corporation, most recently as Senior Director of Clinical Development.</w:t>
      </w:r>
    </w:p>
    <w:p>
      <w:pPr>
        <w:spacing w:after="0" w:line="2"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5"/>
          <w:szCs w:val="15"/>
          <w:color w:val="auto"/>
        </w:rPr>
        <w:t>From 1989 to 1994, he was Associate Director of Drug Development in the Pharmaceuticals Divisions of CIBA-GEIGY Corporation. Dr. Guler received his M.D. from the University of Zurich.</w:t>
      </w:r>
    </w:p>
    <w:p>
      <w:pPr>
        <w:spacing w:after="0" w:line="35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Steven L. Holst, 58, has been our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our Regulatory Affairs and Quality Assurance Groups.</w:t>
      </w:r>
    </w:p>
    <w:p>
      <w:pPr>
        <w:spacing w:after="0" w:line="17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Richard X. Horne, 49, has been our Staff Vice President, Human Resources since August 1998. Immediately prior to joining Regeneron, he was Vice President, Human Resources at Braintree Hospital in Braintree, MA, serving in that capacity since 1990. Mr. Horne also was a member of the Board of Directors of The Rehabilitation Hospital of Rhode Island from October 1997 until April 1998.</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William Roberts, M.D., 42, has been our vice president, Regulatory Development since May 1999. From 1993 until joining us, Dr. Roberts was employed by Merck &amp; Co., Inc., as Associate Director, Gastroenterology Clinical Research and subsequently, Director, Regulatory Affairs. He received his M.D. from the Columbia University College of Physicians &amp; Surgeons.</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Randall G. Rupp, Ph.D., 53, has been our vice president, Manufacturing and Process Science since January 1992 and was our director of manufacturing from July 1991 until December 1992. He received his Ph.D. in Biomedical Sciences from the University of Texas, M.D. Anderson Hospital and Tumor Institution, Houston.</w:t>
      </w:r>
    </w:p>
    <w:p>
      <w:pPr>
        <w:spacing w:after="0" w:line="174"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Joseph M. Sorrentino, Ph.D., 48, has been our vice president, Intellectual Property since September 1999. Immediately before joining us, he was Vice President and Counsel (Biotechnology Patents) at</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651" w:right="1440" w:bottom="1440" w:gutter="0" w:footer="0" w:header="0"/>
        </w:sectPr>
      </w:pPr>
    </w:p>
    <w:bookmarkStart w:id="47" w:name="page48"/>
    <w:bookmarkEnd w:id="47"/>
    <w:p>
      <w:pPr>
        <w:ind w:right="2939"/>
        <w:spacing w:after="0" w:line="253" w:lineRule="auto"/>
        <w:rPr>
          <w:sz w:val="20"/>
          <w:szCs w:val="20"/>
          <w:color w:val="auto"/>
        </w:rPr>
      </w:pPr>
      <w:r>
        <w:rPr>
          <w:rFonts w:ascii="Courier New" w:cs="Courier New" w:eastAsia="Courier New" w:hAnsi="Courier New"/>
          <w:sz w:val="15"/>
          <w:szCs w:val="15"/>
          <w:color w:val="auto"/>
        </w:rPr>
        <w:t>Bristol-Myers Squibb Co., which he joined in 1990. Dr. Sorrentino received his Ph.D. in Biochemistry from the University of Texas and his J.D. from the University of Arizona.</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Neil Stahl, Ph.D., 43, has been our vice president, Preclinical Development and Biomolecular Sciences since January 2000. He joined us in 1991. Before becoming Vice President, Biomolecular Sciences in July 1997, Dr. Stahl was Director, Cytokines and Signal Transduction. Dr. Stahl received his Ph.D. in Biochemistry from Brandeis University.</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David Valenzuela, Ph.D., 49, has been our vice president, Genomics and Bioinformatics since January 1998. Dr. Valenzuela joined us in 1990. He received his Ph.D. in Molecular Biology from the Albert Einstein College of Medicine, Yeshiva University.</w:t>
      </w:r>
    </w:p>
    <w:p>
      <w:pPr>
        <w:spacing w:after="0" w:line="174"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Douglas S. McCorkle, 43, has been our controller since May 1998 and Assistant Treasurer since June 1998. Before joining us, Mr. McCorkle was the Controller at Intergen Company from January 1997. He was a manager from 1995 to 1996, Senior Associate from 1992 to 1995 and Associate from 1990 to 1991, with PricewaterhouseCoopers LLP.</w:t>
      </w:r>
    </w:p>
    <w:p>
      <w:pPr>
        <w:spacing w:after="0" w:line="173"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Beverly C. Dubs, 45, has been our administrative controller since May 1998 and Assistant Treasurer since August 1990. Ms. Dubs has served in various finance and administration capacities at Regeneron since 1989.</w:t>
      </w:r>
    </w:p>
    <w:p>
      <w:pPr>
        <w:spacing w:after="0" w:line="17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INVESTMENT COMPANY ACT CONSIDERATIONS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Investment Company Act of 1940 and other matters. Application of the provisions of this Act would have a material adverse effect on our business.</w:t>
      </w:r>
    </w:p>
    <w:p>
      <w:pPr>
        <w:spacing w:after="0" w:line="35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DESCRIPTION OF CAPITAL STOCK</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authorized capital stock consists of 60,000,000 shares of common stock, par value $.001 per share, 40,000,000 shares of Class A stock, par value $.001 per share and 30,000,000 shares of preferred stock, par value $.01 per share. As of March 8, 2000, 29,641,005 shares of our common stock were outstanding and held by 698 shareholders of record and 2,789,511 shares of our Class A stock were outstanding and held by 73 shareholders of record. The following is a summary description of our capital stock. For more information, see our Restated Certificate of Incorporation. A copy of this certificate is incorporated by reference to the registration statement of which this prospectus forms a part.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CLASS A STOCK</w:t>
      </w:r>
    </w:p>
    <w:p>
      <w:pPr>
        <w:spacing w:after="0" w:line="185"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General. The rights of holders of common stock and holders of Class A stock are identical except for voting and conversion rights and restrictions on transferability.</w:t>
      </w:r>
    </w:p>
    <w:p>
      <w:pPr>
        <w:spacing w:after="0" w:line="35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651" w:right="1440" w:bottom="1440" w:gutter="0" w:footer="0" w:header="0"/>
        </w:sectPr>
      </w:pPr>
    </w:p>
    <w:bookmarkStart w:id="48" w:name="page49"/>
    <w:bookmarkEnd w:id="48"/>
    <w:p>
      <w:pPr>
        <w:ind w:right="3039"/>
        <w:spacing w:after="0" w:line="256" w:lineRule="auto"/>
        <w:rPr>
          <w:sz w:val="20"/>
          <w:szCs w:val="20"/>
          <w:color w:val="auto"/>
        </w:rPr>
      </w:pPr>
      <w:r>
        <w:rPr>
          <w:rFonts w:ascii="Courier New" w:cs="Courier New" w:eastAsia="Courier New" w:hAnsi="Courier New"/>
          <w:sz w:val="15"/>
          <w:szCs w:val="15"/>
          <w:color w:val="auto"/>
        </w:rPr>
        <w:t>for the election of directors and no class of outstanding common stock acting alone is entitled to elect any directors.</w:t>
      </w:r>
    </w:p>
    <w:p>
      <w:pPr>
        <w:spacing w:after="0" w:line="348"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Transfer Restrictions. Class A stock is subject to certain limitations on transfer that do not apply to the common stock.</w:t>
      </w:r>
    </w:p>
    <w:p>
      <w:pPr>
        <w:spacing w:after="0" w:line="17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0" w:lineRule="exact"/>
        <w:rPr>
          <w:sz w:val="20"/>
          <w:szCs w:val="20"/>
          <w:color w:val="auto"/>
        </w:rPr>
      </w:pPr>
    </w:p>
    <w:p>
      <w:pPr>
        <w:spacing w:after="0" w:line="331"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350"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The shares of common stock are not convertible into or exchangeable for shares of Class A stock or any other of our shares or securities.</w:t>
      </w:r>
    </w:p>
    <w:p>
      <w:pPr>
        <w:spacing w:after="0" w:line="17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35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00" w:lineRule="exact"/>
        <w:rPr>
          <w:sz w:val="20"/>
          <w:szCs w:val="20"/>
          <w:color w:val="auto"/>
        </w:rPr>
      </w:pPr>
    </w:p>
    <w:p>
      <w:pPr>
        <w:spacing w:after="0" w:line="331"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Transfer Agent and Registrar. The Transfer Agent and Registrar for the common stock is American Stock Transfer &amp; Trust Company.</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828"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REGISTRATION RIGHTS OF CERTAIN HOLDERS</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or intends to waive its rights to exercise its respective registration rights.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September 1996, we adopted a Shareholder Rights Plan. As with most shareholder rights agreements, the terms of our rights agreement are complex and not easily summarized. This summary may not contain all of the information that is important to you. Accordingly, you should carefully read our rights agreement, which has been filed with the SEC.</w:t>
      </w:r>
    </w:p>
    <w:p>
      <w:pPr>
        <w:spacing w:after="0" w:line="351"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Our rights agreement provides that each share of our common stock will have one right to purchase a unit consisting of one-thousandth of a preferred share at a purchase price of $120 per unit.</w:t>
      </w:r>
    </w:p>
    <w:p>
      <w:pPr>
        <w:spacing w:after="0" w:line="35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Initially, the rights under our rights agreement are attached to outstanding certificates representing our common stock and no separate certificates representing the rights will be distributed. The rights will separate from our common stock and be represented by separate certificates approximately 10 days after someone acquires or commences a tender offer for 20% of our outstanding common stock.</w:t>
      </w:r>
    </w:p>
    <w:p>
      <w:pPr>
        <w:spacing w:after="0" w:line="173"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After the rights separate from our common stock, certificates representing the rights will be mailed to record holders of our common stock. Once distributed, the rights certificates alone will represent the rights.</w:t>
      </w:r>
    </w:p>
    <w:p>
      <w:pPr>
        <w:spacing w:after="0" w:line="351"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All shares of our common stock issued prior to the date the rights separate from the common stock will be issued with the rights attached. The rights are not exercisable until the date the rights separate from the common stock. The rights will expire on October 18, 2006 unless earlier redeemed or exchanged by us.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an acquiror obtains or has the right to obtain 20% or more of our common stock, then each right will entitle the holder to purchase a number of shares of our common stock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354"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In certain circumstances, a right will entitle the holder to purchase a number of shares of common stock of the acquiror having a then current market value of twice the right's purchase price.</w:t>
      </w:r>
    </w:p>
    <w:p>
      <w:pPr>
        <w:spacing w:after="0" w:line="173"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Holders of rights will have no rights as our stockholders including the right to vote or receive dividends, simply by virtue of holding the rights.</w:t>
      </w:r>
    </w:p>
    <w:p>
      <w:pPr>
        <w:spacing w:after="0" w:line="17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651" w:right="1440" w:bottom="1440" w:gutter="0" w:footer="0" w:header="0"/>
        </w:sectPr>
      </w:pPr>
    </w:p>
    <w:bookmarkStart w:id="50" w:name="page51"/>
    <w:bookmarkEnd w:id="50"/>
    <w:p>
      <w:pPr>
        <w:ind w:left="2760"/>
        <w:spacing w:after="0"/>
        <w:rPr>
          <w:sz w:val="20"/>
          <w:szCs w:val="20"/>
          <w:color w:val="auto"/>
        </w:rPr>
      </w:pPr>
      <w:r>
        <w:rPr>
          <w:rFonts w:ascii="Courier New" w:cs="Courier New" w:eastAsia="Courier New" w:hAnsi="Courier New"/>
          <w:sz w:val="15"/>
          <w:szCs w:val="15"/>
          <w:color w:val="auto"/>
        </w:rPr>
        <w:t>SELLING SHAREHOLDER</w:t>
      </w:r>
    </w:p>
    <w:p>
      <w:pPr>
        <w:spacing w:after="0" w:line="363" w:lineRule="exact"/>
        <w:rPr>
          <w:sz w:val="20"/>
          <w:szCs w:val="20"/>
          <w:color w:val="auto"/>
        </w:rPr>
      </w:pPr>
    </w:p>
    <w:p>
      <w:pPr>
        <w:ind w:right="3700" w:firstLine="462"/>
        <w:spacing w:after="0" w:line="252" w:lineRule="auto"/>
        <w:rPr>
          <w:sz w:val="20"/>
          <w:szCs w:val="20"/>
          <w:color w:val="auto"/>
        </w:rPr>
      </w:pPr>
      <w:r>
        <w:rPr>
          <w:rFonts w:ascii="Courier New" w:cs="Courier New" w:eastAsia="Courier New" w:hAnsi="Courier New"/>
          <w:sz w:val="15"/>
          <w:szCs w:val="15"/>
          <w:color w:val="auto"/>
        </w:rPr>
        <w:t>Amgen is one of our important collaborators and is an equal partner with us in Amgen-Regeneron Partners. The following table sets forth certain information with respect to the beneficial ownership of our common stock (before and after giving effect to the issuance and sale of shares pursuant to this prospectus) as of March 8, 2000 by Amgen.</w:t>
      </w:r>
    </w:p>
    <w:p>
      <w:pPr>
        <w:sectPr>
          <w:pgSz w:w="11900" w:h="16838" w:orient="portrait"/>
          <w:cols w:equalWidth="0" w:num="1">
            <w:col w:w="11080"/>
          </w:cols>
          <w:pgMar w:left="320" w:top="6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BENEFICIALLY</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OWNED</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PRIOR TO THE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8" w:lineRule="exact"/>
        <w:rPr>
          <w:sz w:val="20"/>
          <w:szCs w:val="20"/>
          <w:color w:val="auto"/>
        </w:rPr>
      </w:pPr>
    </w:p>
    <w:p>
      <w:pPr>
        <w:ind w:left="200"/>
        <w:spacing w:after="0"/>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IF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OPTION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IN</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FULL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BENEFICIALLY</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OWNED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AFTER THE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tabs>
          <w:tab w:leader="none" w:pos="11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8"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4">
            <w:col w:w="5080" w:space="80"/>
            <w:col w:w="2040" w:space="180"/>
            <w:col w:w="1480" w:space="180"/>
            <w:col w:w="2040"/>
          </w:cols>
          <w:pgMar w:left="320" w:top="651" w:right="4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Amgen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4,916,808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600,000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4,316,808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11.8%</w:t>
      </w:r>
    </w:p>
    <w:p>
      <w:pPr>
        <w:spacing w:after="0" w:line="8" w:lineRule="exact"/>
        <w:rPr>
          <w:sz w:val="20"/>
          <w:szCs w:val="20"/>
          <w:color w:val="auto"/>
        </w:rPr>
      </w:pPr>
    </w:p>
    <w:p>
      <w:pPr>
        <w:sectPr>
          <w:pgSz w:w="11900" w:h="16838" w:orient="portrait"/>
          <w:cols w:equalWidth="0" w:num="6">
            <w:col w:w="4880" w:space="280"/>
            <w:col w:w="840" w:space="560"/>
            <w:col w:w="560" w:space="720"/>
            <w:col w:w="660" w:space="540"/>
            <w:col w:w="840" w:space="540"/>
            <w:col w:w="660"/>
          </w:cols>
          <w:pgMar w:left="320" w:top="651" w:right="4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One Amgen Center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 Oaks, CA 91320</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080"/>
          </w:cols>
          <w:pgMar w:left="320" w:top="651" w:right="499" w:bottom="1440" w:gutter="0" w:footer="0" w:header="0"/>
          <w:type w:val="continuous"/>
        </w:sectPr>
      </w:pPr>
    </w:p>
    <w:bookmarkStart w:id="51" w:name="page52"/>
    <w:bookmarkEnd w:id="51"/>
    <w:p>
      <w:pPr>
        <w:jc w:val="center"/>
        <w:ind w:right="2759"/>
        <w:spacing w:after="0"/>
        <w:rPr>
          <w:sz w:val="20"/>
          <w:szCs w:val="20"/>
          <w:color w:val="auto"/>
        </w:rPr>
      </w:pPr>
      <w:r>
        <w:rPr>
          <w:rFonts w:ascii="Courier New" w:cs="Courier New" w:eastAsia="Courier New" w:hAnsi="Courier New"/>
          <w:sz w:val="15"/>
          <w:szCs w:val="15"/>
          <w:color w:val="auto"/>
        </w:rPr>
        <w:t>UNDERWRITING</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Merrill Lynch, Pierce, Fenner &amp; Smith Incorporated, Lehman Brothers Inc., J.P. Morgan Securities Inc. and FleetBoston Robertson Stephens Inc. are acting as representatives of each of the underwriters named below. Subject to the terms and conditions described in a purchase agreement among us, the selling shareholder and the underwriters, we have agreed to sell to the underwriters and the underwriters severally have agreed to purchase from us the number of shares of common stock listed opposite their names below.</w:t>
      </w:r>
    </w:p>
    <w:p>
      <w:pPr>
        <w:sectPr>
          <w:pgSz w:w="11900" w:h="16838" w:orient="portrait"/>
          <w:cols w:equalWidth="0" w:num="1">
            <w:col w:w="10139"/>
          </w:cols>
          <w:pgMar w:left="320" w:top="651" w:right="14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UNDERWRITER</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7960" w:space="720"/>
            <w:col w:w="1459"/>
          </w:cols>
          <w:pgMar w:left="320" w:top="651" w:right="1440" w:bottom="3"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Securities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Inc.........................................................</w:t>
      </w:r>
    </w:p>
    <w:p>
      <w:pPr>
        <w:sectPr>
          <w:pgSz w:w="11900" w:h="16838" w:orient="portrait"/>
          <w:cols w:equalWidth="0" w:num="1">
            <w:col w:w="10139"/>
          </w:cols>
          <w:pgMar w:left="320" w:top="651" w:right="1440" w:bottom="3" w:gutter="0" w:footer="0" w:header="0"/>
          <w:type w:val="continuous"/>
        </w:sectPr>
      </w:pP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400" w:space="280"/>
            <w:col w:w="1459"/>
          </w:cols>
          <w:pgMar w:left="320" w:top="651" w:right="1440" w:bottom="3" w:gutter="0" w:footer="0" w:header="0"/>
          <w:type w:val="continuous"/>
        </w:sectPr>
      </w:pPr>
    </w:p>
    <w:p>
      <w:pPr>
        <w:spacing w:after="0" w:line="163"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 The closings for the sale of shares to be purchased by the underwriters are conditioned on one another.</w:t>
      </w:r>
    </w:p>
    <w:p>
      <w:pPr>
        <w:spacing w:after="0" w:line="17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174"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agreements, such as the receipt by the underwriters of officers' certificates and legal opinions. The underwriters reserve the right to withdraw, cancel or modify offers to the public and to reject orders in whole or in part.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 AND DISCOUNTS</w:t>
      </w:r>
    </w:p>
    <w:p>
      <w:pPr>
        <w:spacing w:after="0" w:line="363" w:lineRule="exact"/>
        <w:rPr>
          <w:sz w:val="20"/>
          <w:szCs w:val="20"/>
          <w:color w:val="auto"/>
        </w:rPr>
      </w:pPr>
    </w:p>
    <w:p>
      <w:pPr>
        <w:jc w:val="both"/>
        <w:ind w:right="2759" w:firstLine="462"/>
        <w:spacing w:after="0" w:line="252" w:lineRule="auto"/>
        <w:rPr>
          <w:sz w:val="20"/>
          <w:szCs w:val="20"/>
          <w:color w:val="auto"/>
        </w:rPr>
      </w:pPr>
      <w:r>
        <w:rPr>
          <w:rFonts w:ascii="Courier New" w:cs="Courier New" w:eastAsia="Courier New" w:hAnsi="Courier New"/>
          <w:sz w:val="15"/>
          <w:szCs w:val="15"/>
          <w:color w:val="auto"/>
        </w:rPr>
        <w:t>The underwriters have advised us that the underwriters propose initially to offer the shares to the public at the initial public offering price on the cover page of this prospectus and to dealers at the price less a concession not in excess of $ per share. The underwriters may allow, and the dealers may reallow, a discount not in excess of $ per share to other dealers. After the initial public offering, the public offering price, concession and discount may be changed.</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table shows the public offering price, underwriting discount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proceeds before expenses to us. The information assumes either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or full exercise by the underwriters of their over-allotment options.</w:t>
      </w:r>
    </w:p>
    <w:p>
      <w:pPr>
        <w:sectPr>
          <w:pgSz w:w="11900" w:h="16838" w:orient="portrait"/>
          <w:cols w:equalWidth="0" w:num="1">
            <w:col w:w="10139"/>
          </w:cols>
          <w:pgMar w:left="320" w:top="651" w:right="1440" w:bottom="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PER SHARE</w:t>
      </w:r>
    </w:p>
    <w:p>
      <w:pPr>
        <w:spacing w:after="0" w:line="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Courier New" w:cs="Courier New" w:eastAsia="Courier New" w:hAnsi="Courier New"/>
          <w:sz w:val="15"/>
          <w:szCs w:val="15"/>
          <w:color w:val="auto"/>
        </w:rPr>
        <w:t>WITHOUT OPTION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4" w:lineRule="exact"/>
        <w:rPr>
          <w:sz w:val="20"/>
          <w:szCs w:val="20"/>
          <w:color w:val="auto"/>
        </w:rPr>
      </w:pPr>
    </w:p>
    <w:p>
      <w:pPr>
        <w:sectPr>
          <w:pgSz w:w="11900" w:h="16838" w:orient="portrait"/>
          <w:cols w:equalWidth="0" w:num="3">
            <w:col w:w="6740" w:space="360"/>
            <w:col w:w="1300" w:space="360"/>
            <w:col w:w="1379"/>
          </w:cols>
          <w:pgMar w:left="320" w:top="651" w:right="1440" w:bottom="3"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Public offering price...................................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Underwriting discount...................................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Proceeds, before expenses, to Regeneron.................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4">
            <w:col w:w="5620" w:space="660"/>
            <w:col w:w="560" w:space="720"/>
            <w:col w:w="860" w:space="720"/>
            <w:col w:w="999"/>
          </w:cols>
          <w:pgMar w:left="320" w:top="651" w:right="1440" w:bottom="3" w:gutter="0" w:footer="0" w:header="0"/>
          <w:type w:val="continuous"/>
        </w:sectPr>
      </w:pPr>
    </w:p>
    <w:p>
      <w:pPr>
        <w:spacing w:after="0" w:line="340"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expenses of the offering, not including the underwriting discount, are estimated at $550,000 and are payable by us.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8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selling shareholder has granted options to the underwriters to purchase up to 600,000 additional shares at the public offering price less the underwriting discount. The underwriters may exercise these options for 30 days from the date of this prospectus solely to cover any over-allotments. If the underwriters exercise</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651" w:right="1440" w:bottom="3" w:gutter="0" w:footer="0" w:header="0"/>
          <w:type w:val="continuous"/>
        </w:sectPr>
      </w:pPr>
    </w:p>
    <w:bookmarkStart w:id="52" w:name="page53"/>
    <w:bookmarkEnd w:id="52"/>
    <w:p>
      <w:pPr>
        <w:ind w:left="5" w:right="2859"/>
        <w:spacing w:after="0" w:line="253" w:lineRule="auto"/>
        <w:rPr>
          <w:sz w:val="20"/>
          <w:szCs w:val="20"/>
          <w:color w:val="auto"/>
        </w:rPr>
      </w:pPr>
      <w:r>
        <w:rPr>
          <w:rFonts w:ascii="Courier New" w:cs="Courier New" w:eastAsia="Courier New" w:hAnsi="Courier New"/>
          <w:sz w:val="15"/>
          <w:szCs w:val="15"/>
          <w:color w:val="auto"/>
        </w:rPr>
        <w:t>these options, each will be obligated, subject to conditions contained in the purchase agreements, to purchase a number of additional shares proportionate to that underwriter's initial amount reflected in the above table.</w:t>
      </w:r>
    </w:p>
    <w:p>
      <w:pPr>
        <w:spacing w:after="0" w:line="35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 SALES OF SIMILAR SECURITIES</w:t>
      </w:r>
    </w:p>
    <w:p>
      <w:pPr>
        <w:spacing w:after="0" w:line="363" w:lineRule="exact"/>
        <w:rPr>
          <w:sz w:val="20"/>
          <w:szCs w:val="20"/>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We and our executive officers and directors and certain existing shareholders, including Amgen have agreed, with exceptions,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351"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offer, pledge, sell or contract to sell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sell any option or contract to purchase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purchase any option or contract to sell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grant any option, right or warrant for the sale of any common stock,</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 lend or otherwise dispose of or transfer any common stock,</w:t>
      </w:r>
    </w:p>
    <w:p>
      <w:pPr>
        <w:spacing w:after="0" w:line="185" w:lineRule="exact"/>
        <w:rPr>
          <w:sz w:val="20"/>
          <w:szCs w:val="20"/>
          <w:color w:val="auto"/>
        </w:rPr>
      </w:pPr>
    </w:p>
    <w:p>
      <w:pPr>
        <w:ind w:left="645" w:right="2939" w:hanging="179"/>
        <w:spacing w:after="0" w:line="252" w:lineRule="auto"/>
        <w:tabs>
          <w:tab w:leader="none" w:pos="625" w:val="left"/>
        </w:tabs>
        <w:rPr>
          <w:sz w:val="20"/>
          <w:szCs w:val="20"/>
          <w:color w:val="auto"/>
        </w:rPr>
      </w:pPr>
      <w:r>
        <w:rPr>
          <w:rFonts w:ascii="Courier New" w:cs="Courier New" w:eastAsia="Courier New" w:hAnsi="Courier New"/>
          <w:sz w:val="15"/>
          <w:szCs w:val="15"/>
          <w:color w:val="auto"/>
        </w:rPr>
        <w:t>o</w:t>
        <w:tab/>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74" w:lineRule="exact"/>
        <w:rPr>
          <w:sz w:val="20"/>
          <w:szCs w:val="20"/>
          <w:color w:val="auto"/>
        </w:rPr>
      </w:pPr>
    </w:p>
    <w:p>
      <w:pPr>
        <w:ind w:left="5" w:right="2759" w:firstLine="462"/>
        <w:spacing w:after="0" w:line="252" w:lineRule="auto"/>
        <w:rPr>
          <w:sz w:val="20"/>
          <w:szCs w:val="20"/>
          <w:color w:val="auto"/>
        </w:rPr>
      </w:pPr>
      <w:r>
        <w:rPr>
          <w:rFonts w:ascii="Courier New" w:cs="Courier New" w:eastAsia="Courier New" w:hAnsi="Courier New"/>
          <w:sz w:val="15"/>
          <w:szCs w:val="15"/>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351" w:lineRule="exact"/>
        <w:rPr>
          <w:sz w:val="20"/>
          <w:szCs w:val="20"/>
          <w:color w:val="auto"/>
        </w:rPr>
      </w:pPr>
    </w:p>
    <w:p>
      <w:pPr>
        <w:ind w:left="5" w:right="2759" w:firstLine="462"/>
        <w:spacing w:after="0" w:line="250" w:lineRule="auto"/>
        <w:rPr>
          <w:sz w:val="20"/>
          <w:szCs w:val="20"/>
          <w:color w:val="auto"/>
        </w:rPr>
      </w:pPr>
      <w:r>
        <w:rPr>
          <w:rFonts w:ascii="Courier New" w:cs="Courier New" w:eastAsia="Courier New" w:hAnsi="Courier New"/>
          <w:sz w:val="15"/>
          <w:szCs w:val="15"/>
          <w:color w:val="auto"/>
        </w:rPr>
        <w:t>We, however, may issue (1) shares upon the exercise of an option or warrant or the conversion of a security outstanding on the date of this prospectus,</w:t>
      </w:r>
    </w:p>
    <w:p>
      <w:pPr>
        <w:spacing w:after="0" w:line="1" w:lineRule="exact"/>
        <w:rPr>
          <w:sz w:val="20"/>
          <w:szCs w:val="20"/>
          <w:color w:val="auto"/>
        </w:rPr>
      </w:pPr>
    </w:p>
    <w:p>
      <w:pPr>
        <w:ind w:left="5" w:right="3039" w:hanging="5"/>
        <w:spacing w:after="0" w:line="253" w:lineRule="auto"/>
        <w:tabs>
          <w:tab w:leader="none" w:pos="37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or options to purchase shares granted pursuant to our existing and future employee benefit plans and (3) shares pursuant to any non-employee director stock plan or dividend reinvestment plan.</w:t>
      </w:r>
    </w:p>
    <w:p>
      <w:pPr>
        <w:spacing w:after="0" w:line="351" w:lineRule="exact"/>
        <w:rPr>
          <w:sz w:val="20"/>
          <w:szCs w:val="20"/>
          <w:color w:val="auto"/>
        </w:rPr>
      </w:pPr>
    </w:p>
    <w:p>
      <w:pPr>
        <w:ind w:left="5" w:right="3319" w:firstLine="462"/>
        <w:spacing w:after="0" w:line="253" w:lineRule="auto"/>
        <w:rPr>
          <w:sz w:val="20"/>
          <w:szCs w:val="20"/>
          <w:color w:val="auto"/>
        </w:rPr>
      </w:pPr>
      <w:r>
        <w:rPr>
          <w:rFonts w:ascii="Courier New" w:cs="Courier New" w:eastAsia="Courier New" w:hAnsi="Courier New"/>
          <w:sz w:val="15"/>
          <w:szCs w:val="15"/>
          <w:color w:val="auto"/>
        </w:rPr>
        <w:t>Procter &amp; Gamble has agreed to a lockup provision for a period not to exceed the earlier of (1) 90 days after the date of this prospectus and (2) June 30, 2000.</w:t>
      </w:r>
    </w:p>
    <w:p>
      <w:pPr>
        <w:spacing w:after="0" w:line="173" w:lineRule="exact"/>
        <w:rPr>
          <w:sz w:val="20"/>
          <w:szCs w:val="20"/>
          <w:color w:val="auto"/>
        </w:rPr>
      </w:pPr>
    </w:p>
    <w:p>
      <w:pPr>
        <w:ind w:left="5" w:right="3399" w:firstLine="462"/>
        <w:spacing w:after="0" w:line="256" w:lineRule="auto"/>
        <w:rPr>
          <w:sz w:val="20"/>
          <w:szCs w:val="20"/>
          <w:color w:val="auto"/>
        </w:rPr>
      </w:pPr>
      <w:r>
        <w:rPr>
          <w:rFonts w:ascii="Courier New" w:cs="Courier New" w:eastAsia="Courier New" w:hAnsi="Courier New"/>
          <w:sz w:val="15"/>
          <w:szCs w:val="15"/>
          <w:color w:val="auto"/>
        </w:rPr>
        <w:t>The shares are quoted on the Nasdaq National Market under the symbol "REGN."</w:t>
      </w:r>
    </w:p>
    <w:p>
      <w:pPr>
        <w:spacing w:after="0" w:line="34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UK SELLING RESTRICTIONS</w:t>
      </w:r>
    </w:p>
    <w:p>
      <w:pPr>
        <w:spacing w:after="0" w:line="363"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Each underwriter has agreed that</w:t>
      </w:r>
    </w:p>
    <w:p>
      <w:pPr>
        <w:spacing w:after="0" w:line="363" w:lineRule="exact"/>
        <w:rPr>
          <w:sz w:val="20"/>
          <w:szCs w:val="20"/>
          <w:color w:val="auto"/>
        </w:rPr>
      </w:pPr>
    </w:p>
    <w:p>
      <w:pPr>
        <w:ind w:left="645" w:right="2759" w:hanging="179"/>
        <w:spacing w:after="0" w:line="251" w:lineRule="auto"/>
        <w:tabs>
          <w:tab w:leader="none" w:pos="625" w:val="left"/>
        </w:tabs>
        <w:rPr>
          <w:sz w:val="20"/>
          <w:szCs w:val="20"/>
          <w:color w:val="auto"/>
        </w:rPr>
      </w:pPr>
      <w:r>
        <w:rPr>
          <w:rFonts w:ascii="Courier New" w:cs="Courier New" w:eastAsia="Courier New" w:hAnsi="Courier New"/>
          <w:sz w:val="15"/>
          <w:szCs w:val="15"/>
          <w:color w:val="auto"/>
        </w:rPr>
        <w:t>o</w:t>
        <w:tab/>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200" w:lineRule="exact"/>
        <w:rPr>
          <w:sz w:val="20"/>
          <w:szCs w:val="20"/>
          <w:color w:val="auto"/>
        </w:rPr>
      </w:pPr>
    </w:p>
    <w:p>
      <w:pPr>
        <w:spacing w:after="0" w:line="332" w:lineRule="exact"/>
        <w:rPr>
          <w:sz w:val="20"/>
          <w:szCs w:val="20"/>
          <w:color w:val="auto"/>
        </w:rPr>
      </w:pPr>
    </w:p>
    <w:p>
      <w:pPr>
        <w:ind w:left="645" w:right="2939" w:hanging="179"/>
        <w:spacing w:after="0" w:line="252" w:lineRule="auto"/>
        <w:tabs>
          <w:tab w:leader="none" w:pos="625" w:val="left"/>
        </w:tabs>
        <w:rPr>
          <w:sz w:val="20"/>
          <w:szCs w:val="20"/>
          <w:color w:val="auto"/>
        </w:rPr>
      </w:pPr>
      <w:r>
        <w:rPr>
          <w:rFonts w:ascii="Courier New" w:cs="Courier New" w:eastAsia="Courier New" w:hAnsi="Courier New"/>
          <w:sz w:val="15"/>
          <w:szCs w:val="15"/>
          <w:color w:val="auto"/>
        </w:rPr>
        <w:t>o</w:t>
        <w:tab/>
        <w:t>it has complied and will comply with all applicable provisions of the Financial Services Act 1986 with respect to anything done by it in relation to the common stock in, from or otherwise involving the United Kingdom; and</w:t>
      </w:r>
    </w:p>
    <w:p>
      <w:pPr>
        <w:spacing w:after="0" w:line="200" w:lineRule="exact"/>
        <w:rPr>
          <w:sz w:val="20"/>
          <w:szCs w:val="20"/>
          <w:color w:val="auto"/>
        </w:rPr>
      </w:pPr>
    </w:p>
    <w:p>
      <w:pPr>
        <w:spacing w:after="0" w:line="329" w:lineRule="exact"/>
        <w:rPr>
          <w:sz w:val="20"/>
          <w:szCs w:val="20"/>
          <w:color w:val="auto"/>
        </w:rPr>
      </w:pPr>
    </w:p>
    <w:p>
      <w:pPr>
        <w:ind w:left="645" w:right="2859" w:hanging="179"/>
        <w:spacing w:after="0" w:line="251" w:lineRule="auto"/>
        <w:tabs>
          <w:tab w:leader="none" w:pos="625" w:val="left"/>
        </w:tabs>
        <w:rPr>
          <w:sz w:val="20"/>
          <w:szCs w:val="20"/>
          <w:color w:val="auto"/>
        </w:rPr>
      </w:pPr>
      <w:r>
        <w:rPr>
          <w:rFonts w:ascii="Courier New" w:cs="Courier New" w:eastAsia="Courier New" w:hAnsi="Courier New"/>
          <w:sz w:val="15"/>
          <w:szCs w:val="15"/>
          <w:color w:val="auto"/>
        </w:rPr>
        <w:t>o</w:t>
        <w:tab/>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200" w:lineRule="exact"/>
        <w:rPr>
          <w:sz w:val="20"/>
          <w:szCs w:val="20"/>
          <w:color w:val="auto"/>
        </w:rPr>
      </w:pPr>
    </w:p>
    <w:p>
      <w:pPr>
        <w:spacing w:after="0" w:line="33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 PUBLIC OFFERING OUTSIDE THE UNITED STATES</w:t>
      </w:r>
    </w:p>
    <w:p>
      <w:pPr>
        <w:sectPr>
          <w:pgSz w:w="11900" w:h="16838" w:orient="portrait"/>
          <w:cols w:equalWidth="0" w:num="1">
            <w:col w:w="10144"/>
          </w:cols>
          <w:pgMar w:left="315" w:top="828" w:right="1440" w:bottom="3" w:gutter="0" w:footer="0" w:header="0"/>
        </w:sectPr>
      </w:pPr>
    </w:p>
    <w:bookmarkStart w:id="53" w:name="page54"/>
    <w:bookmarkEnd w:id="53"/>
    <w:p>
      <w:pPr>
        <w:ind w:right="2759" w:firstLine="462"/>
        <w:spacing w:after="0" w:line="252" w:lineRule="auto"/>
        <w:rPr>
          <w:sz w:val="20"/>
          <w:szCs w:val="20"/>
          <w:color w:val="auto"/>
        </w:rPr>
      </w:pPr>
      <w:r>
        <w:rPr>
          <w:rFonts w:ascii="Courier New" w:cs="Courier New" w:eastAsia="Courier New" w:hAnsi="Courier New"/>
          <w:sz w:val="15"/>
          <w:szCs w:val="15"/>
          <w:color w:val="auto"/>
        </w:rPr>
        <w:t>No action has been or will be taken in any jurisdiction (except in the United States) that would permit a public offering of the shares of common stock, or the possession, circulation or distribution of this prospectus or any other material relating to our company, the selling stockholder or shares of our common stock in any</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319" w:right="1440" w:bottom="1440" w:gutter="0" w:footer="0" w:header="0"/>
        </w:sectPr>
      </w:pPr>
    </w:p>
    <w:bookmarkStart w:id="54" w:name="page55"/>
    <w:bookmarkEnd w:id="54"/>
    <w:p>
      <w:pPr>
        <w:ind w:right="2859"/>
        <w:spacing w:after="0" w:line="252" w:lineRule="auto"/>
        <w:rPr>
          <w:sz w:val="20"/>
          <w:szCs w:val="20"/>
          <w:color w:val="auto"/>
        </w:rPr>
      </w:pPr>
      <w:r>
        <w:rPr>
          <w:rFonts w:ascii="Courier New" w:cs="Courier New" w:eastAsia="Courier New" w:hAnsi="Courier New"/>
          <w:sz w:val="15"/>
          <w:szCs w:val="15"/>
          <w:color w:val="auto"/>
        </w:rPr>
        <w:t>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STABILIZATION, SHORT POSITIONS</w:t>
      </w:r>
    </w:p>
    <w:p>
      <w:pPr>
        <w:spacing w:after="0" w:line="18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7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the underwriters create a short position in the common stock in connection with the offering, i.e., if they sell more shares than are listed on the cover of this prospectus, the underwriters may reduce that short position by purchasing shares in the open market. The underwriters may also elect to reduce any short position by exercising all or part of the over-allotment option described above. Purchases of the common stock to stabilize its price or to reduce a short position may cause the price of the common stock to be higher than it might be in the absence of such purchases.</w:t>
      </w:r>
    </w:p>
    <w:p>
      <w:pPr>
        <w:spacing w:after="0" w:line="354"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Neither we nor any of the underwriters makes any representation or prediction as to the direction or magnitude of any effect that the transactions described above may have on the price of the common stock. In addition, neither we nor any of the underwriters makes any representation that the underwriters or the lead manager will engage in these transactions or that these transactions, once commenced, will not be discontinued without notice.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MARKET MAKING</w:t>
      </w:r>
    </w:p>
    <w:p>
      <w:pPr>
        <w:spacing w:after="0" w:line="185" w:lineRule="exact"/>
        <w:rPr>
          <w:sz w:val="20"/>
          <w:szCs w:val="20"/>
          <w:color w:val="auto"/>
        </w:rPr>
      </w:pPr>
    </w:p>
    <w:p>
      <w:pPr>
        <w:ind w:right="2939" w:firstLine="462"/>
        <w:spacing w:after="0" w:line="251" w:lineRule="auto"/>
        <w:rPr>
          <w:sz w:val="20"/>
          <w:szCs w:val="20"/>
          <w:color w:val="auto"/>
        </w:rPr>
      </w:pPr>
      <w:r>
        <w:rPr>
          <w:rFonts w:ascii="Courier New" w:cs="Courier New" w:eastAsia="Courier New" w:hAnsi="Courier New"/>
          <w:sz w:val="15"/>
          <w:szCs w:val="15"/>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RELATIONSHIPS</w:t>
      </w:r>
    </w:p>
    <w:p>
      <w:pPr>
        <w:spacing w:after="0" w:line="363"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35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LEGAL MATTERS</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Skadden, Arps, Slate, Meagher &amp; Flom LLP, New York, New York will pass upon the validity of our common stock offered by this prospectus for us. Shearman &amp; Sterling, New York, New York will pass upon certain legal matters in connection with this offering for the underwriters.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828" w:right="1440" w:bottom="1440" w:gutter="0" w:footer="0" w:header="0"/>
        </w:sectPr>
      </w:pPr>
    </w:p>
    <w:bookmarkStart w:id="55" w:name="page56"/>
    <w:bookmarkEnd w:id="55"/>
    <w:p>
      <w:pPr>
        <w:ind w:left="3320"/>
        <w:spacing w:after="0"/>
        <w:rPr>
          <w:sz w:val="20"/>
          <w:szCs w:val="20"/>
          <w:color w:val="auto"/>
        </w:rPr>
      </w:pPr>
      <w:r>
        <w:rPr>
          <w:rFonts w:ascii="Courier New" w:cs="Courier New" w:eastAsia="Courier New" w:hAnsi="Courier New"/>
          <w:sz w:val="15"/>
          <w:szCs w:val="15"/>
          <w:color w:val="auto"/>
        </w:rPr>
        <w:t>EXPERTS</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financial statements of Regeneron Pharmaceuticals, Inc. which are incorporated in this Prospectus by reference to the Annual Report on Form 10-K of Regeneron Pharmaceuticals, Inc. for the year ended December 31, 1999, have been so incorporated in reliance on the report of PricewaterhouseCoopers LLP, independent accountants, given on the authority of said firm as experts in auditing and accounting.</w:t>
      </w:r>
    </w:p>
    <w:p>
      <w:pPr>
        <w:spacing w:after="0" w:line="35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financial statements of Amgen-Regeneron Partners appearing in the Regeneron Pharmaceuticals, Inc.'s 1999 Form 10-K have been audited by Ernst &amp; Young LLP, independent auditors,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You may read and copy any documents we file at the SEC's Public Reference Room at 450 Fifth Street, N.W., Washington, D.C. 20549 and at the Regional Offices of the SEC at 7 World Trade Center, 13th Floor, New York, New York 10048 and Citicorp Center, 500 West Madison Street, Suite 1400, Chicago, Illinois 60601. Please call the SEC at 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176"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76" w:lineRule="exact"/>
        <w:rPr>
          <w:sz w:val="20"/>
          <w:szCs w:val="20"/>
          <w:color w:val="auto"/>
        </w:rPr>
      </w:pPr>
    </w:p>
    <w:p>
      <w:pPr>
        <w:ind w:left="820" w:right="3039" w:hanging="364"/>
        <w:spacing w:after="0" w:line="256" w:lineRule="auto"/>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1999; and</w:t>
      </w:r>
    </w:p>
    <w:p>
      <w:pPr>
        <w:spacing w:after="0" w:line="170" w:lineRule="exact"/>
        <w:rPr>
          <w:rFonts w:ascii="Courier New" w:cs="Courier New" w:eastAsia="Courier New" w:hAnsi="Courier New"/>
          <w:sz w:val="15"/>
          <w:szCs w:val="15"/>
          <w:color w:val="auto"/>
        </w:rPr>
      </w:pPr>
    </w:p>
    <w:p>
      <w:pPr>
        <w:ind w:left="820" w:right="3319" w:hanging="364"/>
        <w:spacing w:after="0" w:line="253" w:lineRule="auto"/>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Item 1 of our Registration Statement on Form 8-A filed on February 20, 1991, as amended by a Form 8 filed on March 27, 1991.</w:t>
      </w:r>
    </w:p>
    <w:p>
      <w:pPr>
        <w:spacing w:after="0" w:line="173"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777 Old Saw Mill River Road</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Tarrytown, New York 10591-6707</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(914) 347-7000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Attention: Murray A. Goldberg</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828" w:right="1440" w:bottom="1440" w:gutter="0" w:footer="0" w:header="0"/>
        </w:sectPr>
      </w:pPr>
    </w:p>
    <w:bookmarkStart w:id="56" w:name="page57"/>
    <w:bookmarkEnd w:id="56"/>
    <w:p>
      <w:pPr>
        <w:ind w:left="185" w:hanging="185"/>
        <w:spacing w:after="0"/>
        <w:tabs>
          <w:tab w:leader="none" w:pos="1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3"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4,000,000 SHARES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25"/>
        <w:spacing w:after="0"/>
        <w:rPr>
          <w:sz w:val="20"/>
          <w:szCs w:val="20"/>
          <w:color w:val="auto"/>
        </w:rPr>
      </w:pPr>
      <w:r>
        <w:rPr>
          <w:rFonts w:ascii="Courier New" w:cs="Courier New" w:eastAsia="Courier New" w:hAnsi="Courier New"/>
          <w:sz w:val="15"/>
          <w:szCs w:val="15"/>
          <w:color w:val="auto"/>
        </w:rPr>
        <w:t>REGENERON PHARMACEUTICALS, INC.</w:t>
      </w:r>
    </w:p>
    <w:p>
      <w:pPr>
        <w:spacing w:after="0" w:line="363"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MERRILL LYNCH &amp; CO.</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LEHMAN BROTHERS</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J.P. MORGAN &amp; CO.</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ROBERTSON STEPHENS</w:t>
      </w:r>
    </w:p>
    <w:p>
      <w:pPr>
        <w:spacing w:after="0" w:line="185" w:lineRule="exact"/>
        <w:rPr>
          <w:sz w:val="20"/>
          <w:szCs w:val="20"/>
          <w:color w:val="auto"/>
        </w:rPr>
      </w:pPr>
    </w:p>
    <w:p>
      <w:pPr>
        <w:ind w:left="3045"/>
        <w:spacing w:after="0"/>
        <w:tabs>
          <w:tab w:leader="none" w:pos="3765" w:val="left"/>
        </w:tabs>
        <w:rPr>
          <w:sz w:val="20"/>
          <w:szCs w:val="20"/>
          <w:color w:val="auto"/>
        </w:rPr>
      </w:pPr>
      <w:r>
        <w:rPr>
          <w:rFonts w:ascii="Courier New" w:cs="Courier New" w:eastAsia="Courier New" w:hAnsi="Courier New"/>
          <w:sz w:val="15"/>
          <w:szCs w:val="15"/>
          <w:color w:val="auto"/>
        </w:rPr>
        <w:t>MARCH</w:t>
      </w:r>
      <w:r>
        <w:rPr>
          <w:sz w:val="20"/>
          <w:szCs w:val="20"/>
          <w:color w:val="auto"/>
        </w:rPr>
        <w:tab/>
      </w:r>
      <w:r>
        <w:rPr>
          <w:rFonts w:ascii="Courier New" w:cs="Courier New" w:eastAsia="Courier New" w:hAnsi="Courier New"/>
          <w:sz w:val="15"/>
          <w:szCs w:val="15"/>
          <w:color w:val="auto"/>
        </w:rPr>
        <w:t>, 2000</w:t>
      </w:r>
    </w:p>
    <w:p>
      <w:pPr>
        <w:spacing w:after="0" w:line="8"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4"/>
          </w:cols>
          <w:pgMar w:left="315" w:top="651" w:right="1440" w:bottom="1440" w:gutter="0" w:footer="0" w:header="0"/>
        </w:sectPr>
      </w:pPr>
    </w:p>
    <w:bookmarkStart w:id="57" w:name="page58"/>
    <w:bookmarkEnd w:id="57"/>
    <w:p>
      <w:pPr>
        <w:jc w:val="center"/>
        <w:ind w:right="2859"/>
        <w:spacing w:after="0"/>
        <w:rPr>
          <w:sz w:val="20"/>
          <w:szCs w:val="20"/>
          <w:color w:val="auto"/>
        </w:rPr>
      </w:pPr>
      <w:r>
        <w:rPr>
          <w:rFonts w:ascii="Courier New" w:cs="Courier New" w:eastAsia="Courier New" w:hAnsi="Courier New"/>
          <w:sz w:val="15"/>
          <w:szCs w:val="15"/>
          <w:color w:val="auto"/>
        </w:rPr>
        <w:t>PART II</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the National Association of Securities Dealers, Inc. ("NASD") filing fee and the NASDAQ listing fee are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$ 60,909.75</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NASDAQ listing fee.........................................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17,500.00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NASD filing fee............................................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23,687.88</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Legal fees and expenses....................................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190,000.00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Transfer Agent and Registrar fees and expenses.............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Accounting fees and expenses...............................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Blue sky fees and expenses (including counsel fees)........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Printing expenses..........................................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70,000.00</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Miscellaneous..............................................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22,902.37</w:t>
            </w:r>
          </w:p>
        </w:tc>
      </w:tr>
      <w:tr>
        <w:trPr>
          <w:trHeight w:val="178"/>
        </w:trPr>
        <w:tc>
          <w:tcPr>
            <w:tcW w:w="5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$550,000.00</w:t>
            </w:r>
          </w:p>
        </w:tc>
      </w:tr>
      <w:tr>
        <w:trPr>
          <w:trHeight w:val="178"/>
        </w:trPr>
        <w:tc>
          <w:tcPr>
            <w:tcW w:w="5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354"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35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Reference is made to the proposed Underwriting Agreement filed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 to this Registration Statement for certain provisions relating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 of the Company against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under the Securities Act of 1933.</w:t>
      </w:r>
    </w:p>
    <w:p>
      <w:pPr>
        <w:spacing w:after="0" w:line="36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651" w:right="1440" w:bottom="1440" w:gutter="0" w:footer="0" w:header="0"/>
        </w:sectPr>
      </w:pPr>
    </w:p>
    <w:bookmarkStart w:id="58" w:name="page59"/>
    <w:bookmarkEnd w:id="58"/>
    <w:p>
      <w:pPr>
        <w:ind w:left="5"/>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60" w:type="dxa"/>
            <w:vAlign w:val="bottom"/>
          </w:tcPr>
          <w:p>
            <w:pPr>
              <w:spacing w:after="0"/>
              <w:rPr>
                <w:sz w:val="15"/>
                <w:szCs w:val="15"/>
                <w:color w:val="auto"/>
              </w:rPr>
            </w:pPr>
          </w:p>
        </w:tc>
        <w:tc>
          <w:tcPr>
            <w:tcW w:w="9660" w:type="dxa"/>
            <w:vAlign w:val="bottom"/>
          </w:tcPr>
          <w:p>
            <w:pPr>
              <w:spacing w:after="0"/>
              <w:rPr>
                <w:sz w:val="15"/>
                <w:szCs w:val="15"/>
                <w:color w:val="auto"/>
              </w:rPr>
            </w:pPr>
          </w:p>
        </w:tc>
      </w:tr>
      <w:tr>
        <w:trPr>
          <w:trHeight w:val="178"/>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0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178"/>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101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Stock Purchase Agreement dated January 13, 1988, by and between the Company, Leonard S. Schleifer and</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ML Venture Partners II, L.P. (the "Stock Purchase Agreement"). Incorporated by reference to</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Exhibit 10.1 to Regeneron's Registration Statement on Form S-1 (File No. 33-39043) (the "Regeneron</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Amendment to the Stock Purchase Agreement dated March 3, 1989. Incorporated by reference to</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Exhibit 10.2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Letter Agreement dated November 27, 1989, amending the Stock Purchase Agreement. Incorporated by</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reference to Exhibit 10.13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B Convertible Preferred Stock Purchase Agreement dated November 22, 1988,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each purchaser set forth on Exhibit A thereto. Incorporated by reference to Exhibit 10.3</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C Convertible Preferred Stock Purchase Agreement dated March 20, 1989,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Sumitomo Chemical Company, Limited. Incorporated by reference to Exhibit 10.4 to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D Convertible Preferred Stock Purchase Agreement dated August 31, 1990,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Amgen Inc. Incorporated by reference to Exhibit 10.9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July 22, 1993, by and between the Company and Glaxo Group</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Limited. Incorporated by reference to Exhibit 4.7 to Regeneron's Registration Statement on Form S-3</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(File No. 33-66788).</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April 15, 1996, by and between the Company and Amgen Inc.</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 10.3 to Regeneron's Form 10Q for the quarter ended June 30,</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1996, filed August 14, 1996.</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June 27, 1996, by and between the Company and Medtronic,</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Inc. Incorporated by reference to Exhibit 10.6 to Regeneron's Form 10Q for the quarter ended</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June 30, 1996, filed August 14, 1996.</w:t>
            </w:r>
          </w:p>
        </w:tc>
      </w:tr>
      <w:tr>
        <w:trPr>
          <w:trHeight w:val="178"/>
        </w:trPr>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4.10</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Registration Rights Agreement, dated as of December 11, 1996, by and between the Company and Procter</w:t>
            </w:r>
          </w:p>
        </w:tc>
      </w:tr>
    </w:tbl>
    <w:p>
      <w:pPr>
        <w:spacing w:after="0" w:line="3" w:lineRule="exact"/>
        <w:rPr>
          <w:sz w:val="20"/>
          <w:szCs w:val="20"/>
          <w:color w:val="auto"/>
        </w:rPr>
      </w:pPr>
    </w:p>
    <w:p>
      <w:pPr>
        <w:ind w:left="1385" w:right="280"/>
        <w:spacing w:after="0" w:line="250" w:lineRule="auto"/>
        <w:tabs>
          <w:tab w:leader="none" w:pos="15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Pharmaceuticals. Incorporated by reference to Exhibit 10.30 to Regeneron's Form 10K for the fiscal year ended December 31, 1996, filed March 26, 1997.</w:t>
      </w:r>
    </w:p>
    <w:p>
      <w:pPr>
        <w:spacing w:after="0" w:line="1" w:lineRule="exact"/>
        <w:rPr>
          <w:sz w:val="20"/>
          <w:szCs w:val="20"/>
          <w:color w:val="auto"/>
        </w:rPr>
      </w:pPr>
    </w:p>
    <w:tbl>
      <w:tblPr>
        <w:tblLayout w:type="fixed"/>
        <w:tblInd w:w="185" w:type="dxa"/>
        <w:tblCellMar>
          <w:top w:w="0" w:type="dxa"/>
          <w:left w:w="0" w:type="dxa"/>
          <w:bottom w:w="0" w:type="dxa"/>
          <w:right w:w="0" w:type="dxa"/>
        </w:tblCellMar>
      </w:tblPr>
      <w:tr>
        <w:trPr>
          <w:trHeight w:val="174"/>
        </w:trPr>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4"/>
              </w:rPr>
              <w:t>4.11</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Rights Agreement,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May 13, 1997, by</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Procter &amp;</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Gamble Pharmaceuticals. Incorporated by</w:t>
            </w:r>
          </w:p>
        </w:tc>
        <w:tc>
          <w:tcPr>
            <w:tcW w:w="53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reference to Exhibit 10.3 to Regeneron's Form 10Q for the</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 1997, filed</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August 12,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3460" w:type="dxa"/>
            <w:vAlign w:val="bottom"/>
          </w:tcPr>
          <w:p>
            <w:pPr>
              <w:spacing w:after="0"/>
              <w:rPr>
                <w:sz w:val="15"/>
                <w:szCs w:val="15"/>
                <w:color w:val="auto"/>
              </w:rPr>
            </w:pPr>
          </w:p>
        </w:tc>
      </w:tr>
      <w:tr>
        <w:trPr>
          <w:trHeight w:val="178"/>
        </w:trPr>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4"/>
              </w:rPr>
              <w:t>4.12</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Certificate of shares of common</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 Incorporated</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(a) to the</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Company's Form 8-A, filed with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February 20, 1991.</w:t>
            </w:r>
          </w:p>
        </w:tc>
      </w:tr>
    </w:tbl>
    <w:p>
      <w:pPr>
        <w:spacing w:after="0" w:line="3" w:lineRule="exact"/>
        <w:rPr>
          <w:sz w:val="20"/>
          <w:szCs w:val="20"/>
          <w:color w:val="auto"/>
        </w:rPr>
      </w:pPr>
    </w:p>
    <w:p>
      <w:pPr>
        <w:ind w:left="925" w:hanging="741"/>
        <w:spacing w:after="0"/>
        <w:tabs>
          <w:tab w:leader="none" w:pos="92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Skadden, Arps, Slate, Meagher &amp; Flom LLP.</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4"/>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23.1</w:t>
            </w:r>
          </w:p>
        </w:tc>
        <w:tc>
          <w:tcPr>
            <w:tcW w:w="5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178"/>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23.2</w:t>
            </w:r>
          </w:p>
        </w:tc>
        <w:tc>
          <w:tcPr>
            <w:tcW w:w="14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   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960" w:type="dxa"/>
            <w:vAlign w:val="bottom"/>
          </w:tcPr>
          <w:p>
            <w:pPr>
              <w:ind w:left="60"/>
              <w:spacing w:after="0"/>
              <w:rPr>
                <w:sz w:val="20"/>
                <w:szCs w:val="20"/>
                <w:color w:val="auto"/>
              </w:rPr>
            </w:pPr>
            <w:r>
              <w:rPr>
                <w:rFonts w:ascii="Courier New" w:cs="Courier New" w:eastAsia="Courier New" w:hAnsi="Courier New"/>
                <w:sz w:val="15"/>
                <w:szCs w:val="15"/>
                <w:color w:val="auto"/>
              </w:rPr>
              <w:t>Ernst &amp; Young LLP, Independent Auditors.</w:t>
            </w:r>
          </w:p>
        </w:tc>
      </w:tr>
      <w:tr>
        <w:trPr>
          <w:trHeight w:val="178"/>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23.3</w:t>
            </w:r>
          </w:p>
        </w:tc>
        <w:tc>
          <w:tcPr>
            <w:tcW w:w="5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960" w:type="dxa"/>
            <w:vAlign w:val="bottom"/>
          </w:tcPr>
          <w:p>
            <w:pPr>
              <w:ind w:left="60"/>
              <w:spacing w:after="0"/>
              <w:rPr>
                <w:sz w:val="20"/>
                <w:szCs w:val="20"/>
                <w:color w:val="auto"/>
              </w:rPr>
            </w:pPr>
            <w:r>
              <w:rPr>
                <w:rFonts w:ascii="Courier New" w:cs="Courier New" w:eastAsia="Courier New" w:hAnsi="Courier New"/>
                <w:sz w:val="15"/>
                <w:szCs w:val="15"/>
                <w:color w:val="auto"/>
              </w:rPr>
              <w:t>Skadden, Arps, Slate, Meagher &amp; Flom LLP. Included in Exhibit 5.</w:t>
            </w:r>
          </w:p>
        </w:tc>
      </w:tr>
    </w:tbl>
    <w:p>
      <w:pPr>
        <w:spacing w:after="0" w:line="3" w:lineRule="exact"/>
        <w:rPr>
          <w:sz w:val="20"/>
          <w:szCs w:val="20"/>
          <w:color w:val="auto"/>
        </w:rPr>
      </w:pPr>
    </w:p>
    <w:p>
      <w:pPr>
        <w:ind w:left="925" w:hanging="833"/>
        <w:spacing w:after="0"/>
        <w:tabs>
          <w:tab w:leader="none" w:pos="92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in the signature page of this Registration Statement.</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8420" w:hanging="5"/>
        <w:spacing w:after="0" w:line="758" w:lineRule="auto"/>
        <w:tabs>
          <w:tab w:leader="none" w:pos="1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ITEM 17. UNDERTAKINGS.</w:t>
      </w:r>
    </w:p>
    <w:p>
      <w:pPr>
        <w:spacing w:after="0" w:line="170" w:lineRule="exact"/>
        <w:rPr>
          <w:sz w:val="20"/>
          <w:szCs w:val="20"/>
          <w:color w:val="auto"/>
        </w:rPr>
      </w:pPr>
    </w:p>
    <w:p>
      <w:pPr>
        <w:ind w:left="5" w:right="3980" w:firstLine="462"/>
        <w:spacing w:after="0" w:line="250"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(the "Securities Act"), each filing of the Registrant's annual report pursuant to</w:t>
      </w:r>
    </w:p>
    <w:p>
      <w:pPr>
        <w:spacing w:after="0" w:line="2" w:lineRule="exact"/>
        <w:rPr>
          <w:sz w:val="20"/>
          <w:szCs w:val="20"/>
          <w:color w:val="auto"/>
        </w:rPr>
      </w:pPr>
    </w:p>
    <w:p>
      <w:pPr>
        <w:ind w:left="5" w:right="3980"/>
        <w:spacing w:after="0" w:line="256" w:lineRule="auto"/>
        <w:rPr>
          <w:sz w:val="20"/>
          <w:szCs w:val="20"/>
          <w:color w:val="auto"/>
        </w:rPr>
      </w:pPr>
      <w:r>
        <w:rPr>
          <w:rFonts w:ascii="Courier New" w:cs="Courier New" w:eastAsia="Courier New" w:hAnsi="Courier New"/>
          <w:sz w:val="15"/>
          <w:szCs w:val="15"/>
          <w:color w:val="auto"/>
        </w:rPr>
        <w:t>section 13(a) or section 15(d) of the Securities Exchange Act of 1934 (and, where applicable, each filing of an</w:t>
      </w:r>
    </w:p>
    <w:p>
      <w:pPr>
        <w:spacing w:after="0" w:line="34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905"/>
          </w:cols>
          <w:pgMar w:left="315" w:top="651" w:right="679" w:bottom="1440" w:gutter="0" w:footer="0" w:header="0"/>
        </w:sectPr>
      </w:pPr>
    </w:p>
    <w:bookmarkStart w:id="59" w:name="page60"/>
    <w:bookmarkEnd w:id="59"/>
    <w:p>
      <w:pPr>
        <w:ind w:right="2859"/>
        <w:spacing w:after="0" w:line="252" w:lineRule="auto"/>
        <w:rPr>
          <w:sz w:val="20"/>
          <w:szCs w:val="20"/>
          <w:color w:val="auto"/>
        </w:rPr>
      </w:pPr>
      <w:r>
        <w:rPr>
          <w:rFonts w:ascii="Courier New" w:cs="Courier New" w:eastAsia="Courier New" w:hAnsi="Courier New"/>
          <w:sz w:val="15"/>
          <w:szCs w:val="15"/>
          <w:color w:val="auto"/>
        </w:rPr>
        <w:t>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in "Item 14--Indemnification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363" w:lineRule="exact"/>
        <w:rPr>
          <w:sz w:val="20"/>
          <w:szCs w:val="20"/>
          <w:color w:val="auto"/>
        </w:rPr>
      </w:pPr>
    </w:p>
    <w:p>
      <w:pPr>
        <w:ind w:left="460" w:right="2939" w:firstLine="458"/>
        <w:spacing w:after="0" w:line="250" w:lineRule="auto"/>
        <w:tabs>
          <w:tab w:leader="none" w:pos="1291"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60" w:right="2939" w:hanging="4"/>
        <w:spacing w:after="0" w:line="256" w:lineRule="auto"/>
        <w:tabs>
          <w:tab w:leader="none" w:pos="8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de deemed to be part of this Registration Statement as of the time it was declared effective.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460" w:right="2759" w:firstLine="458"/>
        <w:spacing w:after="0" w:line="252" w:lineRule="auto"/>
        <w:tabs>
          <w:tab w:leader="none" w:pos="129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39"/>
          </w:cols>
          <w:pgMar w:left="320" w:top="828" w:right="1440" w:bottom="1440" w:gutter="0" w:footer="0" w:header="0"/>
        </w:sectPr>
      </w:pPr>
    </w:p>
    <w:bookmarkStart w:id="60" w:name="page61"/>
    <w:bookmarkEnd w:id="60"/>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363" w:lineRule="exact"/>
        <w:rPr>
          <w:sz w:val="20"/>
          <w:szCs w:val="20"/>
          <w:color w:val="auto"/>
        </w:rPr>
      </w:pPr>
    </w:p>
    <w:p>
      <w:pPr>
        <w:ind w:left="5" w:right="3140" w:firstLine="462"/>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Tarrytown, State of New York on March 10, 2000.</w:t>
      </w:r>
    </w:p>
    <w:p>
      <w:pPr>
        <w:spacing w:after="0" w:line="351"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REGENERON PHARMACEUTICALS, INC.</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By: /s/ LEONARD S. SCHLEIFER, M.D., PH.D.</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Leonard S. Schleifer, M.D., Ph.D.</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President and Chief Executive</w:t>
      </w:r>
    </w:p>
    <w:p>
      <w:pPr>
        <w:spacing w:after="0" w:line="8" w:lineRule="exact"/>
        <w:rPr>
          <w:sz w:val="20"/>
          <w:szCs w:val="20"/>
          <w:color w:val="auto"/>
        </w:rPr>
      </w:pPr>
    </w:p>
    <w:p>
      <w:pPr>
        <w:ind w:left="4625"/>
        <w:spacing w:after="0"/>
        <w:rPr>
          <w:sz w:val="20"/>
          <w:szCs w:val="20"/>
          <w:color w:val="auto"/>
        </w:rPr>
      </w:pPr>
      <w:r>
        <w:rPr>
          <w:rFonts w:ascii="Courier New" w:cs="Courier New" w:eastAsia="Courier New" w:hAnsi="Courier New"/>
          <w:sz w:val="15"/>
          <w:szCs w:val="15"/>
          <w:color w:val="auto"/>
        </w:rPr>
        <w:t>Officer</w:t>
      </w:r>
    </w:p>
    <w:p>
      <w:pPr>
        <w:spacing w:after="0" w:line="363" w:lineRule="exact"/>
        <w:rPr>
          <w:sz w:val="20"/>
          <w:szCs w:val="20"/>
          <w:color w:val="auto"/>
        </w:rPr>
      </w:pPr>
    </w:p>
    <w:p>
      <w:pPr>
        <w:ind w:left="5" w:right="3040" w:firstLine="462"/>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ectPr>
          <w:pgSz w:w="11900" w:h="16838" w:orient="portrait"/>
          <w:cols w:equalWidth="0" w:num="1">
            <w:col w:w="10425"/>
          </w:cols>
          <w:pgMar w:left="315" w:top="651" w:right="1159"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065" w:space="180"/>
            <w:col w:w="4520" w:space="280"/>
            <w:col w:w="1380"/>
          </w:cols>
          <w:pgMar w:left="315" w:top="651" w:right="1159" w:bottom="181" w:gutter="0" w:footer="0" w:header="0"/>
          <w:type w:val="continuous"/>
        </w:sectPr>
      </w:pPr>
    </w:p>
    <w:p>
      <w:pPr>
        <w:spacing w:after="0" w:line="163"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 P. ROY VAGELOS, M.D.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2000</w:t>
      </w:r>
    </w:p>
    <w:p>
      <w:pPr>
        <w:spacing w:after="0" w:line="8" w:lineRule="exact"/>
        <w:rPr>
          <w:sz w:val="20"/>
          <w:szCs w:val="20"/>
          <w:color w:val="auto"/>
        </w:rPr>
      </w:pPr>
    </w:p>
    <w:p>
      <w:pPr>
        <w:sectPr>
          <w:pgSz w:w="11900" w:h="16838" w:orient="portrait"/>
          <w:cols w:equalWidth="0" w:num="3">
            <w:col w:w="3345" w:space="720"/>
            <w:col w:w="4180" w:space="720"/>
            <w:col w:w="1460"/>
          </w:cols>
          <w:pgMar w:left="315" w:top="651" w:right="1159" w:bottom="181" w:gutter="0" w:footer="0" w:header="0"/>
          <w:type w:val="continuous"/>
        </w:sect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Roy Vagelos, M.D.</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406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LEONARD S. SCHLEIFER, M.D., PH.D</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President, Chief Executive Officer</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and Director</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w w:val="99"/>
              </w:rPr>
              <w:t>March 10, 2000</w:t>
            </w:r>
          </w:p>
        </w:tc>
      </w:tr>
      <w:tr>
        <w:trPr>
          <w:trHeight w:val="178"/>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 Officer)</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8"/>
        </w:trPr>
        <w:tc>
          <w:tcPr>
            <w:tcW w:w="40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Leonard S. Schleifer, M.D., Ph.D.</w:t>
            </w: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5"/>
        </w:trPr>
        <w:tc>
          <w:tcPr>
            <w:tcW w:w="406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 MURRAY A. GOLDBERG</w:t>
            </w:r>
          </w:p>
        </w:tc>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Finance &amp; Administration, Chief</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w w:val="99"/>
              </w:rPr>
              <w:t>March 10, 2000</w:t>
            </w:r>
          </w:p>
        </w:tc>
      </w:tr>
      <w:tr>
        <w:trPr>
          <w:trHeight w:val="178"/>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Treasurer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Assistant</w:t>
            </w:r>
          </w:p>
        </w:tc>
        <w:tc>
          <w:tcPr>
            <w:tcW w:w="1560" w:type="dxa"/>
            <w:vAlign w:val="bottom"/>
          </w:tcPr>
          <w:p>
            <w:pPr>
              <w:spacing w:after="0"/>
              <w:rPr>
                <w:sz w:val="15"/>
                <w:szCs w:val="15"/>
                <w:color w:val="auto"/>
              </w:rPr>
            </w:pPr>
          </w:p>
        </w:tc>
      </w:tr>
      <w:tr>
        <w:trPr>
          <w:trHeight w:val="178"/>
        </w:trPr>
        <w:tc>
          <w:tcPr>
            <w:tcW w:w="406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Murray A. Goldberg</w:t>
            </w:r>
          </w:p>
        </w:tc>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Secretary (Principal Financial Officer)</w:t>
            </w:r>
          </w:p>
        </w:tc>
        <w:tc>
          <w:tcPr>
            <w:tcW w:w="1560" w:type="dxa"/>
            <w:vAlign w:val="bottom"/>
          </w:tcPr>
          <w:p>
            <w:pPr>
              <w:spacing w:after="0"/>
              <w:rPr>
                <w:sz w:val="15"/>
                <w:szCs w:val="15"/>
                <w:color w:val="auto"/>
              </w:rPr>
            </w:pPr>
          </w:p>
        </w:tc>
      </w:tr>
      <w:tr>
        <w:trPr>
          <w:trHeight w:val="355"/>
        </w:trPr>
        <w:tc>
          <w:tcPr>
            <w:tcW w:w="406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/s/ DOUGLAS S. MCCORKLE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Controller and Assistant Treasurer</w:t>
            </w:r>
          </w:p>
        </w:tc>
        <w:tc>
          <w:tcPr>
            <w:tcW w:w="144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w w:val="99"/>
              </w:rPr>
              <w:t>March 10, 2000</w:t>
            </w:r>
          </w:p>
        </w:tc>
      </w:tr>
    </w:tbl>
    <w:p>
      <w:pPr>
        <w:spacing w:after="0" w:line="3"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Douglas S. McCorkle</w:t>
      </w:r>
    </w:p>
    <w:p>
      <w:pPr>
        <w:spacing w:after="0" w:line="185" w:lineRule="exact"/>
        <w:rPr>
          <w:sz w:val="20"/>
          <w:szCs w:val="20"/>
          <w:color w:val="auto"/>
        </w:rPr>
      </w:pPr>
    </w:p>
    <w:p>
      <w:pPr>
        <w:ind w:left="102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CHARLES A. BAKER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2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A. Baker</w:t>
      </w:r>
    </w:p>
    <w:p>
      <w:pPr>
        <w:spacing w:after="0" w:line="185" w:lineRule="exact"/>
        <w:rPr>
          <w:sz w:val="20"/>
          <w:szCs w:val="20"/>
          <w:color w:val="auto"/>
        </w:rPr>
      </w:pPr>
    </w:p>
    <w:p>
      <w:pPr>
        <w:ind w:left="74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MICHAEL S. BROWN, M.D.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S. Brown, M.D.</w:t>
      </w:r>
    </w:p>
    <w:p>
      <w:pPr>
        <w:spacing w:after="0" w:line="185" w:lineRule="exact"/>
        <w:rPr>
          <w:sz w:val="20"/>
          <w:szCs w:val="20"/>
          <w:color w:val="auto"/>
        </w:rPr>
      </w:pPr>
    </w:p>
    <w:p>
      <w:pPr>
        <w:ind w:left="36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ALFRED G. GILMAN, M.D., PH.D.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Alfred G. Gilman, M.D., Ph.D.</w:t>
      </w:r>
    </w:p>
    <w:p>
      <w:pPr>
        <w:spacing w:after="0" w:line="185" w:lineRule="exact"/>
        <w:rPr>
          <w:sz w:val="20"/>
          <w:szCs w:val="20"/>
          <w:color w:val="auto"/>
        </w:rPr>
      </w:pPr>
    </w:p>
    <w:p>
      <w:pPr>
        <w:ind w:left="54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JOSEPH L. GOLDSTEIN, M.D.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Goldstein, M.D.</w:t>
      </w:r>
    </w:p>
    <w:p>
      <w:pPr>
        <w:spacing w:after="0" w:line="185" w:lineRule="exact"/>
        <w:rPr>
          <w:sz w:val="20"/>
          <w:szCs w:val="20"/>
          <w:color w:val="auto"/>
        </w:rPr>
      </w:pPr>
    </w:p>
    <w:p>
      <w:pPr>
        <w:ind w:left="92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FRED A. MIDDLETON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1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A. Middleton</w:t>
      </w:r>
    </w:p>
    <w:p>
      <w:pPr>
        <w:spacing w:after="0" w:line="185" w:lineRule="exact"/>
        <w:rPr>
          <w:sz w:val="20"/>
          <w:szCs w:val="20"/>
          <w:color w:val="auto"/>
        </w:rPr>
      </w:pPr>
    </w:p>
    <w:p>
      <w:pPr>
        <w:ind w:left="745"/>
        <w:spacing w:after="0"/>
        <w:tabs>
          <w:tab w:leader="none" w:pos="4045" w:val="left"/>
          <w:tab w:leader="none" w:pos="8945" w:val="left"/>
        </w:tabs>
        <w:rPr>
          <w:sz w:val="20"/>
          <w:szCs w:val="20"/>
          <w:color w:val="auto"/>
        </w:rPr>
      </w:pPr>
      <w:r>
        <w:rPr>
          <w:rFonts w:ascii="Courier New" w:cs="Courier New" w:eastAsia="Courier New" w:hAnsi="Courier New"/>
          <w:sz w:val="15"/>
          <w:szCs w:val="15"/>
          <w:color w:val="auto"/>
        </w:rPr>
        <w:t>/s/ ERIC M. SHOOTER, PH.D.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Eric M. Shooter, Ph.D.</w:t>
      </w:r>
    </w:p>
    <w:p>
      <w:pPr>
        <w:spacing w:after="0" w:line="185" w:lineRule="exact"/>
        <w:rPr>
          <w:sz w:val="20"/>
          <w:szCs w:val="20"/>
          <w:color w:val="auto"/>
        </w:rPr>
      </w:pPr>
    </w:p>
    <w:p>
      <w:pPr>
        <w:jc w:val="right"/>
        <w:ind w:right="180"/>
        <w:spacing w:after="0"/>
        <w:tabs>
          <w:tab w:leader="none" w:pos="6160" w:val="left"/>
          <w:tab w:leader="none" w:pos="1260" w:val="left"/>
        </w:tabs>
        <w:rPr>
          <w:sz w:val="20"/>
          <w:szCs w:val="20"/>
          <w:color w:val="auto"/>
        </w:rPr>
      </w:pPr>
      <w:r>
        <w:rPr>
          <w:rFonts w:ascii="Courier New" w:cs="Courier New" w:eastAsia="Courier New" w:hAnsi="Courier New"/>
          <w:sz w:val="15"/>
          <w:szCs w:val="15"/>
          <w:color w:val="auto"/>
        </w:rPr>
        <w:t>/s/ GEORGE L. SING</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10, 2000</w:t>
      </w:r>
    </w:p>
    <w:p>
      <w:pPr>
        <w:spacing w:after="0" w:line="8" w:lineRule="exact"/>
        <w:rPr>
          <w:sz w:val="20"/>
          <w:szCs w:val="20"/>
          <w:color w:val="auto"/>
        </w:rPr>
      </w:pPr>
    </w:p>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Sing</w:t>
      </w:r>
    </w:p>
    <w:p>
      <w:pPr>
        <w:sectPr>
          <w:pgSz w:w="11900" w:h="16838" w:orient="portrait"/>
          <w:cols w:equalWidth="0" w:num="1">
            <w:col w:w="10425"/>
          </w:cols>
          <w:pgMar w:left="315" w:top="651" w:right="1159" w:bottom="181" w:gutter="0" w:footer="0" w:header="0"/>
          <w:type w:val="continuous"/>
        </w:sectPr>
      </w:pPr>
    </w:p>
    <w:bookmarkStart w:id="61" w:name="page62"/>
    <w:bookmarkEnd w:id="61"/>
    <w:p>
      <w:pPr>
        <w:ind w:left="23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019"/>
          </w:cols>
          <w:pgMar w:left="1440" w:top="142" w:right="1440" w:bottom="1440" w:gutter="0" w:footer="0" w:header="0"/>
        </w:sectPr>
      </w:pPr>
    </w:p>
    <w:bookmarkStart w:id="62" w:name="page63"/>
    <w:bookmarkEnd w:id="62"/>
    <w:p>
      <w:pPr>
        <w:ind w:left="3045"/>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60" w:type="dxa"/>
            <w:vAlign w:val="bottom"/>
          </w:tcPr>
          <w:p>
            <w:pPr>
              <w:spacing w:after="0"/>
              <w:rPr>
                <w:sz w:val="15"/>
                <w:szCs w:val="15"/>
                <w:color w:val="auto"/>
              </w:rPr>
            </w:pPr>
          </w:p>
        </w:tc>
        <w:tc>
          <w:tcPr>
            <w:tcW w:w="9660" w:type="dxa"/>
            <w:vAlign w:val="bottom"/>
          </w:tcPr>
          <w:p>
            <w:pPr>
              <w:spacing w:after="0"/>
              <w:rPr>
                <w:sz w:val="15"/>
                <w:szCs w:val="15"/>
                <w:color w:val="auto"/>
              </w:rPr>
            </w:pPr>
          </w:p>
        </w:tc>
      </w:tr>
      <w:tr>
        <w:trPr>
          <w:trHeight w:val="178"/>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0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178"/>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101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Stock Purchase Agreement dated January 13, 1988, by and between the Company, Leonard S. Schleifer and</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ML Venture Partners II, L.P. (the "Stock Purchase Agreement"). Incorporated by reference to</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Exhibit 10.1 to Regeneron's Registration Statement on Form S-1 (File No. 33-39043) (the "Regeneron</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Amendment to the Stock Purchase Agreement dated March 3, 1989. Incorporated by reference to</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Exhibit 10.2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Letter Agreement dated November 27, 1989, amending the Stock Purchase Agreement. Incorporated by</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reference to Exhibit 10.13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B Convertible Preferred Stock Purchase Agreement dated November 22, 1988,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each purchaser set forth on Exhibit A thereto. Incorporated by reference to Exhibit 10.3</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C Convertible Preferred Stock Purchase Agreement dated March 20, 1989,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Sumitomo Chemical Company, Limited. Incorporated by reference to Exhibit 10.4 to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Class D Convertible Preferred Stock Purchase Agreement dated August 31, 1990, by and between the</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Company and Amgen Inc. Incorporated by reference to Exhibit 10.9 to the Regeneron S-1.</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July 22, 1993, by and between the Company and Glaxo Group</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Limited. Incorporated by reference to Exhibit 4.7 to Regeneron's Registration Statement on Form S-3</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(File No. 33-66788).</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April 15, 1996, by and between the Company and Amgen Inc.</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 10.3 to Regeneron's Form 10Q for the quarter ended June 30,</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1996, filed August 14, 1996.</w:t>
            </w:r>
          </w:p>
        </w:tc>
      </w:tr>
      <w:tr>
        <w:trPr>
          <w:trHeight w:val="178"/>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w:t>
            </w:r>
          </w:p>
        </w:tc>
        <w:tc>
          <w:tcPr>
            <w:tcW w:w="10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Registration Rights Agreement, dated as of June 27, 1996, by and between the Company and Medtronic,</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Inc. Incorporated by reference to Exhibit 10.6 to Regeneron's Form 10Q for the quarter ended</w:t>
            </w:r>
          </w:p>
        </w:tc>
      </w:tr>
      <w:tr>
        <w:trPr>
          <w:trHeight w:val="178"/>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June 30, 1996, filed August 14, 1996.</w:t>
            </w:r>
          </w:p>
        </w:tc>
      </w:tr>
      <w:tr>
        <w:trPr>
          <w:trHeight w:val="178"/>
        </w:trPr>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4.10</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60" w:type="dxa"/>
            <w:vAlign w:val="bottom"/>
          </w:tcPr>
          <w:p>
            <w:pPr>
              <w:ind w:left="140"/>
              <w:spacing w:after="0"/>
              <w:rPr>
                <w:sz w:val="20"/>
                <w:szCs w:val="20"/>
                <w:color w:val="auto"/>
              </w:rPr>
            </w:pPr>
            <w:r>
              <w:rPr>
                <w:rFonts w:ascii="Courier New" w:cs="Courier New" w:eastAsia="Courier New" w:hAnsi="Courier New"/>
                <w:sz w:val="15"/>
                <w:szCs w:val="15"/>
                <w:color w:val="auto"/>
              </w:rPr>
              <w:t>Registration Rights Agreement, dated as of December 11, 1996, by and between the Company and Procter</w:t>
            </w:r>
          </w:p>
        </w:tc>
      </w:tr>
    </w:tbl>
    <w:p>
      <w:pPr>
        <w:spacing w:after="0" w:line="3" w:lineRule="exact"/>
        <w:rPr>
          <w:sz w:val="20"/>
          <w:szCs w:val="20"/>
          <w:color w:val="auto"/>
        </w:rPr>
      </w:pPr>
    </w:p>
    <w:p>
      <w:pPr>
        <w:ind w:left="1385" w:right="280"/>
        <w:spacing w:after="0" w:line="250" w:lineRule="auto"/>
        <w:tabs>
          <w:tab w:leader="none" w:pos="15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Pharmaceuticals. Incorporated by reference to Exhibit 10.30 to Regeneron's Form 10K for the fiscal year ended December 31, 1996, filed March 26, 1997.</w:t>
      </w:r>
    </w:p>
    <w:p>
      <w:pPr>
        <w:spacing w:after="0" w:line="1" w:lineRule="exact"/>
        <w:rPr>
          <w:sz w:val="20"/>
          <w:szCs w:val="20"/>
          <w:color w:val="auto"/>
        </w:rPr>
      </w:pPr>
    </w:p>
    <w:tbl>
      <w:tblPr>
        <w:tblLayout w:type="fixed"/>
        <w:tblInd w:w="185" w:type="dxa"/>
        <w:tblCellMar>
          <w:top w:w="0" w:type="dxa"/>
          <w:left w:w="0" w:type="dxa"/>
          <w:bottom w:w="0" w:type="dxa"/>
          <w:right w:w="0" w:type="dxa"/>
        </w:tblCellMar>
      </w:tblPr>
      <w:tr>
        <w:trPr>
          <w:trHeight w:val="174"/>
        </w:trPr>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4"/>
              </w:rPr>
              <w:t>4.11</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Rights Agreement,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May 13, 1997, by</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Procter &amp;</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Gamble Pharmaceuticals. Incorporated by</w:t>
            </w:r>
          </w:p>
        </w:tc>
        <w:tc>
          <w:tcPr>
            <w:tcW w:w="53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reference to Exhibit 10.3 to Regeneron's Form 10Q for the</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 1997, filed</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August 12,</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3460" w:type="dxa"/>
            <w:vAlign w:val="bottom"/>
          </w:tcPr>
          <w:p>
            <w:pPr>
              <w:spacing w:after="0"/>
              <w:rPr>
                <w:sz w:val="15"/>
                <w:szCs w:val="15"/>
                <w:color w:val="auto"/>
              </w:rPr>
            </w:pPr>
          </w:p>
        </w:tc>
      </w:tr>
      <w:tr>
        <w:trPr>
          <w:trHeight w:val="178"/>
        </w:trPr>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4"/>
              </w:rPr>
              <w:t>4.12</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Certificate of shares of common</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 Incorporated</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Exhibit (a) to the</w:t>
            </w:r>
          </w:p>
        </w:tc>
      </w:tr>
      <w:tr>
        <w:trPr>
          <w:trHeight w:val="178"/>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Company's Form 8-A, filed with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February 20, 1991.</w:t>
            </w:r>
          </w:p>
        </w:tc>
      </w:tr>
    </w:tbl>
    <w:p>
      <w:pPr>
        <w:spacing w:after="0" w:line="3" w:lineRule="exact"/>
        <w:rPr>
          <w:sz w:val="20"/>
          <w:szCs w:val="20"/>
          <w:color w:val="auto"/>
        </w:rPr>
      </w:pPr>
    </w:p>
    <w:p>
      <w:pPr>
        <w:ind w:left="925" w:hanging="741"/>
        <w:spacing w:after="0"/>
        <w:tabs>
          <w:tab w:leader="none" w:pos="9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Skadden, Arps, Slate, Meagher &amp; Flom LLP.</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4"/>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23.1</w:t>
            </w:r>
          </w:p>
        </w:tc>
        <w:tc>
          <w:tcPr>
            <w:tcW w:w="5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0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178"/>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23.2</w:t>
            </w:r>
          </w:p>
        </w:tc>
        <w:tc>
          <w:tcPr>
            <w:tcW w:w="14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   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960" w:type="dxa"/>
            <w:vAlign w:val="bottom"/>
          </w:tcPr>
          <w:p>
            <w:pPr>
              <w:ind w:left="60"/>
              <w:spacing w:after="0"/>
              <w:rPr>
                <w:sz w:val="20"/>
                <w:szCs w:val="20"/>
                <w:color w:val="auto"/>
              </w:rPr>
            </w:pPr>
            <w:r>
              <w:rPr>
                <w:rFonts w:ascii="Courier New" w:cs="Courier New" w:eastAsia="Courier New" w:hAnsi="Courier New"/>
                <w:sz w:val="15"/>
                <w:szCs w:val="15"/>
                <w:color w:val="auto"/>
              </w:rPr>
              <w:t>Ernst &amp; Young LLP, Independent Auditors.</w:t>
            </w:r>
          </w:p>
        </w:tc>
      </w:tr>
      <w:tr>
        <w:trPr>
          <w:trHeight w:val="178"/>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23.3</w:t>
            </w:r>
          </w:p>
        </w:tc>
        <w:tc>
          <w:tcPr>
            <w:tcW w:w="5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960" w:type="dxa"/>
            <w:vAlign w:val="bottom"/>
          </w:tcPr>
          <w:p>
            <w:pPr>
              <w:ind w:left="60"/>
              <w:spacing w:after="0"/>
              <w:rPr>
                <w:sz w:val="20"/>
                <w:szCs w:val="20"/>
                <w:color w:val="auto"/>
              </w:rPr>
            </w:pPr>
            <w:r>
              <w:rPr>
                <w:rFonts w:ascii="Courier New" w:cs="Courier New" w:eastAsia="Courier New" w:hAnsi="Courier New"/>
                <w:sz w:val="15"/>
                <w:szCs w:val="15"/>
                <w:color w:val="auto"/>
              </w:rPr>
              <w:t>Skadden, Arps, Slate, Meagher &amp; Flom LLP. Included in Exhibit 5.</w:t>
            </w:r>
          </w:p>
        </w:tc>
      </w:tr>
    </w:tbl>
    <w:p>
      <w:pPr>
        <w:spacing w:after="0" w:line="3" w:lineRule="exact"/>
        <w:rPr>
          <w:sz w:val="20"/>
          <w:szCs w:val="20"/>
          <w:color w:val="auto"/>
        </w:rPr>
      </w:pPr>
    </w:p>
    <w:p>
      <w:pPr>
        <w:ind w:left="925" w:hanging="833"/>
        <w:spacing w:after="0"/>
        <w:tabs>
          <w:tab w:leader="none" w:pos="92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in the signature page of this Registration Statement.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905"/>
          </w:cols>
          <w:pgMar w:left="315" w:top="828" w:right="679" w:bottom="1440" w:gutter="0" w:footer="0" w:header="0"/>
        </w:sectPr>
      </w:pPr>
    </w:p>
    <w:bookmarkStart w:id="63" w:name="page64"/>
    <w:bookmarkEnd w:id="63"/>
    <w:p>
      <w:pPr>
        <w:ind w:left="6000"/>
        <w:spacing w:after="0"/>
        <w:rPr>
          <w:sz w:val="20"/>
          <w:szCs w:val="20"/>
          <w:color w:val="auto"/>
        </w:rPr>
      </w:pPr>
      <w:r>
        <w:rPr>
          <w:rFonts w:ascii="Courier New" w:cs="Courier New" w:eastAsia="Courier New" w:hAnsi="Courier New"/>
          <w:sz w:val="15"/>
          <w:szCs w:val="15"/>
          <w:color w:val="auto"/>
        </w:rPr>
        <w:t>Exhibit 5.1</w:t>
      </w:r>
    </w:p>
    <w:p>
      <w:pPr>
        <w:spacing w:after="0" w:line="36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SKADDEN LETTERHEAD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5"/>
          <w:szCs w:val="15"/>
          <w:color w:val="auto"/>
        </w:rPr>
        <w:t>March 10, 2000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777 Old Saw Mill River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Tarrytown, New York 10591-6707</w:t>
      </w:r>
    </w:p>
    <w:p>
      <w:pPr>
        <w:spacing w:after="0" w:line="185" w:lineRule="exact"/>
        <w:rPr>
          <w:sz w:val="20"/>
          <w:szCs w:val="20"/>
          <w:color w:val="auto"/>
        </w:rPr>
      </w:pPr>
    </w:p>
    <w:p>
      <w:pPr>
        <w:ind w:left="2020"/>
        <w:spacing w:after="0"/>
        <w:tabs>
          <w:tab w:leader="none" w:pos="26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5" w:lineRule="exact"/>
        <w:rPr>
          <w:sz w:val="20"/>
          <w:szCs w:val="20"/>
          <w:color w:val="auto"/>
        </w:rPr>
      </w:pPr>
    </w:p>
    <w:p>
      <w:pPr>
        <w:ind w:right="2859" w:firstLine="1385"/>
        <w:spacing w:after="0" w:line="251" w:lineRule="auto"/>
        <w:rPr>
          <w:sz w:val="20"/>
          <w:szCs w:val="20"/>
          <w:color w:val="auto"/>
        </w:rPr>
      </w:pPr>
      <w:r>
        <w:rPr>
          <w:rFonts w:ascii="Courier New" w:cs="Courier New" w:eastAsia="Courier New" w:hAnsi="Courier New"/>
          <w:sz w:val="15"/>
          <w:szCs w:val="15"/>
          <w:color w:val="auto"/>
        </w:rPr>
        <w:t>We have acted as special counsel to Regeneron Pharmaceuticals, Inc., a New York corporation (the "Company"), in connection with the public offering by the Company of up to 4,000,000 shares (the "Company Shares") of the Company's Common Stock, par value $0.001 per share (the "Common Stock"), and by a shareholder of the Company of an additional 600,000 shares of Common Stock (the "Over-Allotment Shares") that are subject to an over-allotment option granted to the Underwriters (as defined below).</w:t>
      </w:r>
    </w:p>
    <w:p>
      <w:pPr>
        <w:spacing w:after="0" w:line="177" w:lineRule="exact"/>
        <w:rPr>
          <w:sz w:val="20"/>
          <w:szCs w:val="20"/>
          <w:color w:val="auto"/>
        </w:rPr>
      </w:pPr>
    </w:p>
    <w:p>
      <w:pPr>
        <w:ind w:right="3119" w:firstLine="1385"/>
        <w:spacing w:after="0" w:line="253" w:lineRule="auto"/>
        <w:rPr>
          <w:sz w:val="20"/>
          <w:szCs w:val="20"/>
          <w:color w:val="auto"/>
        </w:rPr>
      </w:pPr>
      <w:r>
        <w:rPr>
          <w:rFonts w:ascii="Courier New" w:cs="Courier New" w:eastAsia="Courier New" w:hAnsi="Courier New"/>
          <w:sz w:val="15"/>
          <w:szCs w:val="15"/>
          <w:color w:val="auto"/>
        </w:rPr>
        <w:t>This opinion is being furnished in accordance with the requirements of Item 601(b)(5) of Regulation S-K under the Securities Act of 1933, as amended (the "Securities Act").</w:t>
      </w:r>
    </w:p>
    <w:p>
      <w:pPr>
        <w:spacing w:after="0" w:line="173" w:lineRule="exact"/>
        <w:rPr>
          <w:sz w:val="20"/>
          <w:szCs w:val="20"/>
          <w:color w:val="auto"/>
        </w:rPr>
      </w:pPr>
    </w:p>
    <w:p>
      <w:pPr>
        <w:ind w:right="2859" w:firstLine="1385"/>
        <w:spacing w:after="0" w:line="251" w:lineRule="auto"/>
        <w:rPr>
          <w:sz w:val="20"/>
          <w:szCs w:val="20"/>
          <w:color w:val="auto"/>
        </w:rPr>
      </w:pPr>
      <w:r>
        <w:rPr>
          <w:rFonts w:ascii="Courier New" w:cs="Courier New" w:eastAsia="Courier New" w:hAnsi="Courier New"/>
          <w:sz w:val="15"/>
          <w:szCs w:val="15"/>
          <w:color w:val="auto"/>
        </w:rPr>
        <w:t>In connection with this opinion, we have examined originals or copies, certified or otherwise identified to our satisfaction, of (i) the Registration Statement on Form S-3 (File No. 333-31764), as filed with the Securities and Exchange Commission (the "Commission") on March 6, 2000, under the Securities Act, and Amendment No. 1 to the Registration Statement, as filed with the Commission on the date hereof (such Registration Statement, as so amended, being hereinafter referred to as the "Registration Statement"); (ii) the form of the Underwriting Agreement (the "Underwriting Agreement") proposed to be entered into between the</w:t>
      </w:r>
    </w:p>
    <w:p>
      <w:pPr>
        <w:spacing w:after="0" w:line="35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006"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20</w:t>
      </w:r>
    </w:p>
    <w:p>
      <w:pPr>
        <w:spacing w:after="0" w:line="185"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Company, as issuer, the selling shareholder, and Merrill Lynch, Pierce, Fenner &amp; Smith Incorporated, Lehman Brothers Inc., J.P. Morgan Securities Inc. and FleetBoston Robertson Stephens Inc., as underwriters (the "Underwriters"), filed as an exhibit to the Registration Statement; (iii) a specimen certificate evidencing the Common Stock; (iv) the Restated Certificate of Incorporation of the Company, as presently in effect; (v) the By-laws of the Company, as presently in effect; and (vi) Stock and Warrant Purchase Agreement dated as of April 15, 1996 between the Company and Amgen Inc.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76" w:lineRule="exact"/>
        <w:rPr>
          <w:sz w:val="20"/>
          <w:szCs w:val="20"/>
          <w:color w:val="auto"/>
        </w:rPr>
      </w:pPr>
    </w:p>
    <w:p>
      <w:pPr>
        <w:ind w:right="2759" w:firstLine="1385"/>
        <w:spacing w:after="0" w:line="251"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 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 expressed herein which we have not independently established or verified, we have relied upon statements and representations of officers and other representatives of the Company and others. We have also assumed that the Company has received the entire amount of the consideration contemplated by the resolutions of the Board of Directors of the Company authorizing the original issuance of the Over-Allotment Shares.</w:t>
      </w:r>
    </w:p>
    <w:p>
      <w:pPr>
        <w:spacing w:after="0" w:line="175" w:lineRule="exact"/>
        <w:rPr>
          <w:sz w:val="20"/>
          <w:szCs w:val="20"/>
          <w:color w:val="auto"/>
        </w:rPr>
      </w:pPr>
    </w:p>
    <w:p>
      <w:pPr>
        <w:ind w:right="2939" w:firstLine="1385"/>
        <w:spacing w:after="0" w:line="253" w:lineRule="auto"/>
        <w:rPr>
          <w:sz w:val="20"/>
          <w:szCs w:val="20"/>
          <w:color w:val="auto"/>
        </w:rPr>
      </w:pPr>
      <w:r>
        <w:rPr>
          <w:rFonts w:ascii="Courier New" w:cs="Courier New" w:eastAsia="Courier New" w:hAnsi="Courier New"/>
          <w:sz w:val="15"/>
          <w:szCs w:val="15"/>
          <w:color w:val="auto"/>
        </w:rPr>
        <w:t>Members of our firm are admitted to the bar in the State of New York, and we do not express any opinion as to the laws of any other jurisdiction.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Based upon and subject to the foregoing, we are of the opinion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5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20</w:t>
      </w:r>
    </w:p>
    <w:p>
      <w:pPr>
        <w:spacing w:after="0" w:line="363" w:lineRule="exact"/>
        <w:rPr>
          <w:sz w:val="20"/>
          <w:szCs w:val="20"/>
          <w:color w:val="auto"/>
        </w:rPr>
      </w:pPr>
    </w:p>
    <w:p>
      <w:pPr>
        <w:ind w:right="2859" w:firstLine="1380"/>
        <w:spacing w:after="0" w:line="251" w:lineRule="auto"/>
        <w:tabs>
          <w:tab w:leader="none" w:pos="166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 the Registration Statement becomes effective under the Securities Act; (ii) the Underwriting Agreement has been duly executed and delivered; and (iii) the certificates representing the Company Shares, in the form of the specimen certificates examined by us, have been manually signed by an authorized officer of the transfer agent and registrar for the Common Stock and registered by such transfer agent and registrar, and delivered to and paid for by the Underwriters at a price per share not less than the per share par value of the Common Stock as contemplated by the Underwriting Agreement, the issuance and sale of the Company Shares will have been duly authorized, and the Company Shares will be validly issued, fully paid and nonassessable.</w:t>
      </w:r>
    </w:p>
    <w:p>
      <w:pPr>
        <w:spacing w:after="0" w:line="176" w:lineRule="exact"/>
        <w:rPr>
          <w:rFonts w:ascii="Courier New" w:cs="Courier New" w:eastAsia="Courier New" w:hAnsi="Courier New"/>
          <w:sz w:val="15"/>
          <w:szCs w:val="15"/>
          <w:color w:val="auto"/>
        </w:rPr>
      </w:pPr>
    </w:p>
    <w:p>
      <w:pPr>
        <w:ind w:right="3039" w:firstLine="1380"/>
        <w:spacing w:after="0" w:line="256" w:lineRule="auto"/>
        <w:tabs>
          <w:tab w:leader="none" w:pos="203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Over-Allotment Shares have been duly authorized and validly issued and are fully paid and nonassessable.</w:t>
      </w:r>
    </w:p>
    <w:p>
      <w:pPr>
        <w:spacing w:after="0" w:line="170" w:lineRule="exact"/>
        <w:rPr>
          <w:sz w:val="20"/>
          <w:szCs w:val="20"/>
          <w:color w:val="auto"/>
        </w:rPr>
      </w:pPr>
    </w:p>
    <w:p>
      <w:pPr>
        <w:ind w:right="2759" w:firstLine="1385"/>
        <w:spacing w:after="0" w:line="251" w:lineRule="auto"/>
        <w:rPr>
          <w:sz w:val="20"/>
          <w:szCs w:val="20"/>
          <w:color w:val="auto"/>
        </w:rPr>
      </w:pPr>
      <w:r>
        <w:rPr>
          <w:rFonts w:ascii="Courier New" w:cs="Courier New" w:eastAsia="Courier New" w:hAnsi="Courier New"/>
          <w:sz w:val="15"/>
          <w:szCs w:val="15"/>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177" w:lineRule="exact"/>
        <w:rPr>
          <w:sz w:val="20"/>
          <w:szCs w:val="20"/>
          <w:color w:val="auto"/>
        </w:rPr>
      </w:pPr>
    </w:p>
    <w:p>
      <w:pPr>
        <w:ind w:right="2859" w:firstLine="1385"/>
        <w:spacing w:after="0" w:line="252" w:lineRule="auto"/>
        <w:rPr>
          <w:sz w:val="20"/>
          <w:szCs w:val="20"/>
          <w:color w:val="auto"/>
        </w:rPr>
      </w:pPr>
      <w:r>
        <w:rPr>
          <w:rFonts w:ascii="Courier New" w:cs="Courier New" w:eastAsia="Courier New" w:hAnsi="Courier New"/>
          <w:sz w:val="15"/>
          <w:szCs w:val="15"/>
          <w:color w:val="auto"/>
        </w:rPr>
        <w:t>We hereby consent to the filing of this opinion with the Commission as an exhibit to the Registration Statement. We also consent to the reference to our firm under the caption "Legal Matters" in the Registration Statement. In giving such consent, we do not thereby admit that we are included in the category of persons whose consent is required under Section 7 of the Securities Act or the rules and regulations of the Commission.</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pacing w:after="0" w:line="363"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5"/>
          <w:szCs w:val="15"/>
          <w:color w:val="auto"/>
        </w:rPr>
        <w:t>/s/ Skadden, Arps, Slate, Meagher &amp; Flom</w:t>
      </w: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51" w:right="1440" w:bottom="1440" w:gutter="0" w:footer="0" w:header="0"/>
        </w:sectPr>
      </w:pPr>
    </w:p>
    <w:bookmarkStart w:id="66" w:name="page67"/>
    <w:bookmarkEnd w:id="66"/>
    <w:p>
      <w:pPr>
        <w:jc w:val="right"/>
        <w:ind w:right="2759"/>
        <w:spacing w:after="0"/>
        <w:rPr>
          <w:sz w:val="20"/>
          <w:szCs w:val="20"/>
          <w:color w:val="auto"/>
        </w:rPr>
      </w:pPr>
      <w:r>
        <w:rPr>
          <w:rFonts w:ascii="Courier New" w:cs="Courier New" w:eastAsia="Courier New" w:hAnsi="Courier New"/>
          <w:sz w:val="15"/>
          <w:szCs w:val="15"/>
          <w:color w:val="auto"/>
        </w:rPr>
        <w:t>EXHIBIT 23.1</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5"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S-3 of our report, which is based in part on the report of other auditors, dated February 8, 2000 relating to the financial statements, which appears in Regeneron Pharmaceuticals, Inc.'s Annual Report on Form 10-K for the year ended December 31, 1999. We also consent to the reference to us under the heading "Experts" in such Registration Statement.</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PRICEWATERHOUSECOOPERS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9, 2000</w:t>
      </w:r>
    </w:p>
    <w:p>
      <w:pPr>
        <w:sectPr>
          <w:pgSz w:w="11900" w:h="16838" w:orient="portrait"/>
          <w:cols w:equalWidth="0" w:num="1">
            <w:col w:w="10139"/>
          </w:cols>
          <w:pgMar w:left="320" w:top="828" w:right="1440" w:bottom="1440" w:gutter="0" w:footer="0" w:header="0"/>
        </w:sectPr>
      </w:pPr>
    </w:p>
    <w:bookmarkStart w:id="67" w:name="page68"/>
    <w:bookmarkEnd w:id="67"/>
    <w:p>
      <w:pPr>
        <w:jc w:val="right"/>
        <w:ind w:right="2759"/>
        <w:spacing w:after="0"/>
        <w:rPr>
          <w:sz w:val="20"/>
          <w:szCs w:val="20"/>
          <w:color w:val="auto"/>
        </w:rPr>
      </w:pPr>
      <w:r>
        <w:rPr>
          <w:rFonts w:ascii="Courier New" w:cs="Courier New" w:eastAsia="Courier New" w:hAnsi="Courier New"/>
          <w:sz w:val="15"/>
          <w:szCs w:val="15"/>
          <w:color w:val="auto"/>
        </w:rPr>
        <w:t>EXHIBIT 23.2</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85" w:lineRule="exact"/>
        <w:rPr>
          <w:sz w:val="20"/>
          <w:szCs w:val="20"/>
          <w:color w:val="auto"/>
        </w:rPr>
      </w:pPr>
    </w:p>
    <w:p>
      <w:pPr>
        <w:ind w:right="2859" w:firstLine="462"/>
        <w:spacing w:after="0" w:line="250"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Regeneron Pharmaceuticals, Inc. for the registration of 4,000,000 shares of its common stock and to the incorporation by reference therein of our report dated February 8, 2000, with respect to the financial statements of Amgen Regeneron Partners included in Regeneron Pharmaceuticals, Inc.'s Annual Report</w:t>
      </w:r>
    </w:p>
    <w:p>
      <w:pPr>
        <w:spacing w:after="0" w:line="4"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5"/>
          <w:szCs w:val="15"/>
          <w:color w:val="auto"/>
        </w:rPr>
        <w:t>(Form 10-K) for the year ended December 31, 1999, filed with the Securities and Exchange Commission.</w:t>
      </w:r>
    </w:p>
    <w:p>
      <w:pPr>
        <w:spacing w:after="0" w:line="170"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2000</w:t>
      </w:r>
    </w:p>
    <w:sectPr>
      <w:pgSz w:w="11900" w:h="16838" w:orient="portrait"/>
      <w:cols w:equalWidth="0" w:num="1">
        <w:col w:w="10139"/>
      </w:cols>
      <w:pgMar w:left="320" w:top="8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o"/>
      <w:numFmt w:val="bullet"/>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amp;"/>
      <w:numFmt w:val="bullet"/>
      <w:start w:val="1"/>
    </w:lvl>
  </w:abstractNum>
  <w:abstractNum w:abstractNumId="10">
    <w:nsid w:val="257130A3"/>
    <w:multiLevelType w:val="hybridMultilevel"/>
    <w:lvl w:ilvl="0">
      <w:lvlJc w:val="left"/>
      <w:lvlText w:val="5"/>
      <w:numFmt w:val="bullet"/>
      <w:start w:val="1"/>
    </w:lvl>
  </w:abstractNum>
  <w:abstractNum w:abstractNumId="11">
    <w:nsid w:val="62BBD95A"/>
    <w:multiLevelType w:val="hybridMultilevel"/>
    <w:lvl w:ilvl="0">
      <w:lvlJc w:val="left"/>
      <w:lvlText w:val="-"/>
      <w:numFmt w:val="bullet"/>
      <w:start w:val="1"/>
    </w:lvl>
    <w:lvl w:ilvl="1">
      <w:lvlJc w:val="left"/>
      <w:lvlText w:val="%2"/>
      <w:numFmt w:val="decimal"/>
      <w:start w:val="24"/>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2)"/>
      <w:numFmt w:val="decimal"/>
      <w:start w:val="1"/>
    </w:lvl>
  </w:abstractNum>
  <w:abstractNum w:abstractNumId="14">
    <w:nsid w:val="333AB105"/>
    <w:multiLevelType w:val="hybridMultilevel"/>
    <w:lvl w:ilvl="0">
      <w:lvlJc w:val="left"/>
      <w:lvlText w:val="(%1)"/>
      <w:numFmt w:val="decimal"/>
      <w:start w:val="4"/>
    </w:lvl>
    <w:lvl w:ilvl="1">
      <w:lvlJc w:val="left"/>
      <w:lvlText w:val="(%2)"/>
      <w:numFmt w:val="decimal"/>
      <w:start w:val="2"/>
    </w:lvl>
  </w:abstractNum>
  <w:abstractNum w:abstractNumId="15">
    <w:nsid w:val="721DA317"/>
    <w:multiLevelType w:val="hybridMultilevel"/>
    <w:lvl w:ilvl="0">
      <w:lvlJc w:val="left"/>
      <w:lvlText w:val="-"/>
      <w:numFmt w:val="bullet"/>
      <w:start w:val="1"/>
    </w:lvl>
    <w:lvl w:ilvl="1">
      <w:lvlJc w:val="left"/>
      <w:lvlText w:val="%2"/>
      <w:numFmt w:val="upp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amp;"/>
      <w:numFmt w:val="bullet"/>
      <w:start w:val="1"/>
    </w:lvl>
  </w:abstractNum>
  <w:abstractNum w:abstractNumId="25">
    <w:nsid w:val="54E49EB4"/>
    <w:multiLevelType w:val="hybridMultilevel"/>
    <w:lvl w:ilvl="0">
      <w:lvlJc w:val="left"/>
      <w:lvlText w:val="5"/>
      <w:numFmt w:val="bullet"/>
      <w:start w:val="1"/>
    </w:lvl>
  </w:abstractNum>
  <w:abstractNum w:abstractNumId="26">
    <w:nsid w:val="71F32454"/>
    <w:multiLevelType w:val="hybridMultilevel"/>
    <w:lvl w:ilvl="0">
      <w:lvlJc w:val="left"/>
      <w:lvlText w:val="-"/>
      <w:numFmt w:val="bullet"/>
      <w:start w:val="1"/>
    </w:lvl>
    <w:lvl w:ilvl="1">
      <w:lvlJc w:val="left"/>
      <w:lvlText w:val="%2"/>
      <w:numFmt w:val="decimal"/>
      <w:start w:val="24"/>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2020-10-07T18:33:53Z</dcterms:created>
  <dcterms:modified xsi:type="dcterms:W3CDTF">2020-10-07T18:33:53Z</dcterms:modified>
</cp:coreProperties>
</file>