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60"/>
        <w:spacing w:after="0"/>
        <w:rPr>
          <w:sz w:val="20"/>
          <w:szCs w:val="20"/>
          <w:color w:val="auto"/>
        </w:rPr>
      </w:pPr>
      <w:r>
        <w:rPr>
          <w:rFonts w:ascii="Arial" w:cs="Arial" w:eastAsia="Arial" w:hAnsi="Arial"/>
          <w:sz w:val="18"/>
          <w:szCs w:val="18"/>
          <w:b w:val="1"/>
          <w:bCs w:val="1"/>
          <w:color w:val="auto"/>
        </w:rPr>
        <w:t>As filed with the Securities and Exchange Commission on June 16, 2014</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333-174863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4" w:lineRule="exact"/>
        <w:rPr>
          <w:sz w:val="24"/>
          <w:szCs w:val="24"/>
          <w:color w:val="auto"/>
        </w:rPr>
      </w:pPr>
    </w:p>
    <w:p>
      <w:pPr>
        <w:jc w:val="center"/>
        <w:ind w:right="118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80"/>
        <w:spacing w:after="0"/>
        <w:rPr>
          <w:sz w:val="20"/>
          <w:szCs w:val="20"/>
          <w:color w:val="auto"/>
        </w:rPr>
      </w:pPr>
      <w:r>
        <w:rPr>
          <w:rFonts w:ascii="Arial" w:cs="Arial" w:eastAsia="Arial" w:hAnsi="Arial"/>
          <w:sz w:val="32"/>
          <w:szCs w:val="32"/>
          <w:b w:val="1"/>
          <w:bCs w:val="1"/>
          <w:color w:val="auto"/>
        </w:rPr>
        <w:t>SECURITIES AND EXCHANGE COMMISSION</w:t>
      </w:r>
    </w:p>
    <w:p>
      <w:pPr>
        <w:ind w:left="34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80"/>
        <w:spacing w:after="0"/>
        <w:rPr>
          <w:sz w:val="20"/>
          <w:szCs w:val="20"/>
          <w:color w:val="auto"/>
        </w:rPr>
      </w:pPr>
      <w:r>
        <w:rPr>
          <w:rFonts w:ascii="Arial" w:cs="Arial" w:eastAsia="Arial" w:hAnsi="Arial"/>
          <w:sz w:val="32"/>
          <w:szCs w:val="32"/>
          <w:b w:val="1"/>
          <w:bCs w:val="1"/>
          <w:color w:val="auto"/>
        </w:rPr>
        <w:t>POST-EFFECTIVE AMENDMENT NO. 1</w:t>
      </w:r>
    </w:p>
    <w:p>
      <w:pPr>
        <w:spacing w:after="0" w:line="29" w:lineRule="exact"/>
        <w:rPr>
          <w:sz w:val="24"/>
          <w:szCs w:val="24"/>
          <w:color w:val="auto"/>
        </w:rPr>
      </w:pPr>
    </w:p>
    <w:p>
      <w:pPr>
        <w:jc w:val="center"/>
        <w:ind w:right="1180"/>
        <w:spacing w:after="0"/>
        <w:rPr>
          <w:sz w:val="20"/>
          <w:szCs w:val="20"/>
          <w:color w:val="auto"/>
        </w:rPr>
      </w:pPr>
      <w:r>
        <w:rPr>
          <w:rFonts w:ascii="Arial" w:cs="Arial" w:eastAsia="Arial" w:hAnsi="Arial"/>
          <w:sz w:val="32"/>
          <w:szCs w:val="32"/>
          <w:b w:val="1"/>
          <w:bCs w:val="1"/>
          <w:color w:val="auto"/>
        </w:rPr>
        <w:t>TO</w:t>
      </w:r>
    </w:p>
    <w:p>
      <w:pPr>
        <w:jc w:val="center"/>
        <w:ind w:right="1180"/>
        <w:spacing w:after="0" w:line="237" w:lineRule="auto"/>
        <w:rPr>
          <w:sz w:val="20"/>
          <w:szCs w:val="20"/>
          <w:color w:val="auto"/>
        </w:rPr>
      </w:pPr>
      <w:r>
        <w:rPr>
          <w:rFonts w:ascii="Arial" w:cs="Arial" w:eastAsia="Arial" w:hAnsi="Arial"/>
          <w:sz w:val="32"/>
          <w:szCs w:val="32"/>
          <w:b w:val="1"/>
          <w:bCs w:val="1"/>
          <w:color w:val="auto"/>
        </w:rPr>
        <w:t>Form S-8</w:t>
      </w:r>
    </w:p>
    <w:p>
      <w:pPr>
        <w:jc w:val="center"/>
        <w:ind w:right="1180"/>
        <w:spacing w:after="0"/>
        <w:rPr>
          <w:sz w:val="20"/>
          <w:szCs w:val="20"/>
          <w:color w:val="auto"/>
        </w:rPr>
      </w:pPr>
      <w:r>
        <w:rPr>
          <w:rFonts w:ascii="Arial" w:cs="Arial" w:eastAsia="Arial" w:hAnsi="Arial"/>
          <w:sz w:val="32"/>
          <w:szCs w:val="32"/>
          <w:b w:val="1"/>
          <w:bCs w:val="1"/>
          <w:color w:val="auto"/>
        </w:rPr>
        <w:t>REGISTRATION STATEMENT</w:t>
      </w:r>
    </w:p>
    <w:p>
      <w:pPr>
        <w:jc w:val="center"/>
        <w:ind w:right="1180"/>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18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180"/>
        <w:spacing w:after="0"/>
        <w:rPr>
          <w:sz w:val="20"/>
          <w:szCs w:val="20"/>
          <w:color w:val="auto"/>
        </w:rPr>
      </w:pPr>
      <w:r>
        <w:rPr>
          <w:rFonts w:ascii="Arial" w:cs="Arial" w:eastAsia="Arial" w:hAnsi="Arial"/>
          <w:sz w:val="43"/>
          <w:szCs w:val="43"/>
          <w:b w:val="1"/>
          <w:bCs w:val="1"/>
          <w:color w:val="auto"/>
        </w:rPr>
        <w:t>Regeneron Pharmaceuticals, Inc.</w:t>
      </w:r>
    </w:p>
    <w:p>
      <w:pPr>
        <w:spacing w:after="0" w:line="50"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236220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220"/>
          </w:cols>
          <w:pgMar w:left="1440" w:top="229"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300"/>
        <w:spacing w:after="0"/>
        <w:rPr>
          <w:sz w:val="20"/>
          <w:szCs w:val="20"/>
          <w:color w:val="auto"/>
        </w:rPr>
      </w:pPr>
      <w:r>
        <w:rPr>
          <w:rFonts w:ascii="Arial" w:cs="Arial" w:eastAsia="Arial" w:hAnsi="Arial"/>
          <w:sz w:val="17"/>
          <w:szCs w:val="17"/>
          <w:b w:val="1"/>
          <w:bCs w:val="1"/>
          <w:color w:val="auto"/>
        </w:rPr>
        <w:t>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13-3444607</w:t>
      </w:r>
    </w:p>
    <w:p>
      <w:pPr>
        <w:spacing w:after="0" w:line="31" w:lineRule="exact"/>
        <w:rPr>
          <w:sz w:val="24"/>
          <w:szCs w:val="24"/>
          <w:color w:val="auto"/>
        </w:rPr>
      </w:pPr>
    </w:p>
    <w:p>
      <w:pPr>
        <w:sectPr>
          <w:pgSz w:w="11900" w:h="16838" w:orient="portrait"/>
          <w:cols w:equalWidth="0" w:num="2">
            <w:col w:w="6300" w:space="720"/>
            <w:col w:w="3200"/>
          </w:cols>
          <w:pgMar w:left="1440" w:top="229" w:right="239" w:bottom="1440" w:gutter="0" w:footer="0" w:header="0"/>
          <w:type w:val="continuous"/>
        </w:sectPr>
      </w:pPr>
    </w:p>
    <w:p>
      <w:pPr>
        <w:spacing w:after="0" w:line="11" w:lineRule="exact"/>
        <w:rPr>
          <w:sz w:val="24"/>
          <w:szCs w:val="24"/>
          <w:color w:val="auto"/>
        </w:rPr>
      </w:pPr>
    </w:p>
    <w:p>
      <w:pPr>
        <w:ind w:left="760"/>
        <w:spacing w:after="0"/>
        <w:rPr>
          <w:sz w:val="20"/>
          <w:szCs w:val="20"/>
          <w:color w:val="auto"/>
        </w:rPr>
      </w:pPr>
      <w:r>
        <w:rPr>
          <w:rFonts w:ascii="Arial" w:cs="Arial" w:eastAsia="Arial" w:hAnsi="Arial"/>
          <w:sz w:val="13"/>
          <w:szCs w:val="13"/>
          <w:b w:val="1"/>
          <w:bCs w:val="1"/>
          <w:color w:val="auto"/>
        </w:rPr>
        <w:t>(State or Other Jurisdiction of</w:t>
      </w:r>
    </w:p>
    <w:p>
      <w:pPr>
        <w:ind w:left="7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6160" w:space="720"/>
            <w:col w:w="3340"/>
          </w:cols>
          <w:pgMar w:left="1440" w:top="229" w:right="239" w:bottom="1440" w:gutter="0" w:footer="0" w:header="0"/>
          <w:type w:val="continuous"/>
        </w:sectPr>
      </w:pPr>
    </w:p>
    <w:p>
      <w:pPr>
        <w:spacing w:after="0" w:line="17"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777 Old Saw Mill River Road</w:t>
      </w:r>
    </w:p>
    <w:p>
      <w:pPr>
        <w:spacing w:after="0" w:line="27"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Tarrytown, NY 10591-6707</w:t>
      </w:r>
    </w:p>
    <w:p>
      <w:pPr>
        <w:spacing w:after="0" w:line="2" w:lineRule="exact"/>
        <w:rPr>
          <w:sz w:val="24"/>
          <w:szCs w:val="24"/>
          <w:color w:val="auto"/>
        </w:rPr>
      </w:pPr>
    </w:p>
    <w:p>
      <w:pPr>
        <w:ind w:left="2940"/>
        <w:spacing w:after="0"/>
        <w:rPr>
          <w:sz w:val="20"/>
          <w:szCs w:val="20"/>
          <w:color w:val="auto"/>
        </w:rPr>
      </w:pPr>
      <w:r>
        <w:rPr>
          <w:rFonts w:ascii="Arial" w:cs="Arial" w:eastAsia="Arial" w:hAnsi="Arial"/>
          <w:sz w:val="13"/>
          <w:szCs w:val="13"/>
          <w:b w:val="1"/>
          <w:bCs w:val="1"/>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234950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220"/>
          </w:cols>
          <w:pgMar w:left="1440" w:top="229" w:right="239" w:bottom="1440" w:gutter="0" w:footer="0" w:header="0"/>
          <w:type w:val="continuous"/>
        </w:sectPr>
      </w:pPr>
    </w:p>
    <w:p>
      <w:pPr>
        <w:spacing w:after="0" w:line="200" w:lineRule="exact"/>
        <w:rPr>
          <w:sz w:val="24"/>
          <w:szCs w:val="24"/>
          <w:color w:val="auto"/>
        </w:rPr>
      </w:pPr>
    </w:p>
    <w:p>
      <w:pPr>
        <w:spacing w:after="0" w:line="38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Second Amended and Restated 2000 Long-Term Incentive Plan</w:t>
      </w:r>
    </w:p>
    <w:p>
      <w:pPr>
        <w:spacing w:after="0" w:line="25" w:lineRule="exact"/>
        <w:rPr>
          <w:sz w:val="24"/>
          <w:szCs w:val="24"/>
          <w:color w:val="auto"/>
        </w:rPr>
      </w:pPr>
    </w:p>
    <w:p>
      <w:pPr>
        <w:ind w:left="3840"/>
        <w:spacing w:after="0"/>
        <w:rPr>
          <w:sz w:val="20"/>
          <w:szCs w:val="20"/>
          <w:color w:val="auto"/>
        </w:rPr>
      </w:pPr>
      <w:r>
        <w:rPr>
          <w:rFonts w:ascii="Arial" w:cs="Arial" w:eastAsia="Arial" w:hAnsi="Arial"/>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Joseph J. LaRosa, Esq.</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Senior Vice President, General Counsel and Secretary</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Regeneron Pharmaceuticals, Inc.</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777 Old Saw Mill River Road</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Tarrytown, New York 10591-6707</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(914) 847-7000</w:t>
      </w:r>
    </w:p>
    <w:p>
      <w:pPr>
        <w:spacing w:after="0" w:line="2" w:lineRule="exact"/>
        <w:rPr>
          <w:sz w:val="24"/>
          <w:szCs w:val="24"/>
          <w:color w:val="auto"/>
        </w:rPr>
      </w:pPr>
    </w:p>
    <w:p>
      <w:pPr>
        <w:jc w:val="center"/>
        <w:ind w:right="1200"/>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9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(914) 347-7000</w:t>
      </w:r>
    </w:p>
    <w:p>
      <w:pPr>
        <w:spacing w:after="0" w:line="21" w:lineRule="exact"/>
        <w:rPr>
          <w:sz w:val="24"/>
          <w:szCs w:val="24"/>
          <w:color w:val="auto"/>
        </w:rPr>
      </w:pPr>
    </w:p>
    <w:p>
      <w:pPr>
        <w:ind w:left="2560"/>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219075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220"/>
          </w:cols>
          <w:pgMar w:left="1440" w:top="22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David J. Goldschmidt, Esq.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Skadden, Arps, Slate, Meagher &amp; Flom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 Times Square</w:t>
      </w:r>
    </w:p>
    <w:p>
      <w:pPr>
        <w:spacing w:after="0" w:line="20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New York, New York 10036</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Telephone: (212) 735-3000</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Facsimile: (212) 735-2000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7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500" w:type="dxa"/>
            <w:vAlign w:val="bottom"/>
          </w:tcPr>
          <w:p>
            <w:pPr>
              <w:ind w:left="33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40" w:type="dxa"/>
            <w:vAlign w:val="bottom"/>
          </w:tcPr>
          <w:p>
            <w:pPr>
              <w:spacing w:after="0"/>
              <w:rPr>
                <w:sz w:val="20"/>
                <w:szCs w:val="20"/>
                <w:color w:val="auto"/>
              </w:rPr>
            </w:pPr>
            <w:r>
              <w:rPr>
                <w:rFonts w:ascii="Arial" w:cs="Arial" w:eastAsia="Arial" w:hAnsi="Arial"/>
                <w:sz w:val="18"/>
                <w:szCs w:val="18"/>
                <w:color w:val="auto"/>
              </w:rPr>
              <w:t>Non-Accelerated filer</w:t>
            </w:r>
          </w:p>
        </w:tc>
        <w:tc>
          <w:tcPr>
            <w:tcW w:w="37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500" w:type="dxa"/>
            <w:vAlign w:val="bottom"/>
          </w:tcPr>
          <w:p>
            <w:pPr>
              <w:ind w:left="33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0"/>
        </w:trPr>
        <w:tc>
          <w:tcPr>
            <w:tcW w:w="184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55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r>
      <w:tr>
        <w:trPr>
          <w:trHeight w:val="48"/>
        </w:trPr>
        <w:tc>
          <w:tcPr>
            <w:tcW w:w="1840" w:type="dxa"/>
            <w:vAlign w:val="bottom"/>
            <w:tcBorders>
              <w:bottom w:val="single" w:sz="8" w:color="auto"/>
            </w:tcBorders>
          </w:tcPr>
          <w:p>
            <w:pPr>
              <w:spacing w:after="0"/>
              <w:rPr>
                <w:sz w:val="4"/>
                <w:szCs w:val="4"/>
                <w:color w:val="auto"/>
              </w:rPr>
            </w:pPr>
          </w:p>
        </w:tc>
        <w:tc>
          <w:tcPr>
            <w:tcW w:w="3700" w:type="dxa"/>
            <w:vAlign w:val="bottom"/>
            <w:tcBorders>
              <w:bottom w:val="single" w:sz="8" w:color="auto"/>
            </w:tcBorders>
          </w:tcPr>
          <w:p>
            <w:pPr>
              <w:spacing w:after="0"/>
              <w:rPr>
                <w:sz w:val="4"/>
                <w:szCs w:val="4"/>
                <w:color w:val="auto"/>
              </w:rPr>
            </w:pPr>
          </w:p>
        </w:tc>
        <w:tc>
          <w:tcPr>
            <w:tcW w:w="55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This Post-Effective Amendment No. 1 (this “</w:t>
      </w:r>
      <w:r>
        <w:rPr>
          <w:rFonts w:ascii="Arial" w:cs="Arial" w:eastAsia="Arial" w:hAnsi="Arial"/>
          <w:sz w:val="16"/>
          <w:szCs w:val="16"/>
          <w:u w:val="single" w:color="auto"/>
          <w:color w:val="auto"/>
        </w:rPr>
        <w:t>Post-Effective Amendment</w:t>
      </w:r>
      <w:r>
        <w:rPr>
          <w:rFonts w:ascii="Arial" w:cs="Arial" w:eastAsia="Arial" w:hAnsi="Arial"/>
          <w:sz w:val="16"/>
          <w:szCs w:val="16"/>
          <w:color w:val="auto"/>
        </w:rPr>
        <w:t>”) relates to the Registration Statement on Form S-8 (Registration No. 333-174863) (the “</w:t>
      </w:r>
      <w:r>
        <w:rPr>
          <w:rFonts w:ascii="Arial" w:cs="Arial" w:eastAsia="Arial" w:hAnsi="Arial"/>
          <w:sz w:val="16"/>
          <w:szCs w:val="16"/>
          <w:u w:val="single" w:color="auto"/>
          <w:color w:val="auto"/>
        </w:rPr>
        <w:t>Prior Registration Statement</w:t>
      </w:r>
      <w:r>
        <w:rPr>
          <w:rFonts w:ascii="Arial" w:cs="Arial" w:eastAsia="Arial" w:hAnsi="Arial"/>
          <w:sz w:val="16"/>
          <w:szCs w:val="16"/>
          <w:color w:val="auto"/>
        </w:rPr>
        <w:t>”) of Regeneron Pharmaceuticals, Inc. (“</w:t>
      </w:r>
      <w:r>
        <w:rPr>
          <w:rFonts w:ascii="Arial" w:cs="Arial" w:eastAsia="Arial" w:hAnsi="Arial"/>
          <w:sz w:val="16"/>
          <w:szCs w:val="16"/>
          <w:u w:val="single" w:color="auto"/>
          <w:color w:val="auto"/>
        </w:rPr>
        <w:t>Regeneron</w:t>
      </w:r>
      <w:r>
        <w:rPr>
          <w:rFonts w:ascii="Arial" w:cs="Arial" w:eastAsia="Arial" w:hAnsi="Arial"/>
          <w:sz w:val="16"/>
          <w:szCs w:val="16"/>
          <w:color w:val="auto"/>
        </w:rPr>
        <w:t>,” the “</w:t>
      </w:r>
      <w:r>
        <w:rPr>
          <w:rFonts w:ascii="Arial" w:cs="Arial" w:eastAsia="Arial" w:hAnsi="Arial"/>
          <w:sz w:val="16"/>
          <w:szCs w:val="16"/>
          <w:u w:val="single" w:color="auto"/>
          <w:color w:val="auto"/>
        </w:rPr>
        <w:t>Company</w:t>
      </w:r>
      <w:r>
        <w:rPr>
          <w:rFonts w:ascii="Arial" w:cs="Arial" w:eastAsia="Arial" w:hAnsi="Arial"/>
          <w:sz w:val="16"/>
          <w:szCs w:val="16"/>
          <w:color w:val="auto"/>
        </w:rPr>
        <w:t>” or the “</w:t>
      </w:r>
      <w:r>
        <w:rPr>
          <w:rFonts w:ascii="Arial" w:cs="Arial" w:eastAsia="Arial" w:hAnsi="Arial"/>
          <w:sz w:val="16"/>
          <w:szCs w:val="16"/>
          <w:u w:val="single" w:color="auto"/>
          <w:color w:val="auto"/>
        </w:rPr>
        <w:t>Registrant</w:t>
      </w:r>
      <w:r>
        <w:rPr>
          <w:rFonts w:ascii="Arial" w:cs="Arial" w:eastAsia="Arial" w:hAnsi="Arial"/>
          <w:sz w:val="16"/>
          <w:szCs w:val="16"/>
          <w:color w:val="auto"/>
        </w:rPr>
        <w:t>”) filed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on June 13, 2011. The Company is filing this Post-Effective Amendment to deregister certain shares of Regeneron common stock, par value $0.001 per share (“</w:t>
      </w:r>
      <w:r>
        <w:rPr>
          <w:rFonts w:ascii="Arial" w:cs="Arial" w:eastAsia="Arial" w:hAnsi="Arial"/>
          <w:sz w:val="16"/>
          <w:szCs w:val="16"/>
          <w:u w:val="single" w:color="auto"/>
          <w:color w:val="auto"/>
        </w:rPr>
        <w:t>Common Stock</w:t>
      </w:r>
      <w:r>
        <w:rPr>
          <w:rFonts w:ascii="Arial" w:cs="Arial" w:eastAsia="Arial" w:hAnsi="Arial"/>
          <w:sz w:val="16"/>
          <w:szCs w:val="16"/>
          <w:color w:val="auto"/>
        </w:rPr>
        <w:t>”), previously registered pursuant to the Prior Registration Statement.</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PARTIAL DEREGISTRATION AND REALLOCATION OF SHARES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previously filed the Prior Registration Statement to register shares issuable under the Regeneron Pharmaceuticals, Inc. Second Amended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Restated 2000 Long-Term Incentive Plan (the “</w:t>
      </w:r>
      <w:r>
        <w:rPr>
          <w:rFonts w:ascii="Arial" w:cs="Arial" w:eastAsia="Arial" w:hAnsi="Arial"/>
          <w:sz w:val="16"/>
          <w:szCs w:val="16"/>
          <w:u w:val="single" w:color="auto"/>
          <w:color w:val="auto"/>
        </w:rPr>
        <w:t>2000 Plan</w:t>
      </w:r>
      <w:r>
        <w:rPr>
          <w:rFonts w:ascii="Arial" w:cs="Arial" w:eastAsia="Arial" w:hAnsi="Arial"/>
          <w:sz w:val="16"/>
          <w:szCs w:val="16"/>
          <w:color w:val="auto"/>
        </w:rPr>
        <w:t>”). At the 2014 Annual Meeting of Shareholders of the Company held on June 13, 2014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Approval Date</w:t>
      </w:r>
      <w:r>
        <w:rPr>
          <w:rFonts w:ascii="Arial" w:cs="Arial" w:eastAsia="Arial" w:hAnsi="Arial"/>
          <w:sz w:val="16"/>
          <w:szCs w:val="16"/>
          <w:color w:val="auto"/>
        </w:rPr>
        <w:t>”), the Company’s shareholders approved the Regeneron Pharmaceuticals, Inc. 2014 Long-Term Incentive Plan (the “</w:t>
      </w:r>
      <w:r>
        <w:rPr>
          <w:rFonts w:ascii="Arial" w:cs="Arial" w:eastAsia="Arial" w:hAnsi="Arial"/>
          <w:sz w:val="16"/>
          <w:szCs w:val="16"/>
          <w:u w:val="single" w:color="auto"/>
          <w:color w:val="auto"/>
        </w:rPr>
        <w:t>2014 Plan</w:t>
      </w:r>
      <w:r>
        <w:rPr>
          <w:rFonts w:ascii="Arial" w:cs="Arial" w:eastAsia="Arial" w:hAnsi="Arial"/>
          <w:sz w:val="16"/>
          <w:szCs w:val="16"/>
          <w:color w:val="auto"/>
        </w:rPr>
        <w:t>”).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terms of the 2014 Plan, 4,456,631 shares (the “</w:t>
      </w:r>
      <w:r>
        <w:rPr>
          <w:rFonts w:ascii="Arial" w:cs="Arial" w:eastAsia="Arial" w:hAnsi="Arial"/>
          <w:sz w:val="16"/>
          <w:szCs w:val="16"/>
          <w:u w:val="single" w:color="auto"/>
          <w:color w:val="auto"/>
        </w:rPr>
        <w:t>Rollover Shares</w:t>
      </w:r>
      <w:r>
        <w:rPr>
          <w:rFonts w:ascii="Arial" w:cs="Arial" w:eastAsia="Arial" w:hAnsi="Arial"/>
          <w:sz w:val="16"/>
          <w:szCs w:val="16"/>
          <w:color w:val="auto"/>
        </w:rPr>
        <w:t>”) of Common Stock have been rolled over into the 2014 Plan from the 2000 Plan; 28,702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(the “</w:t>
      </w:r>
      <w:r>
        <w:rPr>
          <w:rFonts w:ascii="Arial" w:cs="Arial" w:eastAsia="Arial" w:hAnsi="Arial"/>
          <w:sz w:val="16"/>
          <w:szCs w:val="16"/>
          <w:u w:val="single" w:color="auto"/>
          <w:color w:val="auto"/>
        </w:rPr>
        <w:t>Returned Shares</w:t>
      </w:r>
      <w:r>
        <w:rPr>
          <w:rFonts w:ascii="Arial" w:cs="Arial" w:eastAsia="Arial" w:hAnsi="Arial"/>
          <w:sz w:val="16"/>
          <w:szCs w:val="16"/>
          <w:color w:val="auto"/>
        </w:rPr>
        <w:t>”) underlying previously granted awards under the 2000 Plan, and subsequently returned to the 2000 Plan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accordance with its terms, have been rolled over into the 2014 Plan from the 2000 Plan; and up to an additional 20,560,315 shares of Common Stock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Carryover Shares</w:t>
      </w:r>
      <w:r>
        <w:rPr>
          <w:rFonts w:ascii="Arial" w:cs="Arial" w:eastAsia="Arial" w:hAnsi="Arial"/>
          <w:sz w:val="16"/>
          <w:szCs w:val="16"/>
          <w:color w:val="auto"/>
        </w:rPr>
        <w:t>”) subject to outstanding awards under the 2000 Plan as of the date immediately preceding the Approval Date that (A) remain unissued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upon the cancellation, surrender, exchange or termination of any such award for any reason whatsoever or are forfeited, (B) are delivered (or deliverable)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pursuant to an exercise of an option to purchase Common Stock and received (or retained) by the Company (whether by actual delivery or attestation)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 of the option exercise price or (C) are received (or retained) by the Company (whether by actual delivery, attestation or otherwise) in connection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the exercise, vesting or delivery of such award granted under the 2000 Plan in respect of tax withholding or other similar tax obligation will become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issuable under the 2014 Plan. The Rollover Shares, the Returned Shares and the Carryover Shares are collectively referred to in this Post-Effective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Amendment as the “</w:t>
      </w:r>
      <w:r>
        <w:rPr>
          <w:rFonts w:ascii="Arial" w:cs="Arial" w:eastAsia="Arial" w:hAnsi="Arial"/>
          <w:sz w:val="18"/>
          <w:szCs w:val="18"/>
          <w:u w:val="single" w:color="auto"/>
          <w:color w:val="auto"/>
        </w:rPr>
        <w:t>Reallocated Shares</w:t>
      </w:r>
      <w:r>
        <w:rPr>
          <w:rFonts w:ascii="Arial" w:cs="Arial" w:eastAsia="Arial" w:hAnsi="Arial"/>
          <w:sz w:val="18"/>
          <w:szCs w:val="18"/>
          <w:color w:val="auto"/>
        </w:rPr>
        <w:t>.”</w:t>
      </w:r>
    </w:p>
    <w:p>
      <w:pPr>
        <w:spacing w:after="0" w:line="211"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No additional awards may be made under the 2000 Plan and new awards may only be made under the 2014 Plan. Contemporaneously with the filing of this Post-Effective Amendment, the Company is filing a new Registration Statement on Form S-8 (the “</w:t>
      </w:r>
      <w:r>
        <w:rPr>
          <w:rFonts w:ascii="Arial" w:cs="Arial" w:eastAsia="Arial" w:hAnsi="Arial"/>
          <w:sz w:val="16"/>
          <w:szCs w:val="16"/>
          <w:u w:val="single" w:color="auto"/>
          <w:color w:val="auto"/>
        </w:rPr>
        <w:t>New Registration Statement</w:t>
      </w:r>
      <w:r>
        <w:rPr>
          <w:rFonts w:ascii="Arial" w:cs="Arial" w:eastAsia="Arial" w:hAnsi="Arial"/>
          <w:sz w:val="16"/>
          <w:szCs w:val="16"/>
          <w:color w:val="auto"/>
        </w:rPr>
        <w:t>”) to register the Rollover Shares, the Returned Shares and, when they become eligible for issuance as described above, the Carryover Shares. In accordance with Instruction E to the General Instructions to Form S-8 and the principles set forth in Interpretation 89 under Section G of the Manual of Publicly Available Telephone Interpretations of the Commission Division of Corporate Finance (July 1997), this Post-Effective Amendment is being filed to (i) deregister the Rollover Shares and the Returned Shares, effective upon the filing of this Post-Effective Amendment, and the Carryover Shares, effective automatically upon and to the extent of the Carryover Shares becoming eligible for issuance under the 2000 Plan pursuant to the terms thereof and the applicable award agreements, and</w:t>
      </w:r>
    </w:p>
    <w:p>
      <w:pPr>
        <w:spacing w:after="0" w:line="3" w:lineRule="exact"/>
        <w:rPr>
          <w:sz w:val="20"/>
          <w:szCs w:val="20"/>
          <w:color w:val="auto"/>
        </w:rPr>
      </w:pPr>
    </w:p>
    <w:p>
      <w:pPr>
        <w:ind w:firstLine="8"/>
        <w:spacing w:after="0" w:line="255" w:lineRule="auto"/>
        <w:tabs>
          <w:tab w:leader="none" w:pos="265" w:val="left"/>
        </w:tabs>
        <w:numPr>
          <w:ilvl w:val="0"/>
          <w:numId w:val="1"/>
        </w:numPr>
        <w:rPr>
          <w:rFonts w:ascii="Arial" w:cs="Arial" w:eastAsia="Arial" w:hAnsi="Arial"/>
          <w:sz w:val="18"/>
          <w:szCs w:val="18"/>
          <w:color w:val="auto"/>
        </w:rPr>
      </w:pPr>
      <w:r>
        <w:rPr>
          <w:rFonts w:ascii="Arial" w:cs="Arial" w:eastAsia="Arial" w:hAnsi="Arial"/>
          <w:sz w:val="18"/>
          <w:szCs w:val="18"/>
          <w:color w:val="auto"/>
        </w:rPr>
        <w:t>reflect the reallocation and carrying forward of the Reallocated Shares, effective upon the deregistration thereof, together with the associated registration fees previously paid in respect of the registration of the Reallocated Shares pursuant to the Prior Registration Statement, from the Prior Registration Statement to the New Registration Statement.</w:t>
      </w:r>
    </w:p>
    <w:p>
      <w:pPr>
        <w:spacing w:after="0" w:line="1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Prior Registration Statement will remain in effect to cover the potential issuance of shares of Common Stock upon the exercise of the awards granted under the 2000 Plan to which the Carryover Shares are subject until such time as, and to the extent that, the Carryover Shares become available for issuance under the 2000 Plan and, as described above, will become issuable under the 2014 Plan and will automatically be deregistered from the Prior Registration Statement and reallocated and carried forward to the New Registration Statement.</w:t>
      </w:r>
    </w:p>
    <w:p>
      <w:pPr>
        <w:sectPr>
          <w:pgSz w:w="11900" w:h="16838" w:orient="portrait"/>
          <w:cols w:equalWidth="0" w:num="1">
            <w:col w:w="11420"/>
          </w:cols>
          <w:pgMar w:left="240" w:top="270"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Post-Effective Amendment to be signed on its behalf by the undersigned, thereunto duly authorized, in the Town of Greenburgh, State of New York, on June 16, 2014.</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14605</wp:posOffset>
            </wp:positionV>
            <wp:extent cx="27184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Leonard S. Schleifer, M.D., Ph.D.</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each of Leonard S. Schleifer, Robert E. Landry, Douglas S. McCorkle and Joseph J. LaRosa, as his or her true and lawful attorney-in-fact and agent, each acting along with full power of substitution and resubstitution, for him or her and in his or her name, place and stead, in any and all capacities, to sign any or all amendments (including post-effective amendments) and exhibits to the Registration Statement to which this Post-Effective Amendment relates,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7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Post-Effective Amendment has been signed by the following persons in the capacities indicated on June 16, 2014.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1800" w:type="dxa"/>
            <w:vAlign w:val="bottom"/>
          </w:tcPr>
          <w:p>
            <w:pPr>
              <w:spacing w:after="0"/>
              <w:rPr>
                <w:sz w:val="14"/>
                <w:szCs w:val="14"/>
                <w:color w:val="auto"/>
              </w:rPr>
            </w:pPr>
          </w:p>
        </w:tc>
        <w:tc>
          <w:tcPr>
            <w:tcW w:w="5860" w:type="dxa"/>
            <w:vAlign w:val="bottom"/>
            <w:gridSpan w:val="3"/>
          </w:tcPr>
          <w:p>
            <w:pPr>
              <w:ind w:left="3140"/>
              <w:spacing w:after="0"/>
              <w:rPr>
                <w:sz w:val="20"/>
                <w:szCs w:val="20"/>
                <w:color w:val="auto"/>
              </w:rPr>
            </w:pPr>
            <w:r>
              <w:rPr>
                <w:rFonts w:ascii="Arial" w:cs="Arial" w:eastAsia="Arial" w:hAnsi="Arial"/>
                <w:sz w:val="14"/>
                <w:szCs w:val="14"/>
                <w:b w:val="1"/>
                <w:bCs w:val="1"/>
                <w:color w:val="auto"/>
              </w:rPr>
              <w:t>Title</w:t>
            </w:r>
          </w:p>
        </w:tc>
        <w:tc>
          <w:tcPr>
            <w:tcW w:w="6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r>
      <w:tr>
        <w:trPr>
          <w:trHeight w:val="20"/>
        </w:trPr>
        <w:tc>
          <w:tcPr>
            <w:tcW w:w="18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18"/>
        </w:trPr>
        <w:tc>
          <w:tcPr>
            <w:tcW w:w="42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LEONARD S. SCHLEIFER</w:t>
            </w:r>
          </w:p>
        </w:tc>
        <w:tc>
          <w:tcPr>
            <w:tcW w:w="5860" w:type="dxa"/>
            <w:vAlign w:val="bottom"/>
            <w:gridSpan w:val="3"/>
          </w:tcPr>
          <w:p>
            <w:pPr>
              <w:ind w:left="600"/>
              <w:spacing w:after="0"/>
              <w:rPr>
                <w:sz w:val="20"/>
                <w:szCs w:val="20"/>
                <w:color w:val="auto"/>
              </w:rPr>
            </w:pPr>
            <w:r>
              <w:rPr>
                <w:rFonts w:ascii="Arial" w:cs="Arial" w:eastAsia="Arial" w:hAnsi="Arial"/>
                <w:sz w:val="18"/>
                <w:szCs w:val="18"/>
                <w:i w:val="1"/>
                <w:iCs w:val="1"/>
                <w:color w:val="auto"/>
              </w:rPr>
              <w:t>President, Chief Executive Officer, and Director</w:t>
            </w:r>
          </w:p>
        </w:tc>
        <w:tc>
          <w:tcPr>
            <w:tcW w:w="1220" w:type="dxa"/>
            <w:vAlign w:val="bottom"/>
            <w:gridSpan w:val="3"/>
          </w:tcPr>
          <w:p>
            <w:pPr>
              <w:ind w:left="200"/>
              <w:spacing w:after="0"/>
              <w:rPr>
                <w:sz w:val="20"/>
                <w:szCs w:val="20"/>
                <w:color w:val="auto"/>
              </w:rPr>
            </w:pPr>
            <w:r>
              <w:rPr>
                <w:rFonts w:ascii="Arial" w:cs="Arial" w:eastAsia="Arial" w:hAnsi="Arial"/>
                <w:sz w:val="18"/>
                <w:szCs w:val="18"/>
                <w:color w:val="auto"/>
                <w:w w:val="87"/>
              </w:rPr>
              <w:t>June 16, 2014</w:t>
            </w:r>
          </w:p>
        </w:tc>
      </w:tr>
      <w:tr>
        <w:trPr>
          <w:trHeight w:val="224"/>
        </w:trPr>
        <w:tc>
          <w:tcPr>
            <w:tcW w:w="4220" w:type="dxa"/>
            <w:vAlign w:val="bottom"/>
            <w:gridSpan w:val="3"/>
          </w:tcPr>
          <w:p>
            <w:pPr>
              <w:spacing w:after="0"/>
              <w:rPr>
                <w:sz w:val="20"/>
                <w:szCs w:val="20"/>
                <w:color w:val="auto"/>
              </w:rPr>
            </w:pPr>
            <w:r>
              <w:rPr>
                <w:rFonts w:ascii="Arial" w:cs="Arial" w:eastAsia="Arial" w:hAnsi="Arial"/>
                <w:sz w:val="18"/>
                <w:szCs w:val="18"/>
                <w:color w:val="auto"/>
              </w:rPr>
              <w:t>Leonard S. Schleifer, M.D., Ph.D.</w:t>
            </w:r>
          </w:p>
        </w:tc>
        <w:tc>
          <w:tcPr>
            <w:tcW w:w="5860" w:type="dxa"/>
            <w:vAlign w:val="bottom"/>
            <w:gridSpan w:val="3"/>
          </w:tcPr>
          <w:p>
            <w:pPr>
              <w:ind w:left="600"/>
              <w:spacing w:after="0"/>
              <w:rPr>
                <w:sz w:val="20"/>
                <w:szCs w:val="20"/>
                <w:color w:val="auto"/>
              </w:rPr>
            </w:pPr>
            <w:r>
              <w:rPr>
                <w:rFonts w:ascii="Arial" w:cs="Arial" w:eastAsia="Arial" w:hAnsi="Arial"/>
                <w:sz w:val="18"/>
                <w:szCs w:val="18"/>
                <w:i w:val="1"/>
                <w:iCs w:val="1"/>
                <w:color w:val="auto"/>
              </w:rPr>
              <w:t>(Principal Executive Officer)</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1"/>
        </w:trPr>
        <w:tc>
          <w:tcPr>
            <w:tcW w:w="42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ROBERT E. LANDRY</w:t>
            </w:r>
          </w:p>
        </w:tc>
        <w:tc>
          <w:tcPr>
            <w:tcW w:w="5860" w:type="dxa"/>
            <w:vAlign w:val="bottom"/>
            <w:gridSpan w:val="3"/>
          </w:tcPr>
          <w:p>
            <w:pPr>
              <w:ind w:left="600"/>
              <w:spacing w:after="0"/>
              <w:rPr>
                <w:sz w:val="20"/>
                <w:szCs w:val="20"/>
                <w:color w:val="auto"/>
              </w:rPr>
            </w:pPr>
            <w:r>
              <w:rPr>
                <w:rFonts w:ascii="Arial" w:cs="Arial" w:eastAsia="Arial" w:hAnsi="Arial"/>
                <w:sz w:val="18"/>
                <w:szCs w:val="18"/>
                <w:i w:val="1"/>
                <w:iCs w:val="1"/>
                <w:color w:val="auto"/>
                <w:w w:val="96"/>
              </w:rPr>
              <w:t>Senior Vice President, Finance and Chief Financial Officer (Principal</w:t>
            </w:r>
          </w:p>
        </w:tc>
        <w:tc>
          <w:tcPr>
            <w:tcW w:w="1220" w:type="dxa"/>
            <w:vAlign w:val="bottom"/>
            <w:gridSpan w:val="3"/>
          </w:tcPr>
          <w:p>
            <w:pPr>
              <w:ind w:left="200"/>
              <w:spacing w:after="0"/>
              <w:rPr>
                <w:sz w:val="20"/>
                <w:szCs w:val="20"/>
                <w:color w:val="auto"/>
              </w:rPr>
            </w:pPr>
            <w:r>
              <w:rPr>
                <w:rFonts w:ascii="Arial" w:cs="Arial" w:eastAsia="Arial" w:hAnsi="Arial"/>
                <w:sz w:val="18"/>
                <w:szCs w:val="18"/>
                <w:color w:val="auto"/>
                <w:w w:val="87"/>
              </w:rPr>
              <w:t>June 16, 2014</w:t>
            </w:r>
          </w:p>
        </w:tc>
      </w:tr>
      <w:tr>
        <w:trPr>
          <w:trHeight w:val="224"/>
        </w:trPr>
        <w:tc>
          <w:tcPr>
            <w:tcW w:w="4220" w:type="dxa"/>
            <w:vAlign w:val="bottom"/>
            <w:gridSpan w:val="3"/>
          </w:tcPr>
          <w:p>
            <w:pPr>
              <w:spacing w:after="0"/>
              <w:rPr>
                <w:sz w:val="20"/>
                <w:szCs w:val="20"/>
                <w:color w:val="auto"/>
              </w:rPr>
            </w:pPr>
            <w:r>
              <w:rPr>
                <w:rFonts w:ascii="Arial" w:cs="Arial" w:eastAsia="Arial" w:hAnsi="Arial"/>
                <w:sz w:val="18"/>
                <w:szCs w:val="18"/>
                <w:color w:val="auto"/>
              </w:rPr>
              <w:t>Robert E. Landry</w:t>
            </w:r>
          </w:p>
        </w:tc>
        <w:tc>
          <w:tcPr>
            <w:tcW w:w="5860" w:type="dxa"/>
            <w:vAlign w:val="bottom"/>
            <w:gridSpan w:val="3"/>
          </w:tcPr>
          <w:p>
            <w:pPr>
              <w:ind w:left="600"/>
              <w:spacing w:after="0"/>
              <w:rPr>
                <w:sz w:val="20"/>
                <w:szCs w:val="20"/>
                <w:color w:val="auto"/>
              </w:rPr>
            </w:pPr>
            <w:r>
              <w:rPr>
                <w:rFonts w:ascii="Arial" w:cs="Arial" w:eastAsia="Arial" w:hAnsi="Arial"/>
                <w:sz w:val="18"/>
                <w:szCs w:val="18"/>
                <w:i w:val="1"/>
                <w:iCs w:val="1"/>
                <w:color w:val="auto"/>
              </w:rPr>
              <w:t>Financial Officer)</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1"/>
        </w:trPr>
        <w:tc>
          <w:tcPr>
            <w:tcW w:w="42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DOUGLAS S. McCORKLE</w:t>
            </w:r>
          </w:p>
        </w:tc>
        <w:tc>
          <w:tcPr>
            <w:tcW w:w="5860" w:type="dxa"/>
            <w:vAlign w:val="bottom"/>
            <w:gridSpan w:val="3"/>
          </w:tcPr>
          <w:p>
            <w:pPr>
              <w:ind w:left="600"/>
              <w:spacing w:after="0"/>
              <w:rPr>
                <w:sz w:val="20"/>
                <w:szCs w:val="20"/>
                <w:color w:val="auto"/>
              </w:rPr>
            </w:pPr>
            <w:r>
              <w:rPr>
                <w:rFonts w:ascii="Arial" w:cs="Arial" w:eastAsia="Arial" w:hAnsi="Arial"/>
                <w:sz w:val="18"/>
                <w:szCs w:val="18"/>
                <w:i w:val="1"/>
                <w:iCs w:val="1"/>
                <w:color w:val="auto"/>
              </w:rPr>
              <w:t>Vice President, Controller, and Assistant Treasurer</w:t>
            </w:r>
          </w:p>
        </w:tc>
        <w:tc>
          <w:tcPr>
            <w:tcW w:w="1220" w:type="dxa"/>
            <w:vAlign w:val="bottom"/>
            <w:gridSpan w:val="3"/>
          </w:tcPr>
          <w:p>
            <w:pPr>
              <w:ind w:left="200"/>
              <w:spacing w:after="0"/>
              <w:rPr>
                <w:sz w:val="20"/>
                <w:szCs w:val="20"/>
                <w:color w:val="auto"/>
              </w:rPr>
            </w:pPr>
            <w:r>
              <w:rPr>
                <w:rFonts w:ascii="Arial" w:cs="Arial" w:eastAsia="Arial" w:hAnsi="Arial"/>
                <w:sz w:val="18"/>
                <w:szCs w:val="18"/>
                <w:color w:val="auto"/>
                <w:w w:val="87"/>
              </w:rPr>
              <w:t>June 16, 2014</w:t>
            </w:r>
          </w:p>
        </w:tc>
      </w:tr>
      <w:tr>
        <w:trPr>
          <w:trHeight w:val="224"/>
        </w:trPr>
        <w:tc>
          <w:tcPr>
            <w:tcW w:w="4220" w:type="dxa"/>
            <w:vAlign w:val="bottom"/>
            <w:gridSpan w:val="3"/>
          </w:tcPr>
          <w:p>
            <w:pPr>
              <w:spacing w:after="0"/>
              <w:rPr>
                <w:sz w:val="20"/>
                <w:szCs w:val="20"/>
                <w:color w:val="auto"/>
              </w:rPr>
            </w:pPr>
            <w:r>
              <w:rPr>
                <w:rFonts w:ascii="Arial" w:cs="Arial" w:eastAsia="Arial" w:hAnsi="Arial"/>
                <w:sz w:val="18"/>
                <w:szCs w:val="18"/>
                <w:color w:val="auto"/>
              </w:rPr>
              <w:t>Douglas S. McCorkle</w:t>
            </w:r>
          </w:p>
        </w:tc>
        <w:tc>
          <w:tcPr>
            <w:tcW w:w="5860" w:type="dxa"/>
            <w:vAlign w:val="bottom"/>
            <w:gridSpan w:val="3"/>
          </w:tcPr>
          <w:p>
            <w:pPr>
              <w:ind w:left="600"/>
              <w:spacing w:after="0"/>
              <w:rPr>
                <w:sz w:val="20"/>
                <w:szCs w:val="20"/>
                <w:color w:val="auto"/>
              </w:rPr>
            </w:pPr>
            <w:r>
              <w:rPr>
                <w:rFonts w:ascii="Arial" w:cs="Arial" w:eastAsia="Arial" w:hAnsi="Arial"/>
                <w:sz w:val="18"/>
                <w:szCs w:val="18"/>
                <w:i w:val="1"/>
                <w:iCs w:val="1"/>
                <w:color w:val="auto"/>
              </w:rPr>
              <w:t>(Principal Accounting Officer)</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1"/>
        </w:trPr>
        <w:tc>
          <w:tcPr>
            <w:tcW w:w="42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GEORGE D. YANCOPOULOS</w:t>
            </w:r>
          </w:p>
        </w:tc>
        <w:tc>
          <w:tcPr>
            <w:tcW w:w="5860" w:type="dxa"/>
            <w:vAlign w:val="bottom"/>
            <w:gridSpan w:val="3"/>
          </w:tcPr>
          <w:p>
            <w:pPr>
              <w:ind w:left="600"/>
              <w:spacing w:after="0"/>
              <w:rPr>
                <w:sz w:val="20"/>
                <w:szCs w:val="20"/>
                <w:color w:val="auto"/>
              </w:rPr>
            </w:pPr>
            <w:r>
              <w:rPr>
                <w:rFonts w:ascii="Arial" w:cs="Arial" w:eastAsia="Arial" w:hAnsi="Arial"/>
                <w:sz w:val="18"/>
                <w:szCs w:val="18"/>
                <w:i w:val="1"/>
                <w:iCs w:val="1"/>
                <w:color w:val="auto"/>
              </w:rPr>
              <w:t>Chief Scientific Officer, President, Regeneron Laboratories,</w:t>
            </w:r>
          </w:p>
        </w:tc>
        <w:tc>
          <w:tcPr>
            <w:tcW w:w="1220" w:type="dxa"/>
            <w:vAlign w:val="bottom"/>
            <w:gridSpan w:val="3"/>
          </w:tcPr>
          <w:p>
            <w:pPr>
              <w:ind w:left="200"/>
              <w:spacing w:after="0"/>
              <w:rPr>
                <w:sz w:val="20"/>
                <w:szCs w:val="20"/>
                <w:color w:val="auto"/>
              </w:rPr>
            </w:pPr>
            <w:r>
              <w:rPr>
                <w:rFonts w:ascii="Arial" w:cs="Arial" w:eastAsia="Arial" w:hAnsi="Arial"/>
                <w:sz w:val="18"/>
                <w:szCs w:val="18"/>
                <w:color w:val="auto"/>
                <w:w w:val="87"/>
              </w:rPr>
              <w:t>June 16, 2014</w:t>
            </w:r>
          </w:p>
        </w:tc>
      </w:tr>
      <w:tr>
        <w:trPr>
          <w:trHeight w:val="224"/>
        </w:trPr>
        <w:tc>
          <w:tcPr>
            <w:tcW w:w="4220" w:type="dxa"/>
            <w:vAlign w:val="bottom"/>
            <w:gridSpan w:val="3"/>
          </w:tcPr>
          <w:p>
            <w:pPr>
              <w:spacing w:after="0"/>
              <w:rPr>
                <w:sz w:val="20"/>
                <w:szCs w:val="20"/>
                <w:color w:val="auto"/>
              </w:rPr>
            </w:pPr>
            <w:r>
              <w:rPr>
                <w:rFonts w:ascii="Arial" w:cs="Arial" w:eastAsia="Arial" w:hAnsi="Arial"/>
                <w:sz w:val="18"/>
                <w:szCs w:val="18"/>
                <w:color w:val="auto"/>
              </w:rPr>
              <w:t>George D. Yancopoulos, M.D., Ph.D.</w:t>
            </w:r>
          </w:p>
        </w:tc>
        <w:tc>
          <w:tcPr>
            <w:tcW w:w="5860" w:type="dxa"/>
            <w:vAlign w:val="bottom"/>
            <w:gridSpan w:val="3"/>
          </w:tcPr>
          <w:p>
            <w:pPr>
              <w:ind w:left="600"/>
              <w:spacing w:after="0"/>
              <w:rPr>
                <w:sz w:val="20"/>
                <w:szCs w:val="20"/>
                <w:color w:val="auto"/>
              </w:rPr>
            </w:pPr>
            <w:r>
              <w:rPr>
                <w:rFonts w:ascii="Arial" w:cs="Arial" w:eastAsia="Arial" w:hAnsi="Arial"/>
                <w:sz w:val="18"/>
                <w:szCs w:val="18"/>
                <w:i w:val="1"/>
                <w:iCs w:val="1"/>
                <w:color w:val="auto"/>
              </w:rPr>
              <w:t>and Director</w:t>
            </w: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1"/>
        </w:trPr>
        <w:tc>
          <w:tcPr>
            <w:tcW w:w="42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P. ROY VAGELOS</w:t>
            </w:r>
          </w:p>
        </w:tc>
        <w:tc>
          <w:tcPr>
            <w:tcW w:w="5860" w:type="dxa"/>
            <w:vAlign w:val="bottom"/>
            <w:gridSpan w:val="3"/>
          </w:tcPr>
          <w:p>
            <w:pPr>
              <w:ind w:left="600"/>
              <w:spacing w:after="0"/>
              <w:rPr>
                <w:sz w:val="20"/>
                <w:szCs w:val="20"/>
                <w:color w:val="auto"/>
              </w:rPr>
            </w:pPr>
            <w:r>
              <w:rPr>
                <w:rFonts w:ascii="Arial" w:cs="Arial" w:eastAsia="Arial" w:hAnsi="Arial"/>
                <w:sz w:val="18"/>
                <w:szCs w:val="18"/>
                <w:i w:val="1"/>
                <w:iCs w:val="1"/>
                <w:color w:val="auto"/>
              </w:rPr>
              <w:t>Chairman of the Board</w:t>
            </w:r>
          </w:p>
        </w:tc>
        <w:tc>
          <w:tcPr>
            <w:tcW w:w="1220" w:type="dxa"/>
            <w:vAlign w:val="bottom"/>
            <w:gridSpan w:val="3"/>
          </w:tcPr>
          <w:p>
            <w:pPr>
              <w:ind w:left="200"/>
              <w:spacing w:after="0"/>
              <w:rPr>
                <w:sz w:val="20"/>
                <w:szCs w:val="20"/>
                <w:color w:val="auto"/>
              </w:rPr>
            </w:pPr>
            <w:r>
              <w:rPr>
                <w:rFonts w:ascii="Arial" w:cs="Arial" w:eastAsia="Arial" w:hAnsi="Arial"/>
                <w:sz w:val="18"/>
                <w:szCs w:val="18"/>
                <w:color w:val="auto"/>
                <w:w w:val="87"/>
              </w:rPr>
              <w:t>June 16, 2014</w:t>
            </w:r>
          </w:p>
        </w:tc>
      </w:tr>
      <w:tr>
        <w:trPr>
          <w:trHeight w:val="224"/>
        </w:trPr>
        <w:tc>
          <w:tcPr>
            <w:tcW w:w="4220" w:type="dxa"/>
            <w:vAlign w:val="bottom"/>
            <w:gridSpan w:val="3"/>
          </w:tcPr>
          <w:p>
            <w:pPr>
              <w:spacing w:after="0"/>
              <w:rPr>
                <w:sz w:val="20"/>
                <w:szCs w:val="20"/>
                <w:color w:val="auto"/>
              </w:rPr>
            </w:pPr>
            <w:r>
              <w:rPr>
                <w:rFonts w:ascii="Arial" w:cs="Arial" w:eastAsia="Arial" w:hAnsi="Arial"/>
                <w:sz w:val="18"/>
                <w:szCs w:val="18"/>
                <w:color w:val="auto"/>
              </w:rPr>
              <w:t>P. Roy Vagelos, M.D.</w:t>
            </w:r>
          </w:p>
        </w:tc>
        <w:tc>
          <w:tcPr>
            <w:tcW w:w="3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1"/>
        </w:trPr>
        <w:tc>
          <w:tcPr>
            <w:tcW w:w="42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CHARLES A. BAKER</w:t>
            </w:r>
          </w:p>
        </w:tc>
        <w:tc>
          <w:tcPr>
            <w:tcW w:w="5860" w:type="dxa"/>
            <w:vAlign w:val="bottom"/>
            <w:gridSpan w:val="3"/>
          </w:tcPr>
          <w:p>
            <w:pPr>
              <w:ind w:left="600"/>
              <w:spacing w:after="0"/>
              <w:rPr>
                <w:sz w:val="20"/>
                <w:szCs w:val="20"/>
                <w:color w:val="auto"/>
              </w:rPr>
            </w:pPr>
            <w:r>
              <w:rPr>
                <w:rFonts w:ascii="Arial" w:cs="Arial" w:eastAsia="Arial" w:hAnsi="Arial"/>
                <w:sz w:val="18"/>
                <w:szCs w:val="18"/>
                <w:i w:val="1"/>
                <w:iCs w:val="1"/>
                <w:color w:val="auto"/>
              </w:rPr>
              <w:t>Director</w:t>
            </w:r>
          </w:p>
        </w:tc>
        <w:tc>
          <w:tcPr>
            <w:tcW w:w="1220" w:type="dxa"/>
            <w:vAlign w:val="bottom"/>
            <w:gridSpan w:val="3"/>
          </w:tcPr>
          <w:p>
            <w:pPr>
              <w:ind w:left="200"/>
              <w:spacing w:after="0"/>
              <w:rPr>
                <w:sz w:val="20"/>
                <w:szCs w:val="20"/>
                <w:color w:val="auto"/>
              </w:rPr>
            </w:pPr>
            <w:r>
              <w:rPr>
                <w:rFonts w:ascii="Arial" w:cs="Arial" w:eastAsia="Arial" w:hAnsi="Arial"/>
                <w:sz w:val="18"/>
                <w:szCs w:val="18"/>
                <w:color w:val="auto"/>
                <w:w w:val="87"/>
              </w:rPr>
              <w:t>June 16, 2014</w:t>
            </w:r>
          </w:p>
        </w:tc>
      </w:tr>
      <w:tr>
        <w:trPr>
          <w:trHeight w:val="224"/>
        </w:trPr>
        <w:tc>
          <w:tcPr>
            <w:tcW w:w="4220" w:type="dxa"/>
            <w:vAlign w:val="bottom"/>
            <w:gridSpan w:val="3"/>
          </w:tcPr>
          <w:p>
            <w:pPr>
              <w:spacing w:after="0"/>
              <w:rPr>
                <w:sz w:val="20"/>
                <w:szCs w:val="20"/>
                <w:color w:val="auto"/>
              </w:rPr>
            </w:pPr>
            <w:r>
              <w:rPr>
                <w:rFonts w:ascii="Arial" w:cs="Arial" w:eastAsia="Arial" w:hAnsi="Arial"/>
                <w:sz w:val="18"/>
                <w:szCs w:val="18"/>
                <w:color w:val="auto"/>
              </w:rPr>
              <w:t>Charles A. Baker</w:t>
            </w:r>
          </w:p>
        </w:tc>
        <w:tc>
          <w:tcPr>
            <w:tcW w:w="3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1"/>
        </w:trPr>
        <w:tc>
          <w:tcPr>
            <w:tcW w:w="42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MICHAEL S. BROWN</w:t>
            </w:r>
          </w:p>
        </w:tc>
        <w:tc>
          <w:tcPr>
            <w:tcW w:w="5860" w:type="dxa"/>
            <w:vAlign w:val="bottom"/>
            <w:gridSpan w:val="3"/>
          </w:tcPr>
          <w:p>
            <w:pPr>
              <w:ind w:left="600"/>
              <w:spacing w:after="0"/>
              <w:rPr>
                <w:sz w:val="20"/>
                <w:szCs w:val="20"/>
                <w:color w:val="auto"/>
              </w:rPr>
            </w:pPr>
            <w:r>
              <w:rPr>
                <w:rFonts w:ascii="Arial" w:cs="Arial" w:eastAsia="Arial" w:hAnsi="Arial"/>
                <w:sz w:val="18"/>
                <w:szCs w:val="18"/>
                <w:i w:val="1"/>
                <w:iCs w:val="1"/>
                <w:color w:val="auto"/>
              </w:rPr>
              <w:t>Director</w:t>
            </w:r>
          </w:p>
        </w:tc>
        <w:tc>
          <w:tcPr>
            <w:tcW w:w="1220" w:type="dxa"/>
            <w:vAlign w:val="bottom"/>
            <w:gridSpan w:val="3"/>
          </w:tcPr>
          <w:p>
            <w:pPr>
              <w:ind w:left="200"/>
              <w:spacing w:after="0"/>
              <w:rPr>
                <w:sz w:val="20"/>
                <w:szCs w:val="20"/>
                <w:color w:val="auto"/>
              </w:rPr>
            </w:pPr>
            <w:r>
              <w:rPr>
                <w:rFonts w:ascii="Arial" w:cs="Arial" w:eastAsia="Arial" w:hAnsi="Arial"/>
                <w:sz w:val="18"/>
                <w:szCs w:val="18"/>
                <w:color w:val="auto"/>
                <w:w w:val="87"/>
              </w:rPr>
              <w:t>June 16, 2014</w:t>
            </w:r>
          </w:p>
        </w:tc>
      </w:tr>
      <w:tr>
        <w:trPr>
          <w:trHeight w:val="224"/>
        </w:trPr>
        <w:tc>
          <w:tcPr>
            <w:tcW w:w="4220" w:type="dxa"/>
            <w:vAlign w:val="bottom"/>
            <w:gridSpan w:val="3"/>
          </w:tcPr>
          <w:p>
            <w:pPr>
              <w:spacing w:after="0"/>
              <w:rPr>
                <w:sz w:val="20"/>
                <w:szCs w:val="20"/>
                <w:color w:val="auto"/>
              </w:rPr>
            </w:pPr>
            <w:r>
              <w:rPr>
                <w:rFonts w:ascii="Arial" w:cs="Arial" w:eastAsia="Arial" w:hAnsi="Arial"/>
                <w:sz w:val="18"/>
                <w:szCs w:val="18"/>
                <w:color w:val="auto"/>
              </w:rPr>
              <w:t>Michael S. Brown, M.D.</w:t>
            </w:r>
          </w:p>
        </w:tc>
        <w:tc>
          <w:tcPr>
            <w:tcW w:w="3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bl>
    <w:p>
      <w:pPr>
        <w:sectPr>
          <w:pgSz w:w="11900" w:h="16838" w:orient="portrait"/>
          <w:cols w:equalWidth="0" w:num="1">
            <w:col w:w="11400"/>
          </w:cols>
          <w:pgMar w:left="240" w:top="270" w:right="25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18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1800" w:type="dxa"/>
            <w:vAlign w:val="bottom"/>
          </w:tcPr>
          <w:p>
            <w:pPr>
              <w:spacing w:after="0"/>
              <w:rPr>
                <w:sz w:val="14"/>
                <w:szCs w:val="14"/>
                <w:color w:val="auto"/>
              </w:rPr>
            </w:pPr>
          </w:p>
        </w:tc>
        <w:tc>
          <w:tcPr>
            <w:tcW w:w="2240" w:type="dxa"/>
            <w:vAlign w:val="bottom"/>
            <w:gridSpan w:val="2"/>
          </w:tcPr>
          <w:p>
            <w:pPr>
              <w:ind w:left="1960"/>
              <w:spacing w:after="0"/>
              <w:rPr>
                <w:sz w:val="20"/>
                <w:szCs w:val="20"/>
                <w:color w:val="auto"/>
              </w:rPr>
            </w:pPr>
            <w:r>
              <w:rPr>
                <w:rFonts w:ascii="Arial" w:cs="Arial" w:eastAsia="Arial" w:hAnsi="Arial"/>
                <w:sz w:val="14"/>
                <w:szCs w:val="14"/>
                <w:b w:val="1"/>
                <w:bCs w:val="1"/>
                <w:color w:val="auto"/>
                <w:w w:val="90"/>
              </w:rPr>
              <w:t>Title</w:t>
            </w:r>
          </w:p>
        </w:tc>
      </w:tr>
      <w:tr>
        <w:trPr>
          <w:trHeight w:val="20"/>
        </w:trPr>
        <w:tc>
          <w:tcPr>
            <w:tcW w:w="18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r>
      <w:tr>
        <w:trPr>
          <w:trHeight w:val="426"/>
        </w:trPr>
        <w:tc>
          <w:tcPr>
            <w:tcW w:w="42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ALFRED G. GILMAN</w:t>
            </w:r>
          </w:p>
        </w:tc>
        <w:tc>
          <w:tcPr>
            <w:tcW w:w="2240" w:type="dxa"/>
            <w:vAlign w:val="bottom"/>
            <w:gridSpan w:val="2"/>
          </w:tcPr>
          <w:p>
            <w:pPr>
              <w:ind w:left="860"/>
              <w:spacing w:after="0"/>
              <w:rPr>
                <w:sz w:val="20"/>
                <w:szCs w:val="20"/>
                <w:color w:val="auto"/>
              </w:rPr>
            </w:pPr>
            <w:r>
              <w:rPr>
                <w:rFonts w:ascii="Arial" w:cs="Arial" w:eastAsia="Arial" w:hAnsi="Arial"/>
                <w:sz w:val="18"/>
                <w:szCs w:val="18"/>
                <w:i w:val="1"/>
                <w:iCs w:val="1"/>
                <w:color w:val="auto"/>
              </w:rPr>
              <w:t>Director</w:t>
            </w:r>
          </w:p>
        </w:tc>
      </w:tr>
      <w:tr>
        <w:trPr>
          <w:trHeight w:val="224"/>
        </w:trPr>
        <w:tc>
          <w:tcPr>
            <w:tcW w:w="4220" w:type="dxa"/>
            <w:vAlign w:val="bottom"/>
            <w:gridSpan w:val="3"/>
          </w:tcPr>
          <w:p>
            <w:pPr>
              <w:spacing w:after="0"/>
              <w:rPr>
                <w:sz w:val="20"/>
                <w:szCs w:val="20"/>
                <w:color w:val="auto"/>
              </w:rPr>
            </w:pPr>
            <w:r>
              <w:rPr>
                <w:rFonts w:ascii="Arial" w:cs="Arial" w:eastAsia="Arial" w:hAnsi="Arial"/>
                <w:sz w:val="18"/>
                <w:szCs w:val="18"/>
                <w:color w:val="auto"/>
              </w:rPr>
              <w:t>Alfred G. Gilman, M.D., Ph.D.</w:t>
            </w: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31"/>
        </w:trPr>
        <w:tc>
          <w:tcPr>
            <w:tcW w:w="42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JOSEPH L. GOLDSTEIN</w:t>
            </w:r>
          </w:p>
        </w:tc>
        <w:tc>
          <w:tcPr>
            <w:tcW w:w="2240" w:type="dxa"/>
            <w:vAlign w:val="bottom"/>
            <w:gridSpan w:val="2"/>
          </w:tcPr>
          <w:p>
            <w:pPr>
              <w:ind w:left="860"/>
              <w:spacing w:after="0"/>
              <w:rPr>
                <w:sz w:val="20"/>
                <w:szCs w:val="20"/>
                <w:color w:val="auto"/>
              </w:rPr>
            </w:pPr>
            <w:r>
              <w:rPr>
                <w:rFonts w:ascii="Arial" w:cs="Arial" w:eastAsia="Arial" w:hAnsi="Arial"/>
                <w:sz w:val="18"/>
                <w:szCs w:val="18"/>
                <w:i w:val="1"/>
                <w:iCs w:val="1"/>
                <w:color w:val="auto"/>
              </w:rPr>
              <w:t>Director</w:t>
            </w:r>
          </w:p>
        </w:tc>
      </w:tr>
      <w:tr>
        <w:trPr>
          <w:trHeight w:val="224"/>
        </w:trPr>
        <w:tc>
          <w:tcPr>
            <w:tcW w:w="4220" w:type="dxa"/>
            <w:vAlign w:val="bottom"/>
            <w:gridSpan w:val="3"/>
          </w:tcPr>
          <w:p>
            <w:pPr>
              <w:spacing w:after="0"/>
              <w:rPr>
                <w:sz w:val="20"/>
                <w:szCs w:val="20"/>
                <w:color w:val="auto"/>
              </w:rPr>
            </w:pPr>
            <w:r>
              <w:rPr>
                <w:rFonts w:ascii="Arial" w:cs="Arial" w:eastAsia="Arial" w:hAnsi="Arial"/>
                <w:sz w:val="18"/>
                <w:szCs w:val="18"/>
                <w:color w:val="auto"/>
              </w:rPr>
              <w:t>Joseph L. Goldstein, M.D.</w:t>
            </w: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31"/>
        </w:trPr>
        <w:tc>
          <w:tcPr>
            <w:tcW w:w="42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ROBERT A. INGRAM</w:t>
            </w:r>
          </w:p>
        </w:tc>
        <w:tc>
          <w:tcPr>
            <w:tcW w:w="2240" w:type="dxa"/>
            <w:vAlign w:val="bottom"/>
            <w:gridSpan w:val="2"/>
          </w:tcPr>
          <w:p>
            <w:pPr>
              <w:ind w:left="860"/>
              <w:spacing w:after="0"/>
              <w:rPr>
                <w:sz w:val="20"/>
                <w:szCs w:val="20"/>
                <w:color w:val="auto"/>
              </w:rPr>
            </w:pPr>
            <w:r>
              <w:rPr>
                <w:rFonts w:ascii="Arial" w:cs="Arial" w:eastAsia="Arial" w:hAnsi="Arial"/>
                <w:sz w:val="18"/>
                <w:szCs w:val="18"/>
                <w:i w:val="1"/>
                <w:iCs w:val="1"/>
                <w:color w:val="auto"/>
              </w:rPr>
              <w:t>Director</w:t>
            </w:r>
          </w:p>
        </w:tc>
      </w:tr>
      <w:tr>
        <w:trPr>
          <w:trHeight w:val="224"/>
        </w:trPr>
        <w:tc>
          <w:tcPr>
            <w:tcW w:w="4220" w:type="dxa"/>
            <w:vAlign w:val="bottom"/>
            <w:gridSpan w:val="3"/>
          </w:tcPr>
          <w:p>
            <w:pPr>
              <w:spacing w:after="0"/>
              <w:rPr>
                <w:sz w:val="20"/>
                <w:szCs w:val="20"/>
                <w:color w:val="auto"/>
              </w:rPr>
            </w:pPr>
            <w:r>
              <w:rPr>
                <w:rFonts w:ascii="Arial" w:cs="Arial" w:eastAsia="Arial" w:hAnsi="Arial"/>
                <w:sz w:val="18"/>
                <w:szCs w:val="18"/>
                <w:color w:val="auto"/>
              </w:rPr>
              <w:t>Robert A. Ingram</w:t>
            </w: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31"/>
        </w:trPr>
        <w:tc>
          <w:tcPr>
            <w:tcW w:w="42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CHRISTINE A. POON</w:t>
            </w:r>
          </w:p>
        </w:tc>
        <w:tc>
          <w:tcPr>
            <w:tcW w:w="2240" w:type="dxa"/>
            <w:vAlign w:val="bottom"/>
            <w:gridSpan w:val="2"/>
          </w:tcPr>
          <w:p>
            <w:pPr>
              <w:ind w:left="860"/>
              <w:spacing w:after="0"/>
              <w:rPr>
                <w:sz w:val="20"/>
                <w:szCs w:val="20"/>
                <w:color w:val="auto"/>
              </w:rPr>
            </w:pPr>
            <w:r>
              <w:rPr>
                <w:rFonts w:ascii="Arial" w:cs="Arial" w:eastAsia="Arial" w:hAnsi="Arial"/>
                <w:sz w:val="18"/>
                <w:szCs w:val="18"/>
                <w:i w:val="1"/>
                <w:iCs w:val="1"/>
                <w:color w:val="auto"/>
              </w:rPr>
              <w:t>Director</w:t>
            </w:r>
          </w:p>
        </w:tc>
      </w:tr>
      <w:tr>
        <w:trPr>
          <w:trHeight w:val="224"/>
        </w:trPr>
        <w:tc>
          <w:tcPr>
            <w:tcW w:w="4220" w:type="dxa"/>
            <w:vAlign w:val="bottom"/>
            <w:gridSpan w:val="3"/>
          </w:tcPr>
          <w:p>
            <w:pPr>
              <w:spacing w:after="0"/>
              <w:rPr>
                <w:sz w:val="20"/>
                <w:szCs w:val="20"/>
                <w:color w:val="auto"/>
              </w:rPr>
            </w:pPr>
            <w:r>
              <w:rPr>
                <w:rFonts w:ascii="Arial" w:cs="Arial" w:eastAsia="Arial" w:hAnsi="Arial"/>
                <w:sz w:val="18"/>
                <w:szCs w:val="18"/>
                <w:color w:val="auto"/>
              </w:rPr>
              <w:t>Christine A. Poon</w:t>
            </w: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31"/>
        </w:trPr>
        <w:tc>
          <w:tcPr>
            <w:tcW w:w="42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ARTHUR F. RYAN</w:t>
            </w:r>
          </w:p>
        </w:tc>
        <w:tc>
          <w:tcPr>
            <w:tcW w:w="2240" w:type="dxa"/>
            <w:vAlign w:val="bottom"/>
            <w:gridSpan w:val="2"/>
          </w:tcPr>
          <w:p>
            <w:pPr>
              <w:ind w:left="860"/>
              <w:spacing w:after="0"/>
              <w:rPr>
                <w:sz w:val="20"/>
                <w:szCs w:val="20"/>
                <w:color w:val="auto"/>
              </w:rPr>
            </w:pPr>
            <w:r>
              <w:rPr>
                <w:rFonts w:ascii="Arial" w:cs="Arial" w:eastAsia="Arial" w:hAnsi="Arial"/>
                <w:sz w:val="18"/>
                <w:szCs w:val="18"/>
                <w:i w:val="1"/>
                <w:iCs w:val="1"/>
                <w:color w:val="auto"/>
              </w:rPr>
              <w:t>Director</w:t>
            </w:r>
          </w:p>
        </w:tc>
      </w:tr>
      <w:tr>
        <w:trPr>
          <w:trHeight w:val="224"/>
        </w:trPr>
        <w:tc>
          <w:tcPr>
            <w:tcW w:w="4220" w:type="dxa"/>
            <w:vAlign w:val="bottom"/>
            <w:gridSpan w:val="3"/>
          </w:tcPr>
          <w:p>
            <w:pPr>
              <w:spacing w:after="0"/>
              <w:rPr>
                <w:sz w:val="20"/>
                <w:szCs w:val="20"/>
                <w:color w:val="auto"/>
              </w:rPr>
            </w:pPr>
            <w:r>
              <w:rPr>
                <w:rFonts w:ascii="Arial" w:cs="Arial" w:eastAsia="Arial" w:hAnsi="Arial"/>
                <w:sz w:val="18"/>
                <w:szCs w:val="18"/>
                <w:color w:val="auto"/>
              </w:rPr>
              <w:t>Arthur F. Ryan</w:t>
            </w: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31"/>
        </w:trPr>
        <w:tc>
          <w:tcPr>
            <w:tcW w:w="42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GEORGE L. SING</w:t>
            </w:r>
          </w:p>
        </w:tc>
        <w:tc>
          <w:tcPr>
            <w:tcW w:w="2240" w:type="dxa"/>
            <w:vAlign w:val="bottom"/>
            <w:gridSpan w:val="2"/>
          </w:tcPr>
          <w:p>
            <w:pPr>
              <w:ind w:left="860"/>
              <w:spacing w:after="0"/>
              <w:rPr>
                <w:sz w:val="20"/>
                <w:szCs w:val="20"/>
                <w:color w:val="auto"/>
              </w:rPr>
            </w:pPr>
            <w:r>
              <w:rPr>
                <w:rFonts w:ascii="Arial" w:cs="Arial" w:eastAsia="Arial" w:hAnsi="Arial"/>
                <w:sz w:val="18"/>
                <w:szCs w:val="18"/>
                <w:i w:val="1"/>
                <w:iCs w:val="1"/>
                <w:color w:val="auto"/>
              </w:rPr>
              <w:t>Director</w:t>
            </w:r>
          </w:p>
        </w:tc>
      </w:tr>
      <w:tr>
        <w:trPr>
          <w:trHeight w:val="224"/>
        </w:trPr>
        <w:tc>
          <w:tcPr>
            <w:tcW w:w="4220" w:type="dxa"/>
            <w:vAlign w:val="bottom"/>
            <w:gridSpan w:val="3"/>
          </w:tcPr>
          <w:p>
            <w:pPr>
              <w:spacing w:after="0"/>
              <w:rPr>
                <w:sz w:val="20"/>
                <w:szCs w:val="20"/>
                <w:color w:val="auto"/>
              </w:rPr>
            </w:pPr>
            <w:r>
              <w:rPr>
                <w:rFonts w:ascii="Arial" w:cs="Arial" w:eastAsia="Arial" w:hAnsi="Arial"/>
                <w:sz w:val="18"/>
                <w:szCs w:val="18"/>
                <w:color w:val="auto"/>
              </w:rPr>
              <w:t>George L. Sing</w:t>
            </w: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431"/>
        </w:trPr>
        <w:tc>
          <w:tcPr>
            <w:tcW w:w="42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MARC TESSIER-LAVIGNE</w:t>
            </w:r>
          </w:p>
        </w:tc>
        <w:tc>
          <w:tcPr>
            <w:tcW w:w="2240" w:type="dxa"/>
            <w:vAlign w:val="bottom"/>
            <w:gridSpan w:val="2"/>
          </w:tcPr>
          <w:p>
            <w:pPr>
              <w:ind w:left="860"/>
              <w:spacing w:after="0"/>
              <w:rPr>
                <w:sz w:val="20"/>
                <w:szCs w:val="20"/>
                <w:color w:val="auto"/>
              </w:rPr>
            </w:pPr>
            <w:r>
              <w:rPr>
                <w:rFonts w:ascii="Arial" w:cs="Arial" w:eastAsia="Arial" w:hAnsi="Arial"/>
                <w:sz w:val="18"/>
                <w:szCs w:val="18"/>
                <w:i w:val="1"/>
                <w:iCs w:val="1"/>
                <w:color w:val="auto"/>
              </w:rPr>
              <w:t>Director</w:t>
            </w:r>
          </w:p>
        </w:tc>
      </w:tr>
      <w:tr>
        <w:trPr>
          <w:trHeight w:val="224"/>
        </w:trPr>
        <w:tc>
          <w:tcPr>
            <w:tcW w:w="4220" w:type="dxa"/>
            <w:vAlign w:val="bottom"/>
            <w:gridSpan w:val="3"/>
          </w:tcPr>
          <w:p>
            <w:pPr>
              <w:spacing w:after="0"/>
              <w:rPr>
                <w:sz w:val="20"/>
                <w:szCs w:val="20"/>
                <w:color w:val="auto"/>
              </w:rPr>
            </w:pPr>
            <w:r>
              <w:rPr>
                <w:rFonts w:ascii="Arial" w:cs="Arial" w:eastAsia="Arial" w:hAnsi="Arial"/>
                <w:sz w:val="18"/>
                <w:szCs w:val="18"/>
                <w:color w:val="auto"/>
              </w:rPr>
              <w:t>Marc Tessier-Lavigne, Ph.D.</w:t>
            </w: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Arial" w:cs="Arial" w:eastAsia="Arial" w:hAnsi="Arial"/>
          <w:sz w:val="14"/>
          <w:szCs w:val="14"/>
          <w:b w:val="1"/>
          <w:bCs w:val="1"/>
          <w:u w:val="single" w:color="auto"/>
          <w:color w:val="auto"/>
        </w:rPr>
        <w:t>Date</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June 16, 2014</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June 16, 2014</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June 16, 2014</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June 16, 2014</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June 16, 2014</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June 16, 2014</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June 16, 2014</w:t>
      </w:r>
    </w:p>
    <w:p>
      <w:pPr>
        <w:sectPr>
          <w:pgSz w:w="11900" w:h="16838" w:orient="portrait"/>
          <w:cols w:equalWidth="0" w:num="2">
            <w:col w:w="9560" w:space="720"/>
            <w:col w:w="1020"/>
          </w:cols>
          <w:pgMar w:left="240" w:top="265" w:right="359" w:bottom="1440" w:gutter="0" w:footer="0" w:header="0"/>
        </w:sectPr>
      </w:pPr>
    </w:p>
    <w:bookmarkStart w:id="5" w:name="page6"/>
    <w:bookmarkEnd w:id="5"/>
    <w:p>
      <w:pPr>
        <w:ind w:left="5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101" w:lineRule="exact"/>
        <w:rPr>
          <w:sz w:val="20"/>
          <w:szCs w:val="20"/>
          <w:color w:val="auto"/>
        </w:rPr>
      </w:pPr>
    </w:p>
    <w:p>
      <w:pPr>
        <w:ind w:left="100"/>
        <w:spacing w:after="0"/>
        <w:tabs>
          <w:tab w:leader="none" w:pos="106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(included on the signature page of this Registration Statement).</w:t>
      </w:r>
    </w:p>
    <w:sectPr>
      <w:pgSz w:w="11900" w:h="16838" w:orient="portrait"/>
      <w:cols w:equalWidth="0" w:num="1">
        <w:col w:w="10219"/>
      </w:cols>
      <w:pgMar w:left="2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2019-12-06T03:44:05Z</dcterms:created>
  <dcterms:modified xsi:type="dcterms:W3CDTF">2019-12-06T03:44:05Z</dcterms:modified>
</cp:coreProperties>
</file>