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2022 (June 10, 2022)</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REGENERON PHARMACEUTICALS,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000-19034</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16"/>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50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90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8"/>
              </w:rPr>
              <w:t>10591-6707</w:t>
            </w:r>
          </w:p>
        </w:tc>
      </w:tr>
      <w:tr>
        <w:trPr>
          <w:trHeight w:val="238"/>
        </w:trPr>
        <w:tc>
          <w:tcPr>
            <w:tcW w:w="550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920" w:firstLine="324"/>
        <w:spacing w:after="0" w:line="282" w:lineRule="auto"/>
        <w:rPr>
          <w:sz w:val="20"/>
          <w:szCs w:val="20"/>
          <w:color w:val="auto"/>
        </w:rPr>
      </w:pPr>
      <w:r>
        <w:rPr>
          <w:rFonts w:ascii="Times New Roman" w:cs="Times New Roman" w:eastAsia="Times New Roman" w:hAnsi="Times New Roman"/>
          <w:sz w:val="18"/>
          <w:szCs w:val="18"/>
          <w:color w:val="auto"/>
        </w:rPr>
        <w:t>At the 2022 Annual Meeting of Shareholders of Regeneron Pharmaceuticals, Inc. (“</w:t>
      </w:r>
      <w:r>
        <w:rPr>
          <w:rFonts w:ascii="Times New Roman" w:cs="Times New Roman" w:eastAsia="Times New Roman" w:hAnsi="Times New Roman"/>
          <w:sz w:val="18"/>
          <w:szCs w:val="18"/>
          <w:u w:val="single" w:color="auto"/>
          <w:color w:val="auto"/>
        </w:rPr>
        <w:t>Regeneron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on June 10, 2022, Regeneron’s shareholders voted on the matters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nominees for Class I directors were elected to serve until the 2025 Annual Meeting of Shareholders and until their successors are duly elected and qualified based upon the following votes: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Bonnie L. Bassler, Ph.D.</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96,952,597</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14,570,093</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79,166</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4,718,158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Brown, M.D.</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86,297,273</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25,254,693</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49,890</w:t>
            </w: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4,718,158</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1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110,095,873</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1,462,796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43,187</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4,718,158</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1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109,522,953</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1,977,542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101,361</w:t>
            </w:r>
          </w:p>
        </w:tc>
        <w:tc>
          <w:tcPr>
            <w:tcW w:w="22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4,718,158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jc w:val="both"/>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proposal to ratify the appointment of PricewaterhouseCoopers LLP as the Company’s independent registered public accounting firm for the fiscal year ending December 31, 2022, was approved based upon the following votes:</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111,768,970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4,493,063</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4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Advisory Vote on Executive Compensation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resolution to approve, on an advisory basis, the compensation of the Company’s named executive officers as disclosed in the Proxy Statement was approved based on the following votes: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97,837,229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13,595,339</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Abstain:</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169,288</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4,718,158</w:t>
            </w:r>
          </w:p>
        </w:tc>
        <w:tc>
          <w:tcPr>
            <w:tcW w:w="1680" w:type="dxa"/>
            <w:vAlign w:val="bottom"/>
          </w:tcPr>
          <w:p>
            <w:pPr>
              <w:spacing w:after="0"/>
              <w:rPr>
                <w:sz w:val="20"/>
                <w:szCs w:val="20"/>
                <w:color w:val="auto"/>
              </w:rPr>
            </w:pPr>
          </w:p>
        </w:tc>
      </w:tr>
      <w:tr>
        <w:trPr>
          <w:trHeight w:val="657"/>
        </w:trPr>
        <w:tc>
          <w:tcPr>
            <w:tcW w:w="17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2022-06-15T15:12:52Z</dcterms:created>
  <dcterms:modified xsi:type="dcterms:W3CDTF">2022-06-15T15:12:52Z</dcterms:modified>
</cp:coreProperties>
</file>