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154940</wp:posOffset>
            </wp:positionH>
            <wp:positionV relativeFrom="page">
              <wp:posOffset>163195</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203835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t>UNITED STATES</w:t>
      </w:r>
    </w:p>
    <w:p>
      <w:pPr>
        <w:spacing w:after="0" w:line="24" w:lineRule="exact"/>
        <w:rPr>
          <w:sz w:val="24"/>
          <w:szCs w:val="24"/>
          <w:color w:val="auto"/>
        </w:rPr>
      </w:pPr>
    </w:p>
    <w:p>
      <w:pPr>
        <w:jc w:val="center"/>
        <w:ind w:right="-59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219075</wp:posOffset>
            </wp:positionV>
            <wp:extent cx="152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496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235585</wp:posOffset>
            </wp:positionV>
            <wp:extent cx="152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CURRENT REPORT</w:t>
      </w:r>
    </w:p>
    <w:p>
      <w:pPr>
        <w:spacing w:after="0" w:line="7" w:lineRule="exact"/>
        <w:rPr>
          <w:sz w:val="24"/>
          <w:szCs w:val="24"/>
          <w:color w:val="auto"/>
        </w:rPr>
      </w:pPr>
    </w:p>
    <w:p>
      <w:pPr>
        <w:jc w:val="center"/>
        <w:ind w:right="-599"/>
        <w:spacing w:after="0"/>
        <w:rPr>
          <w:sz w:val="20"/>
          <w:szCs w:val="20"/>
          <w:color w:val="auto"/>
        </w:rPr>
      </w:pPr>
      <w:r>
        <w:rPr>
          <w:rFonts w:ascii="Arial" w:cs="Arial" w:eastAsia="Arial" w:hAnsi="Arial"/>
          <w:sz w:val="21"/>
          <w:szCs w:val="21"/>
          <w:b w:val="1"/>
          <w:bCs w:val="1"/>
          <w:color w:val="auto"/>
        </w:rPr>
        <w:t>Pursuant to Section 13 or 15(d)</w:t>
      </w:r>
    </w:p>
    <w:p>
      <w:pPr>
        <w:jc w:val="center"/>
        <w:ind w:right="-59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75" w:lineRule="exact"/>
        <w:rPr>
          <w:sz w:val="24"/>
          <w:szCs w:val="24"/>
          <w:color w:val="auto"/>
        </w:rPr>
      </w:pPr>
    </w:p>
    <w:p>
      <w:pPr>
        <w:ind w:left="1960"/>
        <w:spacing w:after="0"/>
        <w:rPr>
          <w:sz w:val="20"/>
          <w:szCs w:val="20"/>
          <w:color w:val="auto"/>
        </w:rPr>
      </w:pPr>
      <w:r>
        <w:rPr>
          <w:rFonts w:ascii="Arial" w:cs="Arial" w:eastAsia="Arial" w:hAnsi="Arial"/>
          <w:sz w:val="21"/>
          <w:szCs w:val="21"/>
          <w:b w:val="1"/>
          <w:bCs w:val="1"/>
          <w:color w:val="auto"/>
        </w:rPr>
        <w:t>Date of Report (Date of earliest event reported): January 13, 2015 (January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226060</wp:posOffset>
            </wp:positionV>
            <wp:extent cx="152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599"/>
        <w:spacing w:after="0"/>
        <w:rPr>
          <w:sz w:val="20"/>
          <w:szCs w:val="20"/>
          <w:color w:val="auto"/>
        </w:rPr>
      </w:pPr>
      <w:r>
        <w:rPr>
          <w:rFonts w:ascii="Arial" w:cs="Arial" w:eastAsia="Arial" w:hAnsi="Arial"/>
          <w:sz w:val="41"/>
          <w:szCs w:val="41"/>
          <w:b w:val="1"/>
          <w:bCs w:val="1"/>
          <w:color w:val="auto"/>
        </w:rPr>
        <w:t>REGENERON PHARMACEUTICALS, INC.</w:t>
      </w:r>
    </w:p>
    <w:p>
      <w:pPr>
        <w:spacing w:after="0" w:line="51"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228600</wp:posOffset>
            </wp:positionV>
            <wp:extent cx="1529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9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4320" w:type="dxa"/>
            <w:vAlign w:val="bottom"/>
          </w:tcPr>
          <w:p>
            <w:pPr>
              <w:jc w:val="center"/>
              <w:ind w:right="2585"/>
              <w:spacing w:after="0"/>
              <w:rPr>
                <w:sz w:val="20"/>
                <w:szCs w:val="20"/>
                <w:color w:val="auto"/>
              </w:rPr>
            </w:pPr>
            <w:r>
              <w:rPr>
                <w:rFonts w:ascii="Arial" w:cs="Arial" w:eastAsia="Arial" w:hAnsi="Arial"/>
                <w:sz w:val="17"/>
                <w:szCs w:val="17"/>
                <w:b w:val="1"/>
                <w:bCs w:val="1"/>
                <w:color w:val="auto"/>
                <w:w w:val="95"/>
              </w:rPr>
              <w:t>New York</w:t>
            </w:r>
          </w:p>
        </w:tc>
      </w:tr>
      <w:tr>
        <w:trPr>
          <w:trHeight w:val="142"/>
        </w:trPr>
        <w:tc>
          <w:tcPr>
            <w:tcW w:w="3920" w:type="dxa"/>
            <w:vAlign w:val="bottom"/>
          </w:tcPr>
          <w:p>
            <w:pPr>
              <w:spacing w:after="0"/>
              <w:rPr>
                <w:sz w:val="12"/>
                <w:szCs w:val="12"/>
                <w:color w:val="auto"/>
              </w:rPr>
            </w:pPr>
          </w:p>
        </w:tc>
        <w:tc>
          <w:tcPr>
            <w:tcW w:w="4320" w:type="dxa"/>
            <w:vAlign w:val="bottom"/>
          </w:tcPr>
          <w:p>
            <w:pPr>
              <w:jc w:val="center"/>
              <w:ind w:right="2585"/>
              <w:spacing w:after="0" w:line="143" w:lineRule="exact"/>
              <w:rPr>
                <w:sz w:val="20"/>
                <w:szCs w:val="20"/>
                <w:color w:val="auto"/>
              </w:rPr>
            </w:pPr>
            <w:r>
              <w:rPr>
                <w:rFonts w:ascii="Arial" w:cs="Arial" w:eastAsia="Arial" w:hAnsi="Arial"/>
                <w:sz w:val="14"/>
                <w:szCs w:val="14"/>
                <w:b w:val="1"/>
                <w:bCs w:val="1"/>
                <w:color w:val="auto"/>
                <w:w w:val="90"/>
              </w:rPr>
              <w:t>(State or other jurisdiction</w:t>
            </w:r>
          </w:p>
        </w:tc>
      </w:tr>
      <w:tr>
        <w:trPr>
          <w:trHeight w:val="179"/>
        </w:trPr>
        <w:tc>
          <w:tcPr>
            <w:tcW w:w="3920" w:type="dxa"/>
            <w:vAlign w:val="bottom"/>
          </w:tcPr>
          <w:p>
            <w:pPr>
              <w:spacing w:after="0"/>
              <w:rPr>
                <w:sz w:val="15"/>
                <w:szCs w:val="15"/>
                <w:color w:val="auto"/>
              </w:rPr>
            </w:pPr>
          </w:p>
        </w:tc>
        <w:tc>
          <w:tcPr>
            <w:tcW w:w="4320" w:type="dxa"/>
            <w:vAlign w:val="bottom"/>
          </w:tcPr>
          <w:p>
            <w:pPr>
              <w:jc w:val="center"/>
              <w:ind w:right="2565"/>
              <w:spacing w:after="0"/>
              <w:rPr>
                <w:sz w:val="20"/>
                <w:szCs w:val="20"/>
                <w:color w:val="auto"/>
              </w:rPr>
            </w:pPr>
            <w:r>
              <w:rPr>
                <w:rFonts w:ascii="Arial" w:cs="Arial" w:eastAsia="Arial" w:hAnsi="Arial"/>
                <w:sz w:val="14"/>
                <w:szCs w:val="14"/>
                <w:b w:val="1"/>
                <w:bCs w:val="1"/>
                <w:color w:val="auto"/>
                <w:w w:val="89"/>
              </w:rPr>
              <w:t>of incorporation)</w:t>
            </w:r>
          </w:p>
        </w:tc>
      </w:tr>
      <w:tr>
        <w:trPr>
          <w:trHeight w:val="404"/>
        </w:trPr>
        <w:tc>
          <w:tcPr>
            <w:tcW w:w="3920" w:type="dxa"/>
            <w:vAlign w:val="bottom"/>
          </w:tcPr>
          <w:p>
            <w:pPr>
              <w:jc w:val="center"/>
              <w:spacing w:after="0"/>
              <w:rPr>
                <w:sz w:val="20"/>
                <w:szCs w:val="20"/>
                <w:color w:val="auto"/>
              </w:rPr>
            </w:pPr>
            <w:r>
              <w:rPr>
                <w:rFonts w:ascii="Arial" w:cs="Arial" w:eastAsia="Arial" w:hAnsi="Arial"/>
                <w:sz w:val="17"/>
                <w:szCs w:val="17"/>
                <w:b w:val="1"/>
                <w:bCs w:val="1"/>
                <w:color w:val="auto"/>
                <w:w w:val="90"/>
              </w:rPr>
              <w:t>000-19034</w:t>
            </w:r>
          </w:p>
        </w:tc>
        <w:tc>
          <w:tcPr>
            <w:tcW w:w="4320" w:type="dxa"/>
            <w:vAlign w:val="bottom"/>
          </w:tcPr>
          <w:p>
            <w:pPr>
              <w:jc w:val="center"/>
              <w:ind w:left="3165"/>
              <w:spacing w:after="0"/>
              <w:rPr>
                <w:sz w:val="20"/>
                <w:szCs w:val="20"/>
                <w:color w:val="auto"/>
              </w:rPr>
            </w:pPr>
            <w:r>
              <w:rPr>
                <w:rFonts w:ascii="Arial" w:cs="Arial" w:eastAsia="Arial" w:hAnsi="Arial"/>
                <w:sz w:val="17"/>
                <w:szCs w:val="17"/>
                <w:b w:val="1"/>
                <w:bCs w:val="1"/>
                <w:color w:val="auto"/>
                <w:w w:val="92"/>
              </w:rPr>
              <w:t>13-3444607</w:t>
            </w:r>
          </w:p>
        </w:tc>
      </w:tr>
      <w:tr>
        <w:trPr>
          <w:trHeight w:val="142"/>
        </w:trPr>
        <w:tc>
          <w:tcPr>
            <w:tcW w:w="3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(Commission</w:t>
            </w:r>
          </w:p>
        </w:tc>
        <w:tc>
          <w:tcPr>
            <w:tcW w:w="4320" w:type="dxa"/>
            <w:vAlign w:val="bottom"/>
          </w:tcPr>
          <w:p>
            <w:pPr>
              <w:jc w:val="center"/>
              <w:ind w:left="3165"/>
              <w:spacing w:after="0" w:line="143"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4320" w:type="dxa"/>
            <w:vAlign w:val="bottom"/>
          </w:tcPr>
          <w:p>
            <w:pPr>
              <w:jc w:val="center"/>
              <w:ind w:left="3165"/>
              <w:spacing w:after="0"/>
              <w:rPr>
                <w:sz w:val="20"/>
                <w:szCs w:val="20"/>
                <w:color w:val="auto"/>
              </w:rPr>
            </w:pPr>
            <w:r>
              <w:rPr>
                <w:rFonts w:ascii="Arial" w:cs="Arial" w:eastAsia="Arial" w:hAnsi="Arial"/>
                <w:sz w:val="14"/>
                <w:szCs w:val="14"/>
                <w:b w:val="1"/>
                <w:bCs w:val="1"/>
                <w:color w:val="auto"/>
                <w:w w:val="91"/>
              </w:rPr>
              <w:t>Identification No.)</w:t>
            </w:r>
          </w:p>
        </w:tc>
      </w:tr>
      <w:tr>
        <w:trPr>
          <w:trHeight w:val="417"/>
        </w:trPr>
        <w:tc>
          <w:tcPr>
            <w:tcW w:w="3920" w:type="dxa"/>
            <w:vAlign w:val="bottom"/>
          </w:tcPr>
          <w:p>
            <w:pPr>
              <w:jc w:val="center"/>
              <w:spacing w:after="0"/>
              <w:rPr>
                <w:sz w:val="20"/>
                <w:szCs w:val="20"/>
                <w:color w:val="auto"/>
              </w:rPr>
            </w:pPr>
            <w:r>
              <w:rPr>
                <w:rFonts w:ascii="Arial" w:cs="Arial" w:eastAsia="Arial" w:hAnsi="Arial"/>
                <w:sz w:val="17"/>
                <w:szCs w:val="17"/>
                <w:b w:val="1"/>
                <w:bCs w:val="1"/>
                <w:color w:val="auto"/>
                <w:w w:val="95"/>
              </w:rPr>
              <w:t>777 Old Saw Mill River Road, Tarrytown, New York</w:t>
            </w:r>
          </w:p>
        </w:tc>
        <w:tc>
          <w:tcPr>
            <w:tcW w:w="4320" w:type="dxa"/>
            <w:vAlign w:val="bottom"/>
          </w:tcPr>
          <w:p>
            <w:pPr>
              <w:jc w:val="center"/>
              <w:ind w:left="3165"/>
              <w:spacing w:after="0"/>
              <w:rPr>
                <w:sz w:val="20"/>
                <w:szCs w:val="20"/>
                <w:color w:val="auto"/>
              </w:rPr>
            </w:pPr>
            <w:r>
              <w:rPr>
                <w:rFonts w:ascii="Arial" w:cs="Arial" w:eastAsia="Arial" w:hAnsi="Arial"/>
                <w:sz w:val="17"/>
                <w:szCs w:val="17"/>
                <w:b w:val="1"/>
                <w:bCs w:val="1"/>
                <w:color w:val="auto"/>
                <w:w w:val="92"/>
              </w:rPr>
              <w:t>10591-6707</w:t>
            </w:r>
          </w:p>
        </w:tc>
      </w:tr>
      <w:tr>
        <w:trPr>
          <w:trHeight w:val="179"/>
        </w:trPr>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320" w:type="dxa"/>
            <w:vAlign w:val="bottom"/>
          </w:tcPr>
          <w:p>
            <w:pPr>
              <w:jc w:val="center"/>
              <w:ind w:left="3165"/>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ind w:left="3240"/>
        <w:spacing w:after="0"/>
        <w:rPr>
          <w:sz w:val="20"/>
          <w:szCs w:val="20"/>
          <w:color w:val="auto"/>
        </w:rPr>
      </w:pPr>
      <w:r>
        <w:rPr>
          <w:rFonts w:ascii="Arial" w:cs="Arial" w:eastAsia="Arial" w:hAnsi="Arial"/>
          <w:sz w:val="17"/>
          <w:szCs w:val="17"/>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233045</wp:posOffset>
            </wp:positionV>
            <wp:extent cx="152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68"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28"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28"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460" w:hanging="456"/>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252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7252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0840"/>
          </w:cols>
          <w:pgMar w:left="240" w:top="358" w:right="8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2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On January 13, 2015, at the 33</w:t>
      </w:r>
      <w:r>
        <w:rPr>
          <w:rFonts w:ascii="Arial" w:cs="Arial" w:eastAsia="Arial" w:hAnsi="Arial"/>
          <w:sz w:val="14"/>
          <w:szCs w:val="14"/>
          <w:color w:val="auto"/>
        </w:rPr>
        <w:t>rd</w:t>
      </w:r>
      <w:r>
        <w:rPr>
          <w:rFonts w:ascii="Arial" w:cs="Arial" w:eastAsia="Arial" w:hAnsi="Arial"/>
          <w:sz w:val="17"/>
          <w:szCs w:val="17"/>
          <w:color w:val="auto"/>
        </w:rPr>
        <w:t xml:space="preserve"> Annual J.P. Morgan Healthcare Conference in San Francisco, California, Leonard S. Schleifer, M.D., Ph.D., President and Chief Executive Officer of Regeneron Pharmaceuticals, Inc., is providing a corporate update. Dr. Schleifer’s presentation includes on page 26 information regarding the Company’s preliminary U.S. net sales of EYLEA</w:t>
      </w:r>
      <w:r>
        <w:rPr>
          <w:rFonts w:ascii="Arial" w:cs="Arial" w:eastAsia="Arial" w:hAnsi="Arial"/>
          <w:sz w:val="14"/>
          <w:szCs w:val="14"/>
          <w:color w:val="auto"/>
        </w:rPr>
        <w:t>®</w:t>
      </w:r>
      <w:r>
        <w:rPr>
          <w:rFonts w:ascii="Arial" w:cs="Arial" w:eastAsia="Arial" w:hAnsi="Arial"/>
          <w:sz w:val="17"/>
          <w:szCs w:val="17"/>
          <w:color w:val="auto"/>
        </w:rPr>
        <w:t xml:space="preserve"> (aflibercept) Injection for the full year 2014. A copy of the presentation is furnished as Exhibit 99.1 to this Current Report on Form 8-K and is incorporated by reference herein.</w:t>
      </w:r>
    </w:p>
    <w:p>
      <w:pPr>
        <w:spacing w:after="0" w:line="177"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08"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34" w:lineRule="exact"/>
        <w:rPr>
          <w:sz w:val="20"/>
          <w:szCs w:val="20"/>
          <w:color w:val="auto"/>
        </w:rPr>
      </w:pPr>
    </w:p>
    <w:p>
      <w:pPr>
        <w:ind w:left="920" w:hanging="463"/>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31" w:lineRule="exact"/>
        <w:rPr>
          <w:sz w:val="20"/>
          <w:szCs w:val="20"/>
          <w:color w:val="auto"/>
        </w:rPr>
      </w:pPr>
    </w:p>
    <w:p>
      <w:pPr>
        <w:ind w:left="1240" w:right="80" w:hanging="659"/>
        <w:spacing w:after="0" w:line="285" w:lineRule="auto"/>
        <w:tabs>
          <w:tab w:leader="none" w:pos="12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7"/>
          <w:szCs w:val="17"/>
          <w:color w:val="auto"/>
        </w:rPr>
        <w:t>Presentation by Leonard S. Schleifer, M.D., Ph.D., President and Chief Executive Officer of Regeneron Pharmaceuticals, Inc., at the 33</w:t>
      </w:r>
      <w:r>
        <w:rPr>
          <w:rFonts w:ascii="Arial" w:cs="Arial" w:eastAsia="Arial" w:hAnsi="Arial"/>
          <w:sz w:val="14"/>
          <w:szCs w:val="14"/>
          <w:color w:val="auto"/>
        </w:rPr>
        <w:t>rd</w:t>
      </w:r>
      <w:r>
        <w:rPr>
          <w:rFonts w:ascii="Arial" w:cs="Arial" w:eastAsia="Arial" w:hAnsi="Arial"/>
          <w:sz w:val="17"/>
          <w:szCs w:val="17"/>
          <w:color w:val="auto"/>
        </w:rPr>
        <w:t xml:space="preserve"> Annual J.P. Morgan Healthcare Conference.</w:t>
      </w:r>
    </w:p>
    <w:p>
      <w:pPr>
        <w:sectPr>
          <w:pgSz w:w="11900" w:h="16838" w:orient="portrait"/>
          <w:cols w:equalWidth="0" w:num="1">
            <w:col w:w="11360"/>
          </w:cols>
          <w:pgMar w:left="240" w:top="264"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SIGNATURES</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15240</wp:posOffset>
            </wp:positionV>
            <wp:extent cx="2894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Joseph J. LaRosa</w:t>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General Counsel and Secretary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Date: January 13, 2015</w:t>
      </w:r>
    </w:p>
    <w:p>
      <w:pPr>
        <w:sectPr>
          <w:pgSz w:w="11900" w:h="16838" w:orient="portrait"/>
          <w:cols w:equalWidth="0" w:num="1">
            <w:col w:w="10780"/>
          </w:cols>
          <w:pgMar w:left="240" w:top="264"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6"/>
        </w:trPr>
        <w:tc>
          <w:tcPr>
            <w:tcW w:w="500" w:type="dxa"/>
            <w:vAlign w:val="bottom"/>
          </w:tcPr>
          <w:p>
            <w:pPr>
              <w:spacing w:after="0"/>
              <w:rPr>
                <w:sz w:val="19"/>
                <w:szCs w:val="19"/>
                <w:color w:val="auto"/>
              </w:rPr>
            </w:pPr>
          </w:p>
        </w:tc>
        <w:tc>
          <w:tcPr>
            <w:tcW w:w="10860" w:type="dxa"/>
            <w:vAlign w:val="bottom"/>
            <w:gridSpan w:val="3"/>
          </w:tcPr>
          <w:p>
            <w:pPr>
              <w:ind w:left="4540"/>
              <w:spacing w:after="0"/>
              <w:rPr>
                <w:sz w:val="20"/>
                <w:szCs w:val="20"/>
                <w:color w:val="auto"/>
              </w:rPr>
            </w:pPr>
            <w:r>
              <w:rPr>
                <w:rFonts w:ascii="Arial" w:cs="Arial" w:eastAsia="Arial" w:hAnsi="Arial"/>
                <w:sz w:val="17"/>
                <w:szCs w:val="17"/>
                <w:b w:val="1"/>
                <w:bCs w:val="1"/>
                <w:color w:val="auto"/>
              </w:rPr>
              <w:t>EXHIBIT INDEX</w:t>
            </w:r>
          </w:p>
        </w:tc>
      </w:tr>
      <w:tr>
        <w:trPr>
          <w:trHeight w:val="37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24"/>
                <w:szCs w:val="24"/>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7"/>
                <w:szCs w:val="17"/>
                <w:color w:val="auto"/>
              </w:rPr>
              <w:t>99.1</w:t>
            </w:r>
          </w:p>
        </w:tc>
        <w:tc>
          <w:tcPr>
            <w:tcW w:w="10860" w:type="dxa"/>
            <w:vAlign w:val="bottom"/>
            <w:gridSpan w:val="3"/>
          </w:tcPr>
          <w:p>
            <w:pPr>
              <w:ind w:left="560"/>
              <w:spacing w:after="0"/>
              <w:rPr>
                <w:sz w:val="20"/>
                <w:szCs w:val="20"/>
                <w:color w:val="auto"/>
              </w:rPr>
            </w:pPr>
            <w:r>
              <w:rPr>
                <w:rFonts w:ascii="Arial" w:cs="Arial" w:eastAsia="Arial" w:hAnsi="Arial"/>
                <w:sz w:val="17"/>
                <w:szCs w:val="17"/>
                <w:color w:val="auto"/>
                <w:w w:val="91"/>
              </w:rPr>
              <w:t>Presentation by Leonard S. Schleifer, M.D., Ph.D., President and Chief Executive Officer of Regeneron Pharmaceuticals, Inc., at the 33</w:t>
            </w:r>
            <w:r>
              <w:rPr>
                <w:rFonts w:ascii="Arial" w:cs="Arial" w:eastAsia="Arial" w:hAnsi="Arial"/>
                <w:sz w:val="14"/>
                <w:szCs w:val="14"/>
                <w:color w:val="auto"/>
                <w:w w:val="91"/>
              </w:rPr>
              <w:t>rd</w:t>
            </w:r>
            <w:r>
              <w:rPr>
                <w:rFonts w:ascii="Arial" w:cs="Arial" w:eastAsia="Arial" w:hAnsi="Arial"/>
                <w:sz w:val="17"/>
                <w:szCs w:val="17"/>
                <w:color w:val="auto"/>
                <w:w w:val="91"/>
              </w:rPr>
              <w:t xml:space="preserve"> Annual J.P.</w:t>
            </w:r>
          </w:p>
        </w:tc>
      </w:tr>
      <w:tr>
        <w:trPr>
          <w:trHeight w:val="220"/>
        </w:trPr>
        <w:tc>
          <w:tcPr>
            <w:tcW w:w="500" w:type="dxa"/>
            <w:vAlign w:val="bottom"/>
          </w:tcPr>
          <w:p>
            <w:pPr>
              <w:spacing w:after="0"/>
              <w:rPr>
                <w:sz w:val="19"/>
                <w:szCs w:val="19"/>
                <w:color w:val="auto"/>
              </w:rPr>
            </w:pPr>
          </w:p>
        </w:tc>
        <w:tc>
          <w:tcPr>
            <w:tcW w:w="10860" w:type="dxa"/>
            <w:vAlign w:val="bottom"/>
            <w:gridSpan w:val="3"/>
          </w:tcPr>
          <w:p>
            <w:pPr>
              <w:ind w:left="560"/>
              <w:spacing w:after="0"/>
              <w:rPr>
                <w:sz w:val="20"/>
                <w:szCs w:val="20"/>
                <w:color w:val="auto"/>
              </w:rPr>
            </w:pPr>
            <w:r>
              <w:rPr>
                <w:rFonts w:ascii="Arial" w:cs="Arial" w:eastAsia="Arial" w:hAnsi="Arial"/>
                <w:sz w:val="17"/>
                <w:szCs w:val="17"/>
                <w:color w:val="auto"/>
              </w:rPr>
              <w:t>Morgan Healthcare Conference.</w:t>
            </w:r>
          </w:p>
        </w:tc>
      </w:tr>
    </w:tbl>
    <w:p>
      <w:pPr>
        <w:ind w:left="560"/>
        <w:spacing w:after="0"/>
        <w:rPr>
          <w:sz w:val="20"/>
          <w:szCs w:val="20"/>
          <w:color w:val="auto"/>
        </w:rPr>
        <w:sectPr>
          <w:pgSz w:w="11900" w:h="16838" w:orient="portrait"/>
          <w:cols w:equalWidth="0" w:num="1">
            <w:col w:w="11360"/>
          </w:cols>
          <w:pgMar w:left="240" w:top="264" w:right="299" w:bottom="1440" w:gutter="0" w:footer="0" w:header="0"/>
        </w:sect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163195</wp:posOffset>
            </wp:positionV>
            <wp:extent cx="7235825" cy="4070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5825" cy="407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FFFFFF"/>
          <w:vertAlign w:val="subscript"/>
        </w:rPr>
        <w:t>January</w:t>
      </w:r>
      <w:r>
        <w:rPr>
          <w:rFonts w:ascii="Arial" w:cs="Arial" w:eastAsia="Arial" w:hAnsi="Arial"/>
          <w:sz w:val="13"/>
          <w:szCs w:val="13"/>
          <w:color w:val="FFFFFF"/>
        </w:rPr>
        <w:t>PMorgan13,Healthcare2015 Conference</w:t>
      </w:r>
    </w:p>
    <w:p>
      <w:pPr>
        <w:spacing w:after="0" w:line="180" w:lineRule="auto"/>
        <w:rPr>
          <w:sz w:val="20"/>
          <w:szCs w:val="20"/>
          <w:color w:val="auto"/>
        </w:rPr>
      </w:pPr>
      <w:r>
        <w:rPr>
          <w:rFonts w:ascii="Arial" w:cs="Arial" w:eastAsia="Arial" w:hAnsi="Arial"/>
          <w:sz w:val="9"/>
          <w:szCs w:val="9"/>
          <w:color w:val="FFFFFF"/>
        </w:rPr>
        <w:t>Leonard S. Schleifer, M.D., Ph.D.</w:t>
      </w:r>
    </w:p>
    <w:p>
      <w:pPr>
        <w:spacing w:after="0"/>
        <w:rPr>
          <w:sz w:val="20"/>
          <w:szCs w:val="20"/>
          <w:color w:val="auto"/>
        </w:rPr>
      </w:pPr>
      <w:r>
        <w:rPr>
          <w:rFonts w:ascii="Arial" w:cs="Arial" w:eastAsia="Arial" w:hAnsi="Arial"/>
          <w:sz w:val="13"/>
          <w:szCs w:val="13"/>
          <w:color w:val="FFFFFF"/>
        </w:rPr>
        <w:t>1President and Chief Executive Officer</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40" w:type="dxa"/>
            <w:vAlign w:val="bottom"/>
            <w:gridSpan w:val="6"/>
          </w:tcPr>
          <w:p>
            <w:pPr>
              <w:spacing w:after="0"/>
              <w:rPr>
                <w:sz w:val="20"/>
                <w:szCs w:val="20"/>
                <w:color w:val="auto"/>
              </w:rPr>
            </w:pPr>
            <w:r>
              <w:rPr>
                <w:rFonts w:ascii="Arial" w:cs="Arial" w:eastAsia="Arial" w:hAnsi="Arial"/>
                <w:sz w:val="13"/>
                <w:szCs w:val="13"/>
                <w:color w:val="FFFFFF"/>
              </w:rPr>
              <w:t>NOTE REGARDING FORWARD-LOOKING STATEMENTS AND NON-GAAP FINANCIAL MEASURES</w:t>
            </w:r>
          </w:p>
        </w:tc>
        <w:tc>
          <w:tcPr>
            <w:tcW w:w="2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9"/>
        </w:trPr>
        <w:tc>
          <w:tcPr>
            <w:tcW w:w="700" w:type="dxa"/>
            <w:vAlign w:val="bottom"/>
          </w:tcPr>
          <w:p>
            <w:pPr>
              <w:spacing w:after="0" w:line="39" w:lineRule="exact"/>
              <w:rPr>
                <w:sz w:val="20"/>
                <w:szCs w:val="20"/>
                <w:color w:val="auto"/>
              </w:rPr>
            </w:pPr>
            <w:r>
              <w:rPr>
                <w:rFonts w:ascii="Arial" w:cs="Arial" w:eastAsia="Arial" w:hAnsi="Arial"/>
                <w:sz w:val="4"/>
                <w:szCs w:val="4"/>
                <w:color w:val="FFFFFF"/>
              </w:rPr>
              <w:t>This</w:t>
            </w:r>
          </w:p>
        </w:tc>
        <w:tc>
          <w:tcPr>
            <w:tcW w:w="10720" w:type="dxa"/>
            <w:vAlign w:val="bottom"/>
            <w:gridSpan w:val="8"/>
          </w:tcPr>
          <w:p>
            <w:pPr>
              <w:jc w:val="right"/>
              <w:ind w:right="118"/>
              <w:spacing w:after="0" w:line="39" w:lineRule="exact"/>
              <w:rPr>
                <w:sz w:val="20"/>
                <w:szCs w:val="20"/>
                <w:color w:val="auto"/>
              </w:rPr>
            </w:pPr>
            <w:r>
              <w:rPr>
                <w:rFonts w:ascii="Arial" w:cs="Arial" w:eastAsia="Arial" w:hAnsi="Arial"/>
                <w:sz w:val="4"/>
                <w:szCs w:val="4"/>
                <w:color w:val="FFFFFF"/>
              </w:rPr>
              <w:t>includes forward-looking statements that involve risks and uncertainties relating to future events and the future performance of Regeneron Pharmaceuticals, Inc. (“Regeneron”   the “Company”), and</w:t>
            </w:r>
          </w:p>
        </w:tc>
      </w:tr>
      <w:tr>
        <w:trPr>
          <w:trHeight w:val="39"/>
        </w:trPr>
        <w:tc>
          <w:tcPr>
            <w:tcW w:w="11420" w:type="dxa"/>
            <w:vAlign w:val="bottom"/>
            <w:gridSpan w:val="9"/>
          </w:tcPr>
          <w:p>
            <w:pPr>
              <w:ind w:left="60"/>
              <w:spacing w:after="0" w:line="39" w:lineRule="exact"/>
              <w:rPr>
                <w:sz w:val="20"/>
                <w:szCs w:val="20"/>
                <w:color w:val="auto"/>
              </w:rPr>
            </w:pPr>
            <w:r>
              <w:rPr>
                <w:rFonts w:ascii="Arial" w:cs="Arial" w:eastAsia="Arial" w:hAnsi="Arial"/>
                <w:sz w:val="4"/>
                <w:szCs w:val="4"/>
                <w:color w:val="FFFFFF"/>
              </w:rPr>
              <w:t>ctualpresentationeventsresults may differ materially from these forward-looking statements. Words such as “anticipate,” “expect,” “intend,” “plan,” “believe,” “seek,” “estimate,” variations of such words and similar expressions</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are intended to identify such forward-looking statements, although not all forward-looking statements contain these identifying words. These statements concern, and these risks and uncertainties include, among others,</w:t>
            </w:r>
          </w:p>
        </w:tc>
      </w:tr>
      <w:tr>
        <w:trPr>
          <w:trHeight w:val="39"/>
        </w:trPr>
        <w:tc>
          <w:tcPr>
            <w:tcW w:w="4340" w:type="dxa"/>
            <w:vAlign w:val="bottom"/>
            <w:gridSpan w:val="4"/>
          </w:tcPr>
          <w:p>
            <w:pPr>
              <w:spacing w:after="0" w:line="39" w:lineRule="exact"/>
              <w:rPr>
                <w:sz w:val="20"/>
                <w:szCs w:val="20"/>
                <w:color w:val="auto"/>
              </w:rPr>
            </w:pPr>
            <w:r>
              <w:rPr>
                <w:rFonts w:ascii="Arial" w:cs="Arial" w:eastAsia="Arial" w:hAnsi="Arial"/>
                <w:sz w:val="4"/>
                <w:szCs w:val="4"/>
                <w:color w:val="FFFFFF"/>
              </w:rPr>
              <w:t>the nature, timing, and possible success and therapeutic applications of Regeneron’</w:t>
            </w:r>
          </w:p>
        </w:tc>
        <w:tc>
          <w:tcPr>
            <w:tcW w:w="7080" w:type="dxa"/>
            <w:vAlign w:val="bottom"/>
            <w:gridSpan w:val="5"/>
          </w:tcPr>
          <w:p>
            <w:pPr>
              <w:ind w:left="40"/>
              <w:spacing w:after="0" w:line="39" w:lineRule="exact"/>
              <w:rPr>
                <w:sz w:val="20"/>
                <w:szCs w:val="20"/>
                <w:color w:val="auto"/>
              </w:rPr>
            </w:pPr>
            <w:r>
              <w:rPr>
                <w:rFonts w:ascii="Arial" w:cs="Arial" w:eastAsia="Arial" w:hAnsi="Arial"/>
                <w:sz w:val="4"/>
                <w:szCs w:val="4"/>
                <w:color w:val="FFFFFF"/>
              </w:rPr>
              <w:t>products, product candidates, and research and clinical programs now underway or planned, including without limitation EYLEA®,</w:t>
            </w:r>
          </w:p>
        </w:tc>
      </w:tr>
      <w:tr>
        <w:trPr>
          <w:trHeight w:val="39"/>
        </w:trPr>
        <w:tc>
          <w:tcPr>
            <w:tcW w:w="1600" w:type="dxa"/>
            <w:vAlign w:val="bottom"/>
            <w:gridSpan w:val="2"/>
          </w:tcPr>
          <w:p>
            <w:pPr>
              <w:spacing w:after="0" w:line="39" w:lineRule="exact"/>
              <w:rPr>
                <w:sz w:val="20"/>
                <w:szCs w:val="20"/>
                <w:color w:val="auto"/>
              </w:rPr>
            </w:pPr>
            <w:r>
              <w:rPr>
                <w:rFonts w:ascii="Arial" w:cs="Arial" w:eastAsia="Arial" w:hAnsi="Arial"/>
                <w:sz w:val="4"/>
                <w:szCs w:val="4"/>
                <w:color w:val="FFFFFF"/>
              </w:rPr>
              <w:t>Praluent™ (alirocumab),</w:t>
            </w:r>
          </w:p>
        </w:tc>
        <w:tc>
          <w:tcPr>
            <w:tcW w:w="9100" w:type="dxa"/>
            <w:vAlign w:val="bottom"/>
            <w:gridSpan w:val="6"/>
          </w:tcPr>
          <w:p>
            <w:pPr>
              <w:ind w:left="300"/>
              <w:spacing w:after="0" w:line="39" w:lineRule="exact"/>
              <w:rPr>
                <w:sz w:val="20"/>
                <w:szCs w:val="20"/>
                <w:color w:val="auto"/>
              </w:rPr>
            </w:pPr>
            <w:r>
              <w:rPr>
                <w:rFonts w:ascii="Arial" w:cs="Arial" w:eastAsia="Arial" w:hAnsi="Arial"/>
                <w:sz w:val="4"/>
                <w:szCs w:val="4"/>
                <w:color w:val="FFFFFF"/>
              </w:rPr>
              <w:t>and dupilumab; unforeseen safety issues resulting from the administration of products and product candidates in patients, including serious complications or side effects</w:t>
            </w:r>
          </w:p>
        </w:tc>
        <w:tc>
          <w:tcPr>
            <w:tcW w:w="720" w:type="dxa"/>
            <w:vAlign w:val="bottom"/>
          </w:tcPr>
          <w:p>
            <w:pPr>
              <w:ind w:left="80"/>
              <w:spacing w:after="0" w:line="39" w:lineRule="exact"/>
              <w:rPr>
                <w:sz w:val="20"/>
                <w:szCs w:val="20"/>
                <w:color w:val="auto"/>
              </w:rPr>
            </w:pPr>
            <w:r>
              <w:rPr>
                <w:rFonts w:ascii="Arial" w:cs="Arial" w:eastAsia="Arial" w:hAnsi="Arial"/>
                <w:sz w:val="4"/>
                <w:szCs w:val="4"/>
                <w:color w:val="FFFFFF"/>
              </w:rPr>
              <w:t>connection</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with the use of Regeneron’sarilumab,product candidates in clinical trials; the likelihood and timing of possible regulatory approval and commercial launch of Regeneron’s late-stage product candidates and new indications for</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marketed products, including without limitation EYLEA®, Praluent™ (alirocumab), sarilumab, and dupilumab; ongoing regulatory obligations and oversight impacting Regeneron’s research and clinical programs and</w:t>
            </w:r>
          </w:p>
        </w:tc>
      </w:tr>
      <w:tr>
        <w:trPr>
          <w:trHeight w:val="39"/>
        </w:trPr>
        <w:tc>
          <w:tcPr>
            <w:tcW w:w="4340" w:type="dxa"/>
            <w:vAlign w:val="bottom"/>
            <w:gridSpan w:val="4"/>
          </w:tcPr>
          <w:p>
            <w:pPr>
              <w:spacing w:after="0" w:line="39" w:lineRule="exact"/>
              <w:rPr>
                <w:sz w:val="20"/>
                <w:szCs w:val="20"/>
                <w:color w:val="auto"/>
              </w:rPr>
            </w:pPr>
            <w:r>
              <w:rPr>
                <w:rFonts w:ascii="Arial" w:cs="Arial" w:eastAsia="Arial" w:hAnsi="Arial"/>
                <w:sz w:val="4"/>
                <w:szCs w:val="4"/>
                <w:color w:val="FFFFFF"/>
              </w:rPr>
              <w:t>business, including those relating to patient privacy; determinations by regulatory</w:t>
            </w:r>
          </w:p>
        </w:tc>
        <w:tc>
          <w:tcPr>
            <w:tcW w:w="1800" w:type="dxa"/>
            <w:vAlign w:val="bottom"/>
            <w:gridSpan w:val="2"/>
          </w:tcPr>
          <w:p>
            <w:pPr>
              <w:ind w:left="140"/>
              <w:spacing w:after="0" w:line="39" w:lineRule="exact"/>
              <w:rPr>
                <w:sz w:val="20"/>
                <w:szCs w:val="20"/>
                <w:color w:val="auto"/>
              </w:rPr>
            </w:pPr>
            <w:r>
              <w:rPr>
                <w:rFonts w:ascii="Arial" w:cs="Arial" w:eastAsia="Arial" w:hAnsi="Arial"/>
                <w:sz w:val="4"/>
                <w:szCs w:val="4"/>
                <w:color w:val="FFFFFF"/>
              </w:rPr>
              <w:t>administrative governmental</w:t>
            </w:r>
          </w:p>
        </w:tc>
        <w:tc>
          <w:tcPr>
            <w:tcW w:w="5280" w:type="dxa"/>
            <w:vAlign w:val="bottom"/>
            <w:gridSpan w:val="3"/>
          </w:tcPr>
          <w:p>
            <w:pPr>
              <w:jc w:val="right"/>
              <w:ind w:right="238"/>
              <w:spacing w:after="0" w:line="39" w:lineRule="exact"/>
              <w:rPr>
                <w:sz w:val="20"/>
                <w:szCs w:val="20"/>
                <w:color w:val="auto"/>
              </w:rPr>
            </w:pPr>
            <w:r>
              <w:rPr>
                <w:rFonts w:ascii="Arial" w:cs="Arial" w:eastAsia="Arial" w:hAnsi="Arial"/>
                <w:sz w:val="4"/>
                <w:szCs w:val="4"/>
                <w:color w:val="FFFFFF"/>
              </w:rPr>
              <w:t>which may delay or restrict Regeneron’s ability to continue to develop or commercialize</w:t>
            </w:r>
          </w:p>
        </w:tc>
      </w:tr>
      <w:tr>
        <w:trPr>
          <w:trHeight w:val="39"/>
        </w:trPr>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20" w:type="dxa"/>
            <w:vAlign w:val="bottom"/>
            <w:gridSpan w:val="7"/>
          </w:tcPr>
          <w:p>
            <w:pPr>
              <w:jc w:val="right"/>
              <w:ind w:right="58"/>
              <w:spacing w:after="0" w:line="39" w:lineRule="exact"/>
              <w:rPr>
                <w:sz w:val="20"/>
                <w:szCs w:val="20"/>
                <w:color w:val="auto"/>
              </w:rPr>
            </w:pPr>
            <w:r>
              <w:rPr>
                <w:rFonts w:ascii="Arial" w:cs="Arial" w:eastAsia="Arial" w:hAnsi="Arial"/>
                <w:sz w:val="4"/>
                <w:szCs w:val="4"/>
                <w:color w:val="FFFFFF"/>
              </w:rPr>
              <w:t>competing drugs and product candidates that may be superior to Regeneron’authoritiesproducts and product candidates; uncertainty of market acceptance and commercial success of</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Regeneron’s products and product candidates; the ability of Regeneron to manufacture and manage supply chains for multiple products and product candidates; coverage and reimbursement determinations by third-party</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payers, including Medicare and Medicaid; unanticipated expenses; the costs of developing, producing, and selling products; the ability of Regeneron to meet any of its sales or other financial projections or guidance and</w:t>
            </w:r>
          </w:p>
        </w:tc>
      </w:tr>
      <w:tr>
        <w:trPr>
          <w:trHeight w:val="39"/>
        </w:trPr>
        <w:tc>
          <w:tcPr>
            <w:tcW w:w="4100" w:type="dxa"/>
            <w:vAlign w:val="bottom"/>
            <w:gridSpan w:val="3"/>
          </w:tcPr>
          <w:p>
            <w:pPr>
              <w:spacing w:after="0" w:line="39" w:lineRule="exact"/>
              <w:rPr>
                <w:sz w:val="20"/>
                <w:szCs w:val="20"/>
                <w:color w:val="auto"/>
              </w:rPr>
            </w:pPr>
            <w:r>
              <w:rPr>
                <w:rFonts w:ascii="Arial" w:cs="Arial" w:eastAsia="Arial" w:hAnsi="Arial"/>
                <w:sz w:val="4"/>
                <w:szCs w:val="4"/>
                <w:color w:val="FFFFFF"/>
              </w:rPr>
              <w:t>changes to the assumptions underlying those proj ctions or guidance,</w:t>
            </w:r>
          </w:p>
        </w:tc>
        <w:tc>
          <w:tcPr>
            <w:tcW w:w="4440" w:type="dxa"/>
            <w:vAlign w:val="bottom"/>
            <w:gridSpan w:val="4"/>
          </w:tcPr>
          <w:p>
            <w:pPr>
              <w:ind w:left="60"/>
              <w:spacing w:after="0" w:line="39" w:lineRule="exact"/>
              <w:rPr>
                <w:sz w:val="20"/>
                <w:szCs w:val="20"/>
                <w:color w:val="auto"/>
              </w:rPr>
            </w:pPr>
            <w:r>
              <w:rPr>
                <w:rFonts w:ascii="Arial" w:cs="Arial" w:eastAsia="Arial" w:hAnsi="Arial"/>
                <w:sz w:val="4"/>
                <w:szCs w:val="4"/>
                <w:color w:val="FFFFFF"/>
              </w:rPr>
              <w:t>without limitation those relating to EYLEA U.S. net sales and the Company’s</w:t>
            </w:r>
          </w:p>
        </w:tc>
        <w:tc>
          <w:tcPr>
            <w:tcW w:w="2880" w:type="dxa"/>
            <w:vAlign w:val="bottom"/>
            <w:gridSpan w:val="2"/>
          </w:tcPr>
          <w:p>
            <w:pPr>
              <w:jc w:val="right"/>
              <w:ind w:right="38"/>
              <w:spacing w:after="0" w:line="39" w:lineRule="exact"/>
              <w:rPr>
                <w:sz w:val="20"/>
                <w:szCs w:val="20"/>
                <w:color w:val="auto"/>
              </w:rPr>
            </w:pPr>
            <w:r>
              <w:rPr>
                <w:rFonts w:ascii="Arial" w:cs="Arial" w:eastAsia="Arial" w:hAnsi="Arial"/>
                <w:sz w:val="4"/>
                <w:szCs w:val="4"/>
                <w:color w:val="FFFFFF"/>
              </w:rPr>
              <w:t>regarding non-GAAP unreimbursed R&amp;D, non-</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GAAP SG&amp;A, cash tax payments, non-GAAP pre-tax income, and capitincludingexpenditures; the potential for any license or collaboration agreement, including Regeneron’expectationsagreements with Sanofi and Bayer HealthCare</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LLC, to be cancelled or terminated without any further product success; and risks associated with third party intellectual property and pending or future litigation relating thereto. A more complete description of these and</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other material risks can be found in Regeneron’s filings with the U.S. Securities and Exchange Commis ion, including its Form 10-K for the fiscal year ended December 31, 2013 and its Form 10-Q for the quarterly</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period ended September 30, 2014, in each case including in the sections thereof captioned “Item 1A. Risk Factors.” Any forward-looking statements are made based on management’s current beliefs and judgment, and</w:t>
            </w:r>
          </w:p>
        </w:tc>
      </w:tr>
      <w:tr>
        <w:trPr>
          <w:trHeight w:val="39"/>
        </w:trPr>
        <w:tc>
          <w:tcPr>
            <w:tcW w:w="6140" w:type="dxa"/>
            <w:vAlign w:val="bottom"/>
            <w:gridSpan w:val="6"/>
          </w:tcPr>
          <w:p>
            <w:pPr>
              <w:spacing w:after="0" w:line="39" w:lineRule="exact"/>
              <w:rPr>
                <w:sz w:val="20"/>
                <w:szCs w:val="20"/>
                <w:color w:val="auto"/>
              </w:rPr>
            </w:pPr>
            <w:r>
              <w:rPr>
                <w:rFonts w:ascii="Arial" w:cs="Arial" w:eastAsia="Arial" w:hAnsi="Arial"/>
                <w:sz w:val="4"/>
                <w:szCs w:val="4"/>
                <w:color w:val="FFFFFF"/>
              </w:rPr>
              <w:t>the reader is cautioned not to rely on any forward-looking statements made by Regeneron. Regeneron does not</w:t>
            </w:r>
          </w:p>
        </w:tc>
        <w:tc>
          <w:tcPr>
            <w:tcW w:w="2400" w:type="dxa"/>
            <w:vAlign w:val="bottom"/>
          </w:tcPr>
          <w:p>
            <w:pPr>
              <w:ind w:left="180"/>
              <w:spacing w:after="0" w:line="39" w:lineRule="exact"/>
              <w:rPr>
                <w:sz w:val="20"/>
                <w:szCs w:val="20"/>
                <w:color w:val="auto"/>
              </w:rPr>
            </w:pPr>
            <w:r>
              <w:rPr>
                <w:rFonts w:ascii="Arial" w:cs="Arial" w:eastAsia="Arial" w:hAnsi="Arial"/>
                <w:sz w:val="4"/>
                <w:szCs w:val="4"/>
                <w:color w:val="FFFFFF"/>
              </w:rPr>
              <w:t>any obligation to update</w:t>
            </w:r>
          </w:p>
        </w:tc>
        <w:tc>
          <w:tcPr>
            <w:tcW w:w="21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39"/>
        </w:trPr>
        <w:tc>
          <w:tcPr>
            <w:tcW w:w="10700" w:type="dxa"/>
            <w:vAlign w:val="bottom"/>
            <w:gridSpan w:val="8"/>
          </w:tcPr>
          <w:p>
            <w:pPr>
              <w:spacing w:after="0" w:line="39" w:lineRule="exact"/>
              <w:rPr>
                <w:sz w:val="20"/>
                <w:szCs w:val="20"/>
                <w:color w:val="auto"/>
              </w:rPr>
            </w:pPr>
            <w:r>
              <w:rPr>
                <w:rFonts w:ascii="Arial" w:cs="Arial" w:eastAsia="Arial" w:hAnsi="Arial"/>
                <w:sz w:val="4"/>
                <w:szCs w:val="4"/>
                <w:color w:val="FFFFFF"/>
              </w:rPr>
              <w:t>publicly any forward-looking statement, including without limitation any financial projection or guidance, whetherundertakeasresult of new information, future events, or otherwise.</w:t>
            </w:r>
          </w:p>
        </w:tc>
        <w:tc>
          <w:tcPr>
            <w:tcW w:w="720" w:type="dxa"/>
            <w:vAlign w:val="bottom"/>
          </w:tcPr>
          <w:p>
            <w:pPr>
              <w:spacing w:after="0"/>
              <w:rPr>
                <w:sz w:val="3"/>
                <w:szCs w:val="3"/>
                <w:color w:val="auto"/>
              </w:rPr>
            </w:pP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This presentation uses non-GAAP unreimbursed R&amp;D, non-GAAP SG&amp;A, cash tax, and non-GAAP pre-tax income, which are financial measures that are not calculated in accordance with the U.S. Generally Accepted</w:t>
            </w:r>
          </w:p>
        </w:tc>
      </w:tr>
      <w:tr>
        <w:trPr>
          <w:trHeight w:val="39"/>
        </w:trPr>
        <w:tc>
          <w:tcPr>
            <w:tcW w:w="4100" w:type="dxa"/>
            <w:vAlign w:val="bottom"/>
            <w:gridSpan w:val="3"/>
          </w:tcPr>
          <w:p>
            <w:pPr>
              <w:spacing w:after="0" w:line="39" w:lineRule="exact"/>
              <w:rPr>
                <w:sz w:val="20"/>
                <w:szCs w:val="20"/>
                <w:color w:val="auto"/>
              </w:rPr>
            </w:pPr>
            <w:r>
              <w:rPr>
                <w:rFonts w:ascii="Arial" w:cs="Arial" w:eastAsia="Arial" w:hAnsi="Arial"/>
                <w:sz w:val="4"/>
                <w:szCs w:val="4"/>
                <w:color w:val="FFFFFF"/>
              </w:rPr>
              <w:t>Accounting Principles (“GAAP”). Rege eron believes that the presentation of</w:t>
            </w:r>
          </w:p>
        </w:tc>
        <w:tc>
          <w:tcPr>
            <w:tcW w:w="240" w:type="dxa"/>
            <w:vAlign w:val="bottom"/>
          </w:tcPr>
          <w:p>
            <w:pPr>
              <w:spacing w:after="0"/>
              <w:rPr>
                <w:sz w:val="3"/>
                <w:szCs w:val="3"/>
                <w:color w:val="auto"/>
              </w:rPr>
            </w:pPr>
          </w:p>
        </w:tc>
        <w:tc>
          <w:tcPr>
            <w:tcW w:w="640" w:type="dxa"/>
            <w:vAlign w:val="bottom"/>
          </w:tcPr>
          <w:p>
            <w:pPr>
              <w:ind w:left="40"/>
              <w:spacing w:after="0" w:line="39" w:lineRule="exact"/>
              <w:rPr>
                <w:sz w:val="20"/>
                <w:szCs w:val="20"/>
                <w:color w:val="auto"/>
              </w:rPr>
            </w:pPr>
            <w:r>
              <w:rPr>
                <w:rFonts w:ascii="Arial" w:cs="Arial" w:eastAsia="Arial" w:hAnsi="Arial"/>
                <w:sz w:val="4"/>
                <w:szCs w:val="4"/>
                <w:color w:val="FFFFFF"/>
              </w:rPr>
              <w:t>non-GAAP</w:t>
            </w:r>
          </w:p>
        </w:tc>
        <w:tc>
          <w:tcPr>
            <w:tcW w:w="6440" w:type="dxa"/>
            <w:vAlign w:val="bottom"/>
            <w:gridSpan w:val="4"/>
          </w:tcPr>
          <w:p>
            <w:pPr>
              <w:jc w:val="right"/>
              <w:ind w:right="58"/>
              <w:spacing w:after="0" w:line="39" w:lineRule="exact"/>
              <w:rPr>
                <w:sz w:val="20"/>
                <w:szCs w:val="20"/>
                <w:color w:val="auto"/>
              </w:rPr>
            </w:pPr>
            <w:r>
              <w:rPr>
                <w:rFonts w:ascii="Arial" w:cs="Arial" w:eastAsia="Arial" w:hAnsi="Arial"/>
                <w:sz w:val="4"/>
                <w:szCs w:val="4"/>
                <w:color w:val="FFFFFF"/>
              </w:rPr>
              <w:t>is useful to investors because they exclude, as applicable, (i) non-cash share-based compensation expense which</w:t>
            </w:r>
          </w:p>
        </w:tc>
      </w:tr>
      <w:tr>
        <w:trPr>
          <w:trHeight w:val="39"/>
        </w:trPr>
        <w:tc>
          <w:tcPr>
            <w:tcW w:w="4980" w:type="dxa"/>
            <w:vAlign w:val="bottom"/>
            <w:gridSpan w:val="5"/>
          </w:tcPr>
          <w:p>
            <w:pPr>
              <w:spacing w:after="0" w:line="39" w:lineRule="exact"/>
              <w:rPr>
                <w:sz w:val="20"/>
                <w:szCs w:val="20"/>
                <w:color w:val="auto"/>
              </w:rPr>
            </w:pPr>
            <w:r>
              <w:rPr>
                <w:rFonts w:ascii="Arial" w:cs="Arial" w:eastAsia="Arial" w:hAnsi="Arial"/>
                <w:sz w:val="4"/>
                <w:szCs w:val="4"/>
                <w:color w:val="FFFFFF"/>
              </w:rPr>
              <w:t>fluctuates from period to period based on factors that are not within the Company’thesecontrol,</w:t>
            </w:r>
          </w:p>
        </w:tc>
        <w:tc>
          <w:tcPr>
            <w:tcW w:w="6440" w:type="dxa"/>
            <w:vAlign w:val="bottom"/>
            <w:gridSpan w:val="4"/>
          </w:tcPr>
          <w:p>
            <w:pPr>
              <w:jc w:val="right"/>
              <w:ind w:right="338"/>
              <w:spacing w:after="0" w:line="39" w:lineRule="exact"/>
              <w:rPr>
                <w:sz w:val="20"/>
                <w:szCs w:val="20"/>
                <w:color w:val="auto"/>
              </w:rPr>
            </w:pPr>
            <w:r>
              <w:rPr>
                <w:rFonts w:ascii="Arial" w:cs="Arial" w:eastAsia="Arial" w:hAnsi="Arial"/>
                <w:sz w:val="4"/>
                <w:szCs w:val="4"/>
                <w:color w:val="FFFFFF"/>
              </w:rPr>
              <w:t>measurestheCompany’s stock price on the dates share-based grants are issued, (ii) non-cash interest expense related to the</w:t>
            </w:r>
          </w:p>
        </w:tc>
      </w:tr>
      <w:tr>
        <w:trPr>
          <w:trHeight w:val="39"/>
        </w:trPr>
        <w:tc>
          <w:tcPr>
            <w:tcW w:w="10700" w:type="dxa"/>
            <w:vAlign w:val="bottom"/>
            <w:gridSpan w:val="8"/>
          </w:tcPr>
          <w:p>
            <w:pPr>
              <w:spacing w:after="0" w:line="39" w:lineRule="exact"/>
              <w:rPr>
                <w:sz w:val="20"/>
                <w:szCs w:val="20"/>
                <w:color w:val="auto"/>
              </w:rPr>
            </w:pPr>
            <w:r>
              <w:rPr>
                <w:rFonts w:ascii="Arial" w:cs="Arial" w:eastAsia="Arial" w:hAnsi="Arial"/>
                <w:sz w:val="4"/>
                <w:szCs w:val="4"/>
                <w:color w:val="FFFFFF"/>
              </w:rPr>
              <w:t>Company’s convertible senior notes since this is not deemed useful in evaluating the Company’such operating performance, (iii) estimate of income tax expense that is not payable in cash,   there is a</w:t>
            </w:r>
          </w:p>
        </w:tc>
        <w:tc>
          <w:tcPr>
            <w:tcW w:w="720" w:type="dxa"/>
            <w:vAlign w:val="bottom"/>
          </w:tcPr>
          <w:p>
            <w:pPr>
              <w:ind w:left="80"/>
              <w:spacing w:after="0" w:line="39" w:lineRule="exact"/>
              <w:rPr>
                <w:sz w:val="20"/>
                <w:szCs w:val="20"/>
                <w:color w:val="auto"/>
              </w:rPr>
            </w:pPr>
            <w:r>
              <w:rPr>
                <w:rFonts w:ascii="Arial" w:cs="Arial" w:eastAsia="Arial" w:hAnsi="Arial"/>
                <w:sz w:val="4"/>
                <w:szCs w:val="4"/>
                <w:color w:val="FFFFFF"/>
              </w:rPr>
              <w:t>difference</w:t>
            </w:r>
          </w:p>
        </w:tc>
      </w:tr>
      <w:tr>
        <w:trPr>
          <w:trHeight w:val="39"/>
        </w:trPr>
        <w:tc>
          <w:tcPr>
            <w:tcW w:w="11420" w:type="dxa"/>
            <w:vAlign w:val="bottom"/>
            <w:gridSpan w:val="9"/>
          </w:tcPr>
          <w:p>
            <w:pPr>
              <w:spacing w:after="0" w:line="39" w:lineRule="exact"/>
              <w:rPr>
                <w:sz w:val="20"/>
                <w:szCs w:val="20"/>
                <w:color w:val="auto"/>
              </w:rPr>
            </w:pPr>
            <w:r>
              <w:rPr>
                <w:rFonts w:ascii="Arial" w:cs="Arial" w:eastAsia="Arial" w:hAnsi="Arial"/>
                <w:sz w:val="4"/>
                <w:szCs w:val="4"/>
                <w:color w:val="FFFFFF"/>
              </w:rPr>
              <w:t>between the Company’s effective tax rate and actual cash income taxes paid/payable due primarily to the utilization of net operating loss and tax credit carry-forwards, and (iv) a non-cash tax benefitsignificantasresult of</w:t>
            </w:r>
          </w:p>
        </w:tc>
      </w:tr>
      <w:tr>
        <w:trPr>
          <w:trHeight w:val="0"/>
        </w:trPr>
        <w:tc>
          <w:tcPr>
            <w:tcW w:w="700" w:type="dxa"/>
            <w:vAlign w:val="bottom"/>
          </w:tcPr>
          <w:p>
            <w:pPr>
              <w:spacing w:after="0" w:line="77" w:lineRule="exact"/>
              <w:rPr>
                <w:sz w:val="20"/>
                <w:szCs w:val="20"/>
                <w:color w:val="auto"/>
              </w:rPr>
            </w:pPr>
            <w:r>
              <w:rPr>
                <w:rFonts w:ascii="Arial" w:cs="Arial" w:eastAsia="Arial" w:hAnsi="Arial"/>
                <w:sz w:val="8"/>
                <w:szCs w:val="8"/>
                <w:color w:val="FFFFFF"/>
              </w:rPr>
              <w:t>releasing</w:t>
            </w:r>
          </w:p>
        </w:tc>
        <w:tc>
          <w:tcPr>
            <w:tcW w:w="10720" w:type="dxa"/>
            <w:vAlign w:val="bottom"/>
            <w:gridSpan w:val="8"/>
          </w:tcPr>
          <w:p>
            <w:pPr>
              <w:jc w:val="right"/>
              <w:ind w:right="138"/>
              <w:spacing w:after="0" w:line="77" w:lineRule="exact"/>
              <w:rPr>
                <w:sz w:val="20"/>
                <w:szCs w:val="20"/>
                <w:color w:val="auto"/>
              </w:rPr>
            </w:pPr>
            <w:r>
              <w:rPr>
                <w:rFonts w:ascii="Arial" w:cs="Arial" w:eastAsia="Arial" w:hAnsi="Arial"/>
                <w:sz w:val="8"/>
                <w:szCs w:val="8"/>
                <w:color w:val="FFFFFF"/>
              </w:rPr>
              <w:t>all of the valuation allowance associated with the Company’s deferred tax assets. Non-GAAP unreimbursed R&amp;D represents non-GAAP R&amp;D expense reduced by R&amp;D expense reimbursements</w:t>
            </w:r>
          </w:p>
        </w:tc>
      </w:tr>
    </w:tbl>
    <w:p>
      <w:pPr>
        <w:ind w:right="80"/>
        <w:spacing w:after="0" w:line="208" w:lineRule="auto"/>
        <w:rPr>
          <w:sz w:val="20"/>
          <w:szCs w:val="20"/>
          <w:color w:val="auto"/>
        </w:rPr>
      </w:pPr>
      <w:r>
        <w:rPr>
          <w:rFonts w:ascii="Arial" w:cs="Arial" w:eastAsia="Arial" w:hAnsi="Arial"/>
          <w:sz w:val="2"/>
          <w:szCs w:val="2"/>
          <w:color w:val="FFFFFF"/>
        </w:rPr>
        <w:t xml:space="preserve">from the Company’substantiallycollaboration partners. Non-GAAP pre-tax income represents GAAP pre-tax income less non-GAAP adjustments. Management uses these non-GAAP measures for planning, budgeting, forecasting, </w:t>
      </w:r>
      <w:r>
        <w:rPr>
          <w:rFonts w:ascii="Arial" w:cs="Arial" w:eastAsia="Arial" w:hAnsi="Arial"/>
          <w:sz w:val="4"/>
          <w:szCs w:val="4"/>
          <w:color w:val="FFFFFF"/>
          <w:vertAlign w:val="subscript"/>
        </w:rPr>
        <w:t>measures</w:t>
      </w:r>
      <w:r>
        <w:rPr>
          <w:rFonts w:ascii="Arial" w:cs="Arial" w:eastAsia="Arial" w:hAnsi="Arial"/>
          <w:sz w:val="2"/>
          <w:szCs w:val="2"/>
          <w:color w:val="FFFFFF"/>
        </w:rPr>
        <w:t>assesing historical performance, and making financial and operational decisions, and also provides forecasts to investors on this basis. However, there are limitations in the use of these and other non-GAAP financial</w:t>
      </w:r>
    </w:p>
    <w:p>
      <w:pPr>
        <w:ind w:right="20" w:firstLine="514"/>
        <w:spacing w:after="0"/>
        <w:rPr>
          <w:sz w:val="20"/>
          <w:szCs w:val="20"/>
          <w:color w:val="auto"/>
        </w:rPr>
      </w:pPr>
      <w:r>
        <w:rPr>
          <w:rFonts w:ascii="Arial" w:cs="Arial" w:eastAsia="Arial" w:hAnsi="Arial"/>
          <w:sz w:val="6"/>
          <w:szCs w:val="6"/>
          <w:color w:val="FFFFFF"/>
        </w:rPr>
        <w:t>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FFFFFF"/>
        </w:rPr>
        <w:t>2</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FFFFFF"/>
        </w:rPr>
        <w:t>3For over 25 years, Regeneron’s vision has been to build an innovative company that consistently brings new medicines to patients with serious diseases.</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FFFFFF"/>
        </w:rPr>
        <w:t>4NOW IS OUR TIME AND IT’S JUST BEGINNING</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color w:val="FFFFFF"/>
          <w:vertAlign w:val="subscript"/>
        </w:rPr>
        <w:t>GENERA</w:t>
      </w:r>
      <w:r>
        <w:rPr>
          <w:rFonts w:ascii="Arial" w:cs="Arial" w:eastAsia="Arial" w:hAnsi="Arial"/>
          <w:sz w:val="13"/>
          <w:szCs w:val="13"/>
          <w:color w:val="FFFFFF"/>
        </w:rPr>
        <w:t>CLEARTEPATH FORWARD</w:t>
      </w:r>
    </w:p>
    <w:p>
      <w:pPr>
        <w:spacing w:after="0" w:line="202" w:lineRule="auto"/>
        <w:rPr>
          <w:sz w:val="20"/>
          <w:szCs w:val="20"/>
          <w:color w:val="auto"/>
        </w:rPr>
      </w:pPr>
      <w:r>
        <w:rPr>
          <w:rFonts w:ascii="Arial" w:cs="Arial" w:eastAsia="Arial" w:hAnsi="Arial"/>
          <w:sz w:val="4"/>
          <w:szCs w:val="4"/>
          <w:color w:val="FFFFFF"/>
          <w:vertAlign w:val="superscript"/>
        </w:rPr>
        <w:t>THE</w:t>
      </w:r>
      <w:r>
        <w:rPr>
          <w:rFonts w:ascii="Arial" w:cs="Arial" w:eastAsia="Arial" w:hAnsi="Arial"/>
          <w:sz w:val="2"/>
          <w:szCs w:val="2"/>
          <w:color w:val="FFFFFF"/>
        </w:rPr>
        <w:t>MAJORRANSFORMSUBMISSIONS AND/OR APPROVALS YEAR AFTER YEAR</w:t>
      </w:r>
    </w:p>
    <w:p>
      <w:pPr>
        <w:ind w:right="3519"/>
        <w:spacing w:after="0"/>
        <w:rPr>
          <w:sz w:val="20"/>
          <w:szCs w:val="20"/>
          <w:color w:val="auto"/>
        </w:rPr>
      </w:pPr>
      <w:r>
        <w:rPr>
          <w:rFonts w:ascii="Arial" w:cs="Arial" w:eastAsia="Arial" w:hAnsi="Arial"/>
          <w:sz w:val="7"/>
          <w:szCs w:val="7"/>
          <w:color w:val="FFFFFF"/>
          <w:vertAlign w:val="subscript"/>
        </w:rPr>
        <w:t>SUPPORMANAGEMENT</w:t>
      </w:r>
      <w:r>
        <w:rPr>
          <w:rFonts w:ascii="Arial" w:cs="Arial" w:eastAsia="Arial" w:hAnsi="Arial"/>
          <w:sz w:val="6"/>
          <w:szCs w:val="6"/>
          <w:color w:val="FFFFFF"/>
        </w:rPr>
        <w:t xml:space="preserve"> OF SERIOUS DISEASES: HEART DISEASE, RA, ATOPIC DERMATITIS, ASTHMA AND OTHERS EYLEA AS THE RETINAL THERAPY OF CHOICE &amp; MAINTAIN LEADERSHIP IN RETINAL DISEASE</w:t>
      </w:r>
    </w:p>
    <w:p>
      <w:pPr>
        <w:spacing w:after="0" w:line="195" w:lineRule="auto"/>
        <w:rPr>
          <w:sz w:val="20"/>
          <w:szCs w:val="20"/>
          <w:color w:val="auto"/>
        </w:rPr>
      </w:pPr>
      <w:r>
        <w:rPr>
          <w:rFonts w:ascii="Arial" w:cs="Arial" w:eastAsia="Arial" w:hAnsi="Arial"/>
          <w:sz w:val="8"/>
          <w:szCs w:val="8"/>
          <w:color w:val="FFFFFF"/>
          <w:vertAlign w:val="subscript"/>
        </w:rPr>
        <w:t>IN</w:t>
      </w:r>
      <w:r>
        <w:rPr>
          <w:rFonts w:ascii="Arial" w:cs="Arial" w:eastAsia="Arial" w:hAnsi="Arial"/>
          <w:sz w:val="7"/>
          <w:szCs w:val="7"/>
          <w:color w:val="FFFFFF"/>
        </w:rPr>
        <w:t>VEST</w:t>
      </w:r>
    </w:p>
    <w:p>
      <w:pPr>
        <w:spacing w:after="0"/>
        <w:tabs>
          <w:tab w:leader="none" w:pos="160" w:val="left"/>
        </w:tabs>
        <w:rPr>
          <w:sz w:val="20"/>
          <w:szCs w:val="20"/>
          <w:color w:val="auto"/>
        </w:rPr>
      </w:pPr>
      <w:r>
        <w:rPr>
          <w:rFonts w:ascii="Arial" w:cs="Arial" w:eastAsia="Arial" w:hAnsi="Arial"/>
          <w:sz w:val="22"/>
          <w:szCs w:val="22"/>
          <w:color w:val="FFFFFF"/>
          <w:vertAlign w:val="subscript"/>
        </w:rPr>
        <w:t>5</w:t>
      </w:r>
      <w:r>
        <w:rPr>
          <w:sz w:val="20"/>
          <w:szCs w:val="20"/>
          <w:color w:val="auto"/>
        </w:rPr>
        <w:tab/>
      </w:r>
      <w:r>
        <w:rPr>
          <w:rFonts w:ascii="Arial" w:cs="Arial" w:eastAsia="Arial" w:hAnsi="Arial"/>
          <w:sz w:val="12"/>
          <w:szCs w:val="12"/>
          <w:color w:val="FFFFFF"/>
        </w:rPr>
        <w:t>THE NEXT WAVES OF INNOVATION FOR PATIENTS IN NEED</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UNMA</w:t>
      </w:r>
    </w:p>
    <w:p>
      <w:pPr>
        <w:ind w:left="200"/>
        <w:spacing w:after="0" w:line="202" w:lineRule="auto"/>
        <w:rPr>
          <w:sz w:val="20"/>
          <w:szCs w:val="20"/>
          <w:color w:val="auto"/>
        </w:rPr>
      </w:pPr>
      <w:r>
        <w:rPr>
          <w:rFonts w:ascii="Arial" w:cs="Arial" w:eastAsia="Arial" w:hAnsi="Arial"/>
          <w:sz w:val="4"/>
          <w:szCs w:val="4"/>
          <w:color w:val="FFFFFF"/>
        </w:rPr>
        <w:t>D THETCHEDENGINE TO MAKE IT A REALITY…</w:t>
      </w:r>
    </w:p>
    <w:p>
      <w:pPr>
        <w:spacing w:after="0" w:line="180" w:lineRule="auto"/>
        <w:rPr>
          <w:sz w:val="20"/>
          <w:szCs w:val="20"/>
          <w:color w:val="auto"/>
        </w:rPr>
      </w:pPr>
      <w:r>
        <w:rPr>
          <w:rFonts w:ascii="Arial" w:cs="Arial" w:eastAsia="Arial" w:hAnsi="Arial"/>
          <w:sz w:val="9"/>
          <w:szCs w:val="9"/>
          <w:color w:val="FFFFFF"/>
        </w:rPr>
        <w:t>PIPELINE</w:t>
      </w:r>
    </w:p>
    <w:p>
      <w:pPr>
        <w:spacing w:after="0" w:line="180" w:lineRule="auto"/>
        <w:rPr>
          <w:sz w:val="20"/>
          <w:szCs w:val="20"/>
          <w:color w:val="auto"/>
        </w:rPr>
      </w:pPr>
      <w:r>
        <w:rPr>
          <w:rFonts w:ascii="Arial" w:cs="Arial" w:eastAsia="Arial" w:hAnsi="Arial"/>
          <w:sz w:val="9"/>
          <w:szCs w:val="9"/>
          <w:color w:val="FFFFFF"/>
        </w:rPr>
        <w:t>PEOPLECULTURE OF INNOVATION</w:t>
      </w:r>
    </w:p>
    <w:p>
      <w:pPr>
        <w:spacing w:after="0" w:line="204" w:lineRule="auto"/>
        <w:rPr>
          <w:sz w:val="20"/>
          <w:szCs w:val="20"/>
          <w:color w:val="auto"/>
        </w:rPr>
      </w:pPr>
      <w:r>
        <w:rPr>
          <w:rFonts w:ascii="Arial" w:cs="Arial" w:eastAsia="Arial" w:hAnsi="Arial"/>
          <w:sz w:val="4"/>
          <w:szCs w:val="4"/>
          <w:color w:val="FFFFFF"/>
        </w:rPr>
        <w:t>PROWESSSCIENCE&amp; TECH</w:t>
      </w:r>
    </w:p>
    <w:p>
      <w:pPr>
        <w:spacing w:after="0"/>
        <w:rPr>
          <w:sz w:val="20"/>
          <w:szCs w:val="20"/>
          <w:color w:val="auto"/>
        </w:rPr>
      </w:pPr>
      <w:r>
        <w:rPr>
          <w:rFonts w:ascii="Arial" w:cs="Arial" w:eastAsia="Arial" w:hAnsi="Arial"/>
          <w:sz w:val="13"/>
          <w:szCs w:val="13"/>
          <w:color w:val="FFFFFF"/>
        </w:rPr>
        <w:t>6</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FFFFFF"/>
        </w:rPr>
        <w:t>PIPELINEANDTHE ENGINE TO MAKE IT A REALITY…</w:t>
      </w:r>
    </w:p>
    <w:p>
      <w:pPr>
        <w:spacing w:after="0" w:line="202" w:lineRule="auto"/>
        <w:rPr>
          <w:sz w:val="20"/>
          <w:szCs w:val="20"/>
          <w:color w:val="auto"/>
        </w:rPr>
      </w:pPr>
      <w:r>
        <w:rPr>
          <w:rFonts w:ascii="Arial" w:cs="Arial" w:eastAsia="Arial" w:hAnsi="Arial"/>
          <w:sz w:val="4"/>
          <w:szCs w:val="4"/>
          <w:color w:val="FFFFFF"/>
        </w:rPr>
        <w:t>17 antibodies across multiple therapeutic areas</w:t>
      </w:r>
    </w:p>
    <w:p>
      <w:pPr>
        <w:spacing w:after="0" w:line="180" w:lineRule="auto"/>
        <w:rPr>
          <w:sz w:val="20"/>
          <w:szCs w:val="20"/>
          <w:color w:val="auto"/>
        </w:rPr>
      </w:pPr>
      <w:r>
        <w:rPr>
          <w:rFonts w:ascii="Arial" w:cs="Arial" w:eastAsia="Arial" w:hAnsi="Arial"/>
          <w:sz w:val="9"/>
          <w:szCs w:val="9"/>
          <w:color w:val="FFFFFF"/>
        </w:rPr>
        <w:t>3 in late stage</w:t>
      </w:r>
    </w:p>
    <w:p>
      <w:pPr>
        <w:spacing w:after="0" w:line="180" w:lineRule="auto"/>
        <w:rPr>
          <w:sz w:val="20"/>
          <w:szCs w:val="20"/>
          <w:color w:val="auto"/>
        </w:rPr>
      </w:pPr>
      <w:r>
        <w:rPr>
          <w:rFonts w:ascii="Arial" w:cs="Arial" w:eastAsia="Arial" w:hAnsi="Arial"/>
          <w:sz w:val="9"/>
          <w:szCs w:val="9"/>
          <w:color w:val="FFFFFF"/>
        </w:rPr>
        <w:t>PEOPLECULTURE OF INNOVATION</w:t>
      </w:r>
    </w:p>
    <w:p>
      <w:pPr>
        <w:spacing w:after="0" w:line="204" w:lineRule="auto"/>
        <w:rPr>
          <w:sz w:val="20"/>
          <w:szCs w:val="20"/>
          <w:color w:val="auto"/>
        </w:rPr>
      </w:pPr>
      <w:r>
        <w:rPr>
          <w:rFonts w:ascii="Arial" w:cs="Arial" w:eastAsia="Arial" w:hAnsi="Arial"/>
          <w:sz w:val="4"/>
          <w:szCs w:val="4"/>
          <w:color w:val="FFFFFF"/>
        </w:rPr>
        <w:t>PROWESSSCIENCE&amp; TECH</w:t>
      </w:r>
    </w:p>
    <w:p>
      <w:pPr>
        <w:spacing w:after="0"/>
        <w:rPr>
          <w:sz w:val="20"/>
          <w:szCs w:val="20"/>
          <w:color w:val="auto"/>
        </w:rPr>
      </w:pPr>
      <w:r>
        <w:rPr>
          <w:rFonts w:ascii="Arial" w:cs="Arial" w:eastAsia="Arial" w:hAnsi="Arial"/>
          <w:sz w:val="13"/>
          <w:szCs w:val="13"/>
          <w:color w:val="FFFFFF"/>
        </w:rPr>
        <w:t>7</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FFFFFF"/>
        </w:rPr>
        <w:t>PIPELINEANDTHE ENGINE TO MAKE IT A REALITY…</w:t>
      </w:r>
    </w:p>
    <w:p>
      <w:pPr>
        <w:spacing w:after="0" w:line="202" w:lineRule="auto"/>
        <w:rPr>
          <w:sz w:val="20"/>
          <w:szCs w:val="20"/>
          <w:color w:val="auto"/>
        </w:rPr>
      </w:pPr>
      <w:r>
        <w:rPr>
          <w:rFonts w:ascii="Arial" w:cs="Arial" w:eastAsia="Arial" w:hAnsi="Arial"/>
          <w:sz w:val="4"/>
          <w:szCs w:val="4"/>
          <w:color w:val="FFFFFF"/>
        </w:rPr>
        <w:t>17 antibodies across multiple therapeutic areas</w:t>
      </w:r>
    </w:p>
    <w:p>
      <w:pPr>
        <w:spacing w:after="0" w:line="203" w:lineRule="auto"/>
        <w:rPr>
          <w:sz w:val="20"/>
          <w:szCs w:val="20"/>
          <w:color w:val="auto"/>
        </w:rPr>
      </w:pPr>
      <w:r>
        <w:rPr>
          <w:rFonts w:ascii="Arial" w:cs="Arial" w:eastAsia="Arial" w:hAnsi="Arial"/>
          <w:sz w:val="4"/>
          <w:szCs w:val="4"/>
          <w:color w:val="FFFFFF"/>
        </w:rPr>
        <w:t>3 in late stage</w:t>
      </w:r>
    </w:p>
    <w:p>
      <w:pPr>
        <w:spacing w:after="0" w:line="203" w:lineRule="auto"/>
        <w:rPr>
          <w:sz w:val="20"/>
          <w:szCs w:val="20"/>
          <w:color w:val="auto"/>
        </w:rPr>
      </w:pPr>
      <w:r>
        <w:rPr>
          <w:rFonts w:ascii="Arial" w:cs="Arial" w:eastAsia="Arial" w:hAnsi="Arial"/>
          <w:sz w:val="4"/>
          <w:szCs w:val="4"/>
          <w:color w:val="FFFFFF"/>
        </w:rPr>
        <w:t>PEOPLE</w:t>
      </w:r>
    </w:p>
    <w:p>
      <w:pPr>
        <w:spacing w:after="0" w:line="180" w:lineRule="auto"/>
        <w:rPr>
          <w:sz w:val="20"/>
          <w:szCs w:val="20"/>
          <w:color w:val="auto"/>
        </w:rPr>
      </w:pPr>
      <w:r>
        <w:rPr>
          <w:rFonts w:ascii="Arial" w:cs="Arial" w:eastAsia="Arial" w:hAnsi="Arial"/>
          <w:sz w:val="9"/>
          <w:szCs w:val="9"/>
          <w:color w:val="FFFFFF"/>
        </w:rPr>
        <w:t>SCIENCE Top Employer for 3 years</w:t>
      </w:r>
    </w:p>
    <w:p>
      <w:pPr>
        <w:spacing w:after="0" w:line="202" w:lineRule="auto"/>
        <w:rPr>
          <w:sz w:val="20"/>
          <w:szCs w:val="20"/>
          <w:color w:val="auto"/>
        </w:rPr>
      </w:pPr>
      <w:r>
        <w:rPr>
          <w:rFonts w:ascii="Arial" w:cs="Arial" w:eastAsia="Arial" w:hAnsi="Arial"/>
          <w:sz w:val="8"/>
          <w:szCs w:val="8"/>
          <w:color w:val="FFFFFF"/>
        </w:rPr>
        <w:t>Rapidly#5Most growingInnovativeCommercialCompany team(Forbes)</w:t>
      </w:r>
    </w:p>
    <w:p>
      <w:pPr>
        <w:spacing w:after="0" w:line="204" w:lineRule="auto"/>
        <w:rPr>
          <w:sz w:val="20"/>
          <w:szCs w:val="20"/>
          <w:color w:val="auto"/>
        </w:rPr>
      </w:pPr>
      <w:r>
        <w:rPr>
          <w:rFonts w:ascii="Arial" w:cs="Arial" w:eastAsia="Arial" w:hAnsi="Arial"/>
          <w:sz w:val="4"/>
          <w:szCs w:val="4"/>
          <w:color w:val="FFFFFF"/>
        </w:rPr>
        <w:t>PROWESSSCIENCE&amp; TECH</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FFFFFF"/>
        </w:rPr>
        <w:t>PIPELINEANDTHE ENGINE TO MAKE IT A REALITY…</w:t>
      </w:r>
    </w:p>
    <w:p>
      <w:pPr>
        <w:spacing w:after="0" w:line="202" w:lineRule="auto"/>
        <w:rPr>
          <w:sz w:val="20"/>
          <w:szCs w:val="20"/>
          <w:color w:val="auto"/>
        </w:rPr>
      </w:pPr>
      <w:r>
        <w:rPr>
          <w:rFonts w:ascii="Arial" w:cs="Arial" w:eastAsia="Arial" w:hAnsi="Arial"/>
          <w:sz w:val="4"/>
          <w:szCs w:val="4"/>
          <w:color w:val="FFFFFF"/>
        </w:rPr>
        <w:t>therapeutic17antibodiesareasacross multiple</w:t>
      </w:r>
    </w:p>
    <w:p>
      <w:pPr>
        <w:spacing w:after="0" w:line="203" w:lineRule="auto"/>
        <w:rPr>
          <w:sz w:val="20"/>
          <w:szCs w:val="20"/>
          <w:color w:val="auto"/>
        </w:rPr>
      </w:pPr>
      <w:r>
        <w:rPr>
          <w:rFonts w:ascii="Arial" w:cs="Arial" w:eastAsia="Arial" w:hAnsi="Arial"/>
          <w:sz w:val="4"/>
          <w:szCs w:val="4"/>
          <w:color w:val="FFFFFF"/>
        </w:rPr>
        <w:t>3 in late stage</w:t>
      </w:r>
    </w:p>
    <w:p>
      <w:pPr>
        <w:spacing w:after="0" w:line="203" w:lineRule="auto"/>
        <w:rPr>
          <w:sz w:val="20"/>
          <w:szCs w:val="20"/>
          <w:color w:val="auto"/>
        </w:rPr>
      </w:pPr>
      <w:r>
        <w:rPr>
          <w:rFonts w:ascii="Arial" w:cs="Arial" w:eastAsia="Arial" w:hAnsi="Arial"/>
          <w:sz w:val="4"/>
          <w:szCs w:val="4"/>
          <w:color w:val="FFFFFF"/>
        </w:rPr>
        <w:t>PEOPLE</w:t>
      </w:r>
    </w:p>
    <w:p>
      <w:pPr>
        <w:spacing w:after="0" w:line="180" w:lineRule="auto"/>
        <w:rPr>
          <w:sz w:val="20"/>
          <w:szCs w:val="20"/>
          <w:color w:val="auto"/>
        </w:rPr>
      </w:pPr>
      <w:r>
        <w:rPr>
          <w:rFonts w:ascii="Arial" w:cs="Arial" w:eastAsia="Arial" w:hAnsi="Arial"/>
          <w:sz w:val="9"/>
          <w:szCs w:val="9"/>
          <w:color w:val="FFFFFF"/>
        </w:rPr>
        <w:t>SCIENCE Top Employer for 3 years</w:t>
      </w:r>
    </w:p>
    <w:p>
      <w:pPr>
        <w:spacing w:after="0" w:line="202" w:lineRule="auto"/>
        <w:rPr>
          <w:sz w:val="20"/>
          <w:szCs w:val="20"/>
          <w:color w:val="auto"/>
        </w:rPr>
      </w:pPr>
      <w:r>
        <w:rPr>
          <w:rFonts w:ascii="Arial" w:cs="Arial" w:eastAsia="Arial" w:hAnsi="Arial"/>
          <w:sz w:val="8"/>
          <w:szCs w:val="8"/>
          <w:color w:val="FFFFFF"/>
        </w:rPr>
        <w:t>Rapidly#5Most growingInnovativeCommercialCompany team(Forbes)</w:t>
      </w:r>
    </w:p>
    <w:p>
      <w:pPr>
        <w:spacing w:after="0" w:line="181" w:lineRule="auto"/>
        <w:rPr>
          <w:sz w:val="20"/>
          <w:szCs w:val="20"/>
          <w:color w:val="auto"/>
        </w:rPr>
      </w:pPr>
      <w:r>
        <w:rPr>
          <w:rFonts w:ascii="Arial" w:cs="Arial" w:eastAsia="Arial" w:hAnsi="Arial"/>
          <w:sz w:val="9"/>
          <w:szCs w:val="9"/>
          <w:color w:val="FFFFFF"/>
        </w:rPr>
        <w:t>VelocImmune®PROWESS Industrial</w:t>
      </w:r>
    </w:p>
    <w:p>
      <w:pPr>
        <w:spacing w:after="0" w:line="202" w:lineRule="auto"/>
        <w:rPr>
          <w:sz w:val="20"/>
          <w:szCs w:val="20"/>
          <w:color w:val="auto"/>
        </w:rPr>
      </w:pPr>
      <w:r>
        <w:rPr>
          <w:rFonts w:ascii="Arial" w:cs="Arial" w:eastAsia="Arial" w:hAnsi="Arial"/>
          <w:sz w:val="4"/>
          <w:szCs w:val="4"/>
          <w:color w:val="FFFFFF"/>
        </w:rPr>
        <w:t>BiRegeneron-specificsOperations Genetics Center &amp; Supply</w:t>
      </w:r>
    </w:p>
    <w:p>
      <w:pPr>
        <w:spacing w:after="0"/>
        <w:rPr>
          <w:sz w:val="20"/>
          <w:szCs w:val="20"/>
          <w:color w:val="auto"/>
        </w:rPr>
      </w:pPr>
      <w:r>
        <w:rPr>
          <w:rFonts w:ascii="Arial" w:cs="Arial" w:eastAsia="Arial" w:hAnsi="Arial"/>
          <w:sz w:val="13"/>
          <w:szCs w:val="13"/>
          <w:color w:val="FFFFFF"/>
        </w:rPr>
        <w:t>9</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19"/>
        <w:spacing w:after="0" w:line="183" w:lineRule="auto"/>
        <w:rPr>
          <w:sz w:val="20"/>
          <w:szCs w:val="20"/>
          <w:color w:val="auto"/>
        </w:rPr>
      </w:pPr>
      <w:r>
        <w:rPr>
          <w:rFonts w:ascii="Arial" w:cs="Arial" w:eastAsia="Arial" w:hAnsi="Arial"/>
          <w:sz w:val="10"/>
          <w:szCs w:val="10"/>
          <w:color w:val="FFFFFF"/>
        </w:rPr>
        <w:t>LATE STAGE PIPELINE: MULTIPLE POTENTIAL REGULATORY SUBMISSIONS/APPROVALS ADDRESSING SERIOUS DISEASES PRALUENT™</w:t>
      </w:r>
    </w:p>
    <w:p>
      <w:pPr>
        <w:spacing w:after="0" w:line="202" w:lineRule="auto"/>
        <w:rPr>
          <w:sz w:val="20"/>
          <w:szCs w:val="20"/>
          <w:color w:val="auto"/>
        </w:rPr>
      </w:pPr>
      <w:r>
        <w:rPr>
          <w:rFonts w:ascii="Arial" w:cs="Arial" w:eastAsia="Arial" w:hAnsi="Arial"/>
          <w:sz w:val="4"/>
          <w:szCs w:val="4"/>
          <w:color w:val="FFFFFF"/>
        </w:rPr>
        <w:t>(alirocumab)</w:t>
      </w:r>
    </w:p>
    <w:p>
      <w:pPr>
        <w:spacing w:after="0" w:line="203" w:lineRule="auto"/>
        <w:rPr>
          <w:sz w:val="20"/>
          <w:szCs w:val="20"/>
          <w:color w:val="auto"/>
        </w:rPr>
      </w:pPr>
      <w:r>
        <w:rPr>
          <w:rFonts w:ascii="Arial" w:cs="Arial" w:eastAsia="Arial" w:hAnsi="Arial"/>
          <w:sz w:val="4"/>
          <w:szCs w:val="4"/>
          <w:color w:val="FFFFFF"/>
        </w:rPr>
        <w:t>SARILUMAB</w:t>
      </w:r>
    </w:p>
    <w:p>
      <w:pPr>
        <w:spacing w:after="0" w:line="180" w:lineRule="auto"/>
        <w:rPr>
          <w:sz w:val="20"/>
          <w:szCs w:val="20"/>
          <w:color w:val="auto"/>
        </w:rPr>
      </w:pPr>
      <w:r>
        <w:rPr>
          <w:rFonts w:ascii="Arial" w:cs="Arial" w:eastAsia="Arial" w:hAnsi="Arial"/>
          <w:sz w:val="9"/>
          <w:szCs w:val="9"/>
          <w:color w:val="FFFFFF"/>
        </w:rPr>
        <w:t>DUPILUMAB</w:t>
      </w:r>
    </w:p>
    <w:p>
      <w:pPr>
        <w:spacing w:after="0"/>
        <w:rPr>
          <w:sz w:val="20"/>
          <w:szCs w:val="20"/>
          <w:color w:val="auto"/>
        </w:rPr>
      </w:pPr>
      <w:r>
        <w:rPr>
          <w:rFonts w:ascii="Arial" w:cs="Arial" w:eastAsia="Arial" w:hAnsi="Arial"/>
          <w:sz w:val="13"/>
          <w:szCs w:val="13"/>
          <w:color w:val="FFFFFF"/>
        </w:rPr>
        <w:t>10PRALUENT, sarilumab and dupilumab are being developed in collaboration with Sanofi</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FFFFFF"/>
              </w:rPr>
              <w:t>UNMET NEED REMAINS HIGH IN CV DISEASE</w:t>
            </w:r>
          </w:p>
        </w:tc>
        <w:tc>
          <w:tcPr>
            <w:tcW w:w="8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960" w:type="dxa"/>
            <w:vAlign w:val="bottom"/>
            <w:gridSpan w:val="2"/>
          </w:tcPr>
          <w:p>
            <w:pPr>
              <w:spacing w:after="0" w:line="39" w:lineRule="exact"/>
              <w:rPr>
                <w:sz w:val="20"/>
                <w:szCs w:val="20"/>
                <w:color w:val="auto"/>
              </w:rPr>
            </w:pPr>
            <w:r>
              <w:rPr>
                <w:rFonts w:ascii="Arial" w:cs="Arial" w:eastAsia="Arial" w:hAnsi="Arial"/>
                <w:sz w:val="4"/>
                <w:szCs w:val="4"/>
                <w:color w:val="FFFFFF"/>
              </w:rPr>
              <w:t>CV disease causes 17.3M deaths per year1 17.3M</w:t>
            </w:r>
          </w:p>
        </w:tc>
        <w:tc>
          <w:tcPr>
            <w:tcW w:w="8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960" w:type="dxa"/>
            <w:vAlign w:val="bottom"/>
            <w:gridSpan w:val="2"/>
          </w:tcPr>
          <w:p>
            <w:pPr>
              <w:spacing w:after="0" w:line="39" w:lineRule="exact"/>
              <w:rPr>
                <w:sz w:val="20"/>
                <w:szCs w:val="20"/>
                <w:color w:val="auto"/>
              </w:rPr>
            </w:pPr>
            <w:r>
              <w:rPr>
                <w:rFonts w:ascii="Arial" w:cs="Arial" w:eastAsia="Arial" w:hAnsi="Arial"/>
                <w:sz w:val="4"/>
                <w:szCs w:val="4"/>
                <w:color w:val="FFFFFF"/>
              </w:rPr>
              <w:t>Significant driver of U.S. economic costs2 $315B</w:t>
            </w:r>
          </w:p>
        </w:tc>
        <w:tc>
          <w:tcPr>
            <w:tcW w:w="8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160" w:type="dxa"/>
            <w:vAlign w:val="bottom"/>
            <w:gridSpan w:val="3"/>
          </w:tcPr>
          <w:p>
            <w:pPr>
              <w:spacing w:after="0" w:line="39" w:lineRule="exact"/>
              <w:rPr>
                <w:sz w:val="20"/>
                <w:szCs w:val="20"/>
                <w:color w:val="auto"/>
              </w:rPr>
            </w:pPr>
            <w:r>
              <w:rPr>
                <w:rFonts w:ascii="Arial" w:cs="Arial" w:eastAsia="Arial" w:hAnsi="Arial"/>
                <w:sz w:val="4"/>
                <w:szCs w:val="4"/>
                <w:color w:val="FFFFFF"/>
              </w:rPr>
              <w:t>LDL-C contributes to 60% of coronary heart 60% disease and 40% of all ischemic stroke3</w:t>
            </w:r>
          </w:p>
        </w:tc>
        <w:tc>
          <w:tcPr>
            <w:tcW w:w="0" w:type="dxa"/>
            <w:vAlign w:val="bottom"/>
          </w:tcPr>
          <w:p>
            <w:pPr>
              <w:spacing w:after="0" w:line="20" w:lineRule="exact"/>
              <w:rPr>
                <w:sz w:val="1"/>
                <w:szCs w:val="1"/>
                <w:color w:val="auto"/>
              </w:rPr>
            </w:pPr>
          </w:p>
        </w:tc>
      </w:tr>
      <w:tr>
        <w:trPr>
          <w:trHeight w:val="39"/>
        </w:trPr>
        <w:tc>
          <w:tcPr>
            <w:tcW w:w="2960" w:type="dxa"/>
            <w:vAlign w:val="bottom"/>
            <w:gridSpan w:val="2"/>
          </w:tcPr>
          <w:p>
            <w:pPr>
              <w:spacing w:after="0" w:line="39" w:lineRule="exact"/>
              <w:rPr>
                <w:sz w:val="20"/>
                <w:szCs w:val="20"/>
                <w:color w:val="auto"/>
              </w:rPr>
            </w:pPr>
            <w:r>
              <w:rPr>
                <w:rFonts w:ascii="Arial" w:cs="Arial" w:eastAsia="Arial" w:hAnsi="Arial"/>
                <w:sz w:val="4"/>
                <w:szCs w:val="4"/>
                <w:color w:val="FFFFFF"/>
              </w:rPr>
              <w:t>24M high-risk patients fail to reach LDL-C goals4 24M</w:t>
            </w:r>
          </w:p>
        </w:tc>
        <w:tc>
          <w:tcPr>
            <w:tcW w:w="8200" w:type="dxa"/>
            <w:vAlign w:val="bottom"/>
            <w:vMerge w:val="restart"/>
          </w:tcPr>
          <w:p>
            <w:pPr>
              <w:ind w:left="60"/>
              <w:spacing w:after="0" w:line="78" w:lineRule="exact"/>
              <w:rPr>
                <w:sz w:val="20"/>
                <w:szCs w:val="20"/>
                <w:color w:val="auto"/>
              </w:rPr>
            </w:pPr>
            <w:r>
              <w:rPr>
                <w:rFonts w:ascii="Arial" w:cs="Arial" w:eastAsia="Arial" w:hAnsi="Arial"/>
                <w:sz w:val="9"/>
                <w:szCs w:val="9"/>
                <w:color w:val="FFFFFF"/>
              </w:rPr>
              <w:t>(EU, East Mediterranean, the Americas, SE Asia, West Pacific, Africa). (2) NHLBI. http://www.nhlbi.nih.gov/about/documents/factbook/2012/chapter4.htm.</w:t>
            </w:r>
          </w:p>
        </w:tc>
        <w:tc>
          <w:tcPr>
            <w:tcW w:w="0" w:type="dxa"/>
            <w:vAlign w:val="bottom"/>
          </w:tcPr>
          <w:p>
            <w:pPr>
              <w:spacing w:after="0" w:line="20" w:lineRule="exact"/>
              <w:rPr>
                <w:sz w:val="1"/>
                <w:szCs w:val="1"/>
                <w:color w:val="auto"/>
              </w:rPr>
            </w:pP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1)</w:t>
            </w:r>
          </w:p>
        </w:tc>
        <w:tc>
          <w:tcPr>
            <w:tcW w:w="2780" w:type="dxa"/>
            <w:vAlign w:val="bottom"/>
          </w:tcPr>
          <w:p>
            <w:pPr>
              <w:ind w:left="780"/>
              <w:spacing w:after="0" w:line="39" w:lineRule="exact"/>
              <w:rPr>
                <w:sz w:val="20"/>
                <w:szCs w:val="20"/>
                <w:color w:val="auto"/>
              </w:rPr>
            </w:pPr>
            <w:r>
              <w:rPr>
                <w:rFonts w:ascii="Arial" w:cs="Arial" w:eastAsia="Arial" w:hAnsi="Arial"/>
                <w:sz w:val="4"/>
                <w:szCs w:val="4"/>
                <w:color w:val="FFFFFF"/>
              </w:rPr>
              <w:t>ho.</w:t>
            </w:r>
          </w:p>
        </w:tc>
        <w:tc>
          <w:tcPr>
            <w:tcW w:w="8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(3)</w:t>
            </w:r>
          </w:p>
        </w:tc>
        <w:tc>
          <w:tcPr>
            <w:tcW w:w="10980" w:type="dxa"/>
            <w:vAlign w:val="bottom"/>
            <w:gridSpan w:val="2"/>
          </w:tcPr>
          <w:p>
            <w:pPr>
              <w:spacing w:after="0" w:line="39" w:lineRule="exact"/>
              <w:rPr>
                <w:sz w:val="20"/>
                <w:szCs w:val="20"/>
                <w:color w:val="auto"/>
              </w:rPr>
            </w:pPr>
            <w:r>
              <w:rPr>
                <w:rFonts w:ascii="Arial" w:cs="Arial" w:eastAsia="Arial" w:hAnsi="Arial"/>
                <w:sz w:val="4"/>
                <w:szCs w:val="4"/>
                <w:color w:val="FFFFFF"/>
              </w:rPr>
              <w:t>WHO. http://wwwint/mediacentre/factsheets/fs317/en/.who.int/whr/2002/en/whr02.pdf?ua=1. (4) U.S. NHANES, Market Scan, IMS and Sanofi estimates.</w:t>
            </w:r>
          </w:p>
        </w:tc>
        <w:tc>
          <w:tcPr>
            <w:tcW w:w="0" w:type="dxa"/>
            <w:vAlign w:val="bottom"/>
          </w:tcPr>
          <w:p>
            <w:pPr>
              <w:spacing w:after="0" w:line="20" w:lineRule="exact"/>
              <w:rPr>
                <w:sz w:val="1"/>
                <w:szCs w:val="1"/>
                <w:color w:val="auto"/>
              </w:rPr>
            </w:pPr>
          </w:p>
        </w:tc>
      </w:tr>
      <w:tr>
        <w:trPr>
          <w:trHeight w:val="163"/>
        </w:trPr>
        <w:tc>
          <w:tcPr>
            <w:tcW w:w="180" w:type="dxa"/>
            <w:vAlign w:val="bottom"/>
          </w:tcPr>
          <w:p>
            <w:pPr>
              <w:spacing w:after="0"/>
              <w:rPr>
                <w:sz w:val="20"/>
                <w:szCs w:val="20"/>
                <w:color w:val="auto"/>
              </w:rPr>
            </w:pPr>
            <w:r>
              <w:rPr>
                <w:rFonts w:ascii="Arial" w:cs="Arial" w:eastAsia="Arial" w:hAnsi="Arial"/>
                <w:sz w:val="13"/>
                <w:szCs w:val="13"/>
                <w:color w:val="FFFFFF"/>
              </w:rPr>
              <w:t>11</w:t>
            </w:r>
          </w:p>
        </w:tc>
        <w:tc>
          <w:tcPr>
            <w:tcW w:w="278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1666240</wp:posOffset>
                </wp:positionH>
                <wp:positionV relativeFrom="paragraph">
                  <wp:posOffset>-85725</wp:posOffset>
                </wp:positionV>
                <wp:extent cx="412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2pt,-6.7499pt" to="134.45pt,-6.7499pt" o:allowincell="f" strokecolor="#000000" strokeweight="1pt"/>
            </w:pict>
          </mc:Fallback>
        </mc:AlternateContent>
      </w:r>
    </w:p>
    <w:p>
      <w:pPr>
        <w:sectPr>
          <w:pgSz w:w="11900" w:h="16838" w:orient="portrait"/>
          <w:cols w:equalWidth="0" w:num="1">
            <w:col w:w="11160"/>
          </w:cols>
          <w:pgMar w:left="240" w:top="1440" w:right="49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6"/>
          <w:szCs w:val="6"/>
          <w:color w:val="FFFFFF"/>
        </w:rPr>
        <w:t>PRALUENT™:LDL-CChange fromSIGNIFICANTBaselineat AND24WeeksCONSISTENTDosingMeanLDLBaseline-CREDUCTIONStudyQ2WACROSSLDL-(mg/dL)ALL10 alirocumabPIVOTAL TRIALSComparator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FFFFFF"/>
        </w:rPr>
        <w:t>HeFHHIGH75/150FH150mg(1)19814546%49%7%9%placeboplacebo</w:t>
      </w:r>
    </w:p>
    <w:p>
      <w:pPr>
        <w:ind w:left="200"/>
        <w:spacing w:after="0" w:line="202" w:lineRule="auto"/>
        <w:rPr>
          <w:sz w:val="20"/>
          <w:szCs w:val="20"/>
          <w:color w:val="auto"/>
        </w:rPr>
      </w:pPr>
      <w:r>
        <w:rPr>
          <w:rFonts w:ascii="Arial" w:cs="Arial" w:eastAsia="Arial" w:hAnsi="Arial"/>
          <w:sz w:val="4"/>
          <w:szCs w:val="4"/>
          <w:color w:val="FFFFFF"/>
        </w:rPr>
        <w:t>II 75/150 mg(1) 134 49% 3% placebo</w:t>
      </w:r>
    </w:p>
    <w:p>
      <w:pPr>
        <w:spacing w:after="0" w:line="180" w:lineRule="auto"/>
        <w:rPr>
          <w:sz w:val="20"/>
          <w:szCs w:val="20"/>
          <w:color w:val="auto"/>
        </w:rPr>
      </w:pPr>
      <w:r>
        <w:rPr>
          <w:rFonts w:ascii="Arial" w:cs="Arial" w:eastAsia="Arial" w:hAnsi="Arial"/>
          <w:sz w:val="9"/>
          <w:szCs w:val="9"/>
          <w:color w:val="FFFFFF"/>
        </w:rPr>
        <w:t>LONGOntop ofTERMmax 150toleratedmg(1)122statin61%doses1% placebo</w:t>
      </w:r>
    </w:p>
    <w:p>
      <w:pPr>
        <w:spacing w:after="0" w:line="187" w:lineRule="auto"/>
        <w:rPr>
          <w:sz w:val="20"/>
          <w:szCs w:val="20"/>
          <w:color w:val="auto"/>
        </w:rPr>
      </w:pPr>
      <w:r>
        <w:rPr>
          <w:rFonts w:ascii="Arial" w:cs="Arial" w:eastAsia="Arial" w:hAnsi="Arial"/>
          <w:sz w:val="13"/>
          <w:szCs w:val="13"/>
          <w:color w:val="FFFFFF"/>
        </w:rPr>
        <w:t>COMBOHigh II75/15075/150 mg(1)10210848%51%2%21%placeboezetimibe</w:t>
      </w:r>
    </w:p>
    <w:p>
      <w:pPr>
        <w:spacing w:after="0" w:line="204" w:lineRule="auto"/>
        <w:rPr>
          <w:sz w:val="20"/>
          <w:szCs w:val="20"/>
          <w:color w:val="auto"/>
        </w:rPr>
      </w:pPr>
      <w:r>
        <w:rPr>
          <w:rFonts w:ascii="Arial" w:cs="Arial" w:eastAsia="Arial" w:hAnsi="Arial"/>
          <w:sz w:val="4"/>
          <w:szCs w:val="4"/>
          <w:color w:val="FFFFFF"/>
        </w:rPr>
        <w:t>21%CVRiskstatin21switch-23% ezetimibeOntopof OPTIONregularstatinI75/150dosesmg(1) 105 44-54% 5% statin x2</w:t>
      </w:r>
    </w:p>
    <w:p>
      <w:pPr>
        <w:spacing w:after="0"/>
        <w:rPr>
          <w:sz w:val="20"/>
          <w:szCs w:val="20"/>
          <w:color w:val="auto"/>
        </w:rPr>
      </w:pPr>
      <w:r>
        <w:rPr>
          <w:rFonts w:ascii="Arial" w:cs="Arial" w:eastAsia="Arial" w:hAnsi="Arial"/>
          <w:sz w:val="13"/>
          <w:szCs w:val="13"/>
          <w:color w:val="FFFFFF"/>
        </w:rPr>
        <w:t xml:space="preserve">(1) 11-14% ezetimibe OPTION II 75/150 </w:t>
      </w:r>
      <w:r>
        <w:rPr>
          <w:rFonts w:ascii="Arial" w:cs="Arial" w:eastAsia="Arial" w:hAnsi="Arial"/>
          <w:sz w:val="25"/>
          <w:szCs w:val="25"/>
          <w:color w:val="FFFFFF"/>
          <w:vertAlign w:val="subscript"/>
        </w:rPr>
        <w:t>mg(1)</w:t>
      </w:r>
      <w:r>
        <w:rPr>
          <w:rFonts w:ascii="Arial" w:cs="Arial" w:eastAsia="Arial" w:hAnsi="Arial"/>
          <w:sz w:val="13"/>
          <w:szCs w:val="13"/>
          <w:color w:val="FFFFFF"/>
        </w:rPr>
        <w:t>111 36-51% 16% statin switch</w:t>
      </w:r>
    </w:p>
    <w:p>
      <w:pPr>
        <w:spacing w:after="0" w:line="316" w:lineRule="exact"/>
        <w:rPr>
          <w:sz w:val="20"/>
          <w:szCs w:val="20"/>
          <w:color w:val="auto"/>
        </w:rPr>
      </w:pPr>
    </w:p>
    <w:p>
      <w:pPr>
        <w:spacing w:after="0"/>
        <w:tabs>
          <w:tab w:leader="none" w:pos="2500" w:val="left"/>
        </w:tabs>
        <w:rPr>
          <w:sz w:val="20"/>
          <w:szCs w:val="20"/>
          <w:color w:val="auto"/>
        </w:rPr>
      </w:pPr>
      <w:r>
        <w:rPr>
          <w:rFonts w:ascii="Arial" w:cs="Arial" w:eastAsia="Arial" w:hAnsi="Arial"/>
          <w:sz w:val="13"/>
          <w:szCs w:val="13"/>
          <w:color w:val="FFFFFF"/>
        </w:rPr>
        <w:t>Statin Intolerant ALTERNATIVE 75/150</w:t>
      </w:r>
      <w:r>
        <w:rPr>
          <w:sz w:val="20"/>
          <w:szCs w:val="20"/>
          <w:color w:val="auto"/>
        </w:rPr>
        <w:tab/>
      </w:r>
      <w:r>
        <w:rPr>
          <w:rFonts w:ascii="Arial" w:cs="Arial" w:eastAsia="Arial" w:hAnsi="Arial"/>
          <w:sz w:val="11"/>
          <w:szCs w:val="11"/>
          <w:color w:val="FFFFFF"/>
        </w:rPr>
        <w:t>191 45% 15% ezetimibe</w:t>
      </w:r>
    </w:p>
    <w:p>
      <w:pPr>
        <w:spacing w:after="0" w:line="195" w:lineRule="auto"/>
        <w:rPr>
          <w:sz w:val="20"/>
          <w:szCs w:val="20"/>
          <w:color w:val="auto"/>
        </w:rPr>
      </w:pPr>
      <w:r>
        <w:rPr>
          <w:rFonts w:ascii="Arial" w:cs="Arial" w:eastAsia="Arial" w:hAnsi="Arial"/>
          <w:sz w:val="10"/>
          <w:szCs w:val="10"/>
          <w:color w:val="FFFFFF"/>
        </w:rPr>
        <w:t>Primary(1)Perprotocolefficacydoseendpointincreasemet toin 150all10mgreportedpossibletrialsbased on pre-specified LDL-C levels.</w:t>
      </w:r>
    </w:p>
    <w:p>
      <w:pPr>
        <w:spacing w:after="0"/>
        <w:rPr>
          <w:sz w:val="20"/>
          <w:szCs w:val="20"/>
          <w:color w:val="auto"/>
        </w:rPr>
      </w:pPr>
      <w:r>
        <w:rPr>
          <w:rFonts w:ascii="Arial" w:cs="Arial" w:eastAsia="Arial" w:hAnsi="Arial"/>
          <w:sz w:val="13"/>
          <w:szCs w:val="13"/>
          <w:color w:val="FFFFFF"/>
        </w:rPr>
        <w:t>12</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159"/>
        <w:spacing w:after="0" w:line="183" w:lineRule="auto"/>
        <w:rPr>
          <w:sz w:val="20"/>
          <w:szCs w:val="20"/>
          <w:color w:val="auto"/>
        </w:rPr>
      </w:pPr>
      <w:r>
        <w:rPr>
          <w:rFonts w:ascii="Arial" w:cs="Arial" w:eastAsia="Arial" w:hAnsi="Arial"/>
          <w:sz w:val="10"/>
          <w:szCs w:val="10"/>
          <w:color w:val="FFFFFF"/>
        </w:rPr>
        <w:t>PRALUENT™: SIGNIFICANT AND CONSISTENT LDL-C REDUCTION ACROSS ALL 10 PIVOTAL TRIALS alirocumab</w:t>
      </w:r>
    </w:p>
    <w:p>
      <w:pPr>
        <w:spacing w:after="0" w:line="202" w:lineRule="auto"/>
        <w:rPr>
          <w:sz w:val="20"/>
          <w:szCs w:val="20"/>
          <w:color w:val="auto"/>
        </w:rPr>
      </w:pPr>
      <w:r>
        <w:rPr>
          <w:rFonts w:ascii="Arial" w:cs="Arial" w:eastAsia="Arial" w:hAnsi="Arial"/>
          <w:sz w:val="4"/>
          <w:szCs w:val="4"/>
          <w:color w:val="FFFFFF"/>
          <w:vertAlign w:val="superscript"/>
        </w:rPr>
        <w:t>48%</w:t>
      </w:r>
    </w:p>
    <w:p>
      <w:pPr>
        <w:ind w:left="60"/>
        <w:spacing w:after="0" w:line="187" w:lineRule="auto"/>
        <w:rPr>
          <w:sz w:val="20"/>
          <w:szCs w:val="20"/>
          <w:color w:val="auto"/>
        </w:rPr>
      </w:pPr>
      <w:r>
        <w:rPr>
          <w:rFonts w:ascii="Arial" w:cs="Arial" w:eastAsia="Arial" w:hAnsi="Arial"/>
          <w:sz w:val="13"/>
          <w:szCs w:val="13"/>
          <w:color w:val="FFFFFF"/>
        </w:rPr>
        <w:t>6%-54%49%3649%-51%61%45%48% 51%</w:t>
      </w:r>
    </w:p>
    <w:p>
      <w:pPr>
        <w:spacing w:after="0"/>
        <w:rPr>
          <w:sz w:val="20"/>
          <w:szCs w:val="20"/>
          <w:color w:val="auto"/>
        </w:rPr>
      </w:pPr>
      <w:r>
        <w:rPr>
          <w:rFonts w:ascii="Arial" w:cs="Arial" w:eastAsia="Arial" w:hAnsi="Arial"/>
          <w:sz w:val="13"/>
          <w:szCs w:val="13"/>
          <w:color w:val="FFFFFF"/>
        </w:rPr>
        <w:t>13(1) Per protocol dose increase to 150 mg possible based on pre-specified LDL-C levels.</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5020"/>
        <w:spacing w:after="0" w:line="183" w:lineRule="auto"/>
        <w:rPr>
          <w:sz w:val="20"/>
          <w:szCs w:val="20"/>
          <w:color w:val="auto"/>
        </w:rPr>
      </w:pPr>
      <w:r>
        <w:rPr>
          <w:rFonts w:ascii="Arial" w:cs="Arial" w:eastAsia="Arial" w:hAnsi="Arial"/>
          <w:sz w:val="10"/>
          <w:szCs w:val="10"/>
          <w:color w:val="FFFFFF"/>
        </w:rPr>
        <w:t>PRALUENT™: SIGNIFICANT AND CONSISTENT LDL-C REDUCTION ACROSS ALL 10 PIVOTAL TRIALS alirocumab</w:t>
      </w:r>
    </w:p>
    <w:p>
      <w:pPr>
        <w:spacing w:after="0" w:line="180" w:lineRule="auto"/>
        <w:rPr>
          <w:sz w:val="20"/>
          <w:szCs w:val="20"/>
          <w:color w:val="auto"/>
        </w:rPr>
      </w:pPr>
      <w:r>
        <w:rPr>
          <w:rFonts w:ascii="Arial" w:cs="Arial" w:eastAsia="Arial" w:hAnsi="Arial"/>
          <w:sz w:val="7"/>
          <w:szCs w:val="7"/>
          <w:color w:val="FFFFFF"/>
        </w:rPr>
        <w:t>49%</w:t>
      </w:r>
      <w:r>
        <w:rPr>
          <w:rFonts w:ascii="Arial" w:cs="Arial" w:eastAsia="Arial" w:hAnsi="Arial"/>
          <w:sz w:val="9"/>
          <w:szCs w:val="9"/>
          <w:color w:val="FFFFFF"/>
          <w:vertAlign w:val="superscript"/>
        </w:rPr>
        <w:t>6%</w:t>
      </w:r>
    </w:p>
    <w:p>
      <w:pPr>
        <w:spacing w:after="0" w:line="187" w:lineRule="auto"/>
        <w:rPr>
          <w:sz w:val="20"/>
          <w:szCs w:val="20"/>
          <w:color w:val="auto"/>
        </w:rPr>
      </w:pPr>
      <w:r>
        <w:rPr>
          <w:rFonts w:ascii="Arial" w:cs="Arial" w:eastAsia="Arial" w:hAnsi="Arial"/>
          <w:sz w:val="9"/>
          <w:szCs w:val="9"/>
          <w:color w:val="FFFFFF"/>
        </w:rPr>
        <w:t xml:space="preserve">Largest registration program to date Evaluation 49% of 75mg and 150mg Q2W as well 14 trials with ³23,500 patients as monthly 61% options Primary endpoint evaluated at 24 weeks Post-hoc data on lower rate of </w:t>
      </w:r>
      <w:r>
        <w:rPr>
          <w:rFonts w:ascii="Arial" w:cs="Arial" w:eastAsia="Arial" w:hAnsi="Arial"/>
          <w:sz w:val="13"/>
          <w:szCs w:val="13"/>
          <w:color w:val="FFFFFF"/>
          <w:vertAlign w:val="subscript"/>
        </w:rPr>
        <w:t>Double</w:t>
      </w:r>
      <w:r>
        <w:rPr>
          <w:rFonts w:ascii="Arial" w:cs="Arial" w:eastAsia="Arial" w:hAnsi="Arial"/>
          <w:sz w:val="9"/>
          <w:szCs w:val="9"/>
          <w:color w:val="FFFFFF"/>
        </w:rPr>
        <w:t>adjdicated major CV 48% events in LONG TERM trial</w:t>
      </w:r>
    </w:p>
    <w:p>
      <w:pPr>
        <w:spacing w:after="0" w:line="202" w:lineRule="auto"/>
        <w:rPr>
          <w:sz w:val="20"/>
          <w:szCs w:val="20"/>
          <w:color w:val="auto"/>
        </w:rPr>
      </w:pPr>
      <w:r>
        <w:rPr>
          <w:rFonts w:ascii="Arial" w:cs="Arial" w:eastAsia="Arial" w:hAnsi="Arial"/>
          <w:sz w:val="2"/>
          <w:szCs w:val="2"/>
          <w:color w:val="FFFFFF"/>
        </w:rPr>
        <w:t>³</w:t>
      </w:r>
      <w:r>
        <w:rPr>
          <w:rFonts w:ascii="Arial" w:cs="Arial" w:eastAsia="Arial" w:hAnsi="Arial"/>
          <w:sz w:val="4"/>
          <w:szCs w:val="4"/>
          <w:color w:val="FFFFFF"/>
          <w:vertAlign w:val="superscript"/>
        </w:rPr>
        <w:t>4,500</w:t>
      </w:r>
      <w:r>
        <w:rPr>
          <w:rFonts w:ascii="Arial" w:cs="Arial" w:eastAsia="Arial" w:hAnsi="Arial"/>
          <w:sz w:val="2"/>
          <w:szCs w:val="2"/>
          <w:color w:val="FFFFFF"/>
        </w:rPr>
        <w:t xml:space="preserve"> patient-blind design51%years(6,12,exposure18and 24 months)</w:t>
      </w:r>
    </w:p>
    <w:p>
      <w:pPr>
        <w:spacing w:after="0" w:line="187" w:lineRule="auto"/>
        <w:rPr>
          <w:sz w:val="20"/>
          <w:szCs w:val="20"/>
          <w:color w:val="auto"/>
        </w:rPr>
      </w:pPr>
      <w:r>
        <w:rPr>
          <w:rFonts w:ascii="Arial" w:cs="Arial" w:eastAsia="Arial" w:hAnsi="Arial"/>
          <w:sz w:val="13"/>
          <w:szCs w:val="13"/>
          <w:color w:val="FFFFFF"/>
          <w:vertAlign w:val="subscript"/>
        </w:rPr>
        <w:t>48%</w:t>
      </w:r>
      <w:r>
        <w:rPr>
          <w:rFonts w:ascii="Arial" w:cs="Arial" w:eastAsia="Arial" w:hAnsi="Arial"/>
          <w:sz w:val="9"/>
          <w:szCs w:val="9"/>
          <w:color w:val="FFFFFF"/>
        </w:rPr>
        <w:t>-54% 36-51% 45%</w:t>
      </w:r>
    </w:p>
    <w:p>
      <w:pPr>
        <w:spacing w:after="0"/>
        <w:rPr>
          <w:sz w:val="20"/>
          <w:szCs w:val="20"/>
          <w:color w:val="auto"/>
        </w:rPr>
      </w:pPr>
      <w:r>
        <w:rPr>
          <w:rFonts w:ascii="Arial" w:cs="Arial" w:eastAsia="Arial" w:hAnsi="Arial"/>
          <w:sz w:val="13"/>
          <w:szCs w:val="13"/>
          <w:color w:val="FFFFFF"/>
        </w:rPr>
        <w:t>14(1) Per protocol dose increase to 150 mg possible based on pre-specified LDL-C levels.</w:t>
      </w:r>
    </w:p>
    <w:p>
      <w:pPr>
        <w:sectPr>
          <w:pgSz w:w="11900" w:h="16838" w:orient="portrait"/>
          <w:cols w:equalWidth="0" w:num="1">
            <w:col w:w="11080"/>
          </w:cols>
          <w:pgMar w:left="240" w:top="1440" w:right="5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380" w:val="left"/>
        </w:tabs>
        <w:rPr>
          <w:sz w:val="20"/>
          <w:szCs w:val="20"/>
          <w:color w:val="auto"/>
        </w:rPr>
      </w:pPr>
      <w:r>
        <w:rPr>
          <w:rFonts w:ascii="Arial" w:cs="Arial" w:eastAsia="Arial" w:hAnsi="Arial"/>
          <w:sz w:val="13"/>
          <w:szCs w:val="13"/>
          <w:color w:val="FFFFFF"/>
        </w:rPr>
        <w:t>PRALUENT™:</w:t>
      </w:r>
      <w:r>
        <w:rPr>
          <w:sz w:val="20"/>
          <w:szCs w:val="20"/>
          <w:color w:val="auto"/>
        </w:rPr>
        <w:tab/>
      </w:r>
      <w:r>
        <w:rPr>
          <w:rFonts w:ascii="Arial" w:cs="Arial" w:eastAsia="Arial" w:hAnsi="Arial"/>
          <w:sz w:val="13"/>
          <w:szCs w:val="13"/>
          <w:color w:val="FFFFFF"/>
        </w:rPr>
        <w:t>PROFILE FROM ODYSSEY LONG TERM</w:t>
      </w:r>
    </w:p>
    <w:p>
      <w:pPr>
        <w:ind w:left="880"/>
        <w:spacing w:after="0" w:line="180" w:lineRule="auto"/>
        <w:rPr>
          <w:sz w:val="20"/>
          <w:szCs w:val="20"/>
          <w:color w:val="auto"/>
        </w:rPr>
      </w:pPr>
      <w:r>
        <w:rPr>
          <w:rFonts w:ascii="Arial" w:cs="Arial" w:eastAsia="Arial" w:hAnsi="Arial"/>
          <w:sz w:val="9"/>
          <w:szCs w:val="9"/>
          <w:color w:val="FFFFFF"/>
        </w:rPr>
        <w:t>SAFETY</w:t>
      </w:r>
    </w:p>
    <w:p>
      <w:pPr>
        <w:spacing w:after="0" w:line="203" w:lineRule="auto"/>
        <w:rPr>
          <w:sz w:val="20"/>
          <w:szCs w:val="20"/>
          <w:color w:val="auto"/>
        </w:rPr>
      </w:pPr>
      <w:r>
        <w:rPr>
          <w:rFonts w:ascii="Arial" w:cs="Arial" w:eastAsia="Arial" w:hAnsi="Arial"/>
          <w:sz w:val="4"/>
          <w:szCs w:val="4"/>
          <w:color w:val="FFFFFF"/>
        </w:rPr>
        <w:t>alirocumab%ofPatientsPlacebowith reatment Emergent Adverse Events of Interest</w:t>
      </w:r>
    </w:p>
    <w:p>
      <w:pPr>
        <w:spacing w:after="0" w:line="202" w:lineRule="auto"/>
        <w:rPr>
          <w:sz w:val="20"/>
          <w:szCs w:val="20"/>
          <w:color w:val="auto"/>
        </w:rPr>
      </w:pPr>
      <w:r>
        <w:rPr>
          <w:rFonts w:ascii="Arial" w:cs="Arial" w:eastAsia="Arial" w:hAnsi="Arial"/>
          <w:sz w:val="4"/>
          <w:szCs w:val="4"/>
          <w:color w:val="FFFFFF"/>
        </w:rPr>
        <w:t>(n=1550) (n=788)</w:t>
      </w:r>
    </w:p>
    <w:p>
      <w:pPr>
        <w:ind w:left="840" w:right="300" w:hanging="837"/>
        <w:spacing w:after="0" w:line="180" w:lineRule="auto"/>
        <w:rPr>
          <w:sz w:val="20"/>
          <w:szCs w:val="20"/>
          <w:color w:val="auto"/>
        </w:rPr>
      </w:pPr>
      <w:r>
        <w:rPr>
          <w:rFonts w:ascii="Arial" w:cs="Arial" w:eastAsia="Arial" w:hAnsi="Arial"/>
          <w:sz w:val="9"/>
          <w:szCs w:val="9"/>
          <w:color w:val="FFFFFF"/>
          <w:vertAlign w:val="subscript"/>
        </w:rPr>
        <w:t>Neurocognitive</w:t>
      </w:r>
      <w:r>
        <w:rPr>
          <w:rFonts w:ascii="Arial" w:cs="Arial" w:eastAsia="Arial" w:hAnsi="Arial"/>
          <w:sz w:val="7"/>
          <w:szCs w:val="7"/>
          <w:color w:val="FFFFFF"/>
        </w:rPr>
        <w:t>Gneralallergic reaction events 9.0 9.0 Treatment emergent local injection site reactions 5.8 4.3 Myalgia 4.9 3.0 Neurological events2 4.2 3.9 All cardiovascular events1 4.0 4.4 Ophthalmological events2 2.5 1.9 disorders2 1.2 0.5 ALT increase 1.1 0.5 CPK increase 0.5 0.5 AST increase 0.2 0</w:t>
      </w:r>
    </w:p>
    <w:p>
      <w:pPr>
        <w:spacing w:after="0" w:line="203" w:lineRule="auto"/>
        <w:rPr>
          <w:sz w:val="20"/>
          <w:szCs w:val="20"/>
          <w:color w:val="auto"/>
        </w:rPr>
      </w:pPr>
      <w:r>
        <w:rPr>
          <w:rFonts w:ascii="Arial" w:cs="Arial" w:eastAsia="Arial" w:hAnsi="Arial"/>
          <w:sz w:val="4"/>
          <w:szCs w:val="4"/>
          <w:color w:val="FFFFFF"/>
        </w:rPr>
        <w:t>All patients on background of maximally tolerated statin ± other lipid-lowering therapy Safety Analysis (at least 52 weeks for all patients continuing treatment, including 607 patients overall who completed W78 visit)</w:t>
      </w:r>
    </w:p>
    <w:p>
      <w:pPr>
        <w:ind w:right="20"/>
        <w:spacing w:after="0"/>
        <w:rPr>
          <w:sz w:val="20"/>
          <w:szCs w:val="20"/>
          <w:color w:val="auto"/>
        </w:rPr>
      </w:pPr>
      <w:r>
        <w:rPr>
          <w:rFonts w:ascii="Arial" w:cs="Arial" w:eastAsia="Arial" w:hAnsi="Arial"/>
          <w:sz w:val="6"/>
          <w:szCs w:val="6"/>
          <w:color w:val="FFFFFF"/>
        </w:rPr>
        <w:t>(1) Confirmed by adjudication. Adjudicated CV events include all CV AEs positively adjudicated. The adjudication categories are the following: CHD death, non-fatal MI, fatal and non-fatal ischemic stroke, unstable angina requiring hospitalization, congestive heart failure requiring hospitalization, ischemia driven coronary revascularization procedure [PCI, CABG].</w:t>
      </w:r>
    </w:p>
    <w:p>
      <w:pPr>
        <w:spacing w:after="0" w:line="198" w:lineRule="auto"/>
        <w:rPr>
          <w:sz w:val="20"/>
          <w:szCs w:val="20"/>
          <w:color w:val="auto"/>
        </w:rPr>
      </w:pPr>
      <w:r>
        <w:rPr>
          <w:rFonts w:ascii="Arial" w:cs="Arial" w:eastAsia="Arial" w:hAnsi="Arial"/>
          <w:sz w:val="5"/>
          <w:szCs w:val="5"/>
          <w:color w:val="FFFFFF"/>
        </w:rPr>
        <w:t>(2) Company MedDRA Queries (CMQ).</w:t>
      </w:r>
    </w:p>
    <w:p>
      <w:pPr>
        <w:spacing w:after="0"/>
        <w:rPr>
          <w:sz w:val="20"/>
          <w:szCs w:val="20"/>
          <w:color w:val="auto"/>
        </w:rPr>
      </w:pPr>
      <w:r>
        <w:rPr>
          <w:rFonts w:ascii="Arial" w:cs="Arial" w:eastAsia="Arial" w:hAnsi="Arial"/>
          <w:sz w:val="13"/>
          <w:szCs w:val="13"/>
          <w:color w:val="FFFFFF"/>
        </w:rPr>
        <w:t>15</w:t>
      </w:r>
    </w:p>
    <w:p>
      <w:pPr>
        <w:sectPr>
          <w:pgSz w:w="11900" w:h="16838" w:orient="portrait"/>
          <w:cols w:equalWidth="0" w:num="1">
            <w:col w:w="11240"/>
          </w:cols>
          <w:pgMar w:left="240" w:top="1440" w:right="4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9"/>
          <w:szCs w:val="9"/>
          <w:color w:val="FFFFFF"/>
        </w:rPr>
        <w:t>2015PRALUENT™:PRIORITIESCRITICAL LAUNCH PREPAREDNESS UNDERWAY</w:t>
      </w:r>
    </w:p>
    <w:p>
      <w:pPr>
        <w:spacing w:after="0" w:line="180" w:lineRule="auto"/>
        <w:rPr>
          <w:sz w:val="20"/>
          <w:szCs w:val="20"/>
          <w:color w:val="auto"/>
        </w:rPr>
      </w:pPr>
      <w:r>
        <w:rPr>
          <w:rFonts w:ascii="Arial" w:cs="Arial" w:eastAsia="Arial" w:hAnsi="Arial"/>
          <w:sz w:val="9"/>
          <w:szCs w:val="9"/>
          <w:color w:val="FFFFFF"/>
        </w:rPr>
        <w:t>U.S. &amp; EU Regulatory Review</w:t>
      </w:r>
    </w:p>
    <w:p>
      <w:pPr>
        <w:spacing w:after="0" w:line="180" w:lineRule="auto"/>
        <w:rPr>
          <w:sz w:val="20"/>
          <w:szCs w:val="20"/>
          <w:color w:val="auto"/>
        </w:rPr>
      </w:pPr>
      <w:r>
        <w:rPr>
          <w:rFonts w:ascii="Arial" w:cs="Arial" w:eastAsia="Arial" w:hAnsi="Arial"/>
          <w:sz w:val="9"/>
          <w:szCs w:val="9"/>
          <w:color w:val="FFFFFF"/>
        </w:rPr>
        <w:t>InvestFDAPriorityforSuccessfulReview Launchexpectedin 2H15</w:t>
      </w:r>
    </w:p>
    <w:p>
      <w:pPr>
        <w:spacing w:after="0" w:line="180" w:lineRule="auto"/>
        <w:rPr>
          <w:sz w:val="20"/>
          <w:szCs w:val="20"/>
          <w:color w:val="auto"/>
        </w:rPr>
      </w:pPr>
      <w:r>
        <w:rPr>
          <w:rFonts w:ascii="Arial" w:cs="Arial" w:eastAsia="Arial" w:hAnsi="Arial"/>
          <w:sz w:val="9"/>
          <w:szCs w:val="9"/>
          <w:color w:val="FFFFFF"/>
        </w:rPr>
        <w:t>PresentManufacturingMonthlyscaleDosing-up; Resultscommercial/ field force expansion</w:t>
      </w:r>
    </w:p>
    <w:p>
      <w:pPr>
        <w:spacing w:after="0"/>
        <w:rPr>
          <w:sz w:val="20"/>
          <w:szCs w:val="20"/>
          <w:color w:val="auto"/>
        </w:rPr>
      </w:pPr>
      <w:r>
        <w:rPr>
          <w:rFonts w:ascii="Arial" w:cs="Arial" w:eastAsia="Arial" w:hAnsi="Arial"/>
          <w:sz w:val="13"/>
          <w:szCs w:val="13"/>
          <w:color w:val="FFFFFF"/>
        </w:rPr>
        <w:t>16CHOICE I and CHOICE II data</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FFFFFF"/>
        </w:rPr>
        <w:t>SARILUMAB IN RHEUMATOID ARTHRITIS:</w:t>
      </w:r>
    </w:p>
    <w:p>
      <w:pPr>
        <w:spacing w:after="0" w:line="202" w:lineRule="auto"/>
        <w:rPr>
          <w:sz w:val="20"/>
          <w:szCs w:val="20"/>
          <w:color w:val="auto"/>
        </w:rPr>
      </w:pPr>
      <w:r>
        <w:rPr>
          <w:rFonts w:ascii="Arial" w:cs="Arial" w:eastAsia="Arial" w:hAnsi="Arial"/>
          <w:sz w:val="4"/>
          <w:szCs w:val="4"/>
          <w:color w:val="FFFFFF"/>
        </w:rPr>
        <w:t>GROWING OPPORTUNITY; BROAD DEVELOPMENT PROGRAM</w:t>
      </w:r>
    </w:p>
    <w:p>
      <w:pPr>
        <w:ind w:right="1119"/>
        <w:spacing w:after="0" w:line="180" w:lineRule="auto"/>
        <w:rPr>
          <w:sz w:val="20"/>
          <w:szCs w:val="20"/>
          <w:color w:val="auto"/>
        </w:rPr>
      </w:pPr>
      <w:r>
        <w:rPr>
          <w:rFonts w:ascii="Arial" w:cs="Arial" w:eastAsia="Arial" w:hAnsi="Arial"/>
          <w:sz w:val="9"/>
          <w:szCs w:val="9"/>
          <w:color w:val="FFFFFF"/>
        </w:rPr>
        <w:t>RA affects up to 70M people worldwide1 Unmet need exists as patients cycle through multiple treatments Biologic monotherapy is an important and growing market segment2 ~2,500 RA patients targeted in SARIL-RA program</w:t>
      </w:r>
    </w:p>
    <w:p>
      <w:pPr>
        <w:spacing w:after="0" w:line="203" w:lineRule="auto"/>
        <w:rPr>
          <w:sz w:val="20"/>
          <w:szCs w:val="20"/>
          <w:color w:val="auto"/>
        </w:rPr>
      </w:pPr>
      <w:r>
        <w:rPr>
          <w:rFonts w:ascii="Arial" w:cs="Arial" w:eastAsia="Arial" w:hAnsi="Arial"/>
          <w:sz w:val="4"/>
          <w:szCs w:val="4"/>
          <w:color w:val="FFFFFF"/>
        </w:rPr>
        <w:t>STUDY DESIGN n</w:t>
      </w:r>
    </w:p>
    <w:p>
      <w:pPr>
        <w:spacing w:after="0" w:line="187" w:lineRule="auto"/>
        <w:rPr>
          <w:sz w:val="20"/>
          <w:szCs w:val="20"/>
          <w:color w:val="auto"/>
        </w:rPr>
      </w:pPr>
      <w:r>
        <w:rPr>
          <w:rFonts w:ascii="Arial" w:cs="Arial" w:eastAsia="Arial" w:hAnsi="Arial"/>
          <w:sz w:val="13"/>
          <w:szCs w:val="13"/>
          <w:color w:val="FFFFFF"/>
          <w:vertAlign w:val="subscript"/>
        </w:rPr>
        <w:t>MOBILITY</w:t>
      </w:r>
      <w:r>
        <w:rPr>
          <w:rFonts w:ascii="Arial" w:cs="Arial" w:eastAsia="Arial" w:hAnsi="Arial"/>
          <w:sz w:val="9"/>
          <w:szCs w:val="9"/>
          <w:color w:val="FFFFFF"/>
        </w:rPr>
        <w:t>ARGETsarilumabsarilumab+ DMARD,+MTX,MTXAnti-IRTNFpatientsIRpatients1,197 546</w:t>
      </w:r>
    </w:p>
    <w:p>
      <w:pPr>
        <w:spacing w:after="0" w:line="203" w:lineRule="auto"/>
        <w:rPr>
          <w:sz w:val="20"/>
          <w:szCs w:val="20"/>
          <w:color w:val="auto"/>
        </w:rPr>
      </w:pPr>
      <w:r>
        <w:rPr>
          <w:rFonts w:ascii="Arial" w:cs="Arial" w:eastAsia="Arial" w:hAnsi="Arial"/>
          <w:sz w:val="4"/>
          <w:szCs w:val="4"/>
          <w:color w:val="FFFFFF"/>
        </w:rPr>
        <w:t>ASCERTAINsarilumab+MTX,®200Anti-TNF IR patients</w:t>
      </w:r>
    </w:p>
    <w:p>
      <w:pPr>
        <w:spacing w:after="0" w:line="180" w:lineRule="auto"/>
        <w:rPr>
          <w:sz w:val="20"/>
          <w:szCs w:val="20"/>
          <w:color w:val="auto"/>
        </w:rPr>
      </w:pPr>
      <w:r>
        <w:rPr>
          <w:rFonts w:ascii="Arial" w:cs="Arial" w:eastAsia="Arial" w:hAnsi="Arial"/>
          <w:sz w:val="9"/>
          <w:szCs w:val="9"/>
          <w:color w:val="FFFFFF"/>
        </w:rPr>
        <w:t>Safety calibrator vs. Actemra</w:t>
      </w:r>
    </w:p>
    <w:p>
      <w:pPr>
        <w:spacing w:after="0" w:line="180" w:lineRule="auto"/>
        <w:rPr>
          <w:sz w:val="20"/>
          <w:szCs w:val="20"/>
          <w:color w:val="auto"/>
        </w:rPr>
      </w:pPr>
      <w:r>
        <w:rPr>
          <w:rFonts w:ascii="Arial" w:cs="Arial" w:eastAsia="Arial" w:hAnsi="Arial"/>
          <w:sz w:val="9"/>
          <w:szCs w:val="9"/>
          <w:color w:val="FFFFFF"/>
        </w:rPr>
        <w:t>ONEsarilumab120 monotherapy, DMARD-</w:t>
      </w:r>
    </w:p>
    <w:p>
      <w:pPr>
        <w:spacing w:after="0" w:line="180" w:lineRule="auto"/>
        <w:rPr>
          <w:sz w:val="20"/>
          <w:szCs w:val="20"/>
          <w:color w:val="auto"/>
        </w:rPr>
      </w:pPr>
      <w:r>
        <w:rPr>
          <w:rFonts w:ascii="Arial" w:cs="Arial" w:eastAsia="Arial" w:hAnsi="Arial"/>
          <w:sz w:val="9"/>
          <w:szCs w:val="9"/>
          <w:color w:val="FFFFFF"/>
        </w:rPr>
        <w:t>sarilumabIR/inappropriate+DMARD,patients (open-label)</w:t>
      </w:r>
    </w:p>
    <w:p>
      <w:pPr>
        <w:spacing w:after="0" w:line="180" w:lineRule="auto"/>
        <w:rPr>
          <w:sz w:val="20"/>
          <w:szCs w:val="20"/>
          <w:color w:val="auto"/>
        </w:rPr>
      </w:pPr>
      <w:r>
        <w:rPr>
          <w:rFonts w:ascii="Arial" w:cs="Arial" w:eastAsia="Arial" w:hAnsi="Arial"/>
          <w:sz w:val="9"/>
          <w:szCs w:val="9"/>
          <w:color w:val="FFFFFF"/>
        </w:rPr>
        <w:t>AutoEASY-injector200 real-life use</w:t>
      </w:r>
    </w:p>
    <w:p>
      <w:pPr>
        <w:spacing w:after="0" w:line="204" w:lineRule="auto"/>
        <w:rPr>
          <w:sz w:val="20"/>
          <w:szCs w:val="20"/>
          <w:color w:val="auto"/>
        </w:rPr>
      </w:pPr>
      <w:r>
        <w:rPr>
          <w:rFonts w:ascii="Arial" w:cs="Arial" w:eastAsia="Arial" w:hAnsi="Arial"/>
          <w:sz w:val="4"/>
          <w:szCs w:val="4"/>
          <w:color w:val="FFFFFF"/>
        </w:rPr>
        <w:t>MONARCHsarilumabmonotherapy340 vs. Humira®,, MTX-</w:t>
      </w:r>
    </w:p>
    <w:p>
      <w:pPr>
        <w:spacing w:after="0" w:line="180" w:lineRule="auto"/>
        <w:rPr>
          <w:sz w:val="20"/>
          <w:szCs w:val="20"/>
          <w:color w:val="auto"/>
        </w:rPr>
      </w:pPr>
      <w:r>
        <w:rPr>
          <w:rFonts w:ascii="Arial" w:cs="Arial" w:eastAsia="Arial" w:hAnsi="Arial"/>
          <w:sz w:val="9"/>
          <w:szCs w:val="9"/>
          <w:color w:val="FFFFFF"/>
        </w:rPr>
        <w:t>IR or MTX- inappropriate patients</w:t>
      </w:r>
    </w:p>
    <w:p>
      <w:pPr>
        <w:spacing w:after="0" w:line="203" w:lineRule="auto"/>
        <w:rPr>
          <w:sz w:val="20"/>
          <w:szCs w:val="20"/>
          <w:color w:val="auto"/>
        </w:rPr>
      </w:pPr>
      <w:r>
        <w:rPr>
          <w:rFonts w:ascii="Arial" w:cs="Arial" w:eastAsia="Arial" w:hAnsi="Arial"/>
          <w:sz w:val="4"/>
          <w:szCs w:val="4"/>
          <w:color w:val="FFFFFF"/>
        </w:rPr>
        <w:t>EXTENDsarilumab +2,000DMARDterm extensionormonotherapystudy(openlong--label)*</w:t>
      </w:r>
    </w:p>
    <w:p>
      <w:pPr>
        <w:spacing w:after="0" w:line="203" w:lineRule="auto"/>
        <w:rPr>
          <w:sz w:val="20"/>
          <w:szCs w:val="20"/>
          <w:color w:val="auto"/>
        </w:rPr>
      </w:pPr>
      <w:r>
        <w:rPr>
          <w:rFonts w:ascii="Arial" w:cs="Arial" w:eastAsia="Arial" w:hAnsi="Arial"/>
          <w:sz w:val="4"/>
          <w:szCs w:val="4"/>
          <w:color w:val="FFFFFF"/>
          <w:vertAlign w:val="superscript"/>
        </w:rPr>
        <w:t>(2)</w:t>
      </w:r>
    </w:p>
    <w:p>
      <w:pPr>
        <w:ind w:left="40"/>
        <w:spacing w:after="0" w:line="180" w:lineRule="auto"/>
        <w:rPr>
          <w:sz w:val="20"/>
          <w:szCs w:val="20"/>
          <w:color w:val="auto"/>
        </w:rPr>
      </w:pPr>
      <w:r>
        <w:rPr>
          <w:rFonts w:ascii="Arial" w:cs="Arial" w:eastAsia="Arial" w:hAnsi="Arial"/>
          <w:sz w:val="9"/>
          <w:szCs w:val="9"/>
          <w:color w:val="FFFFFF"/>
        </w:rPr>
        <w:t>1 WorldAnnRheumHealthDis.Organization.2013Dec;72(12):1897http://www.who.int/chp/topics/rheumatic/en/.-904.</w:t>
      </w:r>
    </w:p>
    <w:p>
      <w:pPr>
        <w:spacing w:after="0"/>
        <w:rPr>
          <w:sz w:val="20"/>
          <w:szCs w:val="20"/>
          <w:color w:val="auto"/>
        </w:rPr>
      </w:pPr>
      <w:r>
        <w:rPr>
          <w:rFonts w:ascii="Arial" w:cs="Arial" w:eastAsia="Arial" w:hAnsi="Arial"/>
          <w:sz w:val="13"/>
          <w:szCs w:val="13"/>
          <w:color w:val="FFFFFF"/>
        </w:rPr>
        <w:t>17*Patients must have been in a previous sarilumab study</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700" w:type="dxa"/>
            <w:vAlign w:val="bottom"/>
            <w:gridSpan w:val="2"/>
          </w:tcPr>
          <w:p>
            <w:pPr>
              <w:ind w:left="80"/>
              <w:spacing w:after="0"/>
              <w:rPr>
                <w:sz w:val="20"/>
                <w:szCs w:val="20"/>
                <w:color w:val="auto"/>
              </w:rPr>
            </w:pPr>
            <w:r>
              <w:rPr>
                <w:rFonts w:ascii="Arial" w:cs="Arial" w:eastAsia="Arial" w:hAnsi="Arial"/>
                <w:sz w:val="13"/>
                <w:szCs w:val="13"/>
                <w:color w:val="FFFFFF"/>
              </w:rPr>
              <w:t>ARILUMAB: PHASE 3 RESULTS</w:t>
            </w:r>
          </w:p>
        </w:tc>
        <w:tc>
          <w:tcPr>
            <w:tcW w:w="0" w:type="dxa"/>
            <w:vAlign w:val="bottom"/>
          </w:tcPr>
          <w:p>
            <w:pPr>
              <w:spacing w:after="0"/>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SHOW STRONG</w:t>
            </w:r>
          </w:p>
        </w:tc>
        <w:tc>
          <w:tcPr>
            <w:tcW w:w="9460" w:type="dxa"/>
            <w:vAlign w:val="bottom"/>
          </w:tcPr>
          <w:p>
            <w:pPr>
              <w:ind w:left="380"/>
              <w:spacing w:after="0" w:line="39" w:lineRule="exact"/>
              <w:rPr>
                <w:sz w:val="20"/>
                <w:szCs w:val="20"/>
                <w:color w:val="auto"/>
              </w:rPr>
            </w:pPr>
            <w:r>
              <w:rPr>
                <w:rFonts w:ascii="Arial" w:cs="Arial" w:eastAsia="Arial" w:hAnsi="Arial"/>
                <w:sz w:val="4"/>
                <w:szCs w:val="4"/>
                <w:color w:val="FFFFFF"/>
              </w:rPr>
              <w:t>AT BOTH DOSES</w:t>
            </w:r>
          </w:p>
        </w:tc>
        <w:tc>
          <w:tcPr>
            <w:tcW w:w="0" w:type="dxa"/>
            <w:vAlign w:val="bottom"/>
          </w:tcPr>
          <w:p>
            <w:pPr>
              <w:spacing w:after="0" w:line="20" w:lineRule="exact"/>
              <w:rPr>
                <w:sz w:val="1"/>
                <w:szCs w:val="1"/>
                <w:color w:val="auto"/>
              </w:rPr>
            </w:pPr>
          </w:p>
        </w:tc>
      </w:tr>
      <w:tr>
        <w:trPr>
          <w:trHeight w:val="39"/>
        </w:trPr>
        <w:tc>
          <w:tcPr>
            <w:tcW w:w="10700" w:type="dxa"/>
            <w:vAlign w:val="bottom"/>
            <w:gridSpan w:val="2"/>
          </w:tcPr>
          <w:p>
            <w:pPr>
              <w:ind w:left="180"/>
              <w:spacing w:after="0" w:line="39" w:lineRule="exact"/>
              <w:rPr>
                <w:sz w:val="20"/>
                <w:szCs w:val="20"/>
                <w:color w:val="auto"/>
              </w:rPr>
            </w:pPr>
            <w:r>
              <w:rPr>
                <w:rFonts w:ascii="Arial" w:cs="Arial" w:eastAsia="Arial" w:hAnsi="Arial"/>
                <w:sz w:val="4"/>
                <w:szCs w:val="4"/>
                <w:color w:val="FFFFFF"/>
                <w:vertAlign w:val="subscript"/>
              </w:rPr>
              <w:t>R</w:t>
            </w:r>
            <w:r>
              <w:rPr>
                <w:rFonts w:ascii="Arial" w:cs="Arial" w:eastAsia="Arial" w:hAnsi="Arial"/>
                <w:sz w:val="2"/>
                <w:szCs w:val="2"/>
                <w:color w:val="FFFFFF"/>
              </w:rPr>
              <w:t xml:space="preserve"> RESPONSE EFFICACYTACRRESPONSE AT WEEK 24 WEEK 52</w:t>
            </w:r>
          </w:p>
        </w:tc>
        <w:tc>
          <w:tcPr>
            <w:tcW w:w="0" w:type="dxa"/>
            <w:vAlign w:val="bottom"/>
          </w:tcPr>
          <w:p>
            <w:pPr>
              <w:spacing w:after="0" w:line="20" w:lineRule="exact"/>
              <w:rPr>
                <w:sz w:val="1"/>
                <w:szCs w:val="1"/>
                <w:color w:val="auto"/>
              </w:rPr>
            </w:pPr>
          </w:p>
        </w:tc>
      </w:tr>
      <w:tr>
        <w:trPr>
          <w:trHeight w:val="78"/>
        </w:trPr>
        <w:tc>
          <w:tcPr>
            <w:tcW w:w="1240" w:type="dxa"/>
            <w:vAlign w:val="bottom"/>
          </w:tcPr>
          <w:p>
            <w:pPr>
              <w:spacing w:after="0" w:line="78" w:lineRule="exact"/>
              <w:rPr>
                <w:sz w:val="20"/>
                <w:szCs w:val="20"/>
                <w:color w:val="auto"/>
              </w:rPr>
            </w:pPr>
            <w:r>
              <w:rPr>
                <w:rFonts w:ascii="Arial" w:cs="Arial" w:eastAsia="Arial" w:hAnsi="Arial"/>
                <w:sz w:val="9"/>
                <w:szCs w:val="9"/>
                <w:color w:val="FFFFFF"/>
              </w:rPr>
              <w:t>ACHIEVING (n=398)</w:t>
            </w: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 (n=400) (n=399)</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 p&lt;0.0001 vs. placebo</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700" w:type="dxa"/>
            <w:vAlign w:val="bottom"/>
            <w:gridSpan w:val="2"/>
          </w:tcPr>
          <w:p>
            <w:pPr>
              <w:spacing w:after="0" w:line="39" w:lineRule="exact"/>
              <w:rPr>
                <w:sz w:val="20"/>
                <w:szCs w:val="20"/>
                <w:color w:val="auto"/>
              </w:rPr>
            </w:pPr>
            <w:r>
              <w:rPr>
                <w:rFonts w:ascii="Arial" w:cs="Arial" w:eastAsia="Arial" w:hAnsi="Arial"/>
                <w:sz w:val="4"/>
                <w:szCs w:val="4"/>
                <w:color w:val="FFFFFF"/>
              </w:rPr>
              <w:t>SARIL-RA-MOBILITY Change from Baseline in mTSS</w:t>
            </w:r>
          </w:p>
        </w:tc>
        <w:tc>
          <w:tcPr>
            <w:tcW w:w="0" w:type="dxa"/>
            <w:vAlign w:val="bottom"/>
          </w:tcPr>
          <w:p>
            <w:pPr>
              <w:spacing w:after="0" w:line="20" w:lineRule="exact"/>
              <w:rPr>
                <w:sz w:val="1"/>
                <w:szCs w:val="1"/>
                <w:color w:val="auto"/>
              </w:rPr>
            </w:pPr>
          </w:p>
        </w:tc>
      </w:tr>
      <w:tr>
        <w:trPr>
          <w:trHeight w:val="39"/>
        </w:trPr>
        <w:tc>
          <w:tcPr>
            <w:tcW w:w="10700" w:type="dxa"/>
            <w:vAlign w:val="bottom"/>
            <w:gridSpan w:val="2"/>
          </w:tcPr>
          <w:p>
            <w:pPr>
              <w:spacing w:after="0" w:line="39" w:lineRule="exact"/>
              <w:rPr>
                <w:sz w:val="20"/>
                <w:szCs w:val="20"/>
                <w:color w:val="auto"/>
              </w:rPr>
            </w:pPr>
            <w:r>
              <w:rPr>
                <w:rFonts w:ascii="Arial" w:cs="Arial" w:eastAsia="Arial" w:hAnsi="Arial"/>
                <w:sz w:val="4"/>
                <w:szCs w:val="4"/>
                <w:color w:val="FFFFFF"/>
              </w:rPr>
              <w:t>Placebo + MTX mTSS 3</w:t>
            </w:r>
          </w:p>
        </w:tc>
        <w:tc>
          <w:tcPr>
            <w:tcW w:w="0" w:type="dxa"/>
            <w:vAlign w:val="bottom"/>
          </w:tcPr>
          <w:p>
            <w:pPr>
              <w:spacing w:after="0" w:line="20" w:lineRule="exact"/>
              <w:rPr>
                <w:sz w:val="1"/>
                <w:szCs w:val="1"/>
                <w:color w:val="auto"/>
              </w:rPr>
            </w:pPr>
          </w:p>
        </w:tc>
      </w:tr>
      <w:tr>
        <w:trPr>
          <w:trHeight w:val="39"/>
        </w:trPr>
        <w:tc>
          <w:tcPr>
            <w:tcW w:w="10700" w:type="dxa"/>
            <w:vAlign w:val="bottom"/>
            <w:gridSpan w:val="2"/>
          </w:tcPr>
          <w:p>
            <w:pPr>
              <w:spacing w:after="0" w:line="39" w:lineRule="exact"/>
              <w:rPr>
                <w:sz w:val="20"/>
                <w:szCs w:val="20"/>
                <w:color w:val="auto"/>
              </w:rPr>
            </w:pPr>
            <w:r>
              <w:rPr>
                <w:rFonts w:ascii="Arial" w:cs="Arial" w:eastAsia="Arial" w:hAnsi="Arial"/>
                <w:sz w:val="4"/>
                <w:szCs w:val="4"/>
                <w:color w:val="FFFFFF"/>
              </w:rPr>
              <w:t>IN 2.5 mTSS: Sarilumab Modified 2 70% Total Sharp 150 mg + MTX</w:t>
            </w: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Score BASELINE 1.5</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FROM 1 90%</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700" w:type="dxa"/>
            <w:vAlign w:val="bottom"/>
            <w:gridSpan w:val="2"/>
          </w:tcPr>
          <w:p>
            <w:pPr>
              <w:ind w:left="60"/>
              <w:spacing w:after="0" w:line="39" w:lineRule="exact"/>
              <w:rPr>
                <w:sz w:val="20"/>
                <w:szCs w:val="20"/>
                <w:color w:val="auto"/>
              </w:rPr>
            </w:pPr>
            <w:r>
              <w:rPr>
                <w:rFonts w:ascii="Arial" w:cs="Arial" w:eastAsia="Arial" w:hAnsi="Arial"/>
                <w:sz w:val="4"/>
                <w:szCs w:val="4"/>
                <w:color w:val="FFFFFF"/>
              </w:rPr>
              <w:t>.5 Sarilumab CHANGE 0 200 mg + MTX</w:t>
            </w: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0 13 26 36 52 Week</w:t>
            </w: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39" w:lineRule="exact"/>
              <w:rPr>
                <w:sz w:val="20"/>
                <w:szCs w:val="20"/>
                <w:color w:val="auto"/>
              </w:rPr>
            </w:pPr>
            <w:r>
              <w:rPr>
                <w:rFonts w:ascii="Arial" w:cs="Arial" w:eastAsia="Arial" w:hAnsi="Arial"/>
                <w:sz w:val="4"/>
                <w:szCs w:val="4"/>
                <w:color w:val="FFFFFF"/>
              </w:rPr>
              <w:t>* p&lt;0.0001 vs. placebo</w:t>
            </w:r>
          </w:p>
        </w:tc>
        <w:tc>
          <w:tcPr>
            <w:tcW w:w="9460" w:type="dxa"/>
            <w:vAlign w:val="bottom"/>
            <w:vMerge w:val="restart"/>
          </w:tcPr>
          <w:p>
            <w:pPr>
              <w:ind w:left="40"/>
              <w:spacing w:after="0" w:line="38" w:lineRule="exact"/>
              <w:rPr>
                <w:sz w:val="20"/>
                <w:szCs w:val="20"/>
                <w:color w:val="auto"/>
              </w:rPr>
            </w:pPr>
            <w:r>
              <w:rPr>
                <w:rFonts w:ascii="Arial" w:cs="Arial" w:eastAsia="Arial" w:hAnsi="Arial"/>
                <w:sz w:val="4"/>
                <w:szCs w:val="4"/>
                <w:color w:val="FFFFFF"/>
              </w:rPr>
              <w:t>ncidence of AEs leading to withdrawal; the most frequent AEs occurring more often in the sarilumab groups included neutropenia, upper respiratory tract infection, increased alanine</w:t>
            </w:r>
          </w:p>
        </w:tc>
        <w:tc>
          <w:tcPr>
            <w:tcW w:w="0" w:type="dxa"/>
            <w:vAlign w:val="bottom"/>
          </w:tcPr>
          <w:p>
            <w:pPr>
              <w:spacing w:after="0" w:line="20" w:lineRule="exact"/>
              <w:rPr>
                <w:sz w:val="1"/>
                <w:szCs w:val="1"/>
                <w:color w:val="auto"/>
              </w:rPr>
            </w:pPr>
          </w:p>
        </w:tc>
      </w:tr>
      <w:tr>
        <w:trPr>
          <w:trHeight w:val="0"/>
        </w:trPr>
        <w:tc>
          <w:tcPr>
            <w:tcW w:w="1240" w:type="dxa"/>
            <w:vAlign w:val="bottom"/>
          </w:tcPr>
          <w:p>
            <w:pPr>
              <w:spacing w:after="0" w:line="77" w:lineRule="exact"/>
              <w:rPr>
                <w:sz w:val="20"/>
                <w:szCs w:val="20"/>
                <w:color w:val="auto"/>
              </w:rPr>
            </w:pPr>
            <w:r>
              <w:rPr>
                <w:rFonts w:ascii="Arial" w:cs="Arial" w:eastAsia="Arial" w:hAnsi="Arial"/>
                <w:sz w:val="8"/>
                <w:szCs w:val="8"/>
                <w:color w:val="FFFFFF"/>
              </w:rPr>
              <w:t>Sarilumab had  higher</w:t>
            </w:r>
          </w:p>
        </w:tc>
        <w:tc>
          <w:tcPr>
            <w:tcW w:w="9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aminotransferase, injection</w:t>
      </w:r>
    </w:p>
    <w:p>
      <w:pPr>
        <w:spacing w:after="0" w:line="183" w:lineRule="auto"/>
        <w:tabs>
          <w:tab w:leader="none" w:pos="1420" w:val="left"/>
        </w:tabs>
        <w:rPr>
          <w:sz w:val="20"/>
          <w:szCs w:val="20"/>
          <w:color w:val="auto"/>
        </w:rPr>
      </w:pPr>
      <w:r>
        <w:rPr>
          <w:rFonts w:ascii="Arial" w:cs="Arial" w:eastAsia="Arial" w:hAnsi="Arial"/>
          <w:sz w:val="13"/>
          <w:szCs w:val="13"/>
          <w:color w:val="FFFFFF"/>
        </w:rPr>
        <w:t>18</w:t>
      </w:r>
      <w:r>
        <w:rPr>
          <w:sz w:val="20"/>
          <w:szCs w:val="20"/>
          <w:color w:val="auto"/>
        </w:rPr>
        <w:tab/>
      </w:r>
      <w:r>
        <w:rPr>
          <w:rFonts w:ascii="Arial" w:cs="Arial" w:eastAsia="Arial" w:hAnsi="Arial"/>
          <w:sz w:val="13"/>
          <w:szCs w:val="13"/>
          <w:color w:val="FFFFFF"/>
        </w:rPr>
        <w:t>site erythema, urinary tract infection and nasopharyngitis. An increase in mean LDL-C and transaminases was observed.</w:t>
      </w:r>
    </w:p>
    <w:p>
      <w:pPr>
        <w:sectPr>
          <w:pgSz w:w="11900" w:h="16838" w:orient="portrait"/>
          <w:cols w:equalWidth="0" w:num="1">
            <w:col w:w="10700"/>
          </w:cols>
          <w:pgMar w:left="240" w:top="1440" w:right="9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0"/>
          <w:szCs w:val="10"/>
          <w:color w:val="FFFFFF"/>
        </w:rPr>
        <w:t>2015SARILUMAB:PRIORITIESCRITICAL YEAR WITH MAJOR PHASE 3 READOUTS</w:t>
      </w:r>
    </w:p>
    <w:p>
      <w:pPr>
        <w:spacing w:after="0" w:line="202" w:lineRule="auto"/>
        <w:rPr>
          <w:sz w:val="20"/>
          <w:szCs w:val="20"/>
          <w:color w:val="auto"/>
        </w:rPr>
      </w:pPr>
      <w:r>
        <w:rPr>
          <w:rFonts w:ascii="Arial" w:cs="Arial" w:eastAsia="Arial" w:hAnsi="Arial"/>
          <w:sz w:val="12"/>
          <w:szCs w:val="12"/>
          <w:color w:val="FFFFFF"/>
        </w:rPr>
        <w:t>ReportTNF-IRResultsandmonotherapyfrom3Phasepopulations3Trials</w:t>
      </w:r>
    </w:p>
    <w:p>
      <w:pPr>
        <w:spacing w:after="0"/>
        <w:rPr>
          <w:sz w:val="20"/>
          <w:szCs w:val="20"/>
          <w:color w:val="auto"/>
        </w:rPr>
      </w:pPr>
      <w:r>
        <w:rPr>
          <w:rFonts w:ascii="Arial" w:cs="Arial" w:eastAsia="Arial" w:hAnsi="Arial"/>
          <w:sz w:val="13"/>
          <w:szCs w:val="13"/>
          <w:color w:val="FFFFFF"/>
        </w:rPr>
        <w:t>19Complete U.S. Submission by Year End</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599"/>
        <w:spacing w:after="0"/>
        <w:rPr>
          <w:sz w:val="20"/>
          <w:szCs w:val="20"/>
          <w:color w:val="auto"/>
        </w:rPr>
      </w:pPr>
      <w:r>
        <w:rPr>
          <w:rFonts w:ascii="Arial" w:cs="Arial" w:eastAsia="Arial" w:hAnsi="Arial"/>
          <w:sz w:val="6"/>
          <w:szCs w:val="6"/>
          <w:color w:val="FFFFFF"/>
        </w:rPr>
        <w:t>ModerateDUPILUMAB:-to-SevereAFIRSTAsthma-IN-CLASS IL4/IL13 INHIBITOR WITH POTENTIAL FOR IMPORTANT ALLERGIC DISEASES Up to 300M WW affected1 10-20% uncontrolled despite existing therapies2</w:t>
      </w:r>
    </w:p>
    <w:p>
      <w:pPr>
        <w:spacing w:after="0" w:line="58" w:lineRule="exact"/>
        <w:rPr>
          <w:sz w:val="20"/>
          <w:szCs w:val="20"/>
          <w:color w:val="auto"/>
        </w:rPr>
      </w:pPr>
    </w:p>
    <w:p>
      <w:pPr>
        <w:ind w:right="3399"/>
        <w:spacing w:after="0"/>
        <w:rPr>
          <w:sz w:val="20"/>
          <w:szCs w:val="20"/>
          <w:color w:val="auto"/>
        </w:rPr>
      </w:pPr>
      <w:r>
        <w:rPr>
          <w:rFonts w:ascii="Arial" w:cs="Arial" w:eastAsia="Arial" w:hAnsi="Arial"/>
          <w:sz w:val="6"/>
          <w:szCs w:val="6"/>
          <w:color w:val="FFFFFF"/>
        </w:rPr>
        <w:t>&gt;5MModerateaffectedSinusitis-to-SevereU.S.Atopic&amp;EU3DermatitisWidespread(AD)lesions; intense itching Sleep &amp; other lifestyle disturbance 40% uncontrolled w/ topicals4 Chronic with Nasal Polyps (CSwNP)</w:t>
      </w:r>
    </w:p>
    <w:p>
      <w:pPr>
        <w:spacing w:after="0" w:line="180" w:lineRule="auto"/>
        <w:rPr>
          <w:sz w:val="20"/>
          <w:szCs w:val="20"/>
          <w:color w:val="auto"/>
        </w:rPr>
      </w:pPr>
      <w:r>
        <w:rPr>
          <w:rFonts w:ascii="Arial" w:cs="Arial" w:eastAsia="Arial" w:hAnsi="Arial"/>
          <w:sz w:val="10"/>
          <w:szCs w:val="10"/>
          <w:color w:val="FFFFFF"/>
        </w:rPr>
        <w:t>Long-term nasal symptoms Loss of sense of smell Facial pain Approx. 200K U.S. patients have sinus surgery annually for nasal polyps5</w:t>
      </w:r>
    </w:p>
    <w:p>
      <w:pPr>
        <w:spacing w:after="0"/>
        <w:rPr>
          <w:sz w:val="20"/>
          <w:szCs w:val="20"/>
          <w:color w:val="auto"/>
        </w:rPr>
      </w:pPr>
      <w:r>
        <w:rPr>
          <w:rFonts w:ascii="Arial" w:cs="Arial" w:eastAsia="Arial" w:hAnsi="Arial"/>
          <w:sz w:val="6"/>
          <w:szCs w:val="6"/>
          <w:color w:val="FFFFFF"/>
        </w:rPr>
        <w:t>(5)1)3) AdaptedWHO.http://www.who.fromWhiteBookint/gard/publications/chronicAllergy.http://www.worldallergy.org/UserFiles/file/WAO_respiratory_diseases.pdf.(2)AmJ-RespirWhite-BookCritCare-on-Allergy.pdf.Med.2004Oct;170(8):836(4)AllergyAsthma-844.6.Proc. 2012 May-Jun;33(3):227-34.</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FFFFFF"/>
        </w:rPr>
        <w:t>20 MEDSTAT and IHCIS Database, and Internal Analysis.</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gridSpan w:val="3"/>
          </w:tcPr>
          <w:p>
            <w:pPr>
              <w:spacing w:after="0"/>
              <w:rPr>
                <w:sz w:val="20"/>
                <w:szCs w:val="20"/>
                <w:color w:val="auto"/>
              </w:rPr>
            </w:pPr>
            <w:r>
              <w:rPr>
                <w:rFonts w:ascii="Arial" w:cs="Arial" w:eastAsia="Arial" w:hAnsi="Arial"/>
                <w:sz w:val="13"/>
                <w:szCs w:val="13"/>
                <w:color w:val="FFFFFF"/>
              </w:rPr>
              <w:t>DUPILUMAB: A FIRST-IN-CLASS IL4/IL13 INHIBITOR WITH POTENTIAL FOR IMPORTANT ALLERGIC DISEASES</w:t>
            </w:r>
          </w:p>
        </w:tc>
      </w:tr>
      <w:tr>
        <w:trPr>
          <w:trHeight w:val="39"/>
        </w:trPr>
        <w:tc>
          <w:tcPr>
            <w:tcW w:w="7080" w:type="dxa"/>
            <w:vAlign w:val="bottom"/>
            <w:gridSpan w:val="3"/>
          </w:tcPr>
          <w:p>
            <w:pPr>
              <w:spacing w:after="0" w:line="39" w:lineRule="exact"/>
              <w:rPr>
                <w:sz w:val="20"/>
                <w:szCs w:val="20"/>
                <w:color w:val="auto"/>
              </w:rPr>
            </w:pPr>
            <w:r>
              <w:rPr>
                <w:rFonts w:ascii="Arial" w:cs="Arial" w:eastAsia="Arial" w:hAnsi="Arial"/>
                <w:sz w:val="4"/>
                <w:szCs w:val="4"/>
                <w:color w:val="FFFFFF"/>
              </w:rPr>
              <w:t>Moderate-to-Severe Asthma</w:t>
            </w:r>
          </w:p>
        </w:tc>
      </w:tr>
      <w:tr>
        <w:trPr>
          <w:trHeight w:val="39"/>
        </w:trPr>
        <w:tc>
          <w:tcPr>
            <w:tcW w:w="7080" w:type="dxa"/>
            <w:vAlign w:val="bottom"/>
            <w:gridSpan w:val="3"/>
          </w:tcPr>
          <w:p>
            <w:pPr>
              <w:spacing w:after="0" w:line="39" w:lineRule="exact"/>
              <w:rPr>
                <w:sz w:val="20"/>
                <w:szCs w:val="20"/>
                <w:color w:val="auto"/>
              </w:rPr>
            </w:pPr>
            <w:r>
              <w:rPr>
                <w:rFonts w:ascii="Arial" w:cs="Arial" w:eastAsia="Arial" w:hAnsi="Arial"/>
                <w:sz w:val="4"/>
                <w:szCs w:val="4"/>
                <w:color w:val="FFFFFF"/>
              </w:rPr>
              <w:t>Up to 300M WW affected1 10-20% uncontrolled despite existing therapies2</w:t>
            </w:r>
          </w:p>
        </w:tc>
      </w:tr>
      <w:tr>
        <w:trPr>
          <w:trHeight w:val="39"/>
        </w:trPr>
        <w:tc>
          <w:tcPr>
            <w:tcW w:w="7080" w:type="dxa"/>
            <w:vAlign w:val="bottom"/>
            <w:gridSpan w:val="3"/>
          </w:tcPr>
          <w:p>
            <w:pPr>
              <w:spacing w:after="0" w:line="39" w:lineRule="exact"/>
              <w:rPr>
                <w:sz w:val="20"/>
                <w:szCs w:val="20"/>
                <w:color w:val="auto"/>
              </w:rPr>
            </w:pPr>
            <w:r>
              <w:rPr>
                <w:rFonts w:ascii="Arial" w:cs="Arial" w:eastAsia="Arial" w:hAnsi="Arial"/>
                <w:sz w:val="4"/>
                <w:szCs w:val="4"/>
                <w:color w:val="FFFFFF"/>
              </w:rPr>
              <w:t>Moderate-to-Severe Atopic Dermatitis (AD)</w:t>
            </w:r>
          </w:p>
        </w:tc>
      </w:tr>
      <w:tr>
        <w:trPr>
          <w:trHeight w:val="39"/>
        </w:trPr>
        <w:tc>
          <w:tcPr>
            <w:tcW w:w="7080" w:type="dxa"/>
            <w:vAlign w:val="bottom"/>
            <w:gridSpan w:val="3"/>
          </w:tcPr>
          <w:p>
            <w:pPr>
              <w:spacing w:after="0" w:line="39" w:lineRule="exact"/>
              <w:rPr>
                <w:sz w:val="20"/>
                <w:szCs w:val="20"/>
                <w:color w:val="auto"/>
              </w:rPr>
            </w:pPr>
            <w:r>
              <w:rPr>
                <w:rFonts w:ascii="Arial" w:cs="Arial" w:eastAsia="Arial" w:hAnsi="Arial"/>
                <w:sz w:val="4"/>
                <w:szCs w:val="4"/>
                <w:color w:val="FFFFFF"/>
              </w:rPr>
              <w:t>Breakthrough Therapy Designation</w:t>
            </w:r>
          </w:p>
        </w:tc>
      </w:tr>
      <w:tr>
        <w:trPr>
          <w:trHeight w:val="39"/>
        </w:trPr>
        <w:tc>
          <w:tcPr>
            <w:tcW w:w="7080" w:type="dxa"/>
            <w:vAlign w:val="bottom"/>
            <w:gridSpan w:val="3"/>
          </w:tcPr>
          <w:p>
            <w:pPr>
              <w:spacing w:after="0" w:line="39" w:lineRule="exact"/>
              <w:rPr>
                <w:sz w:val="20"/>
                <w:szCs w:val="20"/>
                <w:color w:val="auto"/>
              </w:rPr>
            </w:pPr>
            <w:r>
              <w:rPr>
                <w:rFonts w:ascii="Arial" w:cs="Arial" w:eastAsia="Arial" w:hAnsi="Arial"/>
                <w:sz w:val="4"/>
                <w:szCs w:val="4"/>
                <w:color w:val="FFFFFF"/>
              </w:rPr>
              <w:t>Chronic Sinusitis with Nasal Polyps (CSwNP)</w:t>
            </w:r>
          </w:p>
        </w:tc>
      </w:tr>
      <w:tr>
        <w:trPr>
          <w:trHeight w:val="39"/>
        </w:trPr>
        <w:tc>
          <w:tcPr>
            <w:tcW w:w="7080" w:type="dxa"/>
            <w:vAlign w:val="bottom"/>
            <w:gridSpan w:val="3"/>
          </w:tcPr>
          <w:p>
            <w:pPr>
              <w:spacing w:after="0" w:line="39" w:lineRule="exact"/>
              <w:rPr>
                <w:sz w:val="20"/>
                <w:szCs w:val="20"/>
                <w:color w:val="auto"/>
              </w:rPr>
            </w:pPr>
            <w:r>
              <w:rPr>
                <w:rFonts w:ascii="Arial" w:cs="Arial" w:eastAsia="Arial" w:hAnsi="Arial"/>
                <w:sz w:val="4"/>
                <w:szCs w:val="4"/>
                <w:color w:val="FFFFFF"/>
              </w:rPr>
              <w:t>Long-term nasal symptoms Loss of sense of smell Facial pain Approx. 200K U.S. patients have sinus surgery annually for nasal polyps5</w:t>
            </w: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1)</w:t>
            </w:r>
          </w:p>
        </w:tc>
        <w:tc>
          <w:tcPr>
            <w:tcW w:w="6900" w:type="dxa"/>
            <w:vAlign w:val="bottom"/>
            <w:gridSpan w:val="2"/>
          </w:tcPr>
          <w:p>
            <w:pPr>
              <w:spacing w:after="0" w:line="39" w:lineRule="exact"/>
              <w:rPr>
                <w:sz w:val="20"/>
                <w:szCs w:val="20"/>
                <w:color w:val="auto"/>
              </w:rPr>
            </w:pPr>
            <w:r>
              <w:rPr>
                <w:rFonts w:ascii="Arial" w:cs="Arial" w:eastAsia="Arial" w:hAnsi="Arial"/>
                <w:sz w:val="4"/>
                <w:szCs w:val="4"/>
                <w:color w:val="FFFFFF"/>
              </w:rPr>
              <w:t>WHO. http://www.who.int/gard/publications/chronic_respiratory_diseases.pdf.</w:t>
            </w: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2)</w:t>
            </w:r>
          </w:p>
        </w:tc>
        <w:tc>
          <w:tcPr>
            <w:tcW w:w="6900" w:type="dxa"/>
            <w:vAlign w:val="bottom"/>
            <w:gridSpan w:val="2"/>
          </w:tcPr>
          <w:p>
            <w:pPr>
              <w:ind w:left="100"/>
              <w:spacing w:after="0" w:line="39" w:lineRule="exact"/>
              <w:rPr>
                <w:sz w:val="20"/>
                <w:szCs w:val="20"/>
                <w:color w:val="auto"/>
              </w:rPr>
            </w:pPr>
            <w:r>
              <w:rPr>
                <w:rFonts w:ascii="Arial" w:cs="Arial" w:eastAsia="Arial" w:hAnsi="Arial"/>
                <w:sz w:val="4"/>
                <w:szCs w:val="4"/>
                <w:color w:val="FFFFFF"/>
              </w:rPr>
              <w:t>m J Respir Crit Care Med. 2004 Oct;170(8):836-844.6.</w:t>
            </w: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3)</w:t>
            </w:r>
          </w:p>
        </w:tc>
        <w:tc>
          <w:tcPr>
            <w:tcW w:w="6900" w:type="dxa"/>
            <w:vAlign w:val="bottom"/>
            <w:gridSpan w:val="2"/>
          </w:tcPr>
          <w:p>
            <w:pPr>
              <w:ind w:left="100"/>
              <w:spacing w:after="0" w:line="39" w:lineRule="exact"/>
              <w:rPr>
                <w:sz w:val="20"/>
                <w:szCs w:val="20"/>
                <w:color w:val="auto"/>
              </w:rPr>
            </w:pPr>
            <w:r>
              <w:rPr>
                <w:rFonts w:ascii="Arial" w:cs="Arial" w:eastAsia="Arial" w:hAnsi="Arial"/>
                <w:sz w:val="4"/>
                <w:szCs w:val="4"/>
                <w:color w:val="FFFFFF"/>
              </w:rPr>
              <w:t>dapted from White Book on Allergy. http://www.worldallergy.org/UserFiles/file/WAO-White-Book-on-Allergy.pdf.</w:t>
            </w: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4)</w:t>
            </w:r>
          </w:p>
        </w:tc>
        <w:tc>
          <w:tcPr>
            <w:tcW w:w="640" w:type="dxa"/>
            <w:vAlign w:val="bottom"/>
          </w:tcPr>
          <w:p>
            <w:pPr>
              <w:spacing w:after="0" w:line="39" w:lineRule="exact"/>
              <w:rPr>
                <w:sz w:val="20"/>
                <w:szCs w:val="20"/>
                <w:color w:val="auto"/>
              </w:rPr>
            </w:pPr>
            <w:r>
              <w:rPr>
                <w:rFonts w:ascii="Arial" w:cs="Arial" w:eastAsia="Arial" w:hAnsi="Arial"/>
                <w:sz w:val="4"/>
                <w:szCs w:val="4"/>
                <w:color w:val="FFFFFF"/>
              </w:rPr>
              <w:t>Allergy</w:t>
            </w:r>
          </w:p>
        </w:tc>
        <w:tc>
          <w:tcPr>
            <w:tcW w:w="6260" w:type="dxa"/>
            <w:vAlign w:val="bottom"/>
          </w:tcPr>
          <w:p>
            <w:pPr>
              <w:ind w:left="220"/>
              <w:spacing w:after="0" w:line="39" w:lineRule="exact"/>
              <w:rPr>
                <w:sz w:val="20"/>
                <w:szCs w:val="20"/>
                <w:color w:val="auto"/>
              </w:rPr>
            </w:pPr>
            <w:r>
              <w:rPr>
                <w:rFonts w:ascii="Arial" w:cs="Arial" w:eastAsia="Arial" w:hAnsi="Arial"/>
                <w:sz w:val="4"/>
                <w:szCs w:val="4"/>
                <w:color w:val="FFFFFF"/>
              </w:rPr>
              <w:t>Proc. 2012 May-Jun;33(3):227-34.</w:t>
            </w:r>
          </w:p>
        </w:tc>
      </w:tr>
      <w:tr>
        <w:trPr>
          <w:trHeight w:val="39"/>
        </w:trPr>
        <w:tc>
          <w:tcPr>
            <w:tcW w:w="180" w:type="dxa"/>
            <w:vAlign w:val="bottom"/>
          </w:tcPr>
          <w:p>
            <w:pPr>
              <w:jc w:val="right"/>
              <w:spacing w:after="0" w:line="39" w:lineRule="exact"/>
              <w:rPr>
                <w:sz w:val="20"/>
                <w:szCs w:val="20"/>
                <w:color w:val="auto"/>
              </w:rPr>
            </w:pPr>
            <w:r>
              <w:rPr>
                <w:rFonts w:ascii="Arial" w:cs="Arial" w:eastAsia="Arial" w:hAnsi="Arial"/>
                <w:sz w:val="4"/>
                <w:szCs w:val="4"/>
                <w:color w:val="FFFFFF"/>
              </w:rPr>
              <w:t>(5)</w:t>
            </w:r>
          </w:p>
        </w:tc>
        <w:tc>
          <w:tcPr>
            <w:tcW w:w="6900" w:type="dxa"/>
            <w:vAlign w:val="bottom"/>
            <w:gridSpan w:val="2"/>
          </w:tcPr>
          <w:p>
            <w:pPr>
              <w:spacing w:after="0" w:line="39" w:lineRule="exact"/>
              <w:rPr>
                <w:sz w:val="20"/>
                <w:szCs w:val="20"/>
                <w:color w:val="auto"/>
              </w:rPr>
            </w:pPr>
            <w:r>
              <w:rPr>
                <w:rFonts w:ascii="Arial" w:cs="Arial" w:eastAsia="Arial" w:hAnsi="Arial"/>
                <w:sz w:val="4"/>
                <w:szCs w:val="4"/>
                <w:color w:val="FFFFFF"/>
              </w:rPr>
              <w:t>MEDSTAsthmaTand IHCIS Database, and Internal Analysis.</w:t>
            </w:r>
          </w:p>
        </w:tc>
      </w:tr>
      <w:tr>
        <w:trPr>
          <w:trHeight w:val="163"/>
        </w:trPr>
        <w:tc>
          <w:tcPr>
            <w:tcW w:w="180" w:type="dxa"/>
            <w:vAlign w:val="bottom"/>
          </w:tcPr>
          <w:p>
            <w:pPr>
              <w:spacing w:after="0"/>
              <w:rPr>
                <w:sz w:val="20"/>
                <w:szCs w:val="20"/>
                <w:color w:val="auto"/>
              </w:rPr>
            </w:pPr>
            <w:r>
              <w:rPr>
                <w:rFonts w:ascii="Arial" w:cs="Arial" w:eastAsia="Arial" w:hAnsi="Arial"/>
                <w:sz w:val="13"/>
                <w:szCs w:val="13"/>
                <w:color w:val="FFFFFF"/>
              </w:rPr>
              <w:t>21</w:t>
            </w:r>
          </w:p>
        </w:tc>
        <w:tc>
          <w:tcPr>
            <w:tcW w:w="640" w:type="dxa"/>
            <w:vAlign w:val="bottom"/>
          </w:tcPr>
          <w:p>
            <w:pPr>
              <w:spacing w:after="0"/>
              <w:rPr>
                <w:sz w:val="14"/>
                <w:szCs w:val="14"/>
                <w:color w:val="auto"/>
              </w:rPr>
            </w:pPr>
          </w:p>
        </w:tc>
        <w:tc>
          <w:tcPr>
            <w:tcW w:w="6260" w:type="dxa"/>
            <w:vAlign w:val="bottom"/>
          </w:tcPr>
          <w:p>
            <w:pPr>
              <w:spacing w:after="0"/>
              <w:rPr>
                <w:sz w:val="14"/>
                <w:szCs w:val="14"/>
                <w:color w:val="auto"/>
              </w:rPr>
            </w:pPr>
          </w:p>
        </w:tc>
      </w:tr>
    </w:tbl>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60" w:type="dxa"/>
            <w:vAlign w:val="bottom"/>
          </w:tcPr>
          <w:p>
            <w:pPr>
              <w:jc w:val="right"/>
              <w:ind w:right="3569"/>
              <w:spacing w:after="0"/>
              <w:rPr>
                <w:sz w:val="20"/>
                <w:szCs w:val="20"/>
                <w:color w:val="auto"/>
              </w:rPr>
            </w:pPr>
            <w:r>
              <w:rPr>
                <w:rFonts w:ascii="Arial" w:cs="Arial" w:eastAsia="Arial" w:hAnsi="Arial"/>
                <w:sz w:val="13"/>
                <w:szCs w:val="13"/>
                <w:color w:val="FFFFFF"/>
              </w:rPr>
              <w:t>POSITIVE PHASE 2 RESULTS ACROSS 3 KEY DISEASES</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DUPILUMAB:TOPICDERMATITIS PHASE 2B (n=380): MEAN PERCENT CHANGE IN EASI/ITCHING</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EASI SCORE OVER 16 WEEKS REDUCTION IN ITCHING AT 16 WEEKS</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0 2 4 6 8 10 12 14 16 0</w:t>
            </w:r>
          </w:p>
        </w:tc>
      </w:tr>
      <w:tr>
        <w:trPr>
          <w:trHeight w:val="39"/>
        </w:trPr>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500" w:type="dxa"/>
            <w:vAlign w:val="bottom"/>
            <w:gridSpan w:val="2"/>
          </w:tcPr>
          <w:p>
            <w:pPr>
              <w:ind w:left="20"/>
              <w:spacing w:after="0" w:line="39" w:lineRule="exact"/>
              <w:rPr>
                <w:sz w:val="20"/>
                <w:szCs w:val="20"/>
                <w:color w:val="auto"/>
              </w:rPr>
            </w:pPr>
            <w:r>
              <w:rPr>
                <w:rFonts w:ascii="Arial" w:cs="Arial" w:eastAsia="Arial" w:hAnsi="Arial"/>
                <w:sz w:val="4"/>
                <w:szCs w:val="4"/>
                <w:color w:val="FFFFFF"/>
              </w:rPr>
              <w:t>300m 300mg</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Placebo g QW</w:t>
            </w: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-25</w:t>
            </w:r>
          </w:p>
        </w:tc>
        <w:tc>
          <w:tcPr>
            <w:tcW w:w="240" w:type="dxa"/>
            <w:vAlign w:val="bottom"/>
          </w:tcPr>
          <w:p>
            <w:pPr>
              <w:spacing w:after="0"/>
              <w:rPr>
                <w:sz w:val="3"/>
                <w:szCs w:val="3"/>
                <w:color w:val="auto"/>
              </w:rPr>
            </w:pPr>
          </w:p>
        </w:tc>
        <w:tc>
          <w:tcPr>
            <w:tcW w:w="7260" w:type="dxa"/>
            <w:vAlign w:val="bottom"/>
          </w:tcPr>
          <w:p>
            <w:pPr>
              <w:spacing w:after="0"/>
              <w:rPr>
                <w:sz w:val="3"/>
                <w:szCs w:val="3"/>
                <w:color w:val="auto"/>
              </w:rPr>
            </w:pPr>
          </w:p>
        </w:tc>
      </w:tr>
      <w:tr>
        <w:trPr>
          <w:trHeight w:val="39"/>
        </w:trPr>
        <w:tc>
          <w:tcPr>
            <w:tcW w:w="460" w:type="dxa"/>
            <w:vAlign w:val="bottom"/>
            <w:gridSpan w:val="3"/>
          </w:tcPr>
          <w:p>
            <w:pPr>
              <w:spacing w:after="0" w:line="39" w:lineRule="exact"/>
              <w:rPr>
                <w:sz w:val="20"/>
                <w:szCs w:val="20"/>
                <w:color w:val="auto"/>
              </w:rPr>
            </w:pPr>
            <w:r>
              <w:rPr>
                <w:rFonts w:ascii="Arial" w:cs="Arial" w:eastAsia="Arial" w:hAnsi="Arial"/>
                <w:sz w:val="4"/>
                <w:szCs w:val="4"/>
                <w:color w:val="FFFFFF"/>
              </w:rPr>
              <w:t>Q2W</w:t>
            </w:r>
          </w:p>
        </w:tc>
        <w:tc>
          <w:tcPr>
            <w:tcW w:w="7260" w:type="dxa"/>
            <w:vAlign w:val="bottom"/>
          </w:tcPr>
          <w:p>
            <w:pPr>
              <w:spacing w:after="0"/>
              <w:rPr>
                <w:sz w:val="3"/>
                <w:szCs w:val="3"/>
                <w:color w:val="auto"/>
              </w:rPr>
            </w:pP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(n=61) (n=64) (n=63)</w:t>
            </w: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-50</w:t>
            </w:r>
          </w:p>
        </w:tc>
        <w:tc>
          <w:tcPr>
            <w:tcW w:w="240" w:type="dxa"/>
            <w:vAlign w:val="bottom"/>
          </w:tcPr>
          <w:p>
            <w:pPr>
              <w:spacing w:after="0"/>
              <w:rPr>
                <w:sz w:val="3"/>
                <w:szCs w:val="3"/>
                <w:color w:val="auto"/>
              </w:rPr>
            </w:pPr>
          </w:p>
        </w:tc>
        <w:tc>
          <w:tcPr>
            <w:tcW w:w="7260" w:type="dxa"/>
            <w:vAlign w:val="bottom"/>
          </w:tcPr>
          <w:p>
            <w:pPr>
              <w:spacing w:after="0"/>
              <w:rPr>
                <w:sz w:val="3"/>
                <w:szCs w:val="3"/>
                <w:color w:val="auto"/>
              </w:rPr>
            </w:pP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300mg Q2W Pruritus</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11% 53% 60%</w:t>
            </w:r>
          </w:p>
        </w:tc>
      </w:tr>
      <w:tr>
        <w:trPr>
          <w:trHeight w:val="39"/>
        </w:trPr>
        <w:tc>
          <w:tcPr>
            <w:tcW w:w="460" w:type="dxa"/>
            <w:vAlign w:val="bottom"/>
            <w:gridSpan w:val="3"/>
          </w:tcPr>
          <w:p>
            <w:pPr>
              <w:spacing w:after="0" w:line="39" w:lineRule="exact"/>
              <w:rPr>
                <w:sz w:val="20"/>
                <w:szCs w:val="20"/>
                <w:color w:val="auto"/>
              </w:rPr>
            </w:pPr>
            <w:r>
              <w:rPr>
                <w:rFonts w:ascii="Arial" w:cs="Arial" w:eastAsia="Arial" w:hAnsi="Arial"/>
                <w:sz w:val="4"/>
                <w:szCs w:val="4"/>
                <w:color w:val="FFFFFF"/>
              </w:rPr>
              <w:t>-75 NRS</w:t>
            </w:r>
          </w:p>
        </w:tc>
        <w:tc>
          <w:tcPr>
            <w:tcW w:w="7260" w:type="dxa"/>
            <w:vAlign w:val="bottom"/>
          </w:tcPr>
          <w:p>
            <w:pPr>
              <w:spacing w:after="0"/>
              <w:rPr>
                <w:sz w:val="3"/>
                <w:szCs w:val="3"/>
                <w:color w:val="auto"/>
              </w:rPr>
            </w:pP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5-D</w:t>
            </w:r>
          </w:p>
        </w:tc>
        <w:tc>
          <w:tcPr>
            <w:tcW w:w="240" w:type="dxa"/>
            <w:vAlign w:val="bottom"/>
          </w:tcPr>
          <w:p>
            <w:pPr>
              <w:spacing w:after="0"/>
              <w:rPr>
                <w:sz w:val="3"/>
                <w:szCs w:val="3"/>
                <w:color w:val="auto"/>
              </w:rPr>
            </w:pPr>
          </w:p>
        </w:tc>
        <w:tc>
          <w:tcPr>
            <w:tcW w:w="7260" w:type="dxa"/>
            <w:vAlign w:val="bottom"/>
          </w:tcPr>
          <w:p>
            <w:pPr>
              <w:spacing w:after="0"/>
              <w:rPr>
                <w:sz w:val="3"/>
                <w:szCs w:val="3"/>
                <w:color w:val="auto"/>
              </w:rPr>
            </w:pP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300mg QW</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-100 Pruritus 9% 35% 44% p&lt;0.0001 vs. placebo at Week 16 Score p&lt;0.0001 vs. placebo for all parameters All other time points p&lt;0.05 vs. placebo</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CSwNP PHASE 2A STUDY (n=60): REDUCTION IN NASAL POLYPS</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Mean change +/- SE NASAL POLYP SCORE (NPS)</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0.5 0.0 -0.5 -1.0 -1.5</w:t>
            </w:r>
          </w:p>
        </w:tc>
      </w:tr>
      <w:tr>
        <w:trPr>
          <w:trHeight w:val="39"/>
        </w:trPr>
        <w:tc>
          <w:tcPr>
            <w:tcW w:w="220" w:type="dxa"/>
            <w:vAlign w:val="bottom"/>
            <w:gridSpan w:val="2"/>
          </w:tcPr>
          <w:p>
            <w:pPr>
              <w:ind w:left="40"/>
              <w:spacing w:after="0" w:line="39" w:lineRule="exact"/>
              <w:rPr>
                <w:sz w:val="20"/>
                <w:szCs w:val="20"/>
                <w:color w:val="auto"/>
              </w:rPr>
            </w:pPr>
            <w:r>
              <w:rPr>
                <w:rFonts w:ascii="Arial" w:cs="Arial" w:eastAsia="Arial" w:hAnsi="Arial"/>
                <w:sz w:val="4"/>
                <w:szCs w:val="4"/>
                <w:color w:val="FFFFFF"/>
              </w:rPr>
              <w:t>2</w:t>
            </w:r>
          </w:p>
        </w:tc>
        <w:tc>
          <w:tcPr>
            <w:tcW w:w="7500" w:type="dxa"/>
            <w:vAlign w:val="bottom"/>
            <w:gridSpan w:val="2"/>
          </w:tcPr>
          <w:p>
            <w:pPr>
              <w:ind w:left="20"/>
              <w:spacing w:after="0" w:line="39" w:lineRule="exact"/>
              <w:rPr>
                <w:sz w:val="20"/>
                <w:szCs w:val="20"/>
                <w:color w:val="auto"/>
              </w:rPr>
            </w:pPr>
            <w:r>
              <w:rPr>
                <w:rFonts w:ascii="Arial" w:cs="Arial" w:eastAsia="Arial" w:hAnsi="Arial"/>
                <w:sz w:val="4"/>
                <w:szCs w:val="4"/>
                <w:color w:val="FFFFFF"/>
              </w:rPr>
              <w:t>Placebo -2.5 Dupilumab</w:t>
            </w: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-3.0</w:t>
            </w:r>
          </w:p>
        </w:tc>
        <w:tc>
          <w:tcPr>
            <w:tcW w:w="7500" w:type="dxa"/>
            <w:vAlign w:val="bottom"/>
            <w:gridSpan w:val="2"/>
          </w:tcPr>
          <w:p>
            <w:pPr>
              <w:ind w:left="20"/>
              <w:spacing w:after="0" w:line="39" w:lineRule="exact"/>
              <w:rPr>
                <w:sz w:val="20"/>
                <w:szCs w:val="20"/>
                <w:color w:val="auto"/>
              </w:rPr>
            </w:pPr>
            <w:r>
              <w:rPr>
                <w:rFonts w:ascii="Arial" w:cs="Arial" w:eastAsia="Arial" w:hAnsi="Arial"/>
                <w:sz w:val="4"/>
                <w:szCs w:val="4"/>
                <w:color w:val="FFFFFF"/>
              </w:rPr>
              <w:t>Baseline 4 8 12 16 Week</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ASTHMA PHASE 2B (n=776):</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MEAN IMPROVEMENT IN LUNG FUNCTION (FEV1)</w:t>
            </w:r>
          </w:p>
        </w:tc>
      </w:tr>
      <w:tr>
        <w:trPr>
          <w:trHeight w:val="39"/>
        </w:trPr>
        <w:tc>
          <w:tcPr>
            <w:tcW w:w="60" w:type="dxa"/>
            <w:vAlign w:val="bottom"/>
          </w:tcPr>
          <w:p>
            <w:pPr>
              <w:spacing w:after="0" w:line="39" w:lineRule="exact"/>
              <w:rPr>
                <w:sz w:val="20"/>
                <w:szCs w:val="20"/>
                <w:color w:val="auto"/>
              </w:rPr>
            </w:pPr>
            <w:r>
              <w:rPr>
                <w:rFonts w:ascii="Arial" w:cs="Arial" w:eastAsia="Arial" w:hAnsi="Arial"/>
                <w:sz w:val="4"/>
                <w:szCs w:val="4"/>
                <w:color w:val="FFFFFF"/>
              </w:rPr>
              <w:t>5</w:t>
            </w:r>
          </w:p>
        </w:tc>
        <w:tc>
          <w:tcPr>
            <w:tcW w:w="160" w:type="dxa"/>
            <w:vAlign w:val="bottom"/>
          </w:tcPr>
          <w:p>
            <w:pPr>
              <w:spacing w:after="0"/>
              <w:rPr>
                <w:sz w:val="3"/>
                <w:szCs w:val="3"/>
                <w:color w:val="auto"/>
              </w:rPr>
            </w:pPr>
          </w:p>
        </w:tc>
        <w:tc>
          <w:tcPr>
            <w:tcW w:w="7500" w:type="dxa"/>
            <w:vAlign w:val="bottom"/>
            <w:gridSpan w:val="2"/>
          </w:tcPr>
          <w:p>
            <w:pPr>
              <w:ind w:left="20"/>
              <w:spacing w:after="0" w:line="39" w:lineRule="exact"/>
              <w:rPr>
                <w:sz w:val="20"/>
                <w:szCs w:val="20"/>
                <w:color w:val="auto"/>
              </w:rPr>
            </w:pPr>
            <w:r>
              <w:rPr>
                <w:rFonts w:ascii="Arial" w:cs="Arial" w:eastAsia="Arial" w:hAnsi="Arial"/>
                <w:sz w:val="4"/>
                <w:szCs w:val="4"/>
                <w:color w:val="FFFFFF"/>
              </w:rPr>
              <w:t>25.9%(1) 25.8%(2)</w:t>
            </w: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400</w:t>
            </w:r>
          </w:p>
        </w:tc>
        <w:tc>
          <w:tcPr>
            <w:tcW w:w="240" w:type="dxa"/>
            <w:vAlign w:val="bottom"/>
          </w:tcPr>
          <w:p>
            <w:pPr>
              <w:spacing w:after="0"/>
              <w:rPr>
                <w:sz w:val="3"/>
                <w:szCs w:val="3"/>
                <w:color w:val="auto"/>
              </w:rPr>
            </w:pPr>
          </w:p>
        </w:tc>
        <w:tc>
          <w:tcPr>
            <w:tcW w:w="7260" w:type="dxa"/>
            <w:vAlign w:val="bottom"/>
          </w:tcPr>
          <w:p>
            <w:pPr>
              <w:spacing w:after="0"/>
              <w:rPr>
                <w:sz w:val="3"/>
                <w:szCs w:val="3"/>
                <w:color w:val="auto"/>
              </w:rPr>
            </w:pP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(1)</w:t>
            </w:r>
          </w:p>
        </w:tc>
        <w:tc>
          <w:tcPr>
            <w:tcW w:w="240" w:type="dxa"/>
            <w:vAlign w:val="bottom"/>
          </w:tcPr>
          <w:p>
            <w:pPr>
              <w:spacing w:after="0"/>
              <w:rPr>
                <w:sz w:val="3"/>
                <w:szCs w:val="3"/>
                <w:color w:val="auto"/>
              </w:rPr>
            </w:pPr>
          </w:p>
        </w:tc>
        <w:tc>
          <w:tcPr>
            <w:tcW w:w="7260" w:type="dxa"/>
            <w:vAlign w:val="bottom"/>
          </w:tcPr>
          <w:p>
            <w:pPr>
              <w:spacing w:after="0"/>
              <w:rPr>
                <w:sz w:val="3"/>
                <w:szCs w:val="3"/>
                <w:color w:val="auto"/>
              </w:rPr>
            </w:pPr>
          </w:p>
        </w:tc>
      </w:tr>
      <w:tr>
        <w:trPr>
          <w:trHeight w:val="39"/>
        </w:trPr>
        <w:tc>
          <w:tcPr>
            <w:tcW w:w="60" w:type="dxa"/>
            <w:vAlign w:val="bottom"/>
          </w:tcPr>
          <w:p>
            <w:pPr>
              <w:spacing w:after="0"/>
              <w:rPr>
                <w:sz w:val="3"/>
                <w:szCs w:val="3"/>
                <w:color w:val="auto"/>
              </w:rPr>
            </w:pPr>
          </w:p>
        </w:tc>
        <w:tc>
          <w:tcPr>
            <w:tcW w:w="7660" w:type="dxa"/>
            <w:vAlign w:val="bottom"/>
            <w:gridSpan w:val="3"/>
          </w:tcPr>
          <w:p>
            <w:pPr>
              <w:jc w:val="right"/>
              <w:ind w:right="6589"/>
              <w:spacing w:after="0" w:line="39" w:lineRule="exact"/>
              <w:rPr>
                <w:sz w:val="20"/>
                <w:szCs w:val="20"/>
                <w:color w:val="auto"/>
              </w:rPr>
            </w:pPr>
            <w:r>
              <w:rPr>
                <w:rFonts w:ascii="Arial" w:cs="Arial" w:eastAsia="Arial" w:hAnsi="Arial"/>
                <w:sz w:val="4"/>
                <w:szCs w:val="4"/>
                <w:color w:val="FFFFFF"/>
              </w:rPr>
              <w:t>8 0% FEV1=forced</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17.7%(1)</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3   expiratory volume 10.4% volume over</w:t>
            </w:r>
          </w:p>
        </w:tc>
      </w:tr>
      <w:tr>
        <w:trPr>
          <w:trHeight w:val="39"/>
        </w:trPr>
        <w:tc>
          <w:tcPr>
            <w:tcW w:w="220" w:type="dxa"/>
            <w:vAlign w:val="bottom"/>
            <w:gridSpan w:val="2"/>
          </w:tcPr>
          <w:p>
            <w:pPr>
              <w:spacing w:after="0" w:line="39" w:lineRule="exact"/>
              <w:rPr>
                <w:sz w:val="20"/>
                <w:szCs w:val="20"/>
                <w:color w:val="auto"/>
              </w:rPr>
            </w:pPr>
            <w:r>
              <w:rPr>
                <w:rFonts w:ascii="Arial" w:cs="Arial" w:eastAsia="Arial" w:hAnsi="Arial"/>
                <w:sz w:val="4"/>
                <w:szCs w:val="4"/>
                <w:color w:val="FFFFFF"/>
              </w:rPr>
              <w:t>200</w:t>
            </w:r>
          </w:p>
        </w:tc>
        <w:tc>
          <w:tcPr>
            <w:tcW w:w="240" w:type="dxa"/>
            <w:vAlign w:val="bottom"/>
          </w:tcPr>
          <w:p>
            <w:pPr>
              <w:spacing w:after="0"/>
              <w:rPr>
                <w:sz w:val="3"/>
                <w:szCs w:val="3"/>
                <w:color w:val="auto"/>
              </w:rPr>
            </w:pPr>
          </w:p>
        </w:tc>
        <w:tc>
          <w:tcPr>
            <w:tcW w:w="7260" w:type="dxa"/>
            <w:vAlign w:val="bottom"/>
          </w:tcPr>
          <w:p>
            <w:pPr>
              <w:spacing w:after="0"/>
              <w:rPr>
                <w:sz w:val="3"/>
                <w:szCs w:val="3"/>
                <w:color w:val="auto"/>
              </w:rPr>
            </w:pP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6.2% one second</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FEV1 100 0</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High Eosinophils Population Overall Population</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Placebo 200mg Q2W 300mg Q2W (1) p&lt;0.001 vs. placebo</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(2) p&lt;0.01 vs. placebo</w:t>
            </w:r>
          </w:p>
        </w:tc>
      </w:tr>
      <w:tr>
        <w:trPr>
          <w:trHeight w:val="39"/>
        </w:trPr>
        <w:tc>
          <w:tcPr>
            <w:tcW w:w="60" w:type="dxa"/>
            <w:vAlign w:val="bottom"/>
          </w:tcPr>
          <w:p>
            <w:pPr>
              <w:spacing w:after="0"/>
              <w:rPr>
                <w:sz w:val="3"/>
                <w:szCs w:val="3"/>
                <w:color w:val="auto"/>
              </w:rPr>
            </w:pPr>
          </w:p>
        </w:tc>
        <w:tc>
          <w:tcPr>
            <w:tcW w:w="7660" w:type="dxa"/>
            <w:vAlign w:val="bottom"/>
            <w:gridSpan w:val="3"/>
          </w:tcPr>
          <w:p>
            <w:pPr>
              <w:jc w:val="right"/>
              <w:ind w:right="6009"/>
              <w:spacing w:after="0" w:line="39" w:lineRule="exact"/>
              <w:rPr>
                <w:sz w:val="20"/>
                <w:szCs w:val="20"/>
                <w:color w:val="auto"/>
              </w:rPr>
            </w:pPr>
            <w:r>
              <w:rPr>
                <w:rFonts w:ascii="Arial" w:cs="Arial" w:eastAsia="Arial" w:hAnsi="Arial"/>
                <w:sz w:val="4"/>
                <w:szCs w:val="4"/>
                <w:color w:val="FFFFFF"/>
              </w:rPr>
              <w:t>STHMA PHASE 2B (n=776):</w:t>
            </w: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ANNUALIZED RATE OF SEVERE EXACERBATION EVENTS</w:t>
            </w:r>
          </w:p>
        </w:tc>
      </w:tr>
      <w:tr>
        <w:trPr>
          <w:trHeight w:val="39"/>
        </w:trPr>
        <w:tc>
          <w:tcPr>
            <w:tcW w:w="460" w:type="dxa"/>
            <w:vAlign w:val="bottom"/>
            <w:gridSpan w:val="3"/>
          </w:tcPr>
          <w:p>
            <w:pPr>
              <w:spacing w:after="0" w:line="39" w:lineRule="exact"/>
              <w:rPr>
                <w:sz w:val="20"/>
                <w:szCs w:val="20"/>
                <w:color w:val="auto"/>
              </w:rPr>
            </w:pPr>
            <w:r>
              <w:rPr>
                <w:rFonts w:ascii="Arial" w:cs="Arial" w:eastAsia="Arial" w:hAnsi="Arial"/>
                <w:sz w:val="4"/>
                <w:szCs w:val="4"/>
                <w:color w:val="FFFFFF"/>
              </w:rPr>
              <w:t>1 0.8 0.</w:t>
            </w:r>
          </w:p>
        </w:tc>
        <w:tc>
          <w:tcPr>
            <w:tcW w:w="7260" w:type="dxa"/>
            <w:vAlign w:val="bottom"/>
          </w:tcPr>
          <w:p>
            <w:pPr>
              <w:spacing w:after="0"/>
              <w:rPr>
                <w:sz w:val="3"/>
                <w:szCs w:val="3"/>
                <w:color w:val="auto"/>
              </w:rPr>
            </w:pPr>
          </w:p>
        </w:tc>
      </w:tr>
      <w:tr>
        <w:trPr>
          <w:trHeight w:val="39"/>
        </w:trPr>
        <w:tc>
          <w:tcPr>
            <w:tcW w:w="7720" w:type="dxa"/>
            <w:vAlign w:val="bottom"/>
            <w:gridSpan w:val="4"/>
          </w:tcPr>
          <w:p>
            <w:pPr>
              <w:spacing w:after="0" w:line="39" w:lineRule="exact"/>
              <w:rPr>
                <w:sz w:val="20"/>
                <w:szCs w:val="20"/>
                <w:color w:val="auto"/>
              </w:rPr>
            </w:pPr>
            <w:r>
              <w:rPr>
                <w:rFonts w:ascii="Arial" w:cs="Arial" w:eastAsia="Arial" w:hAnsi="Arial"/>
                <w:sz w:val="4"/>
                <w:szCs w:val="4"/>
                <w:color w:val="FFFFFF"/>
              </w:rPr>
              <w:t>0.4 -64%(1) (2) (3)</w:t>
            </w:r>
          </w:p>
        </w:tc>
      </w:tr>
      <w:tr>
        <w:trPr>
          <w:trHeight w:val="0"/>
        </w:trPr>
        <w:tc>
          <w:tcPr>
            <w:tcW w:w="460" w:type="dxa"/>
            <w:vAlign w:val="bottom"/>
            <w:gridSpan w:val="3"/>
          </w:tcPr>
          <w:p>
            <w:pPr>
              <w:spacing w:after="0" w:line="77" w:lineRule="exact"/>
              <w:rPr>
                <w:sz w:val="20"/>
                <w:szCs w:val="20"/>
                <w:color w:val="auto"/>
              </w:rPr>
            </w:pPr>
            <w:r>
              <w:rPr>
                <w:rFonts w:ascii="Arial" w:cs="Arial" w:eastAsia="Arial" w:hAnsi="Arial"/>
                <w:sz w:val="8"/>
                <w:szCs w:val="8"/>
                <w:color w:val="FFFFFF"/>
                <w:vertAlign w:val="subscript"/>
              </w:rPr>
              <w:t>-</w:t>
            </w:r>
            <w:r>
              <w:rPr>
                <w:rFonts w:ascii="Arial" w:cs="Arial" w:eastAsia="Arial" w:hAnsi="Arial"/>
                <w:sz w:val="7"/>
                <w:szCs w:val="7"/>
                <w:color w:val="FFFFFF"/>
              </w:rPr>
              <w:t>67%</w:t>
            </w:r>
          </w:p>
        </w:tc>
        <w:tc>
          <w:tcPr>
            <w:tcW w:w="7260" w:type="dxa"/>
            <w:vAlign w:val="bottom"/>
          </w:tcPr>
          <w:p>
            <w:pPr>
              <w:jc w:val="right"/>
              <w:ind w:right="6729"/>
              <w:spacing w:after="0" w:line="77" w:lineRule="exact"/>
              <w:rPr>
                <w:sz w:val="20"/>
                <w:szCs w:val="20"/>
                <w:color w:val="auto"/>
              </w:rPr>
            </w:pPr>
            <w:r>
              <w:rPr>
                <w:rFonts w:ascii="Arial" w:cs="Arial" w:eastAsia="Arial" w:hAnsi="Arial"/>
                <w:sz w:val="8"/>
                <w:szCs w:val="8"/>
                <w:color w:val="FFFFFF"/>
              </w:rPr>
              <w:t>-67% 0.2</w:t>
            </w:r>
          </w:p>
        </w:tc>
      </w:tr>
    </w:tbl>
    <w:p>
      <w:pPr>
        <w:spacing w:after="0"/>
        <w:rPr>
          <w:sz w:val="20"/>
          <w:szCs w:val="20"/>
          <w:color w:val="auto"/>
        </w:rPr>
      </w:pPr>
      <w:r>
        <w:rPr>
          <w:rFonts w:ascii="Arial" w:cs="Arial" w:eastAsia="Arial" w:hAnsi="Arial"/>
          <w:sz w:val="13"/>
          <w:szCs w:val="13"/>
          <w:color w:val="FFFFFF"/>
        </w:rPr>
        <w:t>075%(1)p&lt;0.05 vs. placebo</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FFFFFF"/>
        </w:rPr>
        <w:t>High Eosinophils Population Overall Population (2) p&lt;0.01 vs. placebo</w:t>
      </w:r>
    </w:p>
    <w:p>
      <w:pPr>
        <w:spacing w:after="0"/>
        <w:rPr>
          <w:sz w:val="20"/>
          <w:szCs w:val="20"/>
          <w:color w:val="auto"/>
        </w:rPr>
      </w:pPr>
      <w:r>
        <w:rPr>
          <w:rFonts w:ascii="Arial" w:cs="Arial" w:eastAsia="Arial" w:hAnsi="Arial"/>
          <w:sz w:val="13"/>
          <w:szCs w:val="13"/>
          <w:color w:val="FFFFFF"/>
        </w:rPr>
        <w:t>22</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3"/>
          <w:szCs w:val="23"/>
          <w:color w:val="FFFFFF"/>
          <w:vertAlign w:val="subscript"/>
        </w:rPr>
        <w:t>DUPILUMAB:</w:t>
      </w:r>
      <w:r>
        <w:rPr>
          <w:rFonts w:ascii="Arial" w:cs="Arial" w:eastAsia="Arial" w:hAnsi="Arial"/>
          <w:sz w:val="12"/>
          <w:szCs w:val="12"/>
          <w:color w:val="FFFFFF"/>
        </w:rPr>
        <w:t xml:space="preserve"> BALANCED ADVERSE EVENT PROFILE IN PHASE 2 STUDIES TO DATE</w:t>
      </w:r>
    </w:p>
    <w:p>
      <w:pPr>
        <w:spacing w:after="0" w:line="194" w:lineRule="auto"/>
        <w:rPr>
          <w:sz w:val="20"/>
          <w:szCs w:val="20"/>
          <w:color w:val="auto"/>
        </w:rPr>
      </w:pPr>
      <w:r>
        <w:rPr>
          <w:rFonts w:ascii="Arial" w:cs="Arial" w:eastAsia="Arial" w:hAnsi="Arial"/>
          <w:sz w:val="10"/>
          <w:szCs w:val="10"/>
          <w:color w:val="FFFFFF"/>
          <w:vertAlign w:val="superscript"/>
        </w:rPr>
        <w:t>MOST</w:t>
      </w:r>
      <w:r>
        <w:rPr>
          <w:rFonts w:ascii="Arial" w:cs="Arial" w:eastAsia="Arial" w:hAnsi="Arial"/>
          <w:sz w:val="7"/>
          <w:szCs w:val="7"/>
          <w:color w:val="FFFFFF"/>
        </w:rPr>
        <w:t>OPIC DERMATITIS PHASE 2B: ASTHMA PHASE 2B: PHASE 2A CSwNP:</w:t>
      </w:r>
    </w:p>
    <w:p>
      <w:pPr>
        <w:spacing w:after="0" w:line="204" w:lineRule="auto"/>
        <w:rPr>
          <w:sz w:val="20"/>
          <w:szCs w:val="20"/>
          <w:color w:val="auto"/>
        </w:rPr>
      </w:pPr>
      <w:r>
        <w:rPr>
          <w:rFonts w:ascii="Arial" w:cs="Arial" w:eastAsia="Arial" w:hAnsi="Arial"/>
          <w:sz w:val="4"/>
          <w:szCs w:val="4"/>
          <w:color w:val="FFFFFF"/>
        </w:rPr>
        <w:t>Nasopharyngitis:COMMONInjectionAEsMOSTsitereaction:COMMONInjectionAEsTOPsite-reactions,LINECOMMON AEs</w:t>
      </w:r>
    </w:p>
    <w:p>
      <w:pPr>
        <w:ind w:left="3020"/>
        <w:spacing w:after="0" w:line="203" w:lineRule="auto"/>
        <w:rPr>
          <w:sz w:val="20"/>
          <w:szCs w:val="20"/>
          <w:color w:val="auto"/>
        </w:rPr>
      </w:pPr>
      <w:r>
        <w:rPr>
          <w:rFonts w:ascii="Arial" w:cs="Arial" w:eastAsia="Arial" w:hAnsi="Arial"/>
          <w:sz w:val="4"/>
          <w:szCs w:val="4"/>
          <w:color w:val="FFFFFF"/>
          <w:vertAlign w:val="superscript"/>
        </w:rPr>
        <w:t>and</w:t>
      </w:r>
    </w:p>
    <w:p>
      <w:pPr>
        <w:spacing w:after="0" w:line="203" w:lineRule="auto"/>
        <w:rPr>
          <w:sz w:val="20"/>
          <w:szCs w:val="20"/>
          <w:color w:val="auto"/>
        </w:rPr>
      </w:pPr>
      <w:r>
        <w:rPr>
          <w:rFonts w:ascii="Arial" w:cs="Arial" w:eastAsia="Arial" w:hAnsi="Arial"/>
          <w:sz w:val="8"/>
          <w:szCs w:val="8"/>
          <w:color w:val="FFFFFF"/>
        </w:rPr>
        <w:t>Headache:18-23%vs.respiratory21%placeboinfection:13-25%pain,vs.12%epistaxis,placeboheadachenasoph ryngitis,Upperoropharyngeal</w:t>
      </w:r>
    </w:p>
    <w:p>
      <w:pPr>
        <w:spacing w:after="0" w:line="202" w:lineRule="auto"/>
        <w:rPr>
          <w:sz w:val="20"/>
          <w:szCs w:val="20"/>
          <w:color w:val="auto"/>
        </w:rPr>
      </w:pPr>
      <w:r>
        <w:rPr>
          <w:rFonts w:ascii="Arial" w:cs="Arial" w:eastAsia="Arial" w:hAnsi="Arial"/>
          <w:sz w:val="4"/>
          <w:szCs w:val="4"/>
          <w:color w:val="FFFFFF"/>
        </w:rPr>
        <w:t>Injection12-15%vs.site8%reaction:placebo 10-13% vs. 13% placebo dizziness</w:t>
      </w:r>
    </w:p>
    <w:p>
      <w:pPr>
        <w:spacing w:after="0" w:line="180" w:lineRule="auto"/>
        <w:rPr>
          <w:sz w:val="20"/>
          <w:szCs w:val="20"/>
          <w:color w:val="auto"/>
        </w:rPr>
      </w:pPr>
      <w:r>
        <w:rPr>
          <w:rFonts w:ascii="Arial" w:cs="Arial" w:eastAsia="Arial" w:hAnsi="Arial"/>
          <w:sz w:val="7"/>
          <w:szCs w:val="7"/>
          <w:color w:val="FFFFFF"/>
        </w:rPr>
        <w:t xml:space="preserve">5-10% vs. </w:t>
      </w:r>
      <w:r>
        <w:rPr>
          <w:rFonts w:ascii="Arial" w:cs="Arial" w:eastAsia="Arial" w:hAnsi="Arial"/>
          <w:sz w:val="9"/>
          <w:szCs w:val="9"/>
          <w:color w:val="FFFFFF"/>
          <w:vertAlign w:val="superscript"/>
        </w:rPr>
        <w:t>3%</w:t>
      </w:r>
      <w:r>
        <w:rPr>
          <w:rFonts w:ascii="Arial" w:cs="Arial" w:eastAsia="Arial" w:hAnsi="Arial"/>
          <w:sz w:val="7"/>
          <w:szCs w:val="7"/>
          <w:color w:val="FFFFFF"/>
        </w:rPr>
        <w:t xml:space="preserve">8% placebo </w:t>
      </w:r>
      <w:r>
        <w:rPr>
          <w:rFonts w:ascii="Arial" w:cs="Arial" w:eastAsia="Arial" w:hAnsi="Arial"/>
          <w:sz w:val="9"/>
          <w:szCs w:val="9"/>
          <w:color w:val="FFFFFF"/>
          <w:vertAlign w:val="superscript"/>
        </w:rPr>
        <w:t>Headache:</w:t>
      </w:r>
    </w:p>
    <w:p>
      <w:pPr>
        <w:spacing w:after="0" w:line="180" w:lineRule="auto"/>
        <w:rPr>
          <w:sz w:val="20"/>
          <w:szCs w:val="20"/>
          <w:color w:val="auto"/>
        </w:rPr>
      </w:pPr>
      <w:r>
        <w:rPr>
          <w:rFonts w:ascii="Arial" w:cs="Arial" w:eastAsia="Arial" w:hAnsi="Arial"/>
          <w:sz w:val="9"/>
          <w:szCs w:val="9"/>
          <w:color w:val="FFFFFF"/>
        </w:rPr>
        <w:t>Nasopharyngitis:</w:t>
      </w:r>
    </w:p>
    <w:p>
      <w:pPr>
        <w:spacing w:after="0" w:line="204" w:lineRule="auto"/>
        <w:rPr>
          <w:sz w:val="20"/>
          <w:szCs w:val="20"/>
          <w:color w:val="auto"/>
        </w:rPr>
      </w:pPr>
      <w:r>
        <w:rPr>
          <w:rFonts w:ascii="Arial" w:cs="Arial" w:eastAsia="Arial" w:hAnsi="Arial"/>
          <w:sz w:val="4"/>
          <w:szCs w:val="4"/>
          <w:color w:val="FFFFFF"/>
        </w:rPr>
        <w:t>Bronchitis:3-10%vs.6% placebo</w:t>
      </w:r>
    </w:p>
    <w:p>
      <w:pPr>
        <w:spacing w:after="0" w:line="202" w:lineRule="auto"/>
        <w:rPr>
          <w:sz w:val="20"/>
          <w:szCs w:val="20"/>
          <w:color w:val="auto"/>
        </w:rPr>
      </w:pPr>
      <w:r>
        <w:rPr>
          <w:rFonts w:ascii="Arial" w:cs="Arial" w:eastAsia="Arial" w:hAnsi="Arial"/>
          <w:sz w:val="4"/>
          <w:szCs w:val="4"/>
          <w:color w:val="FFFFFF"/>
        </w:rPr>
        <w:t>5-8% vs. 8% placebo</w:t>
      </w:r>
    </w:p>
    <w:p>
      <w:pPr>
        <w:spacing w:after="0"/>
        <w:rPr>
          <w:sz w:val="20"/>
          <w:szCs w:val="20"/>
          <w:color w:val="auto"/>
        </w:rPr>
      </w:pPr>
      <w:r>
        <w:rPr>
          <w:rFonts w:ascii="Arial" w:cs="Arial" w:eastAsia="Arial" w:hAnsi="Arial"/>
          <w:sz w:val="13"/>
          <w:szCs w:val="13"/>
          <w:color w:val="FFFFFF"/>
        </w:rPr>
        <w:t>23</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FFFFFF"/>
        </w:rPr>
        <w:t>2015DUPILUMAB:PRIORITIESADVANCE BROAD DEVELOPMENT PROGRAM</w:t>
      </w:r>
    </w:p>
    <w:p>
      <w:pPr>
        <w:spacing w:after="0" w:line="202" w:lineRule="auto"/>
        <w:rPr>
          <w:sz w:val="20"/>
          <w:szCs w:val="20"/>
          <w:color w:val="auto"/>
        </w:rPr>
      </w:pPr>
      <w:r>
        <w:rPr>
          <w:rFonts w:ascii="Arial" w:cs="Arial" w:eastAsia="Arial" w:hAnsi="Arial"/>
          <w:sz w:val="4"/>
          <w:szCs w:val="4"/>
          <w:color w:val="FFFFFF"/>
        </w:rPr>
        <w:t>LaunchExecute PhasePhase 33 inAdultAsthmaAD Program; Initiate Pediatric AD Program</w:t>
      </w:r>
    </w:p>
    <w:p>
      <w:pPr>
        <w:spacing w:after="0" w:line="180" w:lineRule="auto"/>
        <w:rPr>
          <w:sz w:val="20"/>
          <w:szCs w:val="20"/>
          <w:color w:val="auto"/>
        </w:rPr>
      </w:pPr>
      <w:r>
        <w:rPr>
          <w:rFonts w:ascii="Arial" w:cs="Arial" w:eastAsia="Arial" w:hAnsi="Arial"/>
          <w:sz w:val="7"/>
          <w:szCs w:val="7"/>
          <w:color w:val="FFFFFF"/>
        </w:rPr>
        <w:t>Plan Phase</w:t>
      </w:r>
      <w:r>
        <w:rPr>
          <w:rFonts w:ascii="Arial" w:cs="Arial" w:eastAsia="Arial" w:hAnsi="Arial"/>
          <w:sz w:val="9"/>
          <w:szCs w:val="9"/>
          <w:color w:val="FFFFFF"/>
          <w:vertAlign w:val="subscript"/>
        </w:rPr>
        <w:t>Eosinophilic</w:t>
      </w:r>
      <w:r>
        <w:rPr>
          <w:rFonts w:ascii="Arial" w:cs="Arial" w:eastAsia="Arial" w:hAnsi="Arial"/>
          <w:sz w:val="7"/>
          <w:szCs w:val="7"/>
          <w:color w:val="FFFFFF"/>
        </w:rPr>
        <w:t>3Chronic Sinusitis with Nasal Polyps</w:t>
      </w:r>
    </w:p>
    <w:p>
      <w:pPr>
        <w:spacing w:after="0" w:line="217" w:lineRule="auto"/>
        <w:tabs>
          <w:tab w:leader="none" w:pos="1100" w:val="left"/>
        </w:tabs>
        <w:rPr>
          <w:sz w:val="20"/>
          <w:szCs w:val="20"/>
          <w:color w:val="auto"/>
        </w:rPr>
      </w:pPr>
      <w:r>
        <w:rPr>
          <w:rFonts w:ascii="Arial" w:cs="Arial" w:eastAsia="Arial" w:hAnsi="Arial"/>
          <w:sz w:val="13"/>
          <w:szCs w:val="13"/>
          <w:color w:val="FFFFFF"/>
        </w:rPr>
        <w:t>24Launch</w:t>
      </w:r>
      <w:r>
        <w:rPr>
          <w:sz w:val="20"/>
          <w:szCs w:val="20"/>
          <w:color w:val="auto"/>
        </w:rPr>
        <w:tab/>
      </w:r>
      <w:r>
        <w:rPr>
          <w:rFonts w:ascii="Arial" w:cs="Arial" w:eastAsia="Arial" w:hAnsi="Arial"/>
          <w:sz w:val="11"/>
          <w:szCs w:val="11"/>
          <w:color w:val="FFFFFF"/>
        </w:rPr>
        <w:t>Esophagitis Development Program</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839"/>
        <w:spacing w:after="0" w:line="220" w:lineRule="auto"/>
        <w:rPr>
          <w:sz w:val="20"/>
          <w:szCs w:val="20"/>
          <w:color w:val="auto"/>
        </w:rPr>
      </w:pPr>
      <w:r>
        <w:rPr>
          <w:rFonts w:ascii="Arial" w:cs="Arial" w:eastAsia="Arial" w:hAnsi="Arial"/>
          <w:sz w:val="12"/>
          <w:szCs w:val="12"/>
          <w:color w:val="FFFFFF"/>
        </w:rPr>
        <w:t>SUPPORT EYLEA® AS THE RETINAL THERAPY OF CHOICE; MAINTAIN LEADERSHIP IN RETINAL DISEASE ®</w:t>
      </w:r>
    </w:p>
    <w:p>
      <w:pPr>
        <w:spacing w:after="0"/>
        <w:rPr>
          <w:sz w:val="20"/>
          <w:szCs w:val="20"/>
          <w:color w:val="auto"/>
        </w:rPr>
      </w:pPr>
      <w:r>
        <w:rPr>
          <w:rFonts w:ascii="Arial" w:cs="Arial" w:eastAsia="Arial" w:hAnsi="Arial"/>
          <w:sz w:val="13"/>
          <w:szCs w:val="13"/>
          <w:color w:val="FFFFFF"/>
        </w:rPr>
        <w:t>25EYLEA will continue to drive top-line growth, supported by a growing body of clinical evidence</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4210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7325360" cy="421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388" w:lineRule="auto"/>
        <w:rPr>
          <w:sz w:val="20"/>
          <w:szCs w:val="20"/>
          <w:color w:val="auto"/>
        </w:rPr>
      </w:pPr>
      <w:r>
        <w:rPr>
          <w:rFonts w:ascii="Arial" w:cs="Arial" w:eastAsia="Arial" w:hAnsi="Arial"/>
          <w:sz w:val="8"/>
          <w:szCs w:val="8"/>
          <w:color w:val="FFFFFF"/>
        </w:rPr>
        <w:t>EYLEA®: POSITIONED FOR CONTINUED GROWTH EYLEA® CONTINUED GROWTH U.S. NET SALES Now approved for major retinal diseases in U.S. &amp; EU NIH-sponsored PROTOCOL T study should support DME growth Granted Breakthrough Therapy designation by U.S. FDA for treatment of diabetic retinopathy in patients with DME $2,000 ~$1.735B* $1,800 $1,600 $1.41B $1,400 MM $1,200 $ $1,000 $838$800$600$400$200$25$02011†201220132014†*2014unaudited,preliminarynumbersEYLEAapprovedNovember201126REGENERONNOWISOURTIMEANDIT’SJUSTBEGINNING</w:t>
      </w:r>
    </w:p>
    <w:p>
      <w:pPr>
        <w:sectPr>
          <w:pgSz w:w="11900" w:h="16838" w:orient="portrait"/>
          <w:cols w:equalWidth="0" w:num="1">
            <w:col w:w="11180"/>
          </w:cols>
          <w:pgMar w:left="240" w:top="1440" w:right="47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7"/>
          <w:szCs w:val="7"/>
          <w:color w:val="FFFFFF"/>
        </w:rPr>
        <w:t>PDGFRADVANCING-Binhibitor/EYLEANEXT-GENERATION</w:t>
      </w:r>
      <w:r>
        <w:rPr>
          <w:rFonts w:ascii="Arial" w:cs="Arial" w:eastAsia="Arial" w:hAnsi="Arial"/>
          <w:sz w:val="10"/>
          <w:szCs w:val="10"/>
          <w:color w:val="FFFFFF"/>
          <w:vertAlign w:val="subscript"/>
        </w:rPr>
        <w:t>commercial</w:t>
      </w:r>
      <w:r>
        <w:rPr>
          <w:rFonts w:ascii="Arial" w:cs="Arial" w:eastAsia="Arial" w:hAnsi="Arial"/>
          <w:sz w:val="7"/>
          <w:szCs w:val="7"/>
          <w:color w:val="FFFFFF"/>
        </w:rPr>
        <w:t>-formulationRETINALmovingTHERAPIEStoPhase2 in 2015</w:t>
      </w:r>
    </w:p>
    <w:p>
      <w:pPr>
        <w:spacing w:after="0" w:line="93" w:lineRule="exact"/>
        <w:rPr>
          <w:sz w:val="20"/>
          <w:szCs w:val="20"/>
          <w:color w:val="auto"/>
        </w:rPr>
      </w:pPr>
    </w:p>
    <w:p>
      <w:pPr>
        <w:spacing w:after="0"/>
        <w:tabs>
          <w:tab w:leader="none" w:pos="2120" w:val="left"/>
        </w:tabs>
        <w:rPr>
          <w:sz w:val="20"/>
          <w:szCs w:val="20"/>
          <w:color w:val="auto"/>
        </w:rPr>
      </w:pPr>
      <w:r>
        <w:rPr>
          <w:rFonts w:ascii="Arial" w:cs="Arial" w:eastAsia="Arial" w:hAnsi="Arial"/>
          <w:sz w:val="13"/>
          <w:szCs w:val="13"/>
          <w:color w:val="FFFFFF"/>
        </w:rPr>
        <w:t>Regeneron owns 100% U.S.</w:t>
      </w:r>
      <w:r>
        <w:rPr>
          <w:sz w:val="20"/>
          <w:szCs w:val="20"/>
          <w:color w:val="auto"/>
        </w:rPr>
        <w:tab/>
      </w:r>
      <w:r>
        <w:rPr>
          <w:rFonts w:ascii="Arial" w:cs="Arial" w:eastAsia="Arial" w:hAnsi="Arial"/>
          <w:sz w:val="12"/>
          <w:szCs w:val="12"/>
          <w:color w:val="FFFFFF"/>
        </w:rPr>
        <w:t>rights</w:t>
      </w:r>
    </w:p>
    <w:p>
      <w:pPr>
        <w:spacing w:after="0"/>
        <w:rPr>
          <w:sz w:val="20"/>
          <w:szCs w:val="20"/>
          <w:color w:val="auto"/>
        </w:rPr>
      </w:pPr>
      <w:r>
        <w:rPr>
          <w:rFonts w:ascii="Arial" w:cs="Arial" w:eastAsia="Arial" w:hAnsi="Arial"/>
          <w:sz w:val="11"/>
          <w:szCs w:val="11"/>
          <w:color w:val="FFFFFF"/>
        </w:rPr>
        <w:t>27ANG2 inhibitor/EYLEA co-formulation in Phase 1 AVALANCHE Biotech collaboration</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color w:val="FFFFFF"/>
          <w:vertAlign w:val="subscript"/>
        </w:rPr>
        <w:t>INVEST</w:t>
      </w:r>
      <w:r>
        <w:rPr>
          <w:rFonts w:ascii="Arial" w:cs="Arial" w:eastAsia="Arial" w:hAnsi="Arial"/>
          <w:sz w:val="13"/>
          <w:szCs w:val="13"/>
          <w:color w:val="FFFFFF"/>
        </w:rPr>
        <w:t xml:space="preserve"> IN NEXT WAVES OF INNOVATION</w:t>
      </w:r>
    </w:p>
    <w:p>
      <w:pPr>
        <w:ind w:right="4559" w:firstLine="70"/>
        <w:spacing w:after="0"/>
        <w:rPr>
          <w:sz w:val="20"/>
          <w:szCs w:val="20"/>
          <w:color w:val="auto"/>
        </w:rPr>
      </w:pPr>
      <w:r>
        <w:rPr>
          <w:rFonts w:ascii="Arial" w:cs="Arial" w:eastAsia="Arial" w:hAnsi="Arial"/>
          <w:sz w:val="11"/>
          <w:szCs w:val="11"/>
          <w:color w:val="FFFFFF"/>
        </w:rPr>
        <w:t>o realize our vision, we must continually refuel the pipeline and advance science and technology innovation 28</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BROAD AND SUSTAINABLE PIPELINE</w:t>
      </w:r>
    </w:p>
    <w:p>
      <w:pPr>
        <w:spacing w:after="0" w:line="180" w:lineRule="auto"/>
        <w:rPr>
          <w:sz w:val="20"/>
          <w:szCs w:val="20"/>
          <w:color w:val="auto"/>
        </w:rPr>
      </w:pPr>
      <w:r>
        <w:rPr>
          <w:rFonts w:ascii="Arial" w:cs="Arial" w:eastAsia="Arial" w:hAnsi="Arial"/>
          <w:sz w:val="9"/>
          <w:szCs w:val="9"/>
          <w:color w:val="FFFFFF"/>
        </w:rPr>
        <w:t>PRALUENT™ANTIBODYCANDIDATES(alirocumab) HypercholesterolemiaPHASE1PHASE2PHASE 3</w:t>
      </w:r>
    </w:p>
    <w:p>
      <w:pPr>
        <w:spacing w:after="0" w:line="203" w:lineRule="auto"/>
        <w:rPr>
          <w:sz w:val="20"/>
          <w:szCs w:val="20"/>
          <w:color w:val="auto"/>
        </w:rPr>
      </w:pPr>
      <w:r>
        <w:rPr>
          <w:rFonts w:ascii="Arial" w:cs="Arial" w:eastAsia="Arial" w:hAnsi="Arial"/>
          <w:sz w:val="4"/>
          <w:szCs w:val="4"/>
          <w:color w:val="FFFFFF"/>
        </w:rPr>
        <w:t>Sarilumab (REGN88) Rheumatoid arthritis, non-infectious uveitis</w:t>
      </w:r>
    </w:p>
    <w:p>
      <w:pPr>
        <w:spacing w:after="0" w:line="180" w:lineRule="auto"/>
        <w:rPr>
          <w:sz w:val="20"/>
          <w:szCs w:val="20"/>
          <w:color w:val="auto"/>
        </w:rPr>
      </w:pPr>
      <w:r>
        <w:rPr>
          <w:rFonts w:ascii="Arial" w:cs="Arial" w:eastAsia="Arial" w:hAnsi="Arial"/>
          <w:sz w:val="9"/>
          <w:szCs w:val="9"/>
          <w:color w:val="FFFFFF"/>
        </w:rPr>
        <w:t>Dupilumabetinal2222disease(REGN668)NesvacumabAtopic(Ang2)dermatitis,Cancerasthma,(onpartialchronicclinicalsinusitishold)with nasal polyps REGN1033 (GDF8) Skeletal muscle disorders Fasinumab (NGF) Pain (on partial clinical hold) REGN2176-3 (PDGFR+EYLEA)</w:t>
      </w:r>
    </w:p>
    <w:p>
      <w:pPr>
        <w:ind w:left="700"/>
        <w:spacing w:after="0" w:line="203" w:lineRule="auto"/>
        <w:rPr>
          <w:sz w:val="20"/>
          <w:szCs w:val="20"/>
          <w:color w:val="auto"/>
        </w:rPr>
      </w:pPr>
      <w:r>
        <w:rPr>
          <w:rFonts w:ascii="Arial" w:cs="Arial" w:eastAsia="Arial" w:hAnsi="Arial"/>
          <w:sz w:val="4"/>
          <w:szCs w:val="4"/>
          <w:color w:val="FFFFFF"/>
        </w:rPr>
        <w:t>RSV) RSV</w:t>
      </w:r>
    </w:p>
    <w:p>
      <w:pPr>
        <w:spacing w:after="0" w:line="180" w:lineRule="auto"/>
        <w:rPr>
          <w:sz w:val="20"/>
          <w:szCs w:val="20"/>
          <w:color w:val="auto"/>
        </w:rPr>
      </w:pPr>
      <w:r>
        <w:rPr>
          <w:rFonts w:ascii="Arial" w:cs="Arial" w:eastAsia="Arial" w:hAnsi="Arial"/>
          <w:sz w:val="9"/>
          <w:szCs w:val="9"/>
          <w:color w:val="FFFFFF"/>
        </w:rPr>
        <w:t>REGN15004 (AngptlERBB3)-3)CancerCV&amp; metabolic (on partial clinical hold) REGN1979 (CD20/CD3) Cancer REGN1908-1909 Allergic diseases REGN910-3 (Ang2+EYLEA) Retinal disease Enoticumab (REGN421—DII4)</w:t>
      </w:r>
    </w:p>
    <w:p>
      <w:pPr>
        <w:spacing w:after="0"/>
        <w:rPr>
          <w:sz w:val="20"/>
          <w:szCs w:val="20"/>
          <w:color w:val="auto"/>
        </w:rPr>
      </w:pPr>
      <w:r>
        <w:rPr>
          <w:rFonts w:ascii="Arial" w:cs="Arial" w:eastAsia="Arial" w:hAnsi="Arial"/>
          <w:sz w:val="13"/>
          <w:szCs w:val="13"/>
          <w:color w:val="FFFFFF"/>
        </w:rPr>
        <w:t>REGN1193Cancer54 (undisclosed target) Program partnered with Bayer ex-US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FFFFFF"/>
        </w:rPr>
        <w:t>Program partnered</w:t>
      </w:r>
    </w:p>
    <w:p>
      <w:pPr>
        <w:spacing w:after="0"/>
        <w:rPr>
          <w:sz w:val="20"/>
          <w:szCs w:val="20"/>
          <w:color w:val="auto"/>
        </w:rPr>
      </w:pPr>
      <w:r>
        <w:rPr>
          <w:rFonts w:ascii="Arial" w:cs="Arial" w:eastAsia="Arial" w:hAnsi="Arial"/>
          <w:sz w:val="13"/>
          <w:szCs w:val="13"/>
          <w:color w:val="FFFFFF"/>
        </w:rPr>
        <w:t>29REGN2810 (PD-1) Cancer (IND filed Q414) with Sanofi</w:t>
      </w:r>
    </w:p>
    <w:p>
      <w:pPr>
        <w:sectPr>
          <w:pgSz w:w="11900" w:h="16838" w:orient="portrait"/>
          <w:cols w:equalWidth="0" w:num="1">
            <w:col w:w="11220"/>
          </w:cols>
          <w:pgMar w:left="240" w:top="1440" w:right="4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FFFFFF"/>
        </w:rPr>
        <w:t>RSVACCELERATINGANTIBODY (PHASECLINICAL1) PROGRAMS: RSV, NGF</w:t>
      </w:r>
    </w:p>
    <w:p>
      <w:pPr>
        <w:ind w:right="4739"/>
        <w:spacing w:after="0" w:line="187" w:lineRule="auto"/>
        <w:rPr>
          <w:sz w:val="20"/>
          <w:szCs w:val="20"/>
          <w:color w:val="auto"/>
        </w:rPr>
      </w:pPr>
      <w:r>
        <w:rPr>
          <w:rFonts w:ascii="Arial" w:cs="Arial" w:eastAsia="Arial" w:hAnsi="Arial"/>
          <w:sz w:val="6"/>
          <w:szCs w:val="6"/>
          <w:color w:val="FFFFFF"/>
        </w:rPr>
        <w:t xml:space="preserve">MOST COMMON CAUSE OF BRONCHIOLITIS AND PNEUMONIA IN U.S. CHILDREN &lt;11 Leading cause of infant hospitalization Phase 1 results expected in 2015 Potential for less frequent dosing EXPECT TO MOVE </w:t>
      </w:r>
      <w:r>
        <w:rPr>
          <w:rFonts w:ascii="Arial" w:cs="Arial" w:eastAsia="Arial" w:hAnsi="Arial"/>
          <w:sz w:val="7"/>
          <w:szCs w:val="7"/>
          <w:color w:val="FFFFFF"/>
          <w:vertAlign w:val="subscript"/>
        </w:rPr>
        <w:t>ANTIBODY</w:t>
      </w:r>
      <w:r>
        <w:rPr>
          <w:rFonts w:ascii="Arial" w:cs="Arial" w:eastAsia="Arial" w:hAnsi="Arial"/>
          <w:sz w:val="6"/>
          <w:szCs w:val="6"/>
          <w:color w:val="FFFFFF"/>
        </w:rPr>
        <w:t>PHASE3 in 2015</w:t>
      </w:r>
    </w:p>
    <w:p>
      <w:pPr>
        <w:spacing w:after="0" w:line="202" w:lineRule="auto"/>
        <w:tabs>
          <w:tab w:leader="none" w:pos="1800" w:val="left"/>
        </w:tabs>
        <w:rPr>
          <w:sz w:val="20"/>
          <w:szCs w:val="20"/>
          <w:color w:val="auto"/>
        </w:rPr>
      </w:pPr>
      <w:r>
        <w:rPr>
          <w:rFonts w:ascii="Arial" w:cs="Arial" w:eastAsia="Arial" w:hAnsi="Arial"/>
          <w:sz w:val="4"/>
          <w:szCs w:val="4"/>
          <w:color w:val="FFFFFF"/>
        </w:rPr>
        <w:t>FASINUMAB, NGF</w:t>
      </w:r>
      <w:r>
        <w:rPr>
          <w:sz w:val="20"/>
          <w:szCs w:val="20"/>
          <w:color w:val="auto"/>
        </w:rPr>
        <w:tab/>
      </w:r>
      <w:r>
        <w:rPr>
          <w:rFonts w:ascii="Arial" w:cs="Arial" w:eastAsia="Arial" w:hAnsi="Arial"/>
          <w:sz w:val="4"/>
          <w:szCs w:val="4"/>
          <w:color w:val="FFFFFF"/>
        </w:rPr>
        <w:t>(PHASE 2)</w:t>
      </w:r>
    </w:p>
    <w:p>
      <w:pPr>
        <w:spacing w:after="0" w:line="203" w:lineRule="auto"/>
        <w:rPr>
          <w:sz w:val="20"/>
          <w:szCs w:val="20"/>
          <w:color w:val="auto"/>
        </w:rPr>
      </w:pPr>
      <w:r>
        <w:rPr>
          <w:rFonts w:ascii="Arial" w:cs="Arial" w:eastAsia="Arial" w:hAnsi="Arial"/>
          <w:sz w:val="2"/>
          <w:szCs w:val="2"/>
          <w:color w:val="FFFFFF"/>
        </w:rPr>
        <w:t>A NOVEL NON-OPIOID APPROACH</w:t>
      </w:r>
      <w:r>
        <w:rPr>
          <w:rFonts w:ascii="Arial" w:cs="Arial" w:eastAsia="Arial" w:hAnsi="Arial"/>
          <w:sz w:val="4"/>
          <w:szCs w:val="4"/>
          <w:color w:val="FFFFFF"/>
          <w:vertAlign w:val="superscript"/>
        </w:rPr>
        <w:t>(OA)</w:t>
      </w:r>
      <w:r>
        <w:rPr>
          <w:rFonts w:ascii="Arial" w:cs="Arial" w:eastAsia="Arial" w:hAnsi="Arial"/>
          <w:sz w:val="2"/>
          <w:szCs w:val="2"/>
          <w:color w:val="FFFFFF"/>
        </w:rPr>
        <w:t>TADDRESSING CHRONIC PAIN</w:t>
      </w:r>
    </w:p>
    <w:p>
      <w:pPr>
        <w:ind w:right="3599"/>
        <w:spacing w:after="0" w:line="202" w:lineRule="auto"/>
        <w:rPr>
          <w:sz w:val="20"/>
          <w:szCs w:val="20"/>
          <w:color w:val="auto"/>
        </w:rPr>
      </w:pPr>
      <w:r>
        <w:rPr>
          <w:rFonts w:ascii="Arial" w:cs="Arial" w:eastAsia="Arial" w:hAnsi="Arial"/>
          <w:sz w:val="8"/>
          <w:szCs w:val="8"/>
          <w:color w:val="FFFFFF"/>
        </w:rPr>
        <w:t>Full clinical hold lifted in osteoarthritis based on positive pre-clinical data shared with FDA* Partnering efforts underway HUMAN TRIALS EXPECTED TO RESUME in 2015</w:t>
      </w:r>
    </w:p>
    <w:p>
      <w:pPr>
        <w:spacing w:after="0" w:line="180" w:lineRule="auto"/>
        <w:rPr>
          <w:sz w:val="20"/>
          <w:szCs w:val="20"/>
          <w:color w:val="auto"/>
        </w:rPr>
      </w:pPr>
      <w:r>
        <w:rPr>
          <w:rFonts w:ascii="Arial" w:cs="Arial" w:eastAsia="Arial" w:hAnsi="Arial"/>
          <w:sz w:val="9"/>
          <w:szCs w:val="9"/>
          <w:color w:val="FFFFFF"/>
        </w:rPr>
        <w:t>(1) Pediatrics 2010 Feb;125(2):342-9.</w:t>
      </w:r>
    </w:p>
    <w:p>
      <w:pPr>
        <w:spacing w:after="0"/>
        <w:rPr>
          <w:sz w:val="20"/>
          <w:szCs w:val="20"/>
          <w:color w:val="auto"/>
        </w:rPr>
      </w:pPr>
      <w:r>
        <w:rPr>
          <w:rFonts w:ascii="Arial" w:cs="Arial" w:eastAsia="Arial" w:hAnsi="Arial"/>
          <w:sz w:val="11"/>
          <w:szCs w:val="11"/>
          <w:color w:val="FFFFFF"/>
        </w:rPr>
        <w:t>30*Program on Partial Clinical Hold limiting duration of trials in OA to 16 weeks pending submission of further preclinical data in 1H15.</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FFFFFF"/>
        </w:rPr>
        <w:t>IMMUNOADVANCING-ONCOLOGYMULTIPLE APPROACHES IN IMMUNO-ONCOLOGY</w:t>
      </w:r>
    </w:p>
    <w:p>
      <w:pPr>
        <w:spacing w:after="0" w:line="180" w:lineRule="auto"/>
        <w:rPr>
          <w:sz w:val="20"/>
          <w:szCs w:val="20"/>
          <w:color w:val="auto"/>
        </w:rPr>
      </w:pPr>
      <w:r>
        <w:rPr>
          <w:rFonts w:ascii="Arial" w:cs="Arial" w:eastAsia="Arial" w:hAnsi="Arial"/>
          <w:sz w:val="9"/>
          <w:szCs w:val="9"/>
          <w:color w:val="FFFFFF"/>
        </w:rPr>
        <w:t>Deep research and early development focus: bi-specifics, checkpoint inhibitors and ADCs Phase 1: CD20/CD3 bi-specific antibody for blood cancers IND Filed in Q414: anti-PD1 for cancer</w:t>
      </w:r>
    </w:p>
    <w:p>
      <w:pPr>
        <w:spacing w:after="0" w:line="203" w:lineRule="auto"/>
        <w:rPr>
          <w:sz w:val="20"/>
          <w:szCs w:val="20"/>
          <w:color w:val="auto"/>
        </w:rPr>
      </w:pPr>
      <w:r>
        <w:rPr>
          <w:rFonts w:ascii="Arial" w:cs="Arial" w:eastAsia="Arial" w:hAnsi="Arial"/>
          <w:sz w:val="4"/>
          <w:szCs w:val="4"/>
          <w:color w:val="FFFFFF"/>
        </w:rPr>
        <w:t>KILLINGBI-SPECIFICS CHECKPOINT INHIBITORS</w:t>
      </w:r>
    </w:p>
    <w:p>
      <w:pPr>
        <w:spacing w:after="0" w:line="180" w:lineRule="auto"/>
        <w:rPr>
          <w:sz w:val="20"/>
          <w:szCs w:val="20"/>
          <w:color w:val="auto"/>
        </w:rPr>
      </w:pPr>
      <w:r>
        <w:rPr>
          <w:rFonts w:ascii="Arial" w:cs="Arial" w:eastAsia="Arial" w:hAnsi="Arial"/>
          <w:sz w:val="9"/>
          <w:szCs w:val="9"/>
          <w:color w:val="FFFFFF"/>
        </w:rPr>
        <w:t>Tumor T-cell Cell</w:t>
      </w:r>
    </w:p>
    <w:p>
      <w:pPr>
        <w:spacing w:after="0"/>
        <w:rPr>
          <w:sz w:val="20"/>
          <w:szCs w:val="20"/>
          <w:color w:val="auto"/>
        </w:rPr>
      </w:pPr>
      <w:r>
        <w:rPr>
          <w:rFonts w:ascii="Arial" w:cs="Arial" w:eastAsia="Arial" w:hAnsi="Arial"/>
          <w:sz w:val="13"/>
          <w:szCs w:val="13"/>
          <w:color w:val="FFFFFF"/>
        </w:rPr>
        <w:t>31Adapted from NEJM 2012</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FFFFFF"/>
        </w:rPr>
        <w:t>RAPID PROGRESS WITH REGENERON GENETICS CENTER</w:t>
      </w:r>
    </w:p>
    <w:p>
      <w:pPr>
        <w:spacing w:after="0"/>
        <w:rPr>
          <w:sz w:val="20"/>
          <w:szCs w:val="20"/>
          <w:color w:val="auto"/>
        </w:rPr>
      </w:pPr>
      <w:r>
        <w:rPr>
          <w:rFonts w:ascii="Arial" w:cs="Arial" w:eastAsia="Arial" w:hAnsi="Arial"/>
          <w:sz w:val="11"/>
          <w:szCs w:val="11"/>
          <w:color w:val="FFFFFF"/>
        </w:rPr>
        <w:t>32Unprecedented Speed, Scale and Integration in Genetic Research</w:t>
      </w:r>
    </w:p>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FFFFFF"/>
        </w:rPr>
        <w:t>2015 FINANCIAL GUIDANCE1</w:t>
      </w:r>
    </w:p>
    <w:p>
      <w:pPr>
        <w:spacing w:after="0" w:line="202" w:lineRule="auto"/>
        <w:rPr>
          <w:sz w:val="20"/>
          <w:szCs w:val="20"/>
          <w:color w:val="auto"/>
        </w:rPr>
      </w:pPr>
      <w:r>
        <w:rPr>
          <w:rFonts w:ascii="Arial" w:cs="Arial" w:eastAsia="Arial" w:hAnsi="Arial"/>
          <w:sz w:val="4"/>
          <w:szCs w:val="4"/>
          <w:color w:val="FFFFFF"/>
          <w:vertAlign w:val="superscript"/>
        </w:rPr>
        <w:t>Non-GAAP</w:t>
      </w:r>
      <w:r>
        <w:rPr>
          <w:rFonts w:ascii="Arial" w:cs="Arial" w:eastAsia="Arial" w:hAnsi="Arial"/>
          <w:sz w:val="2"/>
          <w:szCs w:val="2"/>
          <w:color w:val="FFFFFF"/>
        </w:rPr>
        <w:t xml:space="preserve"> Unreimbursed R&amp;D: $525MM—$575MM</w:t>
      </w:r>
    </w:p>
    <w:p>
      <w:pPr>
        <w:ind w:left="660"/>
        <w:spacing w:after="0" w:line="180" w:lineRule="auto"/>
        <w:rPr>
          <w:sz w:val="20"/>
          <w:szCs w:val="20"/>
          <w:color w:val="auto"/>
        </w:rPr>
      </w:pPr>
      <w:r>
        <w:rPr>
          <w:rFonts w:ascii="Arial" w:cs="Arial" w:eastAsia="Arial" w:hAnsi="Arial"/>
          <w:sz w:val="9"/>
          <w:szCs w:val="9"/>
          <w:color w:val="FFFFFF"/>
        </w:rPr>
        <w:t>SG&amp;A: $650MM—$725MM</w:t>
      </w:r>
    </w:p>
    <w:p>
      <w:pPr>
        <w:spacing w:after="0" w:line="203" w:lineRule="auto"/>
        <w:rPr>
          <w:sz w:val="20"/>
          <w:szCs w:val="20"/>
          <w:color w:val="auto"/>
        </w:rPr>
      </w:pPr>
      <w:r>
        <w:rPr>
          <w:rFonts w:ascii="Arial" w:cs="Arial" w:eastAsia="Arial" w:hAnsi="Arial"/>
          <w:sz w:val="4"/>
          <w:szCs w:val="4"/>
          <w:color w:val="FFFFFF"/>
          <w:vertAlign w:val="subscript"/>
        </w:rPr>
        <w:t>Capital</w:t>
      </w:r>
      <w:r>
        <w:rPr>
          <w:rFonts w:ascii="Arial" w:cs="Arial" w:eastAsia="Arial" w:hAnsi="Arial"/>
          <w:sz w:val="2"/>
          <w:szCs w:val="2"/>
          <w:color w:val="FFFFFF"/>
        </w:rPr>
        <w:t>ThisshincludesTax2as aREGN%of Nonincurred-GAAPcommercialPre-taxIncome:-related 10%—20%expensesfor Sanofi collaboration antibodies</w:t>
      </w:r>
    </w:p>
    <w:p>
      <w:pPr>
        <w:ind w:left="420"/>
        <w:spacing w:after="0" w:line="203" w:lineRule="auto"/>
        <w:rPr>
          <w:sz w:val="20"/>
          <w:szCs w:val="20"/>
          <w:color w:val="auto"/>
        </w:rPr>
      </w:pPr>
      <w:r>
        <w:rPr>
          <w:rFonts w:ascii="Arial" w:cs="Arial" w:eastAsia="Arial" w:hAnsi="Arial"/>
          <w:sz w:val="4"/>
          <w:szCs w:val="4"/>
          <w:color w:val="FFFFFF"/>
        </w:rPr>
        <w:t>Expenditures: $650MM—$800MM</w:t>
      </w:r>
    </w:p>
    <w:p>
      <w:pPr>
        <w:spacing w:after="0" w:line="203" w:lineRule="auto"/>
        <w:rPr>
          <w:sz w:val="20"/>
          <w:szCs w:val="20"/>
          <w:color w:val="auto"/>
        </w:rPr>
      </w:pPr>
      <w:r>
        <w:rPr>
          <w:rFonts w:ascii="Arial" w:cs="Arial" w:eastAsia="Arial" w:hAnsi="Arial"/>
          <w:sz w:val="4"/>
          <w:szCs w:val="4"/>
          <w:color w:val="FFFFFF"/>
          <w:vertAlign w:val="superscript"/>
        </w:rPr>
        <w:t>2)</w:t>
      </w:r>
    </w:p>
    <w:p>
      <w:pPr>
        <w:spacing w:after="0"/>
        <w:rPr>
          <w:sz w:val="20"/>
          <w:szCs w:val="20"/>
          <w:color w:val="auto"/>
        </w:rPr>
      </w:pPr>
      <w:r>
        <w:rPr>
          <w:rFonts w:ascii="Arial" w:cs="Arial" w:eastAsia="Arial" w:hAnsi="Arial"/>
          <w:sz w:val="7"/>
          <w:szCs w:val="7"/>
          <w:color w:val="FFFFFF"/>
        </w:rPr>
        <w:t>1)</w:t>
      </w:r>
      <w:r>
        <w:rPr>
          <w:rFonts w:ascii="Arial" w:cs="Arial" w:eastAsia="Arial" w:hAnsi="Arial"/>
          <w:sz w:val="10"/>
          <w:szCs w:val="10"/>
          <w:color w:val="FFFFFF"/>
          <w:vertAlign w:val="subscript"/>
        </w:rPr>
        <w:t>33</w:t>
      </w:r>
      <w:r>
        <w:rPr>
          <w:rFonts w:ascii="Arial" w:cs="Arial" w:eastAsia="Arial" w:hAnsi="Arial"/>
          <w:sz w:val="7"/>
          <w:szCs w:val="7"/>
          <w:color w:val="FFFFFF"/>
        </w:rPr>
        <w:t xml:space="preserve"> RepresentsThe2015guidanceestimateddoesincomenotassumetaxesthatthe arecompletionpayable inof cashany significantfortherelevantbusinessperiod.development transactions not completed as of December 31, 2014.</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FFFFFF"/>
        </w:rPr>
        <w:t>OPERATIONALIMPORTANTDA A, REGULATORYONESTHROUGHOUTAND 2015</w:t>
      </w:r>
    </w:p>
    <w:p>
      <w:pPr>
        <w:spacing w:after="0" w:line="180" w:lineRule="auto"/>
        <w:rPr>
          <w:sz w:val="20"/>
          <w:szCs w:val="20"/>
          <w:color w:val="auto"/>
        </w:rPr>
      </w:pPr>
      <w:r>
        <w:rPr>
          <w:rFonts w:ascii="Arial" w:cs="Arial" w:eastAsia="Arial" w:hAnsi="Arial"/>
          <w:sz w:val="9"/>
          <w:szCs w:val="9"/>
          <w:color w:val="FFFFFF"/>
        </w:rPr>
        <w:t>PRALUENT™ UMILEST..&amp;EU regulatory review &amp; launch Sarilumab Phase 3 readouts &amp; U.S. submission Expansion of dupilumab Phase 3 program RSV, NGF, GDF8 antibodies clinical progress Protocol T DME publication; EYLEA® WW growth Continued operational expansion in U.S. and Ireland</w:t>
      </w:r>
    </w:p>
    <w:p>
      <w:pPr>
        <w:spacing w:after="0"/>
        <w:rPr>
          <w:sz w:val="20"/>
          <w:szCs w:val="20"/>
          <w:color w:val="auto"/>
        </w:rPr>
      </w:pPr>
      <w:r>
        <w:rPr>
          <w:rFonts w:ascii="Arial" w:cs="Arial" w:eastAsia="Arial" w:hAnsi="Arial"/>
          <w:sz w:val="13"/>
          <w:szCs w:val="13"/>
          <w:color w:val="FFFFFF"/>
        </w:rPr>
        <w:t>34</w:t>
      </w:r>
    </w:p>
    <w:p>
      <w:pPr>
        <w:sectPr>
          <w:pgSz w:w="11900" w:h="16838" w:orient="portrait"/>
          <w:cols w:equalWidth="0" w:num="1">
            <w:col w:w="10880"/>
          </w:cols>
          <w:pgMar w:left="240" w:top="1440" w:right="77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FFFFFF"/>
        </w:rPr>
        <w:t>NOW IS OUR TIME</w:t>
      </w:r>
    </w:p>
    <w:p>
      <w:pPr>
        <w:spacing w:after="0"/>
        <w:rPr>
          <w:sz w:val="20"/>
          <w:szCs w:val="20"/>
          <w:color w:val="auto"/>
        </w:rPr>
      </w:pPr>
      <w:r>
        <w:rPr>
          <w:rFonts w:ascii="Arial" w:cs="Arial" w:eastAsia="Arial" w:hAnsi="Arial"/>
          <w:sz w:val="11"/>
          <w:szCs w:val="11"/>
          <w:color w:val="FFFFFF"/>
        </w:rPr>
        <w:t>35AND IT’S JUST BEGNNING</w:t>
      </w:r>
    </w:p>
    <w:p>
      <w:pPr>
        <w:sectPr>
          <w:pgSz w:w="11900" w:h="16838" w:orient="portrait"/>
          <w:cols w:equalWidth="0" w:num="1">
            <w:col w:w="10219"/>
          </w:cols>
          <w:pgMar w:left="2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4160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7294245" cy="416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8"/>
          <w:szCs w:val="8"/>
          <w:color w:val="FFFFFF"/>
        </w:rPr>
        <w:t>36END</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2019-12-06T05:32:23Z</dcterms:created>
  <dcterms:modified xsi:type="dcterms:W3CDTF">2019-12-06T05:32:23Z</dcterms:modified>
</cp:coreProperties>
</file>