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February 26,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10795</wp:posOffset>
            </wp:positionV>
            <wp:extent cx="68776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14605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Charter)</w:t>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92"/>
              </w:rPr>
              <w:t>New York</w:t>
            </w:r>
          </w:p>
        </w:tc>
        <w:tc>
          <w:tcPr>
            <w:tcW w:w="3600" w:type="dxa"/>
            <w:vAlign w:val="bottom"/>
            <w:gridSpan w:val="2"/>
          </w:tcPr>
          <w:p>
            <w:pPr>
              <w:jc w:val="right"/>
              <w:ind w:right="1232"/>
              <w:spacing w:after="0"/>
              <w:rPr>
                <w:sz w:val="20"/>
                <w:szCs w:val="20"/>
                <w:color w:val="auto"/>
              </w:rPr>
            </w:pPr>
            <w:r>
              <w:rPr>
                <w:rFonts w:ascii="Arial" w:cs="Arial" w:eastAsia="Arial" w:hAnsi="Arial"/>
                <w:sz w:val="18"/>
                <w:szCs w:val="18"/>
                <w:b w:val="1"/>
                <w:bCs w:val="1"/>
                <w:color w:val="auto"/>
              </w:rPr>
              <w:t>000-19034</w:t>
            </w:r>
          </w:p>
        </w:tc>
        <w:tc>
          <w:tcPr>
            <w:tcW w:w="4420" w:type="dxa"/>
            <w:vAlign w:val="bottom"/>
            <w:gridSpan w:val="2"/>
          </w:tcPr>
          <w:p>
            <w:pPr>
              <w:jc w:val="right"/>
              <w:ind w:right="1592"/>
              <w:spacing w:after="0"/>
              <w:rPr>
                <w:sz w:val="20"/>
                <w:szCs w:val="20"/>
                <w:color w:val="auto"/>
              </w:rPr>
            </w:pPr>
            <w:r>
              <w:rPr>
                <w:rFonts w:ascii="Arial" w:cs="Arial" w:eastAsia="Arial" w:hAnsi="Arial"/>
                <w:sz w:val="18"/>
                <w:szCs w:val="18"/>
                <w:b w:val="1"/>
                <w:bCs w:val="1"/>
                <w:color w:val="auto"/>
              </w:rPr>
              <w:t>13-3444607</w:t>
            </w:r>
          </w:p>
        </w:tc>
      </w:tr>
      <w:tr>
        <w:trPr>
          <w:trHeight w:val="236"/>
        </w:trPr>
        <w:tc>
          <w:tcPr>
            <w:tcW w:w="3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(State or other jurisdiction of</w:t>
            </w:r>
          </w:p>
        </w:tc>
        <w:tc>
          <w:tcPr>
            <w:tcW w:w="220" w:type="dxa"/>
            <w:vAlign w:val="bottom"/>
          </w:tcPr>
          <w:p>
            <w:pPr>
              <w:spacing w:after="0"/>
              <w:rPr>
                <w:sz w:val="20"/>
                <w:szCs w:val="20"/>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(Commission File No.)</w:t>
            </w:r>
          </w:p>
        </w:tc>
        <w:tc>
          <w:tcPr>
            <w:tcW w:w="220" w:type="dxa"/>
            <w:vAlign w:val="bottom"/>
          </w:tcPr>
          <w:p>
            <w:pPr>
              <w:spacing w:after="0"/>
              <w:rPr>
                <w:sz w:val="20"/>
                <w:szCs w:val="20"/>
                <w:color w:val="auto"/>
              </w:rPr>
            </w:pPr>
          </w:p>
        </w:tc>
        <w:tc>
          <w:tcPr>
            <w:tcW w:w="4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(IRS Employer Identification No.)</w:t>
            </w:r>
          </w:p>
        </w:tc>
      </w:tr>
    </w:tbl>
    <w:p>
      <w:pPr>
        <w:spacing w:after="0" w:line="21"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Incorporation)</w:t>
      </w:r>
    </w:p>
    <w:p>
      <w:pPr>
        <w:spacing w:after="0" w:line="200" w:lineRule="exact"/>
        <w:rPr>
          <w:sz w:val="24"/>
          <w:szCs w:val="24"/>
          <w:color w:val="auto"/>
        </w:rPr>
      </w:pPr>
    </w:p>
    <w:p>
      <w:pPr>
        <w:spacing w:after="0" w:line="303" w:lineRule="exact"/>
        <w:rPr>
          <w:sz w:val="24"/>
          <w:szCs w:val="24"/>
          <w:color w:val="auto"/>
        </w:rPr>
      </w:pPr>
    </w:p>
    <w:p>
      <w:pPr>
        <w:ind w:left="3300"/>
        <w:spacing w:after="0"/>
        <w:rPr>
          <w:sz w:val="20"/>
          <w:szCs w:val="20"/>
          <w:color w:val="auto"/>
        </w:rPr>
      </w:pPr>
      <w:r>
        <w:rPr>
          <w:rFonts w:ascii="Arial" w:cs="Arial" w:eastAsia="Arial" w:hAnsi="Arial"/>
          <w:sz w:val="18"/>
          <w:szCs w:val="18"/>
          <w:b w:val="1"/>
          <w:bCs w:val="1"/>
          <w:u w:val="single" w:color="auto"/>
          <w:color w:val="auto"/>
        </w:rPr>
        <w:t>777 Old Saw Mill River Road, Tarrytown, New York 10591-6707</w:t>
      </w:r>
    </w:p>
    <w:p>
      <w:pPr>
        <w:spacing w:after="0" w:line="29"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(914) 347-7000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14605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95" w:lineRule="exact"/>
        <w:rPr>
          <w:sz w:val="24"/>
          <w:szCs w:val="24"/>
          <w:color w:val="auto"/>
        </w:rPr>
      </w:pPr>
    </w:p>
    <w:p>
      <w:pPr>
        <w:ind w:left="300" w:right="84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560" w:hanging="26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60" w:hanging="26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560" w:hanging="26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60" w:hanging="26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2.02</w:t>
      </w:r>
      <w:r>
        <w:rPr>
          <w:rFonts w:ascii="Arial" w:cs="Arial" w:eastAsia="Arial" w:hAnsi="Arial"/>
          <w:sz w:val="18"/>
          <w:szCs w:val="18"/>
          <w:b w:val="1"/>
          <w:bCs w:val="1"/>
          <w:color w:val="auto"/>
        </w:rPr>
        <w:t xml:space="preserve"> Results of Operations and Financial Condition.</w:t>
      </w:r>
    </w:p>
    <w:p>
      <w:pPr>
        <w:spacing w:after="0" w:line="258" w:lineRule="exact"/>
        <w:rPr>
          <w:sz w:val="24"/>
          <w:szCs w:val="24"/>
          <w:color w:val="auto"/>
        </w:rPr>
      </w:pPr>
    </w:p>
    <w:p>
      <w:pPr>
        <w:ind w:right="260" w:firstLine="270"/>
        <w:spacing w:after="0" w:line="259" w:lineRule="auto"/>
        <w:rPr>
          <w:sz w:val="20"/>
          <w:szCs w:val="20"/>
          <w:color w:val="auto"/>
        </w:rPr>
      </w:pPr>
      <w:r>
        <w:rPr>
          <w:rFonts w:ascii="Arial" w:cs="Arial" w:eastAsia="Arial" w:hAnsi="Arial"/>
          <w:sz w:val="18"/>
          <w:szCs w:val="18"/>
          <w:color w:val="auto"/>
        </w:rPr>
        <w:t>On February 26, 2009, Regeneron Pharmaceuticals, Inc. issued a press release announcing its financial and operating results for the quarter and year ended December 31, 2008. The press release is being furnished to the Securities and Exchange Commission pursuant to Item 2.02 of Form 8-K and is attached as Exhibit 99.1 to this Form 8-K.</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99.1 Press Release dated February 26,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4"/>
          <w:szCs w:val="24"/>
          <w:color w:val="auto"/>
        </w:rPr>
      </w:pPr>
    </w:p>
    <w:p>
      <w:pPr>
        <w:ind w:right="220"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3" w:lineRule="exact"/>
        <w:rPr>
          <w:sz w:val="24"/>
          <w:szCs w:val="24"/>
          <w:color w:val="auto"/>
        </w:rPr>
      </w:pPr>
    </w:p>
    <w:p>
      <w:pPr>
        <w:ind w:left="5540"/>
        <w:spacing w:after="0"/>
        <w:rPr>
          <w:sz w:val="20"/>
          <w:szCs w:val="20"/>
          <w:color w:val="auto"/>
        </w:rPr>
      </w:pPr>
      <w:r>
        <w:rPr>
          <w:rFonts w:ascii="Arial" w:cs="Arial" w:eastAsia="Arial" w:hAnsi="Arial"/>
          <w:sz w:val="18"/>
          <w:szCs w:val="18"/>
          <w:color w:val="auto"/>
        </w:rPr>
        <w:t>REGENERON PHARMACEUTICALS, INC.</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Date: February 26, 2009</w:t>
      </w: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ind w:left="5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Stuart Kolinski</w:t>
      </w:r>
    </w:p>
    <w:p>
      <w:pPr>
        <w:spacing w:after="0" w:line="36" w:lineRule="exact"/>
        <w:rPr>
          <w:sz w:val="24"/>
          <w:szCs w:val="24"/>
          <w:color w:val="auto"/>
        </w:rPr>
      </w:pPr>
    </w:p>
    <w:p>
      <w:pPr>
        <w:ind w:left="5860"/>
        <w:spacing w:after="0"/>
        <w:rPr>
          <w:sz w:val="20"/>
          <w:szCs w:val="20"/>
          <w:color w:val="auto"/>
        </w:rPr>
      </w:pPr>
      <w:r>
        <w:rPr>
          <w:rFonts w:ascii="Arial" w:cs="Arial" w:eastAsia="Arial" w:hAnsi="Arial"/>
          <w:sz w:val="18"/>
          <w:szCs w:val="18"/>
          <w:color w:val="auto"/>
        </w:rPr>
        <w:t>Name: Stuart Kolinski</w:t>
      </w:r>
    </w:p>
    <w:p>
      <w:pPr>
        <w:spacing w:after="0" w:line="36" w:lineRule="exact"/>
        <w:rPr>
          <w:sz w:val="24"/>
          <w:szCs w:val="24"/>
          <w:color w:val="auto"/>
        </w:rPr>
      </w:pPr>
    </w:p>
    <w:p>
      <w:pPr>
        <w:ind w:left="5860"/>
        <w:spacing w:after="0"/>
        <w:rPr>
          <w:sz w:val="20"/>
          <w:szCs w:val="20"/>
          <w:color w:val="auto"/>
        </w:rPr>
      </w:pPr>
      <w:r>
        <w:rPr>
          <w:rFonts w:ascii="Arial" w:cs="Arial" w:eastAsia="Arial" w:hAnsi="Arial"/>
          <w:sz w:val="18"/>
          <w:szCs w:val="18"/>
          <w:color w:val="auto"/>
        </w:rPr>
        <w:t>Title:  Senior Vice President and General</w:t>
      </w:r>
    </w:p>
    <w:p>
      <w:pPr>
        <w:spacing w:after="0" w:line="36" w:lineRule="exact"/>
        <w:rPr>
          <w:sz w:val="24"/>
          <w:szCs w:val="24"/>
          <w:color w:val="auto"/>
        </w:rPr>
      </w:pPr>
    </w:p>
    <w:p>
      <w:pPr>
        <w:ind w:left="6380"/>
        <w:spacing w:after="0"/>
        <w:rPr>
          <w:sz w:val="20"/>
          <w:szCs w:val="20"/>
          <w:color w:val="auto"/>
        </w:rPr>
      </w:pPr>
      <w:r>
        <w:rPr>
          <w:rFonts w:ascii="Arial" w:cs="Arial" w:eastAsia="Arial" w:hAnsi="Arial"/>
          <w:sz w:val="18"/>
          <w:szCs w:val="18"/>
          <w:color w:val="auto"/>
        </w:rPr>
        <w:t>Counsel</w:t>
      </w:r>
    </w:p>
    <w:p>
      <w:pPr>
        <w:sectPr>
          <w:pgSz w:w="11900" w:h="16838" w:orient="portrait"/>
          <w:cols w:equalWidth="0" w:num="1">
            <w:col w:w="11420"/>
          </w:cols>
          <w:pgMar w:left="240" w:top="233" w:right="239" w:bottom="0" w:gutter="0" w:footer="0" w:header="0"/>
        </w:sectPr>
      </w:pPr>
    </w:p>
    <w:bookmarkStart w:id="1" w:name="page2"/>
    <w:bookmarkEnd w:id="1"/>
    <w:p>
      <w:pPr>
        <w:jc w:val="right"/>
        <w:ind w:right="40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t>Exhibit Index</w:t>
      </w:r>
    </w:p>
    <w:p>
      <w:pPr>
        <w:spacing w:after="0" w:line="23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u w:val="single" w:color="auto"/>
          <w:color w:val="auto"/>
        </w:rPr>
        <w:t>Number</w:t>
      </w:r>
      <w:r>
        <w:rPr>
          <w:sz w:val="20"/>
          <w:szCs w:val="20"/>
          <w:color w:val="auto"/>
        </w:rPr>
        <w:tab/>
      </w:r>
      <w:r>
        <w:rPr>
          <w:rFonts w:ascii="Arial" w:cs="Arial" w:eastAsia="Arial" w:hAnsi="Arial"/>
          <w:sz w:val="18"/>
          <w:szCs w:val="18"/>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0"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26,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725" w:right="1440" w:bottom="1440" w:gutter="0" w:footer="0" w:header="0"/>
        </w:sectPr>
      </w:pPr>
    </w:p>
    <w:bookmarkStart w:id="2" w:name="page3"/>
    <w:bookmarkEnd w:id="2"/>
    <w:p>
      <w:pPr>
        <w:spacing w:after="0" w:line="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1620520" cy="3003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620520" cy="300355"/>
                    </a:xfrm>
                    <a:prstGeom prst="rect">
                      <a:avLst/>
                    </a:prstGeom>
                    <a:noFill/>
                  </pic:spPr>
                </pic:pic>
              </a:graphicData>
            </a:graphic>
          </wp:anchor>
        </w:drawing>
      </w:r>
    </w:p>
    <w:p>
      <w:pPr>
        <w:ind w:left="10560"/>
        <w:spacing w:after="0"/>
        <w:rPr>
          <w:sz w:val="20"/>
          <w:szCs w:val="20"/>
          <w:color w:val="auto"/>
        </w:rPr>
      </w:pPr>
      <w:r>
        <w:rPr>
          <w:rFonts w:ascii="Arial" w:cs="Arial" w:eastAsia="Arial" w:hAnsi="Arial"/>
          <w:sz w:val="16"/>
          <w:szCs w:val="16"/>
          <w:color w:val="auto"/>
        </w:rPr>
        <w:t>Exhibit 99.1</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 Immediate Release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5680"/>
        <w:spacing w:after="0" w:line="281" w:lineRule="auto"/>
        <w:rPr>
          <w:sz w:val="20"/>
          <w:szCs w:val="20"/>
          <w:color w:val="auto"/>
        </w:rPr>
      </w:pPr>
      <w:r>
        <w:rPr>
          <w:rFonts w:ascii="Arial" w:cs="Arial" w:eastAsia="Arial" w:hAnsi="Arial"/>
          <w:sz w:val="24"/>
          <w:szCs w:val="24"/>
          <w:b w:val="1"/>
          <w:bCs w:val="1"/>
          <w:color w:val="auto"/>
        </w:rPr>
        <w:t>Regeneron Reports Full Year and Fourth Quarter 2008 Financial and Operating Results</w:t>
      </w:r>
    </w:p>
    <w:p>
      <w:pPr>
        <w:spacing w:after="0" w:line="15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color w:val="auto"/>
        </w:rPr>
        <w:t xml:space="preserve">Tarrytown, New York (February 26, 2009) </w:t>
      </w:r>
      <w:r>
        <w:rPr>
          <w:rFonts w:ascii="Arial" w:cs="Arial" w:eastAsia="Arial" w:hAnsi="Arial"/>
          <w:sz w:val="16"/>
          <w:szCs w:val="16"/>
          <w:color w:val="auto"/>
        </w:rPr>
        <w:t>-- Regeneron Pharmaceuticals, Inc. (Nasdaq:</w:t>
      </w:r>
      <w:r>
        <w:rPr>
          <w:rFonts w:ascii="Arial" w:cs="Arial" w:eastAsia="Arial" w:hAnsi="Arial"/>
          <w:sz w:val="16"/>
          <w:szCs w:val="16"/>
          <w:b w:val="1"/>
          <w:bCs w:val="1"/>
          <w:color w:val="auto"/>
        </w:rPr>
        <w:t xml:space="preserve"> REGN</w:t>
      </w:r>
      <w:r>
        <w:rPr>
          <w:rFonts w:ascii="Arial" w:cs="Arial" w:eastAsia="Arial" w:hAnsi="Arial"/>
          <w:sz w:val="16"/>
          <w:szCs w:val="16"/>
          <w:color w:val="auto"/>
        </w:rPr>
        <w:t>) today announced financial and operating results for the full</w:t>
      </w:r>
      <w:r>
        <w:rPr>
          <w:rFonts w:ascii="Arial" w:cs="Arial" w:eastAsia="Arial" w:hAnsi="Arial"/>
          <w:sz w:val="16"/>
          <w:szCs w:val="16"/>
          <w:b w:val="1"/>
          <w:bCs w:val="1"/>
          <w:color w:val="auto"/>
        </w:rPr>
        <w:t xml:space="preserve"> </w:t>
      </w:r>
      <w:r>
        <w:rPr>
          <w:rFonts w:ascii="Arial" w:cs="Arial" w:eastAsia="Arial" w:hAnsi="Arial"/>
          <w:sz w:val="16"/>
          <w:szCs w:val="16"/>
          <w:color w:val="auto"/>
        </w:rPr>
        <w:t>year and fourth quarter 2008. The Company reported a net loss of $82.7 million, or $1.05 per share (basic and diluted), for the year ended December 31, 2008 compared with a net loss of $105.6 million, or $1.59 per share (basic and diluted), for the same period in 2007. The Company reported a net loss of $31.5 million, or $0.40 per share (basic and diluted), for the fourth quarter of 2008 compared with a net loss of $13.1 million, or $0.19 per share (basic and diluted), for the fourth quarter of 2007. In the fourth quarter of 2007, in connection with the Company’s VEGF Trap-Eye collaboration with Bayer HealthCare, the Company recognized a cumulative catch-up of revenue and expenses that reduced the net loss for the quarter by $25.3 million, as described below.</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At December 31, 2008, cash, restricted cash, and marketable securities totaled $527.5 million compared with $846.3 million at December 31, 2007. During 2008, the Company retired the full $200 million of its 5.5 percent Convertible Senior Subordinated Notes.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Business Highlights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ARCALYST</w:t>
      </w:r>
      <w:r>
        <w:rPr>
          <w:rFonts w:ascii="Arial" w:cs="Arial" w:eastAsia="Arial" w:hAnsi="Arial"/>
          <w:sz w:val="29"/>
          <w:szCs w:val="29"/>
          <w:u w:val="single" w:color="auto"/>
          <w:color w:val="auto"/>
          <w:vertAlign w:val="superscript"/>
        </w:rPr>
        <w:t>®</w:t>
      </w:r>
      <w:r>
        <w:rPr>
          <w:rFonts w:ascii="Arial" w:cs="Arial" w:eastAsia="Arial" w:hAnsi="Arial"/>
          <w:sz w:val="18"/>
          <w:szCs w:val="18"/>
          <w:u w:val="single" w:color="auto"/>
          <w:color w:val="auto"/>
        </w:rPr>
        <w:t xml:space="preserve"> (rilonacept) – Inflammatory Diseases</w:t>
      </w:r>
    </w:p>
    <w:p>
      <w:pPr>
        <w:ind w:right="20"/>
        <w:spacing w:after="0" w:line="265" w:lineRule="auto"/>
        <w:rPr>
          <w:sz w:val="20"/>
          <w:szCs w:val="20"/>
          <w:color w:val="auto"/>
        </w:rPr>
      </w:pPr>
      <w:r>
        <w:rPr>
          <w:rFonts w:ascii="Arial" w:cs="Arial" w:eastAsia="Arial" w:hAnsi="Arial"/>
          <w:sz w:val="16"/>
          <w:szCs w:val="16"/>
          <w:color w:val="auto"/>
        </w:rPr>
        <w:t>The Company shipped $10.7 million of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(rilonacept) Injection for Subcutaneous Use to its distributors in 2008. In February 2008, the Company received marketing approval from the U.S. Food and Drug Administration (FDA) for ARCALYST for the treatment of Cryopyrin-Associated Periodic Syndromes (CAPS), including Familial Cold Auto-inflammatory Syndrome (FCAS) and Muckle-Wells Syndrome (MWS) in adults and children 12 and older. ARCALYST, an interleukin-1 (IL-1) blocker, is the only therapy approved in the United States for patients with CAPS, a group of rare, inherited, auto-inflammatory conditions characterized by life-long, recurrent symptoms of rash, fever/chills, joint pain, eye redness/pain, and fatigue. Intermittent, disruptive exacerbations or flares can be triggered at any time by exposure to cooling temperatures, stress, exercise, or other unknown stimuli.</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March 2008, ARCALYST became available for prescription in the United States, and the Company transitioned the patients who participated in the CAPS pivotal study from clinical study drug to commercial supplies. The Company currently projects shipments of ARCALYST to its distributors to total approximately $20-24 million in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Company is in the process of initiating a Phase 3 clinical development program with ARCALYST for the treatment of gout. Two Phase 3 clinical trials will evaluate ARCALYST versus placebo for the prevention of gout flares in patients initiating urate-lowering drug therapy. The Company plans to initiate a Phase 3 clinical trial of ARCALYST for acute gout that will evaluate treatment with ARCALYST alone versus ARCALYST in combination with a non-steroidal anti-inflammatory drug (NSAID) versus an NSAID alone. The Phase 3 clinical development program will also include a separate safety study.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Aflibercept (VEGF Trap) – Oncology</w:t>
      </w:r>
    </w:p>
    <w:p>
      <w:pPr>
        <w:spacing w:after="0" w:line="15" w:lineRule="exact"/>
        <w:rPr>
          <w:sz w:val="20"/>
          <w:szCs w:val="20"/>
          <w:color w:val="auto"/>
        </w:rPr>
      </w:pPr>
    </w:p>
    <w:p>
      <w:pPr>
        <w:ind w:right="180"/>
        <w:spacing w:after="0" w:line="220" w:lineRule="auto"/>
        <w:rPr>
          <w:sz w:val="20"/>
          <w:szCs w:val="20"/>
          <w:color w:val="auto"/>
        </w:rPr>
      </w:pPr>
      <w:r>
        <w:rPr>
          <w:rFonts w:ascii="Arial" w:cs="Arial" w:eastAsia="Arial" w:hAnsi="Arial"/>
          <w:sz w:val="16"/>
          <w:szCs w:val="16"/>
          <w:color w:val="auto"/>
        </w:rPr>
        <w:t>Regeneron and collaborator sanofi-aventis are enrolling patients in four Phase 3 trials that combine aflibercept, an anti-angiogenesis agent, with standard chemotherapy regimens for the treatment of cancer. One trial is evaluating aflibercept as a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line treatment for metastatic colorectal cancer (the VELOUR study) in combination with FOLFIRI (folinic acid (leucovorin), 5-fluorouracil, and irinotecan). A second trial is evaluating aflibercept as a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line treatment for metastatic pancreatic cancer in combination with gemcitabine (the VANILLA study). A third trial is evaluating aflibercept as a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line treatment for metastatic</w:t>
      </w:r>
    </w:p>
    <w:p>
      <w:pPr>
        <w:spacing w:after="0" w:line="2" w:lineRule="exact"/>
        <w:rPr>
          <w:sz w:val="20"/>
          <w:szCs w:val="20"/>
          <w:color w:val="auto"/>
        </w:rPr>
      </w:pPr>
    </w:p>
    <w:p>
      <w:pPr>
        <w:ind w:right="260"/>
        <w:spacing w:after="0" w:line="245" w:lineRule="auto"/>
        <w:rPr>
          <w:sz w:val="20"/>
          <w:szCs w:val="20"/>
          <w:color w:val="auto"/>
        </w:rPr>
      </w:pPr>
      <w:r>
        <w:rPr>
          <w:rFonts w:ascii="Arial" w:cs="Arial" w:eastAsia="Arial" w:hAnsi="Arial"/>
          <w:sz w:val="16"/>
          <w:szCs w:val="16"/>
          <w:color w:val="auto"/>
        </w:rPr>
        <w:t>androgen- independent prostate cancer in combination with docetaxel/prednisone (the VENICE study). The fourth trial is evaluating aflibercept as a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line treatment for metastatic non-small cell lung cancer in combination with docetaxel (the VITAL study). All four trials are studying the current standard of chemotherapy care for the cancer being studied with and without aflibercept. Each of the four Phase 3 trials is over one-third enrolled, and initial data from the</w:t>
      </w:r>
    </w:p>
    <w:p>
      <w:pPr>
        <w:spacing w:after="0" w:line="1" w:lineRule="exact"/>
        <w:rPr>
          <w:sz w:val="20"/>
          <w:szCs w:val="20"/>
          <w:color w:val="auto"/>
        </w:rPr>
      </w:pPr>
    </w:p>
    <w:p>
      <w:pPr>
        <w:ind w:right="800"/>
        <w:spacing w:after="0" w:line="219" w:lineRule="auto"/>
        <w:rPr>
          <w:sz w:val="20"/>
          <w:szCs w:val="20"/>
          <w:color w:val="auto"/>
        </w:rPr>
      </w:pPr>
      <w:r>
        <w:rPr>
          <w:rFonts w:ascii="Arial" w:cs="Arial" w:eastAsia="Arial" w:hAnsi="Arial"/>
          <w:sz w:val="17"/>
          <w:szCs w:val="17"/>
          <w:color w:val="auto"/>
        </w:rPr>
        <w:t>Phase 3 program is expected in 2010. In addition, a Phase 2 study of aflibercept in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line metastatic colorectal cancer in combination with folinic acid (leucovorin), 5-fluorouracil, and oxaliplatin (the AFFIRM study) began recruiting patients in January 2009.</w:t>
      </w:r>
    </w:p>
    <w:p>
      <w:pPr>
        <w:spacing w:after="0" w:line="21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Aflibercept is also being studied in a Phase 2 single-agent study in advanced ovarian cancer (AOC) patients with symptomatic malignant ascites (SMA). This trial is now fully enrolled and we expect to have initial data from this trial by mid 2009.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VEGF Trap-Eye – Ophthalmologic Diseases</w:t>
      </w:r>
    </w:p>
    <w:p>
      <w:pPr>
        <w:spacing w:after="0" w:line="1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VEGF Trap-Eye is a specially purified and formulated form of VEGF Trap for use in intraocular applications. Regeneron and collaborator Bayer HealthCare are testing VEGF Trap-Eye in a Phase 3 program in patients with the neovascular form of age-related macular degeneration (wet AMD). Regeneron and Bayer HealthCare also initiated a Phase 2 study of VEGF Trap-Eye in patients with diabetic macular edema (DME) in late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387"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The Phase 3 trials in wet AMD, known as VIEW 1 and VIEW 2 (</w:t>
      </w:r>
      <w:r>
        <w:rPr>
          <w:rFonts w:ascii="Arial" w:cs="Arial" w:eastAsia="Arial" w:hAnsi="Arial"/>
          <w:sz w:val="17"/>
          <w:szCs w:val="17"/>
          <w:u w:val="single" w:color="auto"/>
          <w:color w:val="auto"/>
        </w:rPr>
        <w:t>V</w:t>
      </w:r>
      <w:r>
        <w:rPr>
          <w:rFonts w:ascii="Arial" w:cs="Arial" w:eastAsia="Arial" w:hAnsi="Arial"/>
          <w:sz w:val="17"/>
          <w:szCs w:val="17"/>
          <w:color w:val="auto"/>
        </w:rPr>
        <w:t xml:space="preserve">EGF Trap: </w:t>
      </w:r>
      <w:r>
        <w:rPr>
          <w:rFonts w:ascii="Arial" w:cs="Arial" w:eastAsia="Arial" w:hAnsi="Arial"/>
          <w:sz w:val="17"/>
          <w:szCs w:val="17"/>
          <w:u w:val="single" w:color="auto"/>
          <w:color w:val="auto"/>
        </w:rPr>
        <w:t>I</w:t>
      </w:r>
      <w:r>
        <w:rPr>
          <w:rFonts w:ascii="Arial" w:cs="Arial" w:eastAsia="Arial" w:hAnsi="Arial"/>
          <w:sz w:val="17"/>
          <w:szCs w:val="17"/>
          <w:color w:val="auto"/>
        </w:rPr>
        <w:t xml:space="preserve">nvestigation of </w:t>
      </w:r>
      <w:r>
        <w:rPr>
          <w:rFonts w:ascii="Arial" w:cs="Arial" w:eastAsia="Arial" w:hAnsi="Arial"/>
          <w:sz w:val="17"/>
          <w:szCs w:val="17"/>
          <w:u w:val="single" w:color="auto"/>
          <w:color w:val="auto"/>
        </w:rPr>
        <w:t>E</w:t>
      </w:r>
      <w:r>
        <w:rPr>
          <w:rFonts w:ascii="Arial" w:cs="Arial" w:eastAsia="Arial" w:hAnsi="Arial"/>
          <w:sz w:val="17"/>
          <w:szCs w:val="17"/>
          <w:color w:val="auto"/>
        </w:rPr>
        <w:t xml:space="preserve">fficacy and Safety in </w:t>
      </w:r>
      <w:r>
        <w:rPr>
          <w:rFonts w:ascii="Arial" w:cs="Arial" w:eastAsia="Arial" w:hAnsi="Arial"/>
          <w:sz w:val="17"/>
          <w:szCs w:val="17"/>
          <w:u w:val="single" w:color="auto"/>
          <w:color w:val="auto"/>
        </w:rPr>
        <w:t>W</w:t>
      </w:r>
      <w:r>
        <w:rPr>
          <w:rFonts w:ascii="Arial" w:cs="Arial" w:eastAsia="Arial" w:hAnsi="Arial"/>
          <w:sz w:val="17"/>
          <w:szCs w:val="17"/>
          <w:color w:val="auto"/>
        </w:rPr>
        <w:t>et age-related macular degeneration), are comparing VEGF Trap-Eye and ranibizumab (Lucentis</w:t>
      </w:r>
      <w:r>
        <w:rPr>
          <w:rFonts w:ascii="Arial" w:cs="Arial" w:eastAsia="Arial" w:hAnsi="Arial"/>
          <w:sz w:val="28"/>
          <w:szCs w:val="28"/>
          <w:color w:val="auto"/>
          <w:vertAlign w:val="superscript"/>
        </w:rPr>
        <w:t>®</w:t>
      </w:r>
      <w:r>
        <w:rPr>
          <w:rFonts w:ascii="Arial" w:cs="Arial" w:eastAsia="Arial" w:hAnsi="Arial"/>
          <w:sz w:val="17"/>
          <w:szCs w:val="17"/>
          <w:color w:val="auto"/>
        </w:rPr>
        <w:t>, a registered trademark of Genentech, Inc.), an anti-angiogenic agent approved for use in wet AMD. VIEW 1 is being conducted in North America and VIEW 2 is being conducted in Europe, Asia Pacific, Japan, and Latin America. The VIEW 1 and VIEW 2 trials are both evaluating dosing intervals of four and eight weeks for VEGF Trap-Eye compared with ranibizumab dosed according to its U.S. label every four weeks over the first year. As needed dosing (PRN) with both agents will be evaluated in the second year of the studies. The VIEW 1 and VIEW 2 trials are expected to complete enrollment in 2009, and initial data are expected in late 2010.</w:t>
      </w:r>
    </w:p>
    <w:p>
      <w:pPr>
        <w:spacing w:after="0" w:line="20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recently initiated Phase 2 DME study, known as the DA VINCI study, is a double-masked, randomized, controlled trial that is evaluating four different VEGF Trap-Eye regimens versus laser treatment. The study will be enrolling approximately 200 patients in the U.S., Canada, European Union, and Australia. The</w:t>
      </w:r>
    </w:p>
    <w:p>
      <w:pPr>
        <w:sectPr>
          <w:pgSz w:w="11900" w:h="16912" w:orient="portrait"/>
          <w:cols w:equalWidth="0" w:num="1">
            <w:col w:w="11420"/>
          </w:cols>
          <w:pgMar w:left="240" w:top="1117" w:right="239" w:bottom="0" w:gutter="0" w:footer="0" w:header="0"/>
        </w:sectPr>
      </w:pPr>
    </w:p>
    <w:bookmarkStart w:id="3" w:name="page4"/>
    <w:bookmarkEnd w:id="3"/>
    <w:p>
      <w:pPr>
        <w:ind w:right="240"/>
        <w:spacing w:after="0" w:line="268" w:lineRule="auto"/>
        <w:rPr>
          <w:sz w:val="20"/>
          <w:szCs w:val="20"/>
          <w:color w:val="auto"/>
        </w:rPr>
      </w:pPr>
      <w:r>
        <w:rPr>
          <w:rFonts w:ascii="Arial" w:cs="Arial" w:eastAsia="Arial" w:hAnsi="Arial"/>
          <w:sz w:val="18"/>
          <w:szCs w:val="18"/>
          <w:color w:val="auto"/>
        </w:rPr>
        <w:t>patients in the study will be treated for 52 weeks followed up by six additional months of safety evaluation. The primary efficacy endpoint is the change in best corrected visual acuity (BCVA) from baseline to week 24.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Monoclonal Antibodies</w:t>
      </w:r>
    </w:p>
    <w:p>
      <w:pPr>
        <w:spacing w:after="0" w:line="15"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 xml:space="preserve">Regeneron and sanofi-aventis are collaborating on the discovery, development, and commercialization of fully human monoclonal antibodies generated by Regeneron using its </w:t>
      </w:r>
      <w:r>
        <w:rPr>
          <w:rFonts w:ascii="Arial" w:cs="Arial" w:eastAsia="Arial" w:hAnsi="Arial"/>
          <w:sz w:val="17"/>
          <w:szCs w:val="17"/>
          <w:i w:val="1"/>
          <w:iCs w:val="1"/>
          <w:color w:val="auto"/>
        </w:rPr>
        <w:t>VelocImmune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technology. The first therapeutic antibodies to enter clinical development under the collaboration are REGN88, an antibody to the interleukin-6 receptor (IL-6R) that is being evaluated in rheumatoid arthritis, and REGN475, an antibody to Nerve Growth Factor (NGF) that is being developed for the treatment of pain. In addition, a Phase 1 trial is in the process of being initiated for REGN421, an antibody to Delta-like ligand-4 (Dll4) that will be evaluated in oncology in patients with advanced malignancies. Over the course of the next several years, the Company and sanofi-aventis plan to advance an average of two to three new fully human antibodies into clinical development each year.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Revenues</w:t>
      </w:r>
    </w:p>
    <w:p>
      <w:pPr>
        <w:spacing w:after="0" w:line="1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Total revenues decreased to $55.8 million in the fourth quarter of 2008 from $64.7 million in the same quarter of 2007 and increased to $238.5 million for the full year 2008 from $125.0 million for the same period of 2007. The Company’s revenue was comprised of contract research and development revenue, technology licensing revenue, and net product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Research and Development Revenue</w:t>
      </w:r>
    </w:p>
    <w:p>
      <w:pPr>
        <w:spacing w:after="0" w:line="1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Contract research and development revenue relates primarily to the Company’s aflibercept and antibody collaborations with sanofi-aventis and the Company’s VEGF Trap-Eye collaboration with Bayer HealthCare. Contract research and development revenue for the three months and years ended December 31, 2008 and 2007,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40" w:type="dxa"/>
            <w:vAlign w:val="bottom"/>
          </w:tcPr>
          <w:p>
            <w:pPr>
              <w:spacing w:after="0"/>
              <w:rPr>
                <w:sz w:val="19"/>
                <w:szCs w:val="19"/>
                <w:color w:val="auto"/>
              </w:rPr>
            </w:pPr>
          </w:p>
        </w:tc>
        <w:tc>
          <w:tcPr>
            <w:tcW w:w="2500" w:type="dxa"/>
            <w:vAlign w:val="bottom"/>
            <w:gridSpan w:val="4"/>
          </w:tcPr>
          <w:p>
            <w:pPr>
              <w:jc w:val="center"/>
              <w:ind w:right="720"/>
              <w:spacing w:after="0"/>
              <w:rPr>
                <w:sz w:val="20"/>
                <w:szCs w:val="20"/>
                <w:color w:val="auto"/>
              </w:rPr>
            </w:pPr>
            <w:r>
              <w:rPr>
                <w:rFonts w:ascii="Arial" w:cs="Arial" w:eastAsia="Arial" w:hAnsi="Arial"/>
                <w:sz w:val="18"/>
                <w:szCs w:val="18"/>
                <w:b w:val="1"/>
                <w:bCs w:val="1"/>
                <w:color w:val="auto"/>
                <w:w w:val="86"/>
              </w:rPr>
              <w:t>Three months ended</w:t>
            </w:r>
          </w:p>
        </w:tc>
        <w:tc>
          <w:tcPr>
            <w:tcW w:w="520" w:type="dxa"/>
            <w:vAlign w:val="bottom"/>
          </w:tcPr>
          <w:p>
            <w:pPr>
              <w:spacing w:after="0"/>
              <w:rPr>
                <w:sz w:val="19"/>
                <w:szCs w:val="19"/>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Year ended</w:t>
            </w:r>
          </w:p>
        </w:tc>
        <w:tc>
          <w:tcPr>
            <w:tcW w:w="420" w:type="dxa"/>
            <w:vAlign w:val="bottom"/>
          </w:tcPr>
          <w:p>
            <w:pPr>
              <w:spacing w:after="0"/>
              <w:rPr>
                <w:sz w:val="19"/>
                <w:szCs w:val="19"/>
                <w:color w:val="auto"/>
              </w:rPr>
            </w:pPr>
          </w:p>
        </w:tc>
      </w:tr>
      <w:tr>
        <w:trPr>
          <w:trHeight w:val="244"/>
        </w:trPr>
        <w:tc>
          <w:tcPr>
            <w:tcW w:w="7040" w:type="dxa"/>
            <w:vAlign w:val="bottom"/>
          </w:tcPr>
          <w:p>
            <w:pPr>
              <w:spacing w:after="0"/>
              <w:rPr>
                <w:sz w:val="21"/>
                <w:szCs w:val="21"/>
                <w:color w:val="auto"/>
              </w:rPr>
            </w:pPr>
          </w:p>
        </w:tc>
        <w:tc>
          <w:tcPr>
            <w:tcW w:w="2500" w:type="dxa"/>
            <w:vAlign w:val="bottom"/>
            <w:gridSpan w:val="4"/>
          </w:tcPr>
          <w:p>
            <w:pPr>
              <w:jc w:val="center"/>
              <w:ind w:right="720"/>
              <w:spacing w:after="0"/>
              <w:rPr>
                <w:sz w:val="20"/>
                <w:szCs w:val="20"/>
                <w:color w:val="auto"/>
              </w:rPr>
            </w:pPr>
            <w:r>
              <w:rPr>
                <w:rFonts w:ascii="Arial" w:cs="Arial" w:eastAsia="Arial" w:hAnsi="Arial"/>
                <w:sz w:val="18"/>
                <w:szCs w:val="18"/>
                <w:b w:val="1"/>
                <w:bCs w:val="1"/>
                <w:color w:val="auto"/>
                <w:w w:val="87"/>
              </w:rPr>
              <w:t>December 31,</w:t>
            </w:r>
          </w:p>
        </w:tc>
        <w:tc>
          <w:tcPr>
            <w:tcW w:w="1460" w:type="dxa"/>
            <w:vAlign w:val="bottom"/>
            <w:gridSpan w:val="3"/>
          </w:tcPr>
          <w:p>
            <w:pPr>
              <w:jc w:val="center"/>
              <w:ind w:left="332"/>
              <w:spacing w:after="0"/>
              <w:rPr>
                <w:sz w:val="20"/>
                <w:szCs w:val="20"/>
                <w:color w:val="auto"/>
              </w:rPr>
            </w:pPr>
            <w:r>
              <w:rPr>
                <w:rFonts w:ascii="Arial" w:cs="Arial" w:eastAsia="Arial" w:hAnsi="Arial"/>
                <w:sz w:val="18"/>
                <w:szCs w:val="18"/>
                <w:b w:val="1"/>
                <w:bCs w:val="1"/>
                <w:color w:val="auto"/>
                <w:w w:val="88"/>
              </w:rPr>
              <w:t>December 31,</w:t>
            </w:r>
          </w:p>
        </w:tc>
        <w:tc>
          <w:tcPr>
            <w:tcW w:w="420" w:type="dxa"/>
            <w:vAlign w:val="bottom"/>
          </w:tcPr>
          <w:p>
            <w:pPr>
              <w:spacing w:after="0"/>
              <w:rPr>
                <w:sz w:val="21"/>
                <w:szCs w:val="21"/>
                <w:color w:val="auto"/>
              </w:rPr>
            </w:pPr>
          </w:p>
        </w:tc>
      </w:tr>
      <w:tr>
        <w:trPr>
          <w:trHeight w:val="237"/>
        </w:trPr>
        <w:tc>
          <w:tcPr>
            <w:tcW w:w="7040" w:type="dxa"/>
            <w:vAlign w:val="bottom"/>
            <w:tcBorders>
              <w:bottom w:val="single" w:sz="8" w:color="C0C0C0"/>
            </w:tcBorders>
          </w:tcPr>
          <w:p>
            <w:pPr>
              <w:spacing w:after="0"/>
              <w:rPr>
                <w:sz w:val="20"/>
                <w:szCs w:val="20"/>
                <w:color w:val="auto"/>
              </w:rPr>
            </w:pPr>
            <w:r>
              <w:rPr>
                <w:rFonts w:ascii="Arial" w:cs="Arial" w:eastAsia="Arial" w:hAnsi="Arial"/>
                <w:sz w:val="18"/>
                <w:szCs w:val="18"/>
                <w:b w:val="1"/>
                <w:bCs w:val="1"/>
                <w:i w:val="1"/>
                <w:iCs w:val="1"/>
                <w:color w:val="auto"/>
              </w:rPr>
              <w:t>(In millions)</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2008</w:t>
            </w:r>
          </w:p>
        </w:tc>
        <w:tc>
          <w:tcPr>
            <w:tcW w:w="920" w:type="dxa"/>
            <w:vAlign w:val="bottom"/>
            <w:tcBorders>
              <w:top w:val="single" w:sz="8" w:color="auto"/>
              <w:bottom w:val="single" w:sz="8" w:color="C0C0C0"/>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2007</w:t>
            </w:r>
          </w:p>
        </w:tc>
        <w:tc>
          <w:tcPr>
            <w:tcW w:w="700" w:type="dxa"/>
            <w:vAlign w:val="bottom"/>
            <w:tcBorders>
              <w:bottom w:val="single" w:sz="8" w:color="C0C0C0"/>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920" w:type="dxa"/>
            <w:vAlign w:val="bottom"/>
            <w:tcBorders>
              <w:top w:val="single" w:sz="8" w:color="auto"/>
              <w:bottom w:val="single" w:sz="8" w:color="C0C0C0"/>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2007</w:t>
            </w:r>
          </w:p>
        </w:tc>
      </w:tr>
      <w:tr>
        <w:trPr>
          <w:trHeight w:val="238"/>
        </w:trPr>
        <w:tc>
          <w:tcPr>
            <w:tcW w:w="7040" w:type="dxa"/>
            <w:vAlign w:val="bottom"/>
            <w:shd w:val="clear" w:color="auto" w:fill="C0C0C0"/>
          </w:tcPr>
          <w:p>
            <w:pPr>
              <w:spacing w:after="0"/>
              <w:rPr>
                <w:sz w:val="20"/>
                <w:szCs w:val="20"/>
                <w:color w:val="auto"/>
              </w:rPr>
            </w:pPr>
            <w:r>
              <w:rPr>
                <w:rFonts w:ascii="Arial" w:cs="Arial" w:eastAsia="Arial" w:hAnsi="Arial"/>
                <w:sz w:val="18"/>
                <w:szCs w:val="18"/>
                <w:color w:val="auto"/>
              </w:rPr>
              <w:t>Contract research &amp; development revenue</w:t>
            </w:r>
          </w:p>
        </w:tc>
        <w:tc>
          <w:tcPr>
            <w:tcW w:w="440" w:type="dxa"/>
            <w:vAlign w:val="bottom"/>
            <w:shd w:val="clear" w:color="auto" w:fill="C0C0C0"/>
          </w:tcPr>
          <w:p>
            <w:pPr>
              <w:spacing w:after="0"/>
              <w:rPr>
                <w:sz w:val="20"/>
                <w:szCs w:val="20"/>
                <w:color w:val="auto"/>
              </w:rPr>
            </w:pPr>
          </w:p>
        </w:tc>
        <w:tc>
          <w:tcPr>
            <w:tcW w:w="920" w:type="dxa"/>
            <w:vAlign w:val="bottom"/>
            <w:shd w:val="clear" w:color="auto" w:fill="C0C0C0"/>
          </w:tcPr>
          <w:p>
            <w:pPr>
              <w:spacing w:after="0"/>
              <w:rPr>
                <w:sz w:val="20"/>
                <w:szCs w:val="20"/>
                <w:color w:val="auto"/>
              </w:rPr>
            </w:pPr>
          </w:p>
        </w:tc>
        <w:tc>
          <w:tcPr>
            <w:tcW w:w="44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520" w:type="dxa"/>
            <w:vAlign w:val="bottom"/>
            <w:shd w:val="clear" w:color="auto" w:fill="C0C0C0"/>
          </w:tcPr>
          <w:p>
            <w:pPr>
              <w:spacing w:after="0"/>
              <w:rPr>
                <w:sz w:val="20"/>
                <w:szCs w:val="20"/>
                <w:color w:val="auto"/>
              </w:rPr>
            </w:pPr>
          </w:p>
        </w:tc>
        <w:tc>
          <w:tcPr>
            <w:tcW w:w="920" w:type="dxa"/>
            <w:vAlign w:val="bottom"/>
            <w:shd w:val="clear" w:color="auto" w:fill="C0C0C0"/>
          </w:tcPr>
          <w:p>
            <w:pPr>
              <w:spacing w:after="0"/>
              <w:rPr>
                <w:sz w:val="20"/>
                <w:szCs w:val="20"/>
                <w:color w:val="auto"/>
              </w:rPr>
            </w:pPr>
          </w:p>
        </w:tc>
        <w:tc>
          <w:tcPr>
            <w:tcW w:w="20" w:type="dxa"/>
            <w:vAlign w:val="bottom"/>
            <w:shd w:val="clear" w:color="auto" w:fill="C0C0C0"/>
          </w:tcPr>
          <w:p>
            <w:pPr>
              <w:spacing w:after="0"/>
              <w:rPr>
                <w:sz w:val="20"/>
                <w:szCs w:val="20"/>
                <w:color w:val="auto"/>
              </w:rPr>
            </w:pPr>
          </w:p>
        </w:tc>
        <w:tc>
          <w:tcPr>
            <w:tcW w:w="420" w:type="dxa"/>
            <w:vAlign w:val="bottom"/>
            <w:shd w:val="clear" w:color="auto" w:fill="C0C0C0"/>
          </w:tcPr>
          <w:p>
            <w:pPr>
              <w:spacing w:after="0"/>
              <w:rPr>
                <w:sz w:val="20"/>
                <w:szCs w:val="20"/>
                <w:color w:val="auto"/>
              </w:rPr>
            </w:pPr>
          </w:p>
        </w:tc>
      </w:tr>
      <w:tr>
        <w:trPr>
          <w:trHeight w:val="242"/>
        </w:trPr>
        <w:tc>
          <w:tcPr>
            <w:tcW w:w="7040" w:type="dxa"/>
            <w:vAlign w:val="bottom"/>
          </w:tcPr>
          <w:p>
            <w:pPr>
              <w:ind w:left="280"/>
              <w:spacing w:after="0"/>
              <w:rPr>
                <w:sz w:val="20"/>
                <w:szCs w:val="20"/>
                <w:color w:val="auto"/>
              </w:rPr>
            </w:pPr>
            <w:r>
              <w:rPr>
                <w:rFonts w:ascii="Arial" w:cs="Arial" w:eastAsia="Arial" w:hAnsi="Arial"/>
                <w:sz w:val="18"/>
                <w:szCs w:val="18"/>
                <w:color w:val="auto"/>
              </w:rPr>
              <w:t>Sanofi-aventis</w:t>
            </w:r>
          </w:p>
        </w:tc>
        <w:tc>
          <w:tcPr>
            <w:tcW w:w="440" w:type="dxa"/>
            <w:vAlign w:val="bottom"/>
          </w:tcPr>
          <w:p>
            <w:pPr>
              <w:jc w:val="right"/>
              <w:spacing w:after="0"/>
              <w:rPr>
                <w:sz w:val="20"/>
                <w:szCs w:val="20"/>
                <w:color w:val="auto"/>
              </w:rPr>
            </w:pPr>
            <w:r>
              <w:rPr>
                <w:rFonts w:ascii="Arial" w:cs="Arial" w:eastAsia="Arial" w:hAnsi="Arial"/>
                <w:sz w:val="18"/>
                <w:szCs w:val="18"/>
                <w:color w:val="auto"/>
                <w:w w:val="83"/>
              </w:rPr>
              <w:t>$ 37.6</w:t>
            </w: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3"/>
              </w:rPr>
              <w:t>$ 17.2</w:t>
            </w:r>
          </w:p>
        </w:tc>
        <w:tc>
          <w:tcPr>
            <w:tcW w:w="700" w:type="dxa"/>
            <w:vAlign w:val="bottom"/>
          </w:tcPr>
          <w:p>
            <w:pPr>
              <w:spacing w:after="0"/>
              <w:rPr>
                <w:sz w:val="21"/>
                <w:szCs w:val="21"/>
                <w:color w:val="auto"/>
              </w:rPr>
            </w:pPr>
          </w:p>
        </w:tc>
        <w:tc>
          <w:tcPr>
            <w:tcW w:w="1440" w:type="dxa"/>
            <w:vAlign w:val="bottom"/>
            <w:gridSpan w:val="2"/>
          </w:tcPr>
          <w:p>
            <w:pPr>
              <w:jc w:val="right"/>
              <w:ind w:right="832"/>
              <w:spacing w:after="0"/>
              <w:rPr>
                <w:sz w:val="20"/>
                <w:szCs w:val="20"/>
                <w:color w:val="auto"/>
              </w:rPr>
            </w:pPr>
            <w:r>
              <w:rPr>
                <w:rFonts w:ascii="Arial" w:cs="Arial" w:eastAsia="Arial" w:hAnsi="Arial"/>
                <w:sz w:val="18"/>
                <w:szCs w:val="18"/>
                <w:color w:val="auto"/>
                <w:w w:val="90"/>
              </w:rPr>
              <w:t>$154.0</w:t>
            </w:r>
          </w:p>
        </w:tc>
        <w:tc>
          <w:tcPr>
            <w:tcW w:w="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79"/>
              </w:rPr>
              <w:t>$ 51.7</w:t>
            </w:r>
          </w:p>
        </w:tc>
      </w:tr>
      <w:tr>
        <w:trPr>
          <w:trHeight w:val="244"/>
        </w:trPr>
        <w:tc>
          <w:tcPr>
            <w:tcW w:w="70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Bayer HealthCare</w:t>
            </w: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w:t>
            </w:r>
          </w:p>
        </w:tc>
        <w:tc>
          <w:tcPr>
            <w:tcW w:w="920" w:type="dxa"/>
            <w:vAlign w:val="bottom"/>
            <w:shd w:val="clear" w:color="auto" w:fill="C0C0C0"/>
          </w:tcPr>
          <w:p>
            <w:pPr>
              <w:spacing w:after="0"/>
              <w:rPr>
                <w:sz w:val="21"/>
                <w:szCs w:val="21"/>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35.9</w:t>
            </w:r>
          </w:p>
        </w:tc>
        <w:tc>
          <w:tcPr>
            <w:tcW w:w="700" w:type="dxa"/>
            <w:vAlign w:val="bottom"/>
            <w:shd w:val="clear" w:color="auto" w:fill="C0C0C0"/>
          </w:tcPr>
          <w:p>
            <w:pPr>
              <w:spacing w:after="0"/>
              <w:rPr>
                <w:sz w:val="21"/>
                <w:szCs w:val="21"/>
                <w:color w:val="auto"/>
              </w:rPr>
            </w:pPr>
          </w:p>
        </w:tc>
        <w:tc>
          <w:tcPr>
            <w:tcW w:w="1440" w:type="dxa"/>
            <w:vAlign w:val="bottom"/>
            <w:gridSpan w:val="2"/>
            <w:shd w:val="clear" w:color="auto" w:fill="C0C0C0"/>
          </w:tcPr>
          <w:p>
            <w:pPr>
              <w:jc w:val="right"/>
              <w:ind w:right="832"/>
              <w:spacing w:after="0"/>
              <w:rPr>
                <w:sz w:val="20"/>
                <w:szCs w:val="20"/>
                <w:color w:val="auto"/>
              </w:rPr>
            </w:pPr>
            <w:r>
              <w:rPr>
                <w:rFonts w:ascii="Arial" w:cs="Arial" w:eastAsia="Arial" w:hAnsi="Arial"/>
                <w:sz w:val="18"/>
                <w:szCs w:val="18"/>
                <w:color w:val="auto"/>
              </w:rPr>
              <w:t>31.2</w:t>
            </w:r>
          </w:p>
        </w:tc>
        <w:tc>
          <w:tcPr>
            <w:tcW w:w="20" w:type="dxa"/>
            <w:vAlign w:val="bottom"/>
            <w:shd w:val="clear" w:color="auto" w:fill="C0C0C0"/>
          </w:tcPr>
          <w:p>
            <w:pPr>
              <w:spacing w:after="0"/>
              <w:rPr>
                <w:sz w:val="21"/>
                <w:szCs w:val="21"/>
                <w:color w:val="auto"/>
              </w:rPr>
            </w:pP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35.9</w:t>
            </w:r>
          </w:p>
        </w:tc>
      </w:tr>
      <w:tr>
        <w:trPr>
          <w:trHeight w:val="242"/>
        </w:trPr>
        <w:tc>
          <w:tcPr>
            <w:tcW w:w="7040" w:type="dxa"/>
            <w:vAlign w:val="bottom"/>
          </w:tcPr>
          <w:p>
            <w:pPr>
              <w:ind w:left="280"/>
              <w:spacing w:after="0"/>
              <w:rPr>
                <w:sz w:val="20"/>
                <w:szCs w:val="20"/>
                <w:color w:val="auto"/>
              </w:rPr>
            </w:pPr>
            <w:r>
              <w:rPr>
                <w:rFonts w:ascii="Arial" w:cs="Arial" w:eastAsia="Arial" w:hAnsi="Arial"/>
                <w:sz w:val="18"/>
                <w:szCs w:val="18"/>
                <w:color w:val="auto"/>
              </w:rPr>
              <w:t>Other</w:t>
            </w: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700" w:type="dxa"/>
            <w:vAlign w:val="bottom"/>
          </w:tcPr>
          <w:p>
            <w:pPr>
              <w:spacing w:after="0"/>
              <w:rPr>
                <w:sz w:val="21"/>
                <w:szCs w:val="21"/>
                <w:color w:val="auto"/>
              </w:rPr>
            </w:pPr>
          </w:p>
        </w:tc>
        <w:tc>
          <w:tcPr>
            <w:tcW w:w="1440" w:type="dxa"/>
            <w:vAlign w:val="bottom"/>
            <w:gridSpan w:val="2"/>
          </w:tcPr>
          <w:p>
            <w:pPr>
              <w:jc w:val="right"/>
              <w:ind w:right="832"/>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8"/>
        </w:trPr>
        <w:tc>
          <w:tcPr>
            <w:tcW w:w="7040" w:type="dxa"/>
            <w:vAlign w:val="bottom"/>
            <w:tcBorders>
              <w:top w:val="single" w:sz="8" w:color="C0C0C0"/>
              <w:bottom w:val="single" w:sz="8" w:color="C0C0C0"/>
            </w:tcBorders>
            <w:shd w:val="clear" w:color="auto" w:fill="C0C0C0"/>
          </w:tcPr>
          <w:p>
            <w:pPr>
              <w:ind w:left="540"/>
              <w:spacing w:after="0"/>
              <w:rPr>
                <w:sz w:val="20"/>
                <w:szCs w:val="20"/>
                <w:color w:val="auto"/>
              </w:rPr>
            </w:pPr>
            <w:r>
              <w:rPr>
                <w:rFonts w:ascii="Arial" w:cs="Arial" w:eastAsia="Arial" w:hAnsi="Arial"/>
                <w:sz w:val="18"/>
                <w:szCs w:val="18"/>
                <w:color w:val="auto"/>
              </w:rPr>
              <w:t>Total contract research &amp; development revenue</w:t>
            </w:r>
          </w:p>
        </w:tc>
        <w:tc>
          <w:tcPr>
            <w:tcW w:w="4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83"/>
              </w:rPr>
              <w:t>$ 42.3</w:t>
            </w:r>
          </w:p>
        </w:tc>
        <w:tc>
          <w:tcPr>
            <w:tcW w:w="920" w:type="dxa"/>
            <w:vAlign w:val="bottom"/>
            <w:tcBorders>
              <w:top w:val="single" w:sz="8" w:color="C0C0C0"/>
              <w:bottom w:val="single" w:sz="8" w:color="C0C0C0"/>
            </w:tcBorders>
            <w:shd w:val="clear" w:color="auto" w:fill="C0C0C0"/>
          </w:tcPr>
          <w:p>
            <w:pPr>
              <w:spacing w:after="0"/>
              <w:rPr>
                <w:sz w:val="18"/>
                <w:szCs w:val="18"/>
                <w:color w:val="auto"/>
              </w:rPr>
            </w:pPr>
          </w:p>
        </w:tc>
        <w:tc>
          <w:tcPr>
            <w:tcW w:w="4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83"/>
              </w:rPr>
              <w:t>$ 54.7</w:t>
            </w:r>
          </w:p>
        </w:tc>
        <w:tc>
          <w:tcPr>
            <w:tcW w:w="700" w:type="dxa"/>
            <w:vAlign w:val="bottom"/>
            <w:tcBorders>
              <w:top w:val="single" w:sz="8" w:color="C0C0C0"/>
              <w:bottom w:val="single" w:sz="8" w:color="C0C0C0"/>
            </w:tcBorders>
            <w:shd w:val="clear" w:color="auto" w:fill="C0C0C0"/>
          </w:tcPr>
          <w:p>
            <w:pPr>
              <w:spacing w:after="0"/>
              <w:rPr>
                <w:sz w:val="18"/>
                <w:szCs w:val="18"/>
                <w:color w:val="auto"/>
              </w:rPr>
            </w:pPr>
          </w:p>
        </w:tc>
        <w:tc>
          <w:tcPr>
            <w:tcW w:w="5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192.2</w:t>
            </w:r>
          </w:p>
        </w:tc>
        <w:tc>
          <w:tcPr>
            <w:tcW w:w="920" w:type="dxa"/>
            <w:vAlign w:val="bottom"/>
            <w:tcBorders>
              <w:top w:val="single" w:sz="8" w:color="C0C0C0"/>
              <w:bottom w:val="single" w:sz="8" w:color="C0C0C0"/>
            </w:tcBorders>
            <w:shd w:val="clear" w:color="auto" w:fill="C0C0C0"/>
          </w:tcPr>
          <w:p>
            <w:pPr>
              <w:spacing w:after="0"/>
              <w:rPr>
                <w:sz w:val="18"/>
                <w:szCs w:val="18"/>
                <w:color w:val="auto"/>
              </w:rPr>
            </w:pPr>
          </w:p>
        </w:tc>
        <w:tc>
          <w:tcPr>
            <w:tcW w:w="20" w:type="dxa"/>
            <w:vAlign w:val="bottom"/>
            <w:tcBorders>
              <w:top w:val="single" w:sz="8" w:color="auto"/>
              <w:bottom w:val="single" w:sz="8" w:color="auto"/>
            </w:tcBorders>
            <w:shd w:val="clear" w:color="auto" w:fill="C0C0C0"/>
          </w:tcPr>
          <w:p>
            <w:pPr>
              <w:spacing w:after="0"/>
              <w:rPr>
                <w:sz w:val="18"/>
                <w:szCs w:val="18"/>
                <w:color w:val="auto"/>
              </w:rPr>
            </w:pPr>
          </w:p>
        </w:tc>
        <w:tc>
          <w:tcPr>
            <w:tcW w:w="4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$ 96.6</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and years ended December 31, 2008 and 2007, contract research and development revenue from sanofi-aventis consisted of the following:</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w w:val="85"/>
              </w:rPr>
              <w:t>Three months ended</w:t>
            </w:r>
          </w:p>
        </w:tc>
        <w:tc>
          <w:tcPr>
            <w:tcW w:w="180" w:type="dxa"/>
            <w:vAlign w:val="bottom"/>
          </w:tcPr>
          <w:p>
            <w:pPr>
              <w:spacing w:after="0"/>
              <w:rPr>
                <w:sz w:val="19"/>
                <w:szCs w:val="19"/>
                <w:color w:val="auto"/>
              </w:rPr>
            </w:pPr>
          </w:p>
        </w:tc>
        <w:tc>
          <w:tcPr>
            <w:tcW w:w="1360" w:type="dxa"/>
            <w:vAlign w:val="bottom"/>
            <w:gridSpan w:val="2"/>
          </w:tcPr>
          <w:p>
            <w:pPr>
              <w:jc w:val="center"/>
              <w:ind w:left="192"/>
              <w:spacing w:after="0"/>
              <w:rPr>
                <w:sz w:val="20"/>
                <w:szCs w:val="20"/>
                <w:color w:val="auto"/>
              </w:rPr>
            </w:pPr>
            <w:r>
              <w:rPr>
                <w:rFonts w:ascii="Arial" w:cs="Arial" w:eastAsia="Arial" w:hAnsi="Arial"/>
                <w:sz w:val="18"/>
                <w:szCs w:val="18"/>
                <w:b w:val="1"/>
                <w:bCs w:val="1"/>
                <w:color w:val="auto"/>
                <w:w w:val="86"/>
              </w:rPr>
              <w:t>Year ended</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60" w:type="dxa"/>
            <w:vAlign w:val="bottom"/>
            <w:gridSpan w:val="4"/>
          </w:tcPr>
          <w:p>
            <w:pPr>
              <w:jc w:val="right"/>
              <w:ind w:right="108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21"/>
                <w:szCs w:val="21"/>
                <w:color w:val="auto"/>
              </w:rPr>
            </w:pPr>
          </w:p>
        </w:tc>
        <w:tc>
          <w:tcPr>
            <w:tcW w:w="1360" w:type="dxa"/>
            <w:vAlign w:val="bottom"/>
            <w:gridSpan w:val="2"/>
          </w:tcPr>
          <w:p>
            <w:pPr>
              <w:jc w:val="center"/>
              <w:ind w:left="172"/>
              <w:spacing w:after="0"/>
              <w:rPr>
                <w:sz w:val="20"/>
                <w:szCs w:val="20"/>
                <w:color w:val="auto"/>
              </w:rPr>
            </w:pPr>
            <w:r>
              <w:rPr>
                <w:rFonts w:ascii="Arial" w:cs="Arial" w:eastAsia="Arial" w:hAnsi="Arial"/>
                <w:sz w:val="18"/>
                <w:szCs w:val="18"/>
                <w:b w:val="1"/>
                <w:bCs w:val="1"/>
                <w:color w:val="auto"/>
                <w:w w:val="87"/>
              </w:rPr>
              <w:t>December 31,</w:t>
            </w: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60" w:type="dxa"/>
            <w:vAlign w:val="bottom"/>
            <w:tcBorders>
              <w:bottom w:val="single" w:sz="8" w:color="C0C0C0"/>
            </w:tcBorders>
          </w:tcPr>
          <w:p>
            <w:pPr>
              <w:spacing w:after="0"/>
              <w:rPr>
                <w:sz w:val="20"/>
                <w:szCs w:val="20"/>
                <w:color w:val="auto"/>
              </w:rPr>
            </w:pPr>
            <w:r>
              <w:rPr>
                <w:rFonts w:ascii="Arial" w:cs="Arial" w:eastAsia="Arial" w:hAnsi="Arial"/>
                <w:sz w:val="18"/>
                <w:szCs w:val="18"/>
                <w:b w:val="1"/>
                <w:bCs w:val="1"/>
                <w:i w:val="1"/>
                <w:iCs w:val="1"/>
                <w:color w:val="auto"/>
              </w:rPr>
              <w:t>(In millions)</w:t>
            </w:r>
          </w:p>
        </w:tc>
        <w:tc>
          <w:tcPr>
            <w:tcW w:w="44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4"/>
              </w:rPr>
              <w:t>2008</w:t>
            </w:r>
          </w:p>
        </w:tc>
        <w:tc>
          <w:tcPr>
            <w:tcW w:w="920" w:type="dxa"/>
            <w:vAlign w:val="bottom"/>
            <w:tcBorders>
              <w:top w:val="single" w:sz="8" w:color="auto"/>
              <w:bottom w:val="single" w:sz="8" w:color="C0C0C0"/>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2007</w:t>
            </w:r>
          </w:p>
        </w:tc>
        <w:tc>
          <w:tcPr>
            <w:tcW w:w="700" w:type="dxa"/>
            <w:vAlign w:val="bottom"/>
            <w:tcBorders>
              <w:bottom w:val="single" w:sz="8" w:color="C0C0C0"/>
            </w:tcBorders>
          </w:tcPr>
          <w:p>
            <w:pPr>
              <w:spacing w:after="0"/>
              <w:rPr>
                <w:sz w:val="20"/>
                <w:szCs w:val="20"/>
                <w:color w:val="auto"/>
              </w:rPr>
            </w:pPr>
          </w:p>
        </w:tc>
        <w:tc>
          <w:tcPr>
            <w:tcW w:w="580" w:type="dxa"/>
            <w:vAlign w:val="bottom"/>
            <w:tcBorders>
              <w:top w:val="single" w:sz="8" w:color="auto"/>
              <w:bottom w:val="single" w:sz="8" w:color="auto"/>
            </w:tcBorders>
            <w:gridSpan w:val="2"/>
          </w:tcPr>
          <w:p>
            <w:pPr>
              <w:jc w:val="right"/>
              <w:ind w:right="32"/>
              <w:spacing w:after="0"/>
              <w:rPr>
                <w:sz w:val="20"/>
                <w:szCs w:val="20"/>
                <w:color w:val="auto"/>
              </w:rPr>
            </w:pPr>
            <w:r>
              <w:rPr>
                <w:rFonts w:ascii="Arial" w:cs="Arial" w:eastAsia="Arial" w:hAnsi="Arial"/>
                <w:sz w:val="18"/>
                <w:szCs w:val="18"/>
                <w:b w:val="1"/>
                <w:bCs w:val="1"/>
                <w:color w:val="auto"/>
              </w:rPr>
              <w:t>2008</w:t>
            </w:r>
          </w:p>
        </w:tc>
        <w:tc>
          <w:tcPr>
            <w:tcW w:w="960" w:type="dxa"/>
            <w:vAlign w:val="bottom"/>
            <w:tcBorders>
              <w:top w:val="single" w:sz="8" w:color="auto"/>
              <w:bottom w:val="single" w:sz="8" w:color="C0C0C0"/>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960" w:type="dxa"/>
            <w:vAlign w:val="bottom"/>
            <w:shd w:val="clear" w:color="auto" w:fill="C0C0C0"/>
          </w:tcPr>
          <w:p>
            <w:pPr>
              <w:spacing w:after="0"/>
              <w:rPr>
                <w:sz w:val="20"/>
                <w:szCs w:val="20"/>
                <w:color w:val="auto"/>
              </w:rPr>
            </w:pPr>
            <w:r>
              <w:rPr>
                <w:rFonts w:ascii="Arial" w:cs="Arial" w:eastAsia="Arial" w:hAnsi="Arial"/>
                <w:sz w:val="18"/>
                <w:szCs w:val="18"/>
                <w:color w:val="auto"/>
              </w:rPr>
              <w:t>Aflibercept:</w:t>
            </w:r>
          </w:p>
        </w:tc>
        <w:tc>
          <w:tcPr>
            <w:tcW w:w="12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920" w:type="dxa"/>
            <w:vAlign w:val="bottom"/>
            <w:shd w:val="clear" w:color="auto" w:fill="C0C0C0"/>
          </w:tcPr>
          <w:p>
            <w:pPr>
              <w:spacing w:after="0"/>
              <w:rPr>
                <w:sz w:val="20"/>
                <w:szCs w:val="20"/>
                <w:color w:val="auto"/>
              </w:rPr>
            </w:pPr>
          </w:p>
        </w:tc>
        <w:tc>
          <w:tcPr>
            <w:tcW w:w="42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400" w:type="dxa"/>
            <w:vAlign w:val="bottom"/>
            <w:shd w:val="clear" w:color="auto" w:fill="C0C0C0"/>
          </w:tcPr>
          <w:p>
            <w:pPr>
              <w:spacing w:after="0"/>
              <w:rPr>
                <w:sz w:val="20"/>
                <w:szCs w:val="20"/>
                <w:color w:val="auto"/>
              </w:rPr>
            </w:pPr>
          </w:p>
        </w:tc>
        <w:tc>
          <w:tcPr>
            <w:tcW w:w="960" w:type="dxa"/>
            <w:vAlign w:val="bottom"/>
            <w:tcBorders>
              <w:right w:val="single" w:sz="8" w:color="C0C0C0"/>
            </w:tcBorders>
            <w:shd w:val="clear" w:color="auto" w:fill="C0C0C0"/>
          </w:tcPr>
          <w:p>
            <w:pPr>
              <w:spacing w:after="0"/>
              <w:rPr>
                <w:sz w:val="20"/>
                <w:szCs w:val="20"/>
                <w:color w:val="auto"/>
              </w:rPr>
            </w:pPr>
          </w:p>
        </w:tc>
        <w:tc>
          <w:tcPr>
            <w:tcW w:w="44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960" w:type="dxa"/>
            <w:vAlign w:val="bottom"/>
          </w:tcPr>
          <w:p>
            <w:pPr>
              <w:ind w:left="280"/>
              <w:spacing w:after="0"/>
              <w:rPr>
                <w:sz w:val="20"/>
                <w:szCs w:val="20"/>
                <w:color w:val="auto"/>
              </w:rPr>
            </w:pPr>
            <w:r>
              <w:rPr>
                <w:rFonts w:ascii="Arial" w:cs="Arial" w:eastAsia="Arial" w:hAnsi="Arial"/>
                <w:sz w:val="18"/>
                <w:szCs w:val="18"/>
                <w:color w:val="auto"/>
              </w:rPr>
              <w:t>Regeneron expense reimbursement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6.3</w:t>
            </w:r>
          </w:p>
        </w:tc>
        <w:tc>
          <w:tcPr>
            <w:tcW w:w="920" w:type="dxa"/>
            <w:vAlign w:val="bottom"/>
          </w:tcPr>
          <w:p>
            <w:pPr>
              <w:spacing w:after="0"/>
              <w:rPr>
                <w:sz w:val="21"/>
                <w:szCs w:val="21"/>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w w:val="88"/>
              </w:rPr>
              <w:t>$10.5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35.6</w:t>
            </w:r>
          </w:p>
        </w:tc>
        <w:tc>
          <w:tcPr>
            <w:tcW w:w="960" w:type="dxa"/>
            <w:vAlign w:val="bottom"/>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$38.3</w:t>
            </w:r>
          </w:p>
        </w:tc>
        <w:tc>
          <w:tcPr>
            <w:tcW w:w="0" w:type="dxa"/>
            <w:vAlign w:val="bottom"/>
          </w:tcPr>
          <w:p>
            <w:pPr>
              <w:spacing w:after="0"/>
              <w:rPr>
                <w:sz w:val="1"/>
                <w:szCs w:val="1"/>
                <w:color w:val="auto"/>
              </w:rPr>
            </w:pPr>
          </w:p>
        </w:tc>
      </w:tr>
      <w:tr>
        <w:trPr>
          <w:trHeight w:val="244"/>
        </w:trPr>
        <w:tc>
          <w:tcPr>
            <w:tcW w:w="69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Recognition of deferred revenue related to up-front payments</w:t>
            </w:r>
          </w:p>
        </w:tc>
        <w:tc>
          <w:tcPr>
            <w:tcW w:w="120" w:type="dxa"/>
            <w:vAlign w:val="bottom"/>
            <w:shd w:val="clear" w:color="auto" w:fill="C0C0C0"/>
          </w:tcPr>
          <w:p>
            <w:pPr>
              <w:spacing w:after="0"/>
              <w:rPr>
                <w:sz w:val="21"/>
                <w:szCs w:val="21"/>
                <w:color w:val="auto"/>
              </w:rPr>
            </w:pPr>
          </w:p>
        </w:tc>
        <w:tc>
          <w:tcPr>
            <w:tcW w:w="3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w:t>
            </w:r>
          </w:p>
        </w:tc>
        <w:tc>
          <w:tcPr>
            <w:tcW w:w="920" w:type="dxa"/>
            <w:vAlign w:val="bottom"/>
            <w:shd w:val="clear" w:color="auto" w:fill="C0C0C0"/>
          </w:tcPr>
          <w:p>
            <w:pPr>
              <w:spacing w:after="0"/>
              <w:rPr>
                <w:sz w:val="21"/>
                <w:szCs w:val="21"/>
                <w:color w:val="auto"/>
              </w:rPr>
            </w:pPr>
          </w:p>
        </w:tc>
        <w:tc>
          <w:tcPr>
            <w:tcW w:w="1120" w:type="dxa"/>
            <w:vAlign w:val="bottom"/>
            <w:gridSpan w:val="2"/>
            <w:shd w:val="clear" w:color="auto" w:fill="C0C0C0"/>
          </w:tcPr>
          <w:p>
            <w:pPr>
              <w:jc w:val="right"/>
              <w:ind w:right="70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0C0C0"/>
          </w:tcPr>
          <w:p>
            <w:pPr>
              <w:spacing w:after="0"/>
              <w:rPr>
                <w:sz w:val="21"/>
                <w:szCs w:val="21"/>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8.8</w:t>
            </w:r>
          </w:p>
        </w:tc>
        <w:tc>
          <w:tcPr>
            <w:tcW w:w="960" w:type="dxa"/>
            <w:vAlign w:val="bottom"/>
            <w:tcBorders>
              <w:right w:val="single" w:sz="8" w:color="C0C0C0"/>
            </w:tcBorders>
            <w:shd w:val="clear" w:color="auto" w:fill="C0C0C0"/>
          </w:tcPr>
          <w:p>
            <w:pPr>
              <w:spacing w:after="0"/>
              <w:rPr>
                <w:sz w:val="21"/>
                <w:szCs w:val="21"/>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tcPr>
          <w:p>
            <w:pPr>
              <w:ind w:left="540"/>
              <w:spacing w:after="0"/>
              <w:rPr>
                <w:sz w:val="20"/>
                <w:szCs w:val="20"/>
                <w:color w:val="auto"/>
              </w:rPr>
            </w:pPr>
            <w:r>
              <w:rPr>
                <w:rFonts w:ascii="Arial" w:cs="Arial" w:eastAsia="Arial" w:hAnsi="Arial"/>
                <w:sz w:val="18"/>
                <w:szCs w:val="18"/>
                <w:color w:val="auto"/>
              </w:rPr>
              <w:t>Total aflibercept</w:t>
            </w: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8.8</w:t>
            </w:r>
          </w:p>
        </w:tc>
        <w:tc>
          <w:tcPr>
            <w:tcW w:w="920" w:type="dxa"/>
            <w:vAlign w:val="bottom"/>
          </w:tcPr>
          <w:p>
            <w:pPr>
              <w:spacing w:after="0"/>
              <w:rPr>
                <w:sz w:val="19"/>
                <w:szCs w:val="19"/>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44.4</w:t>
            </w:r>
          </w:p>
        </w:tc>
        <w:tc>
          <w:tcPr>
            <w:tcW w:w="96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38"/>
        </w:trPr>
        <w:tc>
          <w:tcPr>
            <w:tcW w:w="696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Antibody:</w:t>
            </w:r>
          </w:p>
        </w:tc>
        <w:tc>
          <w:tcPr>
            <w:tcW w:w="120" w:type="dxa"/>
            <w:vAlign w:val="bottom"/>
            <w:tcBorders>
              <w:top w:val="single" w:sz="8" w:color="auto"/>
            </w:tcBorders>
            <w:shd w:val="clear" w:color="auto" w:fill="C0C0C0"/>
          </w:tcPr>
          <w:p>
            <w:pPr>
              <w:spacing w:after="0"/>
              <w:rPr>
                <w:sz w:val="20"/>
                <w:szCs w:val="20"/>
                <w:color w:val="auto"/>
              </w:rPr>
            </w:pPr>
          </w:p>
        </w:tc>
        <w:tc>
          <w:tcPr>
            <w:tcW w:w="320" w:type="dxa"/>
            <w:vAlign w:val="bottom"/>
            <w:tcBorders>
              <w:top w:val="single" w:sz="8" w:color="auto"/>
            </w:tcBorders>
            <w:shd w:val="clear" w:color="auto" w:fill="C0C0C0"/>
          </w:tcPr>
          <w:p>
            <w:pPr>
              <w:spacing w:after="0"/>
              <w:rPr>
                <w:sz w:val="20"/>
                <w:szCs w:val="20"/>
                <w:color w:val="auto"/>
              </w:rPr>
            </w:pPr>
          </w:p>
        </w:tc>
        <w:tc>
          <w:tcPr>
            <w:tcW w:w="920" w:type="dxa"/>
            <w:vAlign w:val="bottom"/>
            <w:tcBorders>
              <w:top w:val="single" w:sz="8" w:color="C0C0C0"/>
            </w:tcBorders>
            <w:shd w:val="clear" w:color="auto" w:fill="C0C0C0"/>
          </w:tcPr>
          <w:p>
            <w:pPr>
              <w:spacing w:after="0"/>
              <w:rPr>
                <w:sz w:val="20"/>
                <w:szCs w:val="20"/>
                <w:color w:val="auto"/>
              </w:rPr>
            </w:pPr>
          </w:p>
        </w:tc>
        <w:tc>
          <w:tcPr>
            <w:tcW w:w="420" w:type="dxa"/>
            <w:vAlign w:val="bottom"/>
            <w:tcBorders>
              <w:top w:val="single" w:sz="8" w:color="auto"/>
            </w:tcBorders>
            <w:shd w:val="clear" w:color="auto" w:fill="C0C0C0"/>
          </w:tcPr>
          <w:p>
            <w:pPr>
              <w:spacing w:after="0"/>
              <w:rPr>
                <w:sz w:val="20"/>
                <w:szCs w:val="20"/>
                <w:color w:val="auto"/>
              </w:rPr>
            </w:pPr>
          </w:p>
        </w:tc>
        <w:tc>
          <w:tcPr>
            <w:tcW w:w="700" w:type="dxa"/>
            <w:vAlign w:val="bottom"/>
            <w:tcBorders>
              <w:top w:val="single" w:sz="8" w:color="C0C0C0"/>
            </w:tcBorders>
            <w:shd w:val="clear" w:color="auto" w:fill="C0C0C0"/>
          </w:tcPr>
          <w:p>
            <w:pPr>
              <w:spacing w:after="0"/>
              <w:rPr>
                <w:sz w:val="20"/>
                <w:szCs w:val="20"/>
                <w:color w:val="auto"/>
              </w:rPr>
            </w:pPr>
          </w:p>
        </w:tc>
        <w:tc>
          <w:tcPr>
            <w:tcW w:w="180" w:type="dxa"/>
            <w:vAlign w:val="bottom"/>
            <w:tcBorders>
              <w:top w:val="single" w:sz="8" w:color="auto"/>
            </w:tcBorders>
            <w:shd w:val="clear" w:color="auto" w:fill="C0C0C0"/>
          </w:tcPr>
          <w:p>
            <w:pPr>
              <w:spacing w:after="0"/>
              <w:rPr>
                <w:sz w:val="20"/>
                <w:szCs w:val="20"/>
                <w:color w:val="auto"/>
              </w:rPr>
            </w:pPr>
          </w:p>
        </w:tc>
        <w:tc>
          <w:tcPr>
            <w:tcW w:w="400" w:type="dxa"/>
            <w:vAlign w:val="bottom"/>
            <w:tcBorders>
              <w:top w:val="single" w:sz="8" w:color="auto"/>
            </w:tcBorders>
            <w:shd w:val="clear" w:color="auto" w:fill="C0C0C0"/>
          </w:tcPr>
          <w:p>
            <w:pPr>
              <w:spacing w:after="0"/>
              <w:rPr>
                <w:sz w:val="20"/>
                <w:szCs w:val="20"/>
                <w:color w:val="auto"/>
              </w:rPr>
            </w:pPr>
          </w:p>
        </w:tc>
        <w:tc>
          <w:tcPr>
            <w:tcW w:w="960" w:type="dxa"/>
            <w:vAlign w:val="bottom"/>
            <w:tcBorders>
              <w:top w:val="single" w:sz="8" w:color="C0C0C0"/>
              <w:right w:val="single" w:sz="8" w:color="C0C0C0"/>
            </w:tcBorders>
            <w:shd w:val="clear" w:color="auto" w:fill="C0C0C0"/>
          </w:tcPr>
          <w:p>
            <w:pPr>
              <w:spacing w:after="0"/>
              <w:rPr>
                <w:sz w:val="20"/>
                <w:szCs w:val="20"/>
                <w:color w:val="auto"/>
              </w:rPr>
            </w:pPr>
          </w:p>
        </w:tc>
        <w:tc>
          <w:tcPr>
            <w:tcW w:w="440" w:type="dxa"/>
            <w:vAlign w:val="bottom"/>
            <w:tcBorders>
              <w:top w:val="single" w:sz="8" w:color="auto"/>
            </w:tcBorders>
            <w:shd w:val="clear" w:color="auto" w:fill="C0C0C0"/>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960" w:type="dxa"/>
            <w:vAlign w:val="bottom"/>
          </w:tcPr>
          <w:p>
            <w:pPr>
              <w:ind w:left="280"/>
              <w:spacing w:after="0"/>
              <w:rPr>
                <w:sz w:val="20"/>
                <w:szCs w:val="20"/>
                <w:color w:val="auto"/>
              </w:rPr>
            </w:pPr>
            <w:r>
              <w:rPr>
                <w:rFonts w:ascii="Arial" w:cs="Arial" w:eastAsia="Arial" w:hAnsi="Arial"/>
                <w:sz w:val="18"/>
                <w:szCs w:val="18"/>
                <w:color w:val="auto"/>
              </w:rPr>
              <w:t>Regeneron expense reimbursement</w:t>
            </w:r>
          </w:p>
        </w:tc>
        <w:tc>
          <w:tcPr>
            <w:tcW w:w="1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25.5</w:t>
            </w:r>
          </w:p>
        </w:tc>
        <w:tc>
          <w:tcPr>
            <w:tcW w:w="920" w:type="dxa"/>
            <w:vAlign w:val="bottom"/>
          </w:tcPr>
          <w:p>
            <w:pPr>
              <w:spacing w:after="0"/>
              <w:rPr>
                <w:sz w:val="21"/>
                <w:szCs w:val="21"/>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97.9</w:t>
            </w:r>
          </w:p>
        </w:tc>
        <w:tc>
          <w:tcPr>
            <w:tcW w:w="960" w:type="dxa"/>
            <w:vAlign w:val="bottom"/>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4"/>
        </w:trPr>
        <w:tc>
          <w:tcPr>
            <w:tcW w:w="69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Recognition of deferred revenue related to up-front payment</w:t>
            </w:r>
          </w:p>
        </w:tc>
        <w:tc>
          <w:tcPr>
            <w:tcW w:w="120" w:type="dxa"/>
            <w:vAlign w:val="bottom"/>
            <w:shd w:val="clear" w:color="auto" w:fill="C0C0C0"/>
          </w:tcPr>
          <w:p>
            <w:pPr>
              <w:spacing w:after="0"/>
              <w:rPr>
                <w:sz w:val="21"/>
                <w:szCs w:val="21"/>
                <w:color w:val="auto"/>
              </w:rPr>
            </w:pPr>
          </w:p>
        </w:tc>
        <w:tc>
          <w:tcPr>
            <w:tcW w:w="3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w:t>
            </w:r>
          </w:p>
        </w:tc>
        <w:tc>
          <w:tcPr>
            <w:tcW w:w="920" w:type="dxa"/>
            <w:vAlign w:val="bottom"/>
            <w:shd w:val="clear" w:color="auto" w:fill="C0C0C0"/>
          </w:tcPr>
          <w:p>
            <w:pPr>
              <w:spacing w:after="0"/>
              <w:rPr>
                <w:sz w:val="21"/>
                <w:szCs w:val="21"/>
                <w:color w:val="auto"/>
              </w:rPr>
            </w:pPr>
          </w:p>
        </w:tc>
        <w:tc>
          <w:tcPr>
            <w:tcW w:w="1120" w:type="dxa"/>
            <w:vAlign w:val="bottom"/>
            <w:gridSpan w:val="2"/>
            <w:shd w:val="clear" w:color="auto" w:fill="C0C0C0"/>
          </w:tcPr>
          <w:p>
            <w:pPr>
              <w:jc w:val="right"/>
              <w:ind w:right="700"/>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0C0C0"/>
          </w:tcPr>
          <w:p>
            <w:pPr>
              <w:spacing w:after="0"/>
              <w:rPr>
                <w:sz w:val="21"/>
                <w:szCs w:val="21"/>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10.5</w:t>
            </w:r>
          </w:p>
        </w:tc>
        <w:tc>
          <w:tcPr>
            <w:tcW w:w="960" w:type="dxa"/>
            <w:vAlign w:val="bottom"/>
            <w:tcBorders>
              <w:right w:val="single" w:sz="8" w:color="C0C0C0"/>
            </w:tcBorders>
            <w:shd w:val="clear" w:color="auto" w:fill="C0C0C0"/>
          </w:tcPr>
          <w:p>
            <w:pPr>
              <w:spacing w:after="0"/>
              <w:rPr>
                <w:sz w:val="21"/>
                <w:szCs w:val="21"/>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960" w:type="dxa"/>
            <w:vAlign w:val="bottom"/>
            <w:tcBorders>
              <w:bottom w:val="single" w:sz="8" w:color="C0C0C0"/>
            </w:tcBorders>
          </w:tcPr>
          <w:p>
            <w:pPr>
              <w:ind w:left="28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920" w:type="dxa"/>
            <w:vAlign w:val="bottom"/>
            <w:tcBorders>
              <w:bottom w:val="single" w:sz="8" w:color="C0C0C0"/>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0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960" w:type="dxa"/>
            <w:vAlign w:val="bottom"/>
            <w:tcBorders>
              <w:bottom w:val="single" w:sz="8" w:color="C0C0C0"/>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960" w:type="dxa"/>
            <w:vAlign w:val="bottom"/>
            <w:shd w:val="clear" w:color="auto" w:fill="C0C0C0"/>
          </w:tcPr>
          <w:p>
            <w:pPr>
              <w:ind w:left="540"/>
              <w:spacing w:after="0"/>
              <w:rPr>
                <w:sz w:val="20"/>
                <w:szCs w:val="20"/>
                <w:color w:val="auto"/>
              </w:rPr>
            </w:pPr>
            <w:r>
              <w:rPr>
                <w:rFonts w:ascii="Arial" w:cs="Arial" w:eastAsia="Arial" w:hAnsi="Arial"/>
                <w:sz w:val="18"/>
                <w:szCs w:val="18"/>
                <w:color w:val="auto"/>
              </w:rPr>
              <w:t>Total antibody</w:t>
            </w:r>
          </w:p>
        </w:tc>
        <w:tc>
          <w:tcPr>
            <w:tcW w:w="120" w:type="dxa"/>
            <w:vAlign w:val="bottom"/>
            <w:shd w:val="clear" w:color="auto" w:fill="C0C0C0"/>
          </w:tcPr>
          <w:p>
            <w:pPr>
              <w:spacing w:after="0"/>
              <w:rPr>
                <w:sz w:val="19"/>
                <w:szCs w:val="19"/>
                <w:color w:val="auto"/>
              </w:rPr>
            </w:pPr>
          </w:p>
        </w:tc>
        <w:tc>
          <w:tcPr>
            <w:tcW w:w="3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5"/>
              </w:rPr>
              <w:t>28.8</w:t>
            </w:r>
          </w:p>
        </w:tc>
        <w:tc>
          <w:tcPr>
            <w:tcW w:w="920" w:type="dxa"/>
            <w:vAlign w:val="bottom"/>
            <w:shd w:val="clear" w:color="auto" w:fill="C0C0C0"/>
          </w:tcPr>
          <w:p>
            <w:pPr>
              <w:spacing w:after="0"/>
              <w:rPr>
                <w:sz w:val="19"/>
                <w:szCs w:val="19"/>
                <w:color w:val="auto"/>
              </w:rPr>
            </w:pPr>
          </w:p>
        </w:tc>
        <w:tc>
          <w:tcPr>
            <w:tcW w:w="1120" w:type="dxa"/>
            <w:vAlign w:val="bottom"/>
            <w:gridSpan w:val="2"/>
            <w:shd w:val="clear" w:color="auto" w:fill="C0C0C0"/>
          </w:tcPr>
          <w:p>
            <w:pPr>
              <w:jc w:val="right"/>
              <w:ind w:right="700"/>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0C0C0"/>
          </w:tcPr>
          <w:p>
            <w:pPr>
              <w:spacing w:after="0"/>
              <w:rPr>
                <w:sz w:val="19"/>
                <w:szCs w:val="19"/>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4"/>
              </w:rPr>
              <w:t>109.6</w:t>
            </w:r>
          </w:p>
        </w:tc>
        <w:tc>
          <w:tcPr>
            <w:tcW w:w="960" w:type="dxa"/>
            <w:vAlign w:val="bottom"/>
            <w:tcBorders>
              <w:right w:val="single" w:sz="8" w:color="C0C0C0"/>
            </w:tcBorders>
            <w:shd w:val="clear" w:color="auto" w:fill="C0C0C0"/>
          </w:tcPr>
          <w:p>
            <w:pPr>
              <w:spacing w:after="0"/>
              <w:rPr>
                <w:sz w:val="19"/>
                <w:szCs w:val="19"/>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960" w:type="dxa"/>
            <w:vAlign w:val="bottom"/>
          </w:tcPr>
          <w:p>
            <w:pPr>
              <w:spacing w:after="0"/>
              <w:rPr>
                <w:sz w:val="20"/>
                <w:szCs w:val="20"/>
                <w:color w:val="auto"/>
              </w:rPr>
            </w:pPr>
            <w:r>
              <w:rPr>
                <w:rFonts w:ascii="Arial" w:cs="Arial" w:eastAsia="Arial" w:hAnsi="Arial"/>
                <w:sz w:val="18"/>
                <w:szCs w:val="18"/>
                <w:color w:val="auto"/>
              </w:rPr>
              <w:t>Total sanofi-aventis contract research &amp; development revenue</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u w:val="single" w:color="auto"/>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37.6</w:t>
            </w:r>
          </w:p>
        </w:tc>
        <w:tc>
          <w:tcPr>
            <w:tcW w:w="9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17.2</w:t>
            </w:r>
          </w:p>
        </w:tc>
        <w:tc>
          <w:tcPr>
            <w:tcW w:w="7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154.0</w:t>
            </w:r>
          </w:p>
        </w:tc>
        <w:tc>
          <w:tcPr>
            <w:tcW w:w="96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$51.7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Sanofi-aventis’ reimbursement of Regeneron’s aflibercept expenses decreased for the three months and year ended December 31, 2008, compared to the same periods in 2007, primarily due to lower costs related to manufacturing aflibercept clinical supplies.</w:t>
      </w:r>
    </w:p>
    <w:p>
      <w:pPr>
        <w:spacing w:after="0" w:line="18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Revenue under the antibody collaboration increased for the three months and year ended December 31, 2008 compared to the same periods in 2007 due to the initiation of the collaboration in November 2007.</w:t>
      </w:r>
    </w:p>
    <w:p>
      <w:pPr>
        <w:spacing w:after="0" w:line="186"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For the three months and years ended December 31, 2008 and 2007, contract research and development revenue from Bayer HealthCare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gridSpan w:val="4"/>
          </w:tcPr>
          <w:p>
            <w:pPr>
              <w:ind w:left="8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9"/>
                <w:szCs w:val="19"/>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Year ended</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6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8"/>
                <w:szCs w:val="18"/>
                <w:b w:val="1"/>
                <w:bCs w:val="1"/>
                <w:color w:val="auto"/>
                <w:w w:val="87"/>
              </w:rPr>
              <w:t>December 31,</w:t>
            </w:r>
          </w:p>
        </w:tc>
        <w:tc>
          <w:tcPr>
            <w:tcW w:w="700" w:type="dxa"/>
            <w:vAlign w:val="bottom"/>
          </w:tcPr>
          <w:p>
            <w:pPr>
              <w:spacing w:after="0"/>
              <w:rPr>
                <w:sz w:val="21"/>
                <w:szCs w:val="21"/>
                <w:color w:val="auto"/>
              </w:rPr>
            </w:pPr>
          </w:p>
        </w:tc>
        <w:tc>
          <w:tcPr>
            <w:tcW w:w="1500" w:type="dxa"/>
            <w:vAlign w:val="bottom"/>
            <w:tcBorders>
              <w:bottom w:val="single" w:sz="8" w:color="auto"/>
            </w:tcBorders>
            <w:gridSpan w:val="3"/>
          </w:tcPr>
          <w:p>
            <w:pPr>
              <w:jc w:val="center"/>
              <w:ind w:left="352"/>
              <w:spacing w:after="0"/>
              <w:rPr>
                <w:sz w:val="20"/>
                <w:szCs w:val="20"/>
                <w:color w:val="auto"/>
              </w:rPr>
            </w:pPr>
            <w:r>
              <w:rPr>
                <w:rFonts w:ascii="Arial" w:cs="Arial" w:eastAsia="Arial" w:hAnsi="Arial"/>
                <w:sz w:val="18"/>
                <w:szCs w:val="18"/>
                <w:b w:val="1"/>
                <w:bCs w:val="1"/>
                <w:color w:val="auto"/>
                <w:w w:val="87"/>
              </w:rPr>
              <w:t>December 31,</w:t>
            </w:r>
          </w:p>
        </w:tc>
        <w:tc>
          <w:tcPr>
            <w:tcW w:w="4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6800" w:type="dxa"/>
            <w:vAlign w:val="bottom"/>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520" w:type="dxa"/>
            <w:vAlign w:val="bottom"/>
            <w:gridSpan w:val="3"/>
          </w:tcPr>
          <w:p>
            <w:pPr>
              <w:jc w:val="right"/>
              <w:ind w:right="812"/>
              <w:spacing w:after="0"/>
              <w:rPr>
                <w:sz w:val="20"/>
                <w:szCs w:val="20"/>
                <w:color w:val="auto"/>
              </w:rPr>
            </w:pPr>
            <w:r>
              <w:rPr>
                <w:rFonts w:ascii="Arial" w:cs="Arial" w:eastAsia="Arial" w:hAnsi="Arial"/>
                <w:sz w:val="18"/>
                <w:szCs w:val="18"/>
                <w:b w:val="1"/>
                <w:bCs w:val="1"/>
                <w:color w:val="auto"/>
              </w:rPr>
              <w:t>2008</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89"/>
              </w:rPr>
              <w:t>2007</w:t>
            </w:r>
          </w:p>
        </w:tc>
        <w:tc>
          <w:tcPr>
            <w:tcW w:w="7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9"/>
              </w:rPr>
              <w:t>2008</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84"/>
              </w:rPr>
              <w:t>2007</w:t>
            </w:r>
          </w:p>
        </w:tc>
        <w:tc>
          <w:tcPr>
            <w:tcW w:w="20" w:type="dxa"/>
            <w:vAlign w:val="bottom"/>
          </w:tcPr>
          <w:p>
            <w:pPr>
              <w:spacing w:after="0"/>
              <w:rPr>
                <w:sz w:val="20"/>
                <w:szCs w:val="20"/>
                <w:color w:val="auto"/>
              </w:rPr>
            </w:pPr>
          </w:p>
        </w:tc>
      </w:tr>
      <w:tr>
        <w:trPr>
          <w:trHeight w:val="236"/>
        </w:trPr>
        <w:tc>
          <w:tcPr>
            <w:tcW w:w="680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Cost-sharing of Regeneron VEGF Trap-Eye development</w:t>
            </w:r>
          </w:p>
        </w:tc>
        <w:tc>
          <w:tcPr>
            <w:tcW w:w="280" w:type="dxa"/>
            <w:vAlign w:val="bottom"/>
            <w:tcBorders>
              <w:top w:val="single" w:sz="8" w:color="C0C0C0"/>
            </w:tcBorders>
            <w:shd w:val="clear" w:color="auto" w:fill="C0C0C0"/>
          </w:tcPr>
          <w:p>
            <w:pPr>
              <w:spacing w:after="0"/>
              <w:rPr>
                <w:sz w:val="20"/>
                <w:szCs w:val="20"/>
                <w:color w:val="auto"/>
              </w:rPr>
            </w:pPr>
          </w:p>
        </w:tc>
        <w:tc>
          <w:tcPr>
            <w:tcW w:w="320" w:type="dxa"/>
            <w:vAlign w:val="bottom"/>
            <w:tcBorders>
              <w:top w:val="single" w:sz="8" w:color="auto"/>
            </w:tcBorders>
            <w:shd w:val="clear" w:color="auto" w:fill="C0C0C0"/>
          </w:tcPr>
          <w:p>
            <w:pPr>
              <w:spacing w:after="0"/>
              <w:rPr>
                <w:sz w:val="20"/>
                <w:szCs w:val="20"/>
                <w:color w:val="auto"/>
              </w:rPr>
            </w:pPr>
          </w:p>
        </w:tc>
        <w:tc>
          <w:tcPr>
            <w:tcW w:w="920" w:type="dxa"/>
            <w:vAlign w:val="bottom"/>
            <w:tcBorders>
              <w:top w:val="single" w:sz="8" w:color="C0C0C0"/>
            </w:tcBorders>
            <w:shd w:val="clear" w:color="auto" w:fill="C0C0C0"/>
          </w:tcPr>
          <w:p>
            <w:pPr>
              <w:spacing w:after="0"/>
              <w:rPr>
                <w:sz w:val="20"/>
                <w:szCs w:val="20"/>
                <w:color w:val="auto"/>
              </w:rPr>
            </w:pPr>
          </w:p>
        </w:tc>
        <w:tc>
          <w:tcPr>
            <w:tcW w:w="460" w:type="dxa"/>
            <w:vAlign w:val="bottom"/>
            <w:tcBorders>
              <w:top w:val="single" w:sz="8" w:color="auto"/>
            </w:tcBorders>
            <w:shd w:val="clear" w:color="auto" w:fill="C0C0C0"/>
          </w:tcPr>
          <w:p>
            <w:pPr>
              <w:spacing w:after="0"/>
              <w:rPr>
                <w:sz w:val="20"/>
                <w:szCs w:val="20"/>
                <w:color w:val="auto"/>
              </w:rPr>
            </w:pPr>
          </w:p>
        </w:tc>
        <w:tc>
          <w:tcPr>
            <w:tcW w:w="700" w:type="dxa"/>
            <w:vAlign w:val="bottom"/>
            <w:tcBorders>
              <w:top w:val="single" w:sz="8" w:color="C0C0C0"/>
            </w:tcBorders>
            <w:shd w:val="clear" w:color="auto" w:fill="C0C0C0"/>
          </w:tcPr>
          <w:p>
            <w:pPr>
              <w:spacing w:after="0"/>
              <w:rPr>
                <w:sz w:val="20"/>
                <w:szCs w:val="20"/>
                <w:color w:val="auto"/>
              </w:rPr>
            </w:pPr>
          </w:p>
        </w:tc>
        <w:tc>
          <w:tcPr>
            <w:tcW w:w="500" w:type="dxa"/>
            <w:vAlign w:val="bottom"/>
            <w:tcBorders>
              <w:top w:val="single" w:sz="8" w:color="auto"/>
            </w:tcBorders>
            <w:shd w:val="clear" w:color="auto" w:fill="C0C0C0"/>
          </w:tcPr>
          <w:p>
            <w:pPr>
              <w:spacing w:after="0"/>
              <w:rPr>
                <w:sz w:val="20"/>
                <w:szCs w:val="20"/>
                <w:color w:val="auto"/>
              </w:rPr>
            </w:pPr>
          </w:p>
        </w:tc>
        <w:tc>
          <w:tcPr>
            <w:tcW w:w="920" w:type="dxa"/>
            <w:vAlign w:val="bottom"/>
            <w:tcBorders>
              <w:top w:val="single" w:sz="8" w:color="C0C0C0"/>
            </w:tcBorders>
            <w:shd w:val="clear" w:color="auto" w:fill="C0C0C0"/>
          </w:tcPr>
          <w:p>
            <w:pPr>
              <w:spacing w:after="0"/>
              <w:rPr>
                <w:sz w:val="20"/>
                <w:szCs w:val="20"/>
                <w:color w:val="auto"/>
              </w:rPr>
            </w:pPr>
          </w:p>
        </w:tc>
        <w:tc>
          <w:tcPr>
            <w:tcW w:w="80" w:type="dxa"/>
            <w:vAlign w:val="bottom"/>
            <w:tcBorders>
              <w:top w:val="single" w:sz="8" w:color="auto"/>
            </w:tcBorders>
            <w:shd w:val="clear" w:color="auto" w:fill="C0C0C0"/>
          </w:tcPr>
          <w:p>
            <w:pPr>
              <w:spacing w:after="0"/>
              <w:rPr>
                <w:sz w:val="20"/>
                <w:szCs w:val="20"/>
                <w:color w:val="auto"/>
              </w:rPr>
            </w:pPr>
          </w:p>
        </w:tc>
        <w:tc>
          <w:tcPr>
            <w:tcW w:w="440" w:type="dxa"/>
            <w:vAlign w:val="bottom"/>
            <w:tcBorders>
              <w:top w:val="single" w:sz="8" w:color="auto"/>
            </w:tcBorders>
            <w:shd w:val="clear" w:color="auto" w:fill="C0C0C0"/>
          </w:tcPr>
          <w:p>
            <w:pPr>
              <w:spacing w:after="0"/>
              <w:rPr>
                <w:sz w:val="20"/>
                <w:szCs w:val="20"/>
                <w:color w:val="auto"/>
              </w:rPr>
            </w:pPr>
          </w:p>
        </w:tc>
        <w:tc>
          <w:tcPr>
            <w:tcW w:w="20" w:type="dxa"/>
            <w:vAlign w:val="bottom"/>
          </w:tcPr>
          <w:p>
            <w:pPr>
              <w:spacing w:after="0"/>
              <w:rPr>
                <w:sz w:val="20"/>
                <w:szCs w:val="20"/>
                <w:color w:val="auto"/>
              </w:rPr>
            </w:pPr>
          </w:p>
        </w:tc>
      </w:tr>
      <w:tr>
        <w:trPr>
          <w:trHeight w:val="245"/>
        </w:trPr>
        <w:tc>
          <w:tcPr>
            <w:tcW w:w="68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expenses</w:t>
            </w:r>
          </w:p>
        </w:tc>
        <w:tc>
          <w:tcPr>
            <w:tcW w:w="1520" w:type="dxa"/>
            <w:vAlign w:val="bottom"/>
            <w:gridSpan w:val="3"/>
            <w:shd w:val="clear" w:color="auto" w:fill="C0C0C0"/>
          </w:tcPr>
          <w:p>
            <w:pPr>
              <w:jc w:val="right"/>
              <w:ind w:right="832"/>
              <w:spacing w:after="0"/>
              <w:rPr>
                <w:sz w:val="20"/>
                <w:szCs w:val="20"/>
                <w:color w:val="auto"/>
              </w:rPr>
            </w:pPr>
            <w:r>
              <w:rPr>
                <w:rFonts w:ascii="Arial" w:cs="Arial" w:eastAsia="Arial" w:hAnsi="Arial"/>
                <w:sz w:val="18"/>
                <w:szCs w:val="18"/>
                <w:color w:val="auto"/>
              </w:rPr>
              <w:t>$ 0.5</w:t>
            </w:r>
          </w:p>
        </w:tc>
        <w:tc>
          <w:tcPr>
            <w:tcW w:w="4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3"/>
              </w:rPr>
              <w:t>$ 20.0</w:t>
            </w:r>
          </w:p>
        </w:tc>
        <w:tc>
          <w:tcPr>
            <w:tcW w:w="700" w:type="dxa"/>
            <w:vAlign w:val="bottom"/>
            <w:shd w:val="clear" w:color="auto" w:fill="C0C0C0"/>
          </w:tcPr>
          <w:p>
            <w:pPr>
              <w:spacing w:after="0"/>
              <w:rPr>
                <w:sz w:val="21"/>
                <w:szCs w:val="21"/>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5"/>
              </w:rPr>
              <w:t>$ 18.8</w:t>
            </w:r>
          </w:p>
        </w:tc>
        <w:tc>
          <w:tcPr>
            <w:tcW w:w="92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3"/>
              </w:rPr>
              <w:t>$ 20.0</w:t>
            </w:r>
          </w:p>
        </w:tc>
        <w:tc>
          <w:tcPr>
            <w:tcW w:w="20" w:type="dxa"/>
            <w:vAlign w:val="bottom"/>
          </w:tcPr>
          <w:p>
            <w:pPr>
              <w:spacing w:after="0"/>
              <w:rPr>
                <w:sz w:val="21"/>
                <w:szCs w:val="21"/>
                <w:color w:val="auto"/>
              </w:rPr>
            </w:pPr>
          </w:p>
        </w:tc>
      </w:tr>
      <w:tr>
        <w:trPr>
          <w:trHeight w:val="241"/>
        </w:trPr>
        <w:tc>
          <w:tcPr>
            <w:tcW w:w="6800" w:type="dxa"/>
            <w:vAlign w:val="bottom"/>
          </w:tcPr>
          <w:p>
            <w:pPr>
              <w:spacing w:after="0"/>
              <w:rPr>
                <w:sz w:val="20"/>
                <w:szCs w:val="20"/>
                <w:color w:val="auto"/>
              </w:rPr>
            </w:pPr>
            <w:r>
              <w:rPr>
                <w:rFonts w:ascii="Arial" w:cs="Arial" w:eastAsia="Arial" w:hAnsi="Arial"/>
                <w:sz w:val="18"/>
                <w:szCs w:val="18"/>
                <w:color w:val="auto"/>
              </w:rPr>
              <w:t>Recognition of deferred revenue related to up-front and</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4"/>
        </w:trPr>
        <w:tc>
          <w:tcPr>
            <w:tcW w:w="6800" w:type="dxa"/>
            <w:vAlign w:val="bottom"/>
          </w:tcPr>
          <w:p>
            <w:pPr>
              <w:ind w:left="280"/>
              <w:spacing w:after="0"/>
              <w:rPr>
                <w:sz w:val="20"/>
                <w:szCs w:val="20"/>
                <w:color w:val="auto"/>
              </w:rPr>
            </w:pPr>
            <w:r>
              <w:rPr>
                <w:rFonts w:ascii="Arial" w:cs="Arial" w:eastAsia="Arial" w:hAnsi="Arial"/>
                <w:sz w:val="18"/>
                <w:szCs w:val="18"/>
                <w:color w:val="auto"/>
              </w:rPr>
              <w:t>milestone payments</w:t>
            </w:r>
          </w:p>
        </w:tc>
        <w:tc>
          <w:tcPr>
            <w:tcW w:w="1520" w:type="dxa"/>
            <w:vAlign w:val="bottom"/>
            <w:gridSpan w:val="3"/>
          </w:tcPr>
          <w:p>
            <w:pPr>
              <w:jc w:val="right"/>
              <w:ind w:right="832"/>
              <w:spacing w:after="0"/>
              <w:rPr>
                <w:sz w:val="20"/>
                <w:szCs w:val="20"/>
                <w:color w:val="auto"/>
              </w:rPr>
            </w:pPr>
            <w:r>
              <w:rPr>
                <w:rFonts w:ascii="Arial" w:cs="Arial" w:eastAsia="Arial" w:hAnsi="Arial"/>
                <w:sz w:val="18"/>
                <w:szCs w:val="18"/>
                <w:color w:val="auto"/>
              </w:rPr>
              <w:t>2.5</w:t>
            </w:r>
          </w:p>
        </w:tc>
        <w:tc>
          <w:tcPr>
            <w:tcW w:w="460" w:type="dxa"/>
            <w:vAlign w:val="bottom"/>
          </w:tcPr>
          <w:p>
            <w:pPr>
              <w:jc w:val="right"/>
              <w:spacing w:after="0"/>
              <w:rPr>
                <w:sz w:val="20"/>
                <w:szCs w:val="20"/>
                <w:color w:val="auto"/>
              </w:rPr>
            </w:pPr>
            <w:r>
              <w:rPr>
                <w:rFonts w:ascii="Arial" w:cs="Arial" w:eastAsia="Arial" w:hAnsi="Arial"/>
                <w:sz w:val="18"/>
                <w:szCs w:val="18"/>
                <w:color w:val="auto"/>
              </w:rPr>
              <w:t>15.9</w:t>
            </w:r>
          </w:p>
        </w:tc>
        <w:tc>
          <w:tcPr>
            <w:tcW w:w="7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12.4</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15.9</w:t>
            </w:r>
          </w:p>
        </w:tc>
      </w:tr>
      <w:tr>
        <w:trPr>
          <w:trHeight w:val="236"/>
        </w:trPr>
        <w:tc>
          <w:tcPr>
            <w:tcW w:w="680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Total Bayer HealthCare contract research &amp; development</w:t>
            </w:r>
          </w:p>
        </w:tc>
        <w:tc>
          <w:tcPr>
            <w:tcW w:w="280" w:type="dxa"/>
            <w:vAlign w:val="bottom"/>
            <w:tcBorders>
              <w:top w:val="single" w:sz="8" w:color="C0C0C0"/>
            </w:tcBorders>
            <w:shd w:val="clear" w:color="auto" w:fill="C0C0C0"/>
          </w:tcPr>
          <w:p>
            <w:pPr>
              <w:spacing w:after="0"/>
              <w:rPr>
                <w:sz w:val="20"/>
                <w:szCs w:val="20"/>
                <w:color w:val="auto"/>
              </w:rPr>
            </w:pPr>
          </w:p>
        </w:tc>
        <w:tc>
          <w:tcPr>
            <w:tcW w:w="320" w:type="dxa"/>
            <w:vAlign w:val="bottom"/>
            <w:tcBorders>
              <w:top w:val="single" w:sz="8" w:color="auto"/>
            </w:tcBorders>
            <w:shd w:val="clear" w:color="auto" w:fill="C0C0C0"/>
          </w:tcPr>
          <w:p>
            <w:pPr>
              <w:spacing w:after="0"/>
              <w:rPr>
                <w:sz w:val="20"/>
                <w:szCs w:val="20"/>
                <w:color w:val="auto"/>
              </w:rPr>
            </w:pPr>
          </w:p>
        </w:tc>
        <w:tc>
          <w:tcPr>
            <w:tcW w:w="920" w:type="dxa"/>
            <w:vAlign w:val="bottom"/>
            <w:tcBorders>
              <w:top w:val="single" w:sz="8" w:color="C0C0C0"/>
            </w:tcBorders>
            <w:shd w:val="clear" w:color="auto" w:fill="C0C0C0"/>
          </w:tcPr>
          <w:p>
            <w:pPr>
              <w:spacing w:after="0"/>
              <w:rPr>
                <w:sz w:val="20"/>
                <w:szCs w:val="20"/>
                <w:color w:val="auto"/>
              </w:rPr>
            </w:pPr>
          </w:p>
        </w:tc>
        <w:tc>
          <w:tcPr>
            <w:tcW w:w="460" w:type="dxa"/>
            <w:vAlign w:val="bottom"/>
            <w:tcBorders>
              <w:top w:val="single" w:sz="8" w:color="auto"/>
            </w:tcBorders>
            <w:shd w:val="clear" w:color="auto" w:fill="C0C0C0"/>
          </w:tcPr>
          <w:p>
            <w:pPr>
              <w:spacing w:after="0"/>
              <w:rPr>
                <w:sz w:val="20"/>
                <w:szCs w:val="20"/>
                <w:color w:val="auto"/>
              </w:rPr>
            </w:pPr>
          </w:p>
        </w:tc>
        <w:tc>
          <w:tcPr>
            <w:tcW w:w="700" w:type="dxa"/>
            <w:vAlign w:val="bottom"/>
            <w:tcBorders>
              <w:top w:val="single" w:sz="8" w:color="C0C0C0"/>
            </w:tcBorders>
            <w:shd w:val="clear" w:color="auto" w:fill="C0C0C0"/>
          </w:tcPr>
          <w:p>
            <w:pPr>
              <w:spacing w:after="0"/>
              <w:rPr>
                <w:sz w:val="20"/>
                <w:szCs w:val="20"/>
                <w:color w:val="auto"/>
              </w:rPr>
            </w:pPr>
          </w:p>
        </w:tc>
        <w:tc>
          <w:tcPr>
            <w:tcW w:w="500" w:type="dxa"/>
            <w:vAlign w:val="bottom"/>
            <w:tcBorders>
              <w:top w:val="single" w:sz="8" w:color="auto"/>
            </w:tcBorders>
            <w:shd w:val="clear" w:color="auto" w:fill="C0C0C0"/>
          </w:tcPr>
          <w:p>
            <w:pPr>
              <w:spacing w:after="0"/>
              <w:rPr>
                <w:sz w:val="20"/>
                <w:szCs w:val="20"/>
                <w:color w:val="auto"/>
              </w:rPr>
            </w:pPr>
          </w:p>
        </w:tc>
        <w:tc>
          <w:tcPr>
            <w:tcW w:w="920" w:type="dxa"/>
            <w:vAlign w:val="bottom"/>
            <w:tcBorders>
              <w:top w:val="single" w:sz="8" w:color="C0C0C0"/>
            </w:tcBorders>
            <w:shd w:val="clear" w:color="auto" w:fill="C0C0C0"/>
          </w:tcPr>
          <w:p>
            <w:pPr>
              <w:spacing w:after="0"/>
              <w:rPr>
                <w:sz w:val="20"/>
                <w:szCs w:val="20"/>
                <w:color w:val="auto"/>
              </w:rPr>
            </w:pPr>
          </w:p>
        </w:tc>
        <w:tc>
          <w:tcPr>
            <w:tcW w:w="80" w:type="dxa"/>
            <w:vAlign w:val="bottom"/>
            <w:tcBorders>
              <w:top w:val="single" w:sz="8" w:color="auto"/>
            </w:tcBorders>
            <w:shd w:val="clear" w:color="auto" w:fill="C0C0C0"/>
          </w:tcPr>
          <w:p>
            <w:pPr>
              <w:spacing w:after="0"/>
              <w:rPr>
                <w:sz w:val="20"/>
                <w:szCs w:val="20"/>
                <w:color w:val="auto"/>
              </w:rPr>
            </w:pPr>
          </w:p>
        </w:tc>
        <w:tc>
          <w:tcPr>
            <w:tcW w:w="440" w:type="dxa"/>
            <w:vAlign w:val="bottom"/>
            <w:tcBorders>
              <w:top w:val="single" w:sz="8" w:color="auto"/>
            </w:tcBorders>
            <w:shd w:val="clear" w:color="auto" w:fill="C0C0C0"/>
          </w:tcPr>
          <w:p>
            <w:pPr>
              <w:spacing w:after="0"/>
              <w:rPr>
                <w:sz w:val="20"/>
                <w:szCs w:val="20"/>
                <w:color w:val="auto"/>
              </w:rPr>
            </w:pPr>
          </w:p>
        </w:tc>
        <w:tc>
          <w:tcPr>
            <w:tcW w:w="20" w:type="dxa"/>
            <w:vAlign w:val="bottom"/>
          </w:tcPr>
          <w:p>
            <w:pPr>
              <w:spacing w:after="0"/>
              <w:rPr>
                <w:sz w:val="20"/>
                <w:szCs w:val="20"/>
                <w:color w:val="auto"/>
              </w:rPr>
            </w:pPr>
          </w:p>
        </w:tc>
      </w:tr>
      <w:tr>
        <w:trPr>
          <w:trHeight w:val="252"/>
        </w:trPr>
        <w:tc>
          <w:tcPr>
            <w:tcW w:w="68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revenue</w:t>
            </w:r>
          </w:p>
        </w:tc>
        <w:tc>
          <w:tcPr>
            <w:tcW w:w="1520" w:type="dxa"/>
            <w:vAlign w:val="bottom"/>
            <w:gridSpan w:val="3"/>
            <w:shd w:val="clear" w:color="auto" w:fill="C0C0C0"/>
          </w:tcPr>
          <w:p>
            <w:pPr>
              <w:jc w:val="right"/>
              <w:ind w:right="83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w:t>
            </w:r>
          </w:p>
        </w:tc>
        <w:tc>
          <w:tcPr>
            <w:tcW w:w="460" w:type="dxa"/>
            <w:vAlign w:val="bottom"/>
            <w:shd w:val="clear" w:color="auto" w:fill="C0C0C0"/>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35.9</w:t>
            </w:r>
          </w:p>
        </w:tc>
        <w:tc>
          <w:tcPr>
            <w:tcW w:w="700" w:type="dxa"/>
            <w:vAlign w:val="bottom"/>
            <w:shd w:val="clear" w:color="auto" w:fill="C0C0C0"/>
          </w:tcPr>
          <w:p>
            <w:pPr>
              <w:spacing w:after="0"/>
              <w:rPr>
                <w:sz w:val="21"/>
                <w:szCs w:val="21"/>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5"/>
              </w:rPr>
              <w:t>$ 31.2</w:t>
            </w:r>
          </w:p>
        </w:tc>
        <w:tc>
          <w:tcPr>
            <w:tcW w:w="92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3"/>
              </w:rPr>
              <w:t>$ 35.9</w:t>
            </w:r>
          </w:p>
        </w:tc>
        <w:tc>
          <w:tcPr>
            <w:tcW w:w="20" w:type="dxa"/>
            <w:vAlign w:val="bottom"/>
          </w:tcPr>
          <w:p>
            <w:pPr>
              <w:spacing w:after="0"/>
              <w:rPr>
                <w:sz w:val="21"/>
                <w:szCs w:val="21"/>
                <w:color w:val="auto"/>
              </w:rPr>
            </w:pPr>
          </w:p>
        </w:tc>
      </w:tr>
      <w:tr>
        <w:trPr>
          <w:trHeight w:val="361"/>
        </w:trPr>
        <w:tc>
          <w:tcPr>
            <w:tcW w:w="6800" w:type="dxa"/>
            <w:vAlign w:val="bottom"/>
            <w:tcBorders>
              <w:top w:val="single" w:sz="8" w:color="C0C0C0"/>
              <w:bottom w:val="single" w:sz="8" w:color="808080"/>
            </w:tcBorders>
          </w:tcPr>
          <w:p>
            <w:pPr>
              <w:spacing w:after="0"/>
              <w:rPr>
                <w:sz w:val="24"/>
                <w:szCs w:val="24"/>
                <w:color w:val="auto"/>
              </w:rPr>
            </w:pPr>
          </w:p>
        </w:tc>
        <w:tc>
          <w:tcPr>
            <w:tcW w:w="280" w:type="dxa"/>
            <w:vAlign w:val="bottom"/>
            <w:tcBorders>
              <w:top w:val="single" w:sz="8" w:color="C0C0C0"/>
              <w:bottom w:val="single" w:sz="8" w:color="808080"/>
            </w:tcBorders>
          </w:tcPr>
          <w:p>
            <w:pPr>
              <w:spacing w:after="0"/>
              <w:rPr>
                <w:sz w:val="24"/>
                <w:szCs w:val="24"/>
                <w:color w:val="auto"/>
              </w:rPr>
            </w:pPr>
          </w:p>
        </w:tc>
        <w:tc>
          <w:tcPr>
            <w:tcW w:w="320" w:type="dxa"/>
            <w:vAlign w:val="bottom"/>
            <w:tcBorders>
              <w:top w:val="single" w:sz="8" w:color="auto"/>
              <w:bottom w:val="single" w:sz="8" w:color="808080"/>
            </w:tcBorders>
          </w:tcPr>
          <w:p>
            <w:pPr>
              <w:spacing w:after="0"/>
              <w:rPr>
                <w:sz w:val="24"/>
                <w:szCs w:val="24"/>
                <w:color w:val="auto"/>
              </w:rPr>
            </w:pPr>
          </w:p>
        </w:tc>
        <w:tc>
          <w:tcPr>
            <w:tcW w:w="920" w:type="dxa"/>
            <w:vAlign w:val="bottom"/>
            <w:tcBorders>
              <w:top w:val="single" w:sz="8" w:color="C0C0C0"/>
              <w:bottom w:val="single" w:sz="8" w:color="808080"/>
            </w:tcBorders>
          </w:tcPr>
          <w:p>
            <w:pPr>
              <w:spacing w:after="0"/>
              <w:rPr>
                <w:sz w:val="24"/>
                <w:szCs w:val="24"/>
                <w:color w:val="auto"/>
              </w:rPr>
            </w:pPr>
          </w:p>
        </w:tc>
        <w:tc>
          <w:tcPr>
            <w:tcW w:w="460" w:type="dxa"/>
            <w:vAlign w:val="bottom"/>
            <w:tcBorders>
              <w:top w:val="single" w:sz="8" w:color="auto"/>
              <w:bottom w:val="single" w:sz="8" w:color="808080"/>
            </w:tcBorders>
          </w:tcPr>
          <w:p>
            <w:pPr>
              <w:spacing w:after="0"/>
              <w:rPr>
                <w:sz w:val="24"/>
                <w:szCs w:val="24"/>
                <w:color w:val="auto"/>
              </w:rPr>
            </w:pPr>
          </w:p>
        </w:tc>
        <w:tc>
          <w:tcPr>
            <w:tcW w:w="700" w:type="dxa"/>
            <w:vAlign w:val="bottom"/>
            <w:tcBorders>
              <w:top w:val="single" w:sz="8" w:color="C0C0C0"/>
              <w:bottom w:val="single" w:sz="8" w:color="808080"/>
            </w:tcBorders>
          </w:tcPr>
          <w:p>
            <w:pPr>
              <w:spacing w:after="0"/>
              <w:rPr>
                <w:sz w:val="24"/>
                <w:szCs w:val="24"/>
                <w:color w:val="auto"/>
              </w:rPr>
            </w:pPr>
          </w:p>
        </w:tc>
        <w:tc>
          <w:tcPr>
            <w:tcW w:w="500" w:type="dxa"/>
            <w:vAlign w:val="bottom"/>
            <w:tcBorders>
              <w:top w:val="single" w:sz="8" w:color="auto"/>
              <w:bottom w:val="single" w:sz="8" w:color="808080"/>
            </w:tcBorders>
          </w:tcPr>
          <w:p>
            <w:pPr>
              <w:spacing w:after="0"/>
              <w:rPr>
                <w:sz w:val="24"/>
                <w:szCs w:val="24"/>
                <w:color w:val="auto"/>
              </w:rPr>
            </w:pPr>
          </w:p>
        </w:tc>
        <w:tc>
          <w:tcPr>
            <w:tcW w:w="920" w:type="dxa"/>
            <w:vAlign w:val="bottom"/>
            <w:tcBorders>
              <w:top w:val="single" w:sz="8" w:color="C0C0C0"/>
              <w:bottom w:val="single" w:sz="8" w:color="808080"/>
            </w:tcBorders>
          </w:tcPr>
          <w:p>
            <w:pPr>
              <w:spacing w:after="0"/>
              <w:rPr>
                <w:sz w:val="24"/>
                <w:szCs w:val="24"/>
                <w:color w:val="auto"/>
              </w:rPr>
            </w:pPr>
          </w:p>
        </w:tc>
        <w:tc>
          <w:tcPr>
            <w:tcW w:w="80" w:type="dxa"/>
            <w:vAlign w:val="bottom"/>
            <w:tcBorders>
              <w:top w:val="single" w:sz="8" w:color="auto"/>
              <w:bottom w:val="single" w:sz="8" w:color="808080"/>
            </w:tcBorders>
          </w:tcPr>
          <w:p>
            <w:pPr>
              <w:spacing w:after="0"/>
              <w:rPr>
                <w:sz w:val="24"/>
                <w:szCs w:val="24"/>
                <w:color w:val="auto"/>
              </w:rPr>
            </w:pPr>
          </w:p>
        </w:tc>
        <w:tc>
          <w:tcPr>
            <w:tcW w:w="440" w:type="dxa"/>
            <w:vAlign w:val="bottom"/>
            <w:tcBorders>
              <w:top w:val="single" w:sz="8" w:color="auto"/>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0" w:gutter="0" w:footer="0" w:header="0"/>
        </w:sectPr>
      </w:pPr>
    </w:p>
    <w:bookmarkStart w:id="4" w:name="page5"/>
    <w:bookmarkEnd w:id="4"/>
    <w:p>
      <w:pPr>
        <w:spacing w:after="0" w:line="308" w:lineRule="auto"/>
        <w:rPr>
          <w:sz w:val="20"/>
          <w:szCs w:val="20"/>
          <w:color w:val="auto"/>
        </w:rPr>
      </w:pPr>
      <w:r>
        <w:rPr>
          <w:rFonts w:ascii="Arial" w:cs="Arial" w:eastAsia="Arial" w:hAnsi="Arial"/>
          <w:sz w:val="15"/>
          <w:szCs w:val="15"/>
          <w:color w:val="auto"/>
        </w:rPr>
        <w:t>In connection with the Company’s VEGF Trap-Eye collaboration with Bayer HealthCare, the Company received a $75.0 million non-refundable, up-front payment in October 2006 and a $20.0 million milestone payment in August 2007. Through September 30, 2007 all payments received from Bayer HealthCare, including the up-front and milestone payments and cost sharing reimbursements, were fully deferred and included in deferred revenue. In the fourth quarter of 2007, the Company commenced recognizing previously deferred payments from Bayer HealthCare and cost sharing of the Company’s VEGF Trap-Eye development expenses in the Company’s Statement of Operations through a cumulative catch-up. The $75.0 million non-refundable, up-front license payment and $20.0 million milestone payment are being recognized as contract research and development revenue over the related estimated performance period. In periods when the Company recognizes VEGF Trap-Eye development expenses that it incurs under the collaboration, the Company also recognizes, as contract research and development revenue, the portion of those VEGF Trap-Eye development expenses that is reimbursable from Bayer HealthCare. In periods when Bayer HealthCare incurs agreed upon VEGF Trap-Eye development expenses that benefit the collaboration and Regeneron, the Company also recognizes, as additional research and development expense, the portion of Bayer HealthCare’s VEGF Trap-Eye development expenses that the Company is obligated to reimburse.</w:t>
      </w:r>
    </w:p>
    <w:p>
      <w:pPr>
        <w:spacing w:after="0" w:line="163"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In the fourth quarter of 2007, the Company recorded a cumulative catch-up of $35.9 million of contract research and development revenue from Bayer HealthCare. In addition, in the fourth quarter of 2007, the Company recorded a cumulative catch-up of $10.6 million of additional research and development expense related to the portion of Bayer HealthCare’s 2007 VEGF Trap-Eye development expenses that the Company was obligated to reimburse.</w:t>
      </w:r>
    </w:p>
    <w:p>
      <w:pPr>
        <w:spacing w:after="0" w:line="16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Under the terms of the Bayer HealthCare collaboration, in 2008, the first $70.0 million of agreed-upon VEGF Trap-Eye development expenses incurred by the Company and Bayer HealthCare under a global development plan were shared equally, and the Company was solely responsible for up to the next $30.0 million. During the fourth quarter of 2008, Regeneron was solely responsible for most of the collaboration’s VEGF Trap-Eye development expenses. As a result, in the fourth quarter of 2008, the portion of the Company’s VEGF Trap-Eye development expenses that were reimbursable from Bayer HealthCare, and recognized as contract research and development revenue, amounted to only $0.5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Licensing Revenue</w:t>
      </w:r>
    </w:p>
    <w:p>
      <w:pPr>
        <w:spacing w:after="0" w:line="15"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auto"/>
        </w:rPr>
        <w:t xml:space="preserve">Regeneron has entered into non-exclusive license agreements with AstraZeneca and Astellas that allow those companies to utilize </w:t>
      </w:r>
      <w:r>
        <w:rPr>
          <w:rFonts w:ascii="Arial" w:cs="Arial" w:eastAsia="Arial" w:hAnsi="Arial"/>
          <w:sz w:val="16"/>
          <w:szCs w:val="16"/>
          <w:i w:val="1"/>
          <w:iCs w:val="1"/>
          <w:color w:val="auto"/>
        </w:rPr>
        <w:t>VelocImmune</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technology in their internal research programs to discover human monoclonal antibodies. Each company made $20.0 million annual, non-refundable payments in each of 2007 and 2008 and agreed to make up to four additional annual payments of $20.0 million, subject to the ability to terminate their agreements after making two such additional payments. Upon receipt, these payments are deferred and are recognized as revenue ratably over approximately the ensuing year of each agreement. Regeneron will also receive a mid-single-digit royalty on sales of any antibodies discovered utilizing </w:t>
      </w:r>
      <w:r>
        <w:rPr>
          <w:rFonts w:ascii="Arial" w:cs="Arial" w:eastAsia="Arial" w:hAnsi="Arial"/>
          <w:sz w:val="16"/>
          <w:szCs w:val="16"/>
          <w:i w:val="1"/>
          <w:iCs w:val="1"/>
          <w:color w:val="auto"/>
        </w:rPr>
        <w:t>VelocImmune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15"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The Company shipped $10.7 million of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(rilonacept) to its distributors in 2008 and recorded $3.5 million and $6.3 million in product sales revenue for the three months and year ended December 31, 2008. Revenue and deferred revenue from product sales are recorded net of applicable provisions for prompt pay discounts, product returns, estimated rebates payable under governmental programs (including Medicaid), distributor fees, and other sales-related costs. At December 31, 2008, $4.0 million of ARCALYST net product sales was included in deferred revenue in the Company’s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Expenses</w:t>
      </w:r>
    </w:p>
    <w:p>
      <w:pPr>
        <w:spacing w:after="0" w:line="15"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Total operating expenses for the fourth quarter of 2008 were $90.4 million, 19 percent higher than the same period in 2007, and $328.3 million for the full year 2008, 37 percent higher than for the same period of 2007. Average headcount increased to 903 for the fourth quarter of 2008 compared to 665 for the same period in 2007 and increased to 810 for the full year 2008 from 627 for the full year 2007, due primarily to the Company’s expanding research and development activities principally in connection with the Company’s antibody collaboration with sanofi-aventis.</w:t>
      </w:r>
    </w:p>
    <w:p>
      <w:pPr>
        <w:spacing w:after="0" w:line="169"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Operating expenses included non-cash compensation expense related to employee stock option and restricted stock awards of $7.8 million in the fourth quarter of 2008 and $32.5 million for the full year of 2008, compared with $7.5 million and $28.1 million, respectively, for the same periods of 2007.</w:t>
      </w:r>
    </w:p>
    <w:p>
      <w:pPr>
        <w:spacing w:after="0" w:line="13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Research and development (R&amp;D) expenses increased to $76.3 million in the fourth quarter of 2008 from $64.8 million in the comparable quarter of 2007, and to $278.0 million for the full year 2008 from $201.6 million for the same period of 2007. In the fourth quarter and for the full year of 2008, the Company incurred higher R&amp;D costs primarily related to additional R&amp;D headcount, clinical development costs for ARCALYST and REGN88, research and preclinical development costs associated with our antibody programs, and facility-related costs to support the Company’s expanded R&amp;D activities. In addition, for the full year of 2008, the Company incurred higher R&amp;D costs related to clinical development of VEGF Trap-Eye and manufacturing supplies of our drug product candidates, especially our monoclonal antibodies. Also, as described above, commencing in the fourth quarter of 2007, the Company began recognizing as additional R&amp;D expense, the portion of Bayer HealthCare’s VEGF Trap-Eye development expenses that the Company is obligated to reimburse.</w:t>
      </w:r>
    </w:p>
    <w:p>
      <w:pPr>
        <w:spacing w:after="0" w:line="17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Selling, general, and administrative (SG&amp;A) expenses increased to $13.5 million in the fourth quarter of 2008 from $11.4 million in the comparable quarter of 2007, and to $49.4 million for the full year 2008 from $37.9 million for the full year 2007. In 2008, the Company incurred $5.2 million of selling expenses related</w:t>
      </w:r>
    </w:p>
    <w:p>
      <w:pPr>
        <w:ind w:right="180"/>
        <w:spacing w:after="0" w:line="234" w:lineRule="auto"/>
        <w:rPr>
          <w:sz w:val="20"/>
          <w:szCs w:val="20"/>
          <w:color w:val="auto"/>
        </w:rPr>
      </w:pPr>
      <w:r>
        <w:rPr>
          <w:rFonts w:ascii="Arial" w:cs="Arial" w:eastAsia="Arial" w:hAnsi="Arial"/>
          <w:sz w:val="16"/>
          <w:szCs w:val="16"/>
          <w:color w:val="auto"/>
        </w:rPr>
        <w:t>to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(rilonacept) for the treatment of CAPS. In addition, the Company incurred higher compensation expense and recruitment costs associated with expanding the Company’s SG&amp;A headcount, higher professional fees related to various general corporate matters, and higher SG&amp;A facility 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137795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and Expense</w:t>
      </w:r>
    </w:p>
    <w:p>
      <w:pPr>
        <w:spacing w:after="0" w:line="15"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Investment income increased to $2.6 million in the fourth quarter of 2008 from $1.5 million in the comparable quarter of 2007, and decreased to $18.2 million for the full year 2008 from $20.9 million for the full year 2007. For the full year 2008, investment income decreased primarily due to lower yields on our cash and marketable securities. The Company recognized charges of $0.2 million and $5.1 million for the fourth quarters of 2008 and 2007, respectively, and $2.5 million and $5.9 million for the full year 2008 and 2007, respectively, related to certain marketable securities that were determined to be other-than-temporarily impaired. For the full year 2008, these charges were partially offset by realized gains of $1.2 million on sales of marketable securities during the year.</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the second and third quarters of 2008, the Company repurchased $82.5 million in principal amount of its 5.5 percent Convertible Senior Subordinated Notes. In connection with the repurchased notes, the Company recognized a $0.9 million loss on early extinguishment of debt. The remaining $117.5 million of these notes were repaid in full upon their maturity in October 2008.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Expense</w:t>
      </w:r>
    </w:p>
    <w:p>
      <w:pPr>
        <w:spacing w:after="0" w:line="15"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 the fourth quarter of 2008, the Company recognized a $0.7 million income tax benefit, resulting from a provision in the Housing Assistance Tax Act of 2008 that allowed the Company to claim a refund for certain unused pre-2006 research tax credits. For the full year 2008, income tax expense was $2.4 million and consisted primarily of alternative minimum tax, which resulted from the utilization of certain net operating loss carry-forwards, that would otherwise have expired over the next several years, to offset income for tax purposes.</w:t>
      </w:r>
    </w:p>
    <w:p>
      <w:pPr>
        <w:sectPr>
          <w:pgSz w:w="11900" w:h="16838" w:orient="portrait"/>
          <w:cols w:equalWidth="0" w:num="1">
            <w:col w:w="11420"/>
          </w:cols>
          <w:pgMar w:left="240" w:top="131" w:right="239" w:bottom="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21"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Regeneron is a fully integrated biopharmaceutical company that discovers, develops, and commercializes medicines for the treatment of serious medical conditions. In addition to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(rilonacept) Injection for Subcutaneous Use, its first commercialized product, Regeneron has therapeutic candidates in clinical trials for the potential treatment of cancer, eye diseases, inflammatory diseases, and pain, and has preclinical programs in other diseases and disorders. Additional information about Regeneron and recent news releases are available on Regeneron’s web site at www.regeneron.com.</w:t>
      </w:r>
    </w:p>
    <w:p>
      <w:pPr>
        <w:spacing w:after="0" w:line="194" w:lineRule="exact"/>
        <w:rPr>
          <w:sz w:val="20"/>
          <w:szCs w:val="20"/>
          <w:color w:val="auto"/>
        </w:rPr>
      </w:pPr>
    </w:p>
    <w:p>
      <w:pPr>
        <w:ind w:right="20"/>
        <w:spacing w:after="0" w:line="266" w:lineRule="auto"/>
        <w:rPr>
          <w:sz w:val="20"/>
          <w:szCs w:val="20"/>
          <w:color w:val="auto"/>
        </w:rPr>
      </w:pPr>
      <w:r>
        <w:rPr>
          <w:rFonts w:ascii="Arial" w:cs="Arial" w:eastAsia="Arial" w:hAnsi="Arial"/>
          <w:sz w:val="12"/>
          <w:szCs w:val="12"/>
          <w:color w:val="auto"/>
        </w:rPr>
        <w:t>This news release discusses historical information and includes forward-looking statements about Regeneron and its products, development programs, finances, and business, all of which involve a number of risks and uncertainties, such as risks associated with preclinical and clinical development of Regeneron’s drug candidates, determinations by regulatory and administrative governmental authorities which may delay or restrict Regeneron’s ability to continue to develop or commercialize its product and drug candidates, competing drugs that are superior to Regeneron’s product and drug candidates, uncertainty of market acceptance of Regeneron’s product and drug candidates, unanticipated expenses, the availability and cost of capital, the costs of developing, producing, and selling products, the potential for any collaboration agreement, including Regeneron’s agreements with the sanofi-aventis Group and Bayer HealthCare, to be canceled or to terminate without any product success, risks associated with third party intellectual property, and other material risks. A more complete description of these and other material risks can be found in Regeneron’s filings with the United States Securities and Exchange Commission (SEC), including its Form 10-K for the year ended December 31, 2008. Regeneron does not undertake any obligation to update publicly any forward-looking statement, whether as a result of new information, future events, or otherwise unless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40" w:type="dxa"/>
            <w:vAlign w:val="bottom"/>
          </w:tcPr>
          <w:p>
            <w:pPr>
              <w:spacing w:after="0"/>
              <w:rPr>
                <w:sz w:val="19"/>
                <w:szCs w:val="19"/>
                <w:color w:val="auto"/>
              </w:rPr>
            </w:pPr>
          </w:p>
        </w:tc>
        <w:tc>
          <w:tcPr>
            <w:tcW w:w="3140" w:type="dxa"/>
            <w:vAlign w:val="bottom"/>
          </w:tcPr>
          <w:p>
            <w:pPr>
              <w:jc w:val="center"/>
              <w:ind w:left="712"/>
              <w:spacing w:after="0"/>
              <w:rPr>
                <w:sz w:val="20"/>
                <w:szCs w:val="20"/>
                <w:color w:val="auto"/>
              </w:rPr>
            </w:pPr>
            <w:r>
              <w:rPr>
                <w:rFonts w:ascii="Arial" w:cs="Arial" w:eastAsia="Arial" w:hAnsi="Arial"/>
                <w:sz w:val="18"/>
                <w:szCs w:val="18"/>
                <w:color w:val="auto"/>
                <w:w w:val="86"/>
              </w:rPr>
              <w:t>###</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3740" w:type="dxa"/>
            <w:vAlign w:val="bottom"/>
          </w:tcPr>
          <w:p>
            <w:pPr>
              <w:spacing w:after="0"/>
              <w:rPr>
                <w:sz w:val="20"/>
                <w:szCs w:val="20"/>
                <w:color w:val="auto"/>
              </w:rPr>
            </w:pPr>
            <w:r>
              <w:rPr>
                <w:rFonts w:ascii="Arial" w:cs="Arial" w:eastAsia="Arial" w:hAnsi="Arial"/>
                <w:sz w:val="18"/>
                <w:szCs w:val="18"/>
                <w:b w:val="1"/>
                <w:bCs w:val="1"/>
                <w:color w:val="auto"/>
              </w:rPr>
              <w:t>Contacts Information:</w:t>
            </w:r>
          </w:p>
        </w:tc>
        <w:tc>
          <w:tcPr>
            <w:tcW w:w="3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3"/>
        </w:trPr>
        <w:tc>
          <w:tcPr>
            <w:tcW w:w="3740" w:type="dxa"/>
            <w:vAlign w:val="bottom"/>
          </w:tcPr>
          <w:p>
            <w:pPr>
              <w:spacing w:after="0"/>
              <w:rPr>
                <w:sz w:val="20"/>
                <w:szCs w:val="20"/>
                <w:color w:val="auto"/>
              </w:rPr>
            </w:pPr>
            <w:r>
              <w:rPr>
                <w:rFonts w:ascii="Arial" w:cs="Arial" w:eastAsia="Arial" w:hAnsi="Arial"/>
                <w:sz w:val="18"/>
                <w:szCs w:val="18"/>
                <w:color w:val="auto"/>
              </w:rPr>
              <w:t>Peter Dworkin</w:t>
            </w:r>
          </w:p>
        </w:tc>
        <w:tc>
          <w:tcPr>
            <w:tcW w:w="4420" w:type="dxa"/>
            <w:vAlign w:val="bottom"/>
            <w:gridSpan w:val="4"/>
          </w:tcPr>
          <w:p>
            <w:pPr>
              <w:ind w:left="2100"/>
              <w:spacing w:after="0"/>
              <w:rPr>
                <w:sz w:val="20"/>
                <w:szCs w:val="20"/>
                <w:color w:val="auto"/>
              </w:rPr>
            </w:pPr>
            <w:r>
              <w:rPr>
                <w:rFonts w:ascii="Arial" w:cs="Arial" w:eastAsia="Arial" w:hAnsi="Arial"/>
                <w:sz w:val="18"/>
                <w:szCs w:val="18"/>
                <w:color w:val="auto"/>
              </w:rPr>
              <w:t>Laura Lindsay</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Investor Relations</w:t>
            </w:r>
          </w:p>
        </w:tc>
        <w:tc>
          <w:tcPr>
            <w:tcW w:w="4420" w:type="dxa"/>
            <w:vAlign w:val="bottom"/>
            <w:gridSpan w:val="4"/>
          </w:tcPr>
          <w:p>
            <w:pPr>
              <w:ind w:left="2100"/>
              <w:spacing w:after="0"/>
              <w:rPr>
                <w:sz w:val="20"/>
                <w:szCs w:val="20"/>
                <w:color w:val="auto"/>
              </w:rPr>
            </w:pPr>
            <w:r>
              <w:rPr>
                <w:rFonts w:ascii="Arial" w:cs="Arial" w:eastAsia="Arial" w:hAnsi="Arial"/>
                <w:sz w:val="18"/>
                <w:szCs w:val="18"/>
                <w:color w:val="auto"/>
              </w:rPr>
              <w:t>Media Relations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914.345.7640</w:t>
            </w:r>
          </w:p>
        </w:tc>
        <w:tc>
          <w:tcPr>
            <w:tcW w:w="3140" w:type="dxa"/>
            <w:vAlign w:val="bottom"/>
          </w:tcPr>
          <w:p>
            <w:pPr>
              <w:ind w:left="2100"/>
              <w:spacing w:after="0"/>
              <w:rPr>
                <w:sz w:val="20"/>
                <w:szCs w:val="20"/>
                <w:color w:val="auto"/>
              </w:rPr>
            </w:pPr>
            <w:r>
              <w:rPr>
                <w:rFonts w:ascii="Arial" w:cs="Arial" w:eastAsia="Arial" w:hAnsi="Arial"/>
                <w:sz w:val="18"/>
                <w:szCs w:val="18"/>
                <w:color w:val="auto"/>
                <w:w w:val="92"/>
              </w:rPr>
              <w:t>914.345.7800</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3740" w:type="dxa"/>
            <w:vAlign w:val="bottom"/>
          </w:tcPr>
          <w:p>
            <w:pPr>
              <w:spacing w:after="0"/>
              <w:rPr>
                <w:sz w:val="20"/>
                <w:szCs w:val="20"/>
                <w:color w:val="auto"/>
              </w:rPr>
            </w:pPr>
            <w:r>
              <w:rPr>
                <w:rFonts w:ascii="Arial" w:cs="Arial" w:eastAsia="Arial" w:hAnsi="Arial"/>
                <w:sz w:val="18"/>
                <w:szCs w:val="18"/>
                <w:color w:val="auto"/>
              </w:rPr>
              <w:t>peter.dworkin@regeneron.com</w:t>
            </w:r>
          </w:p>
        </w:tc>
        <w:tc>
          <w:tcPr>
            <w:tcW w:w="4420" w:type="dxa"/>
            <w:vAlign w:val="bottom"/>
            <w:gridSpan w:val="4"/>
          </w:tcPr>
          <w:p>
            <w:pPr>
              <w:ind w:left="2100"/>
              <w:spacing w:after="0"/>
              <w:rPr>
                <w:sz w:val="20"/>
                <w:szCs w:val="20"/>
                <w:color w:val="auto"/>
              </w:rPr>
            </w:pPr>
            <w:r>
              <w:rPr>
                <w:rFonts w:ascii="Arial" w:cs="Arial" w:eastAsia="Arial" w:hAnsi="Arial"/>
                <w:sz w:val="18"/>
                <w:szCs w:val="18"/>
                <w:color w:val="auto"/>
                <w:w w:val="95"/>
              </w:rPr>
              <w:t>laura.lindsay@regeneron.com</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3"/>
        </w:trPr>
        <w:tc>
          <w:tcPr>
            <w:tcW w:w="3740" w:type="dxa"/>
            <w:vAlign w:val="bottom"/>
          </w:tcPr>
          <w:p>
            <w:pPr>
              <w:spacing w:after="0"/>
              <w:rPr>
                <w:sz w:val="24"/>
                <w:szCs w:val="24"/>
                <w:color w:val="auto"/>
              </w:rPr>
            </w:pPr>
          </w:p>
        </w:tc>
        <w:tc>
          <w:tcPr>
            <w:tcW w:w="4420" w:type="dxa"/>
            <w:vAlign w:val="bottom"/>
            <w:gridSpan w:val="4"/>
          </w:tcPr>
          <w:p>
            <w:pPr>
              <w:ind w:left="2100"/>
              <w:spacing w:after="0"/>
              <w:rPr>
                <w:sz w:val="20"/>
                <w:szCs w:val="20"/>
                <w:color w:val="auto"/>
              </w:rPr>
            </w:pPr>
            <w:r>
              <w:rPr>
                <w:rFonts w:ascii="Arial" w:cs="Arial" w:eastAsia="Arial" w:hAnsi="Arial"/>
                <w:sz w:val="18"/>
                <w:szCs w:val="18"/>
                <w:color w:val="auto"/>
              </w:rPr>
              <w:t>Kelly Hershkowitz</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740" w:type="dxa"/>
            <w:vAlign w:val="bottom"/>
          </w:tcPr>
          <w:p>
            <w:pPr>
              <w:spacing w:after="0"/>
              <w:rPr>
                <w:sz w:val="18"/>
                <w:szCs w:val="18"/>
                <w:color w:val="auto"/>
              </w:rPr>
            </w:pPr>
          </w:p>
        </w:tc>
        <w:tc>
          <w:tcPr>
            <w:tcW w:w="4420" w:type="dxa"/>
            <w:vAlign w:val="bottom"/>
            <w:gridSpan w:val="4"/>
          </w:tcPr>
          <w:p>
            <w:pPr>
              <w:ind w:left="2100"/>
              <w:spacing w:after="0"/>
              <w:rPr>
                <w:sz w:val="20"/>
                <w:szCs w:val="20"/>
                <w:color w:val="auto"/>
              </w:rPr>
            </w:pPr>
            <w:r>
              <w:rPr>
                <w:rFonts w:ascii="Arial" w:cs="Arial" w:eastAsia="Arial" w:hAnsi="Arial"/>
                <w:sz w:val="18"/>
                <w:szCs w:val="18"/>
                <w:color w:val="auto"/>
              </w:rPr>
              <w:t>Media Relations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3140" w:type="dxa"/>
            <w:vAlign w:val="bottom"/>
          </w:tcPr>
          <w:p>
            <w:pPr>
              <w:ind w:left="2100"/>
              <w:spacing w:after="0"/>
              <w:rPr>
                <w:sz w:val="20"/>
                <w:szCs w:val="20"/>
                <w:color w:val="auto"/>
              </w:rPr>
            </w:pPr>
            <w:r>
              <w:rPr>
                <w:rFonts w:ascii="Arial" w:cs="Arial" w:eastAsia="Arial" w:hAnsi="Arial"/>
                <w:sz w:val="18"/>
                <w:szCs w:val="18"/>
                <w:color w:val="auto"/>
                <w:w w:val="92"/>
              </w:rPr>
              <w:t>212.845.5624</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3740" w:type="dxa"/>
            <w:vAlign w:val="bottom"/>
          </w:tcPr>
          <w:p>
            <w:pPr>
              <w:spacing w:after="0"/>
              <w:rPr>
                <w:sz w:val="19"/>
                <w:szCs w:val="19"/>
                <w:color w:val="auto"/>
              </w:rPr>
            </w:pPr>
          </w:p>
        </w:tc>
        <w:tc>
          <w:tcPr>
            <w:tcW w:w="4420" w:type="dxa"/>
            <w:vAlign w:val="bottom"/>
            <w:gridSpan w:val="4"/>
          </w:tcPr>
          <w:p>
            <w:pPr>
              <w:ind w:left="2100"/>
              <w:spacing w:after="0"/>
              <w:rPr>
                <w:sz w:val="20"/>
                <w:szCs w:val="20"/>
                <w:color w:val="auto"/>
              </w:rPr>
            </w:pPr>
            <w:r>
              <w:rPr>
                <w:rFonts w:ascii="Arial" w:cs="Arial" w:eastAsia="Arial" w:hAnsi="Arial"/>
                <w:sz w:val="18"/>
                <w:szCs w:val="18"/>
                <w:color w:val="auto"/>
                <w:w w:val="94"/>
              </w:rPr>
              <w:t>khershkowitz@biosector2.com</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3"/>
        </w:trPr>
        <w:tc>
          <w:tcPr>
            <w:tcW w:w="3740" w:type="dxa"/>
            <w:vAlign w:val="bottom"/>
            <w:tcBorders>
              <w:bottom w:val="single" w:sz="8" w:color="808080"/>
            </w:tcBorders>
          </w:tcPr>
          <w:p>
            <w:pPr>
              <w:spacing w:after="0"/>
              <w:rPr>
                <w:sz w:val="24"/>
                <w:szCs w:val="24"/>
                <w:color w:val="auto"/>
              </w:rPr>
            </w:pPr>
          </w:p>
        </w:tc>
        <w:tc>
          <w:tcPr>
            <w:tcW w:w="31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415"/>
        </w:trPr>
        <w:tc>
          <w:tcPr>
            <w:tcW w:w="3740" w:type="dxa"/>
            <w:vAlign w:val="bottom"/>
          </w:tcPr>
          <w:p>
            <w:pPr>
              <w:spacing w:after="0"/>
              <w:rPr>
                <w:sz w:val="24"/>
                <w:szCs w:val="24"/>
                <w:color w:val="auto"/>
              </w:rPr>
            </w:pPr>
          </w:p>
        </w:tc>
        <w:tc>
          <w:tcPr>
            <w:tcW w:w="442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98"/>
              </w:rPr>
              <w:t>REGENERON PHARMACEUTICALS, INC.</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3740" w:type="dxa"/>
            <w:vAlign w:val="bottom"/>
          </w:tcPr>
          <w:p>
            <w:pPr>
              <w:spacing w:after="0"/>
              <w:rPr>
                <w:sz w:val="19"/>
                <w:szCs w:val="19"/>
                <w:color w:val="auto"/>
              </w:rPr>
            </w:pPr>
          </w:p>
        </w:tc>
        <w:tc>
          <w:tcPr>
            <w:tcW w:w="442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94"/>
              </w:rPr>
              <w:t>CONDENSED BALANCE SHEETS (Unaudited)</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2"/>
        </w:trPr>
        <w:tc>
          <w:tcPr>
            <w:tcW w:w="3740" w:type="dxa"/>
            <w:vAlign w:val="bottom"/>
          </w:tcPr>
          <w:p>
            <w:pPr>
              <w:spacing w:after="0"/>
              <w:rPr>
                <w:sz w:val="19"/>
                <w:szCs w:val="19"/>
                <w:color w:val="auto"/>
              </w:rPr>
            </w:pPr>
          </w:p>
        </w:tc>
        <w:tc>
          <w:tcPr>
            <w:tcW w:w="4420" w:type="dxa"/>
            <w:vAlign w:val="bottom"/>
            <w:gridSpan w:val="4"/>
          </w:tcPr>
          <w:p>
            <w:pPr>
              <w:jc w:val="center"/>
              <w:ind w:right="480"/>
              <w:spacing w:after="0"/>
              <w:rPr>
                <w:sz w:val="20"/>
                <w:szCs w:val="20"/>
                <w:color w:val="auto"/>
              </w:rPr>
            </w:pPr>
            <w:r>
              <w:rPr>
                <w:rFonts w:ascii="Arial" w:cs="Arial" w:eastAsia="Arial" w:hAnsi="Arial"/>
                <w:sz w:val="18"/>
                <w:szCs w:val="18"/>
                <w:b w:val="1"/>
                <w:bCs w:val="1"/>
                <w:i w:val="1"/>
                <w:iCs w:val="1"/>
                <w:color w:val="auto"/>
                <w:w w:val="85"/>
              </w:rPr>
              <w:t>(In thousands)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6"/>
        </w:trPr>
        <w:tc>
          <w:tcPr>
            <w:tcW w:w="37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gridSpan w:val="4"/>
          </w:tcPr>
          <w:p>
            <w:pPr>
              <w:ind w:left="4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88"/>
              </w:rPr>
              <w:t>December 31,</w:t>
            </w:r>
          </w:p>
        </w:tc>
      </w:tr>
      <w:tr>
        <w:trPr>
          <w:trHeight w:val="252"/>
        </w:trPr>
        <w:tc>
          <w:tcPr>
            <w:tcW w:w="3740" w:type="dxa"/>
            <w:vAlign w:val="bottom"/>
            <w:tcBorders>
              <w:bottom w:val="single" w:sz="8" w:color="C0C0C0"/>
            </w:tcBorders>
          </w:tcPr>
          <w:p>
            <w:pPr>
              <w:spacing w:after="0"/>
              <w:rPr>
                <w:sz w:val="21"/>
                <w:szCs w:val="21"/>
                <w:color w:val="auto"/>
              </w:rPr>
            </w:pPr>
          </w:p>
        </w:tc>
        <w:tc>
          <w:tcPr>
            <w:tcW w:w="3140" w:type="dxa"/>
            <w:vAlign w:val="bottom"/>
            <w:tcBorders>
              <w:bottom w:val="single" w:sz="8" w:color="C0C0C0"/>
            </w:tcBorders>
          </w:tcPr>
          <w:p>
            <w:pPr>
              <w:spacing w:after="0"/>
              <w:rPr>
                <w:sz w:val="21"/>
                <w:szCs w:val="21"/>
                <w:color w:val="auto"/>
              </w:rPr>
            </w:pPr>
          </w:p>
        </w:tc>
        <w:tc>
          <w:tcPr>
            <w:tcW w:w="900" w:type="dxa"/>
            <w:vAlign w:val="bottom"/>
            <w:tcBorders>
              <w:bottom w:val="single" w:sz="8" w:color="C0C0C0"/>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800" w:type="dxa"/>
            <w:vAlign w:val="bottom"/>
            <w:tcBorders>
              <w:bottom w:val="single" w:sz="8" w:color="C0C0C0"/>
            </w:tcBorders>
          </w:tcPr>
          <w:p>
            <w:pPr>
              <w:spacing w:after="0"/>
              <w:rPr>
                <w:sz w:val="21"/>
                <w:szCs w:val="21"/>
                <w:color w:val="auto"/>
              </w:rPr>
            </w:pPr>
          </w:p>
        </w:tc>
        <w:tc>
          <w:tcPr>
            <w:tcW w:w="1100" w:type="dxa"/>
            <w:vAlign w:val="bottom"/>
            <w:tcBorders>
              <w:bottom w:val="single" w:sz="8" w:color="auto"/>
            </w:tcBorders>
            <w:gridSpan w:val="2"/>
          </w:tcPr>
          <w:p>
            <w:pPr>
              <w:jc w:val="right"/>
              <w:ind w:right="292"/>
              <w:spacing w:after="0"/>
              <w:rPr>
                <w:sz w:val="20"/>
                <w:szCs w:val="20"/>
                <w:color w:val="auto"/>
              </w:rPr>
            </w:pPr>
            <w:r>
              <w:rPr>
                <w:rFonts w:ascii="Arial" w:cs="Arial" w:eastAsia="Arial" w:hAnsi="Arial"/>
                <w:sz w:val="18"/>
                <w:szCs w:val="18"/>
                <w:b w:val="1"/>
                <w:bCs w:val="1"/>
                <w:color w:val="auto"/>
              </w:rPr>
              <w:t>2008</w:t>
            </w:r>
          </w:p>
        </w:tc>
        <w:tc>
          <w:tcPr>
            <w:tcW w:w="100" w:type="dxa"/>
            <w:vAlign w:val="bottom"/>
            <w:tcBorders>
              <w:bottom w:val="single" w:sz="8" w:color="C0C0C0"/>
            </w:tcBorders>
          </w:tcPr>
          <w:p>
            <w:pPr>
              <w:spacing w:after="0"/>
              <w:rPr>
                <w:sz w:val="21"/>
                <w:szCs w:val="21"/>
                <w:color w:val="auto"/>
              </w:rPr>
            </w:pPr>
          </w:p>
        </w:tc>
        <w:tc>
          <w:tcPr>
            <w:tcW w:w="160" w:type="dxa"/>
            <w:vAlign w:val="bottom"/>
            <w:tcBorders>
              <w:bottom w:val="single" w:sz="8" w:color="C0C0C0"/>
            </w:tcBorders>
          </w:tcPr>
          <w:p>
            <w:pPr>
              <w:spacing w:after="0"/>
              <w:rPr>
                <w:sz w:val="21"/>
                <w:szCs w:val="21"/>
                <w:color w:val="auto"/>
              </w:rPr>
            </w:pPr>
          </w:p>
        </w:tc>
        <w:tc>
          <w:tcPr>
            <w:tcW w:w="1100" w:type="dxa"/>
            <w:vAlign w:val="bottom"/>
            <w:tcBorders>
              <w:bottom w:val="single" w:sz="8" w:color="auto"/>
            </w:tcBorders>
            <w:gridSpan w:val="2"/>
          </w:tcPr>
          <w:p>
            <w:pPr>
              <w:jc w:val="right"/>
              <w:ind w:right="292"/>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21"/>
                <w:szCs w:val="21"/>
                <w:color w:val="auto"/>
              </w:rPr>
            </w:pPr>
          </w:p>
        </w:tc>
      </w:tr>
      <w:tr>
        <w:trPr>
          <w:trHeight w:val="230"/>
        </w:trPr>
        <w:tc>
          <w:tcPr>
            <w:tcW w:w="3740" w:type="dxa"/>
            <w:vAlign w:val="bottom"/>
            <w:shd w:val="clear" w:color="auto" w:fill="C0C0C0"/>
          </w:tcPr>
          <w:p>
            <w:pPr>
              <w:spacing w:after="0"/>
              <w:rPr>
                <w:sz w:val="20"/>
                <w:szCs w:val="20"/>
                <w:color w:val="auto"/>
              </w:rPr>
            </w:pPr>
            <w:r>
              <w:rPr>
                <w:rFonts w:ascii="Arial" w:cs="Arial" w:eastAsia="Arial" w:hAnsi="Arial"/>
                <w:sz w:val="18"/>
                <w:szCs w:val="18"/>
                <w:color w:val="auto"/>
              </w:rPr>
              <w:t>ASSETS</w:t>
            </w:r>
          </w:p>
        </w:tc>
        <w:tc>
          <w:tcPr>
            <w:tcW w:w="3140" w:type="dxa"/>
            <w:vAlign w:val="bottom"/>
            <w:shd w:val="clear" w:color="auto" w:fill="C0C0C0"/>
          </w:tcPr>
          <w:p>
            <w:pPr>
              <w:spacing w:after="0"/>
              <w:rPr>
                <w:sz w:val="19"/>
                <w:szCs w:val="19"/>
                <w:color w:val="auto"/>
              </w:rPr>
            </w:pPr>
          </w:p>
        </w:tc>
        <w:tc>
          <w:tcPr>
            <w:tcW w:w="90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80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82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98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35"/>
        </w:trPr>
        <w:tc>
          <w:tcPr>
            <w:tcW w:w="3740" w:type="dxa"/>
            <w:vAlign w:val="bottom"/>
          </w:tcPr>
          <w:p>
            <w:pPr>
              <w:spacing w:after="0"/>
              <w:rPr>
                <w:sz w:val="20"/>
                <w:szCs w:val="20"/>
                <w:color w:val="auto"/>
              </w:rPr>
            </w:pPr>
            <w:r>
              <w:rPr>
                <w:rFonts w:ascii="Arial" w:cs="Arial" w:eastAsia="Arial" w:hAnsi="Arial"/>
                <w:sz w:val="18"/>
                <w:szCs w:val="18"/>
                <w:color w:val="auto"/>
                <w:w w:val="96"/>
              </w:rPr>
              <w:t>Cash, restricted cash, and marketable securities</w:t>
            </w:r>
          </w:p>
        </w:tc>
        <w:tc>
          <w:tcPr>
            <w:tcW w:w="3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$527,461</w:t>
            </w:r>
          </w:p>
        </w:tc>
        <w:tc>
          <w:tcPr>
            <w:tcW w:w="160" w:type="dxa"/>
            <w:vAlign w:val="bottom"/>
          </w:tcPr>
          <w:p>
            <w:pPr>
              <w:spacing w:after="0"/>
              <w:rPr>
                <w:sz w:val="20"/>
                <w:szCs w:val="20"/>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$846,279</w:t>
            </w:r>
          </w:p>
        </w:tc>
      </w:tr>
      <w:tr>
        <w:trPr>
          <w:trHeight w:val="251"/>
        </w:trPr>
        <w:tc>
          <w:tcPr>
            <w:tcW w:w="3740" w:type="dxa"/>
            <w:vAlign w:val="bottom"/>
            <w:shd w:val="clear" w:color="auto" w:fill="C0C0C0"/>
          </w:tcPr>
          <w:p>
            <w:pPr>
              <w:spacing w:after="0"/>
              <w:rPr>
                <w:sz w:val="20"/>
                <w:szCs w:val="20"/>
                <w:color w:val="auto"/>
              </w:rPr>
            </w:pPr>
            <w:r>
              <w:rPr>
                <w:rFonts w:ascii="Arial" w:cs="Arial" w:eastAsia="Arial" w:hAnsi="Arial"/>
                <w:sz w:val="18"/>
                <w:szCs w:val="18"/>
                <w:color w:val="auto"/>
              </w:rPr>
              <w:t>Receivables</w:t>
            </w:r>
          </w:p>
        </w:tc>
        <w:tc>
          <w:tcPr>
            <w:tcW w:w="314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1200" w:type="dxa"/>
            <w:vAlign w:val="bottom"/>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35,212</w:t>
            </w:r>
          </w:p>
        </w:tc>
        <w:tc>
          <w:tcPr>
            <w:tcW w:w="160" w:type="dxa"/>
            <w:vAlign w:val="bottom"/>
            <w:shd w:val="clear" w:color="auto" w:fill="C0C0C0"/>
          </w:tcPr>
          <w:p>
            <w:pPr>
              <w:spacing w:after="0"/>
              <w:rPr>
                <w:sz w:val="21"/>
                <w:szCs w:val="21"/>
                <w:color w:val="auto"/>
              </w:rPr>
            </w:pPr>
          </w:p>
        </w:tc>
        <w:tc>
          <w:tcPr>
            <w:tcW w:w="11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18,320</w:t>
            </w:r>
          </w:p>
        </w:tc>
        <w:tc>
          <w:tcPr>
            <w:tcW w:w="20" w:type="dxa"/>
            <w:vAlign w:val="bottom"/>
          </w:tcPr>
          <w:p>
            <w:pPr>
              <w:spacing w:after="0"/>
              <w:rPr>
                <w:sz w:val="21"/>
                <w:szCs w:val="21"/>
                <w:color w:val="auto"/>
              </w:rPr>
            </w:pPr>
          </w:p>
        </w:tc>
      </w:tr>
      <w:tr>
        <w:trPr>
          <w:trHeight w:val="235"/>
        </w:trPr>
        <w:tc>
          <w:tcPr>
            <w:tcW w:w="37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87,853</w:t>
            </w:r>
          </w:p>
        </w:tc>
        <w:tc>
          <w:tcPr>
            <w:tcW w:w="160" w:type="dxa"/>
            <w:vAlign w:val="bottom"/>
          </w:tcPr>
          <w:p>
            <w:pPr>
              <w:spacing w:after="0"/>
              <w:rPr>
                <w:sz w:val="20"/>
                <w:szCs w:val="20"/>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58,304</w:t>
            </w:r>
          </w:p>
        </w:tc>
      </w:tr>
      <w:tr>
        <w:trPr>
          <w:trHeight w:val="244"/>
        </w:trPr>
        <w:tc>
          <w:tcPr>
            <w:tcW w:w="3740" w:type="dxa"/>
            <w:vAlign w:val="bottom"/>
            <w:shd w:val="clear" w:color="auto" w:fill="C0C0C0"/>
          </w:tcPr>
          <w:p>
            <w:pPr>
              <w:spacing w:after="0"/>
              <w:rPr>
                <w:sz w:val="20"/>
                <w:szCs w:val="20"/>
                <w:color w:val="auto"/>
              </w:rPr>
            </w:pPr>
            <w:r>
              <w:rPr>
                <w:rFonts w:ascii="Arial" w:cs="Arial" w:eastAsia="Arial" w:hAnsi="Arial"/>
                <w:sz w:val="18"/>
                <w:szCs w:val="18"/>
                <w:color w:val="auto"/>
              </w:rPr>
              <w:t>Other assets</w:t>
            </w:r>
          </w:p>
        </w:tc>
        <w:tc>
          <w:tcPr>
            <w:tcW w:w="314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1200" w:type="dxa"/>
            <w:vAlign w:val="bottom"/>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19,512</w:t>
            </w:r>
          </w:p>
        </w:tc>
        <w:tc>
          <w:tcPr>
            <w:tcW w:w="160" w:type="dxa"/>
            <w:vAlign w:val="bottom"/>
            <w:shd w:val="clear" w:color="auto" w:fill="C0C0C0"/>
          </w:tcPr>
          <w:p>
            <w:pPr>
              <w:spacing w:after="0"/>
              <w:rPr>
                <w:sz w:val="21"/>
                <w:szCs w:val="21"/>
                <w:color w:val="auto"/>
              </w:rPr>
            </w:pPr>
          </w:p>
        </w:tc>
        <w:tc>
          <w:tcPr>
            <w:tcW w:w="11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13,355</w:t>
            </w:r>
          </w:p>
        </w:tc>
        <w:tc>
          <w:tcPr>
            <w:tcW w:w="20" w:type="dxa"/>
            <w:vAlign w:val="bottom"/>
          </w:tcPr>
          <w:p>
            <w:pPr>
              <w:spacing w:after="0"/>
              <w:rPr>
                <w:sz w:val="21"/>
                <w:szCs w:val="21"/>
                <w:color w:val="auto"/>
              </w:rPr>
            </w:pPr>
          </w:p>
        </w:tc>
      </w:tr>
      <w:tr>
        <w:trPr>
          <w:trHeight w:val="230"/>
        </w:trPr>
        <w:tc>
          <w:tcPr>
            <w:tcW w:w="37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3740" w:type="dxa"/>
            <w:vAlign w:val="bottom"/>
            <w:shd w:val="clear" w:color="auto" w:fill="C0C0C0"/>
          </w:tcPr>
          <w:p>
            <w:pPr>
              <w:ind w:left="620"/>
              <w:spacing w:after="0"/>
              <w:rPr>
                <w:sz w:val="20"/>
                <w:szCs w:val="20"/>
                <w:color w:val="auto"/>
              </w:rPr>
            </w:pPr>
            <w:r>
              <w:rPr>
                <w:rFonts w:ascii="Arial" w:cs="Arial" w:eastAsia="Arial" w:hAnsi="Arial"/>
                <w:sz w:val="18"/>
                <w:szCs w:val="18"/>
                <w:color w:val="auto"/>
              </w:rPr>
              <w:t>Total assets</w:t>
            </w:r>
          </w:p>
        </w:tc>
        <w:tc>
          <w:tcPr>
            <w:tcW w:w="314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1200" w:type="dxa"/>
            <w:vAlign w:val="bottom"/>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$670,038</w:t>
            </w:r>
          </w:p>
        </w:tc>
        <w:tc>
          <w:tcPr>
            <w:tcW w:w="160" w:type="dxa"/>
            <w:vAlign w:val="bottom"/>
            <w:shd w:val="clear" w:color="auto" w:fill="C0C0C0"/>
          </w:tcPr>
          <w:p>
            <w:pPr>
              <w:spacing w:after="0"/>
              <w:rPr>
                <w:sz w:val="21"/>
                <w:szCs w:val="21"/>
                <w:color w:val="auto"/>
              </w:rPr>
            </w:pPr>
          </w:p>
        </w:tc>
        <w:tc>
          <w:tcPr>
            <w:tcW w:w="11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$936,258</w:t>
            </w:r>
          </w:p>
        </w:tc>
        <w:tc>
          <w:tcPr>
            <w:tcW w:w="20" w:type="dxa"/>
            <w:vAlign w:val="bottom"/>
          </w:tcPr>
          <w:p>
            <w:pPr>
              <w:spacing w:after="0"/>
              <w:rPr>
                <w:sz w:val="21"/>
                <w:szCs w:val="21"/>
                <w:color w:val="auto"/>
              </w:rPr>
            </w:pPr>
          </w:p>
        </w:tc>
      </w:tr>
      <w:tr>
        <w:trPr>
          <w:trHeight w:val="230"/>
        </w:trPr>
        <w:tc>
          <w:tcPr>
            <w:tcW w:w="3740" w:type="dxa"/>
            <w:vAlign w:val="bottom"/>
            <w:tcBorders>
              <w:top w:val="single" w:sz="8" w:color="C0C0C0"/>
            </w:tcBorders>
          </w:tcPr>
          <w:p>
            <w:pPr>
              <w:spacing w:after="0"/>
              <w:rPr>
                <w:sz w:val="19"/>
                <w:szCs w:val="19"/>
                <w:color w:val="auto"/>
              </w:rPr>
            </w:pPr>
          </w:p>
        </w:tc>
        <w:tc>
          <w:tcPr>
            <w:tcW w:w="3140" w:type="dxa"/>
            <w:vAlign w:val="bottom"/>
            <w:tcBorders>
              <w:top w:val="single" w:sz="8" w:color="C0C0C0"/>
            </w:tcBorders>
          </w:tcPr>
          <w:p>
            <w:pPr>
              <w:spacing w:after="0"/>
              <w:rPr>
                <w:sz w:val="19"/>
                <w:szCs w:val="19"/>
                <w:color w:val="auto"/>
              </w:rPr>
            </w:pPr>
          </w:p>
        </w:tc>
        <w:tc>
          <w:tcPr>
            <w:tcW w:w="900" w:type="dxa"/>
            <w:vAlign w:val="bottom"/>
            <w:tcBorders>
              <w:top w:val="single" w:sz="8" w:color="C0C0C0"/>
            </w:tcBorders>
          </w:tcPr>
          <w:p>
            <w:pPr>
              <w:spacing w:after="0"/>
              <w:rPr>
                <w:sz w:val="19"/>
                <w:szCs w:val="19"/>
                <w:color w:val="auto"/>
              </w:rPr>
            </w:pPr>
          </w:p>
        </w:tc>
        <w:tc>
          <w:tcPr>
            <w:tcW w:w="280" w:type="dxa"/>
            <w:vAlign w:val="bottom"/>
            <w:tcBorders>
              <w:top w:val="single" w:sz="8" w:color="C0C0C0"/>
            </w:tcBorders>
          </w:tcPr>
          <w:p>
            <w:pPr>
              <w:spacing w:after="0"/>
              <w:rPr>
                <w:sz w:val="19"/>
                <w:szCs w:val="19"/>
                <w:color w:val="auto"/>
              </w:rPr>
            </w:pPr>
          </w:p>
        </w:tc>
        <w:tc>
          <w:tcPr>
            <w:tcW w:w="100" w:type="dxa"/>
            <w:vAlign w:val="bottom"/>
            <w:tcBorders>
              <w:top w:val="single" w:sz="8" w:color="C0C0C0"/>
            </w:tcBorders>
          </w:tcPr>
          <w:p>
            <w:pPr>
              <w:spacing w:after="0"/>
              <w:rPr>
                <w:sz w:val="19"/>
                <w:szCs w:val="19"/>
                <w:color w:val="auto"/>
              </w:rPr>
            </w:pPr>
          </w:p>
        </w:tc>
        <w:tc>
          <w:tcPr>
            <w:tcW w:w="800" w:type="dxa"/>
            <w:vAlign w:val="bottom"/>
            <w:tcBorders>
              <w:top w:val="single" w:sz="8" w:color="C0C0C0"/>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Borders>
              <w:top w:val="single" w:sz="8" w:color="C0C0C0"/>
            </w:tcBorders>
          </w:tcPr>
          <w:p>
            <w:pPr>
              <w:spacing w:after="0"/>
              <w:rPr>
                <w:sz w:val="19"/>
                <w:szCs w:val="19"/>
                <w:color w:val="auto"/>
              </w:rPr>
            </w:pPr>
          </w:p>
        </w:tc>
        <w:tc>
          <w:tcPr>
            <w:tcW w:w="160" w:type="dxa"/>
            <w:vAlign w:val="bottom"/>
            <w:tcBorders>
              <w:top w:val="single" w:sz="8" w:color="C0C0C0"/>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3740" w:type="dxa"/>
            <w:vAlign w:val="bottom"/>
            <w:shd w:val="clear" w:color="auto" w:fill="C0C0C0"/>
          </w:tcPr>
          <w:p>
            <w:pPr>
              <w:spacing w:after="0"/>
              <w:rPr>
                <w:sz w:val="20"/>
                <w:szCs w:val="20"/>
                <w:color w:val="auto"/>
              </w:rPr>
            </w:pPr>
            <w:r>
              <w:rPr>
                <w:rFonts w:ascii="Arial" w:cs="Arial" w:eastAsia="Arial" w:hAnsi="Arial"/>
                <w:sz w:val="18"/>
                <w:szCs w:val="18"/>
                <w:color w:val="auto"/>
              </w:rPr>
              <w:t>LIABILITIES AND STOCKHOLDERS' EQUITY</w:t>
            </w:r>
          </w:p>
        </w:tc>
        <w:tc>
          <w:tcPr>
            <w:tcW w:w="314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8160" w:type="dxa"/>
            <w:vAlign w:val="bottom"/>
            <w:gridSpan w:val="5"/>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800" w:type="dxa"/>
            <w:vAlign w:val="bottom"/>
          </w:tcPr>
          <w:p>
            <w:pPr>
              <w:spacing w:after="0"/>
              <w:rPr>
                <w:sz w:val="20"/>
                <w:szCs w:val="20"/>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$ 41,261</w:t>
            </w:r>
          </w:p>
        </w:tc>
        <w:tc>
          <w:tcPr>
            <w:tcW w:w="160" w:type="dxa"/>
            <w:vAlign w:val="bottom"/>
          </w:tcPr>
          <w:p>
            <w:pPr>
              <w:spacing w:after="0"/>
              <w:rPr>
                <w:sz w:val="20"/>
                <w:szCs w:val="20"/>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$ 39,232</w:t>
            </w:r>
          </w:p>
        </w:tc>
      </w:tr>
      <w:tr>
        <w:trPr>
          <w:trHeight w:val="251"/>
        </w:trPr>
        <w:tc>
          <w:tcPr>
            <w:tcW w:w="3740" w:type="dxa"/>
            <w:vAlign w:val="bottom"/>
            <w:shd w:val="clear" w:color="auto" w:fill="C0C0C0"/>
          </w:tcPr>
          <w:p>
            <w:pPr>
              <w:spacing w:after="0"/>
              <w:rPr>
                <w:sz w:val="20"/>
                <w:szCs w:val="20"/>
                <w:color w:val="auto"/>
              </w:rPr>
            </w:pPr>
            <w:r>
              <w:rPr>
                <w:rFonts w:ascii="Arial" w:cs="Arial" w:eastAsia="Arial" w:hAnsi="Arial"/>
                <w:sz w:val="18"/>
                <w:szCs w:val="18"/>
                <w:color w:val="auto"/>
              </w:rPr>
              <w:t>Deferred revenue</w:t>
            </w:r>
          </w:p>
        </w:tc>
        <w:tc>
          <w:tcPr>
            <w:tcW w:w="314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1200" w:type="dxa"/>
            <w:vAlign w:val="bottom"/>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209,925</w:t>
            </w:r>
          </w:p>
        </w:tc>
        <w:tc>
          <w:tcPr>
            <w:tcW w:w="160" w:type="dxa"/>
            <w:vAlign w:val="bottom"/>
            <w:shd w:val="clear" w:color="auto" w:fill="C0C0C0"/>
          </w:tcPr>
          <w:p>
            <w:pPr>
              <w:spacing w:after="0"/>
              <w:rPr>
                <w:sz w:val="21"/>
                <w:szCs w:val="21"/>
                <w:color w:val="auto"/>
              </w:rPr>
            </w:pPr>
          </w:p>
        </w:tc>
        <w:tc>
          <w:tcPr>
            <w:tcW w:w="11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236,759</w:t>
            </w:r>
          </w:p>
        </w:tc>
        <w:tc>
          <w:tcPr>
            <w:tcW w:w="20" w:type="dxa"/>
            <w:vAlign w:val="bottom"/>
          </w:tcPr>
          <w:p>
            <w:pPr>
              <w:spacing w:after="0"/>
              <w:rPr>
                <w:sz w:val="21"/>
                <w:szCs w:val="21"/>
                <w:color w:val="auto"/>
              </w:rPr>
            </w:pPr>
          </w:p>
        </w:tc>
      </w:tr>
      <w:tr>
        <w:trPr>
          <w:trHeight w:val="235"/>
        </w:trPr>
        <w:tc>
          <w:tcPr>
            <w:tcW w:w="3740" w:type="dxa"/>
            <w:vAlign w:val="bottom"/>
          </w:tcPr>
          <w:p>
            <w:pPr>
              <w:spacing w:after="0"/>
              <w:rPr>
                <w:sz w:val="20"/>
                <w:szCs w:val="20"/>
                <w:color w:val="auto"/>
              </w:rPr>
            </w:pPr>
            <w:r>
              <w:rPr>
                <w:rFonts w:ascii="Arial" w:cs="Arial" w:eastAsia="Arial" w:hAnsi="Arial"/>
                <w:sz w:val="18"/>
                <w:szCs w:val="18"/>
                <w:color w:val="auto"/>
              </w:rPr>
              <w:t>Notes payable</w:t>
            </w:r>
          </w:p>
        </w:tc>
        <w:tc>
          <w:tcPr>
            <w:tcW w:w="3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200,000</w:t>
            </w:r>
          </w:p>
        </w:tc>
      </w:tr>
      <w:tr>
        <w:trPr>
          <w:trHeight w:val="244"/>
        </w:trPr>
        <w:tc>
          <w:tcPr>
            <w:tcW w:w="3740" w:type="dxa"/>
            <w:vAlign w:val="bottom"/>
            <w:shd w:val="clear" w:color="auto" w:fill="C0C0C0"/>
          </w:tcPr>
          <w:p>
            <w:pPr>
              <w:spacing w:after="0"/>
              <w:rPr>
                <w:sz w:val="20"/>
                <w:szCs w:val="20"/>
                <w:color w:val="auto"/>
              </w:rPr>
            </w:pPr>
            <w:r>
              <w:rPr>
                <w:rFonts w:ascii="Arial" w:cs="Arial" w:eastAsia="Arial" w:hAnsi="Arial"/>
                <w:sz w:val="18"/>
                <w:szCs w:val="18"/>
                <w:color w:val="auto"/>
              </w:rPr>
              <w:t>Stockholders' equity</w:t>
            </w:r>
          </w:p>
        </w:tc>
        <w:tc>
          <w:tcPr>
            <w:tcW w:w="314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1200" w:type="dxa"/>
            <w:vAlign w:val="bottom"/>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418,852</w:t>
            </w:r>
          </w:p>
        </w:tc>
        <w:tc>
          <w:tcPr>
            <w:tcW w:w="160" w:type="dxa"/>
            <w:vAlign w:val="bottom"/>
            <w:shd w:val="clear" w:color="auto" w:fill="C0C0C0"/>
          </w:tcPr>
          <w:p>
            <w:pPr>
              <w:spacing w:after="0"/>
              <w:rPr>
                <w:sz w:val="21"/>
                <w:szCs w:val="21"/>
                <w:color w:val="auto"/>
              </w:rPr>
            </w:pPr>
          </w:p>
        </w:tc>
        <w:tc>
          <w:tcPr>
            <w:tcW w:w="11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460,267</w:t>
            </w:r>
          </w:p>
        </w:tc>
        <w:tc>
          <w:tcPr>
            <w:tcW w:w="20" w:type="dxa"/>
            <w:vAlign w:val="bottom"/>
          </w:tcPr>
          <w:p>
            <w:pPr>
              <w:spacing w:after="0"/>
              <w:rPr>
                <w:sz w:val="21"/>
                <w:szCs w:val="21"/>
                <w:color w:val="auto"/>
              </w:rPr>
            </w:pPr>
          </w:p>
        </w:tc>
      </w:tr>
      <w:tr>
        <w:trPr>
          <w:trHeight w:val="230"/>
        </w:trPr>
        <w:tc>
          <w:tcPr>
            <w:tcW w:w="37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3740" w:type="dxa"/>
            <w:vAlign w:val="bottom"/>
            <w:shd w:val="clear" w:color="auto" w:fill="C0C0C0"/>
          </w:tcPr>
          <w:p>
            <w:pPr>
              <w:ind w:left="640"/>
              <w:spacing w:after="0"/>
              <w:rPr>
                <w:sz w:val="20"/>
                <w:szCs w:val="20"/>
                <w:color w:val="auto"/>
              </w:rPr>
            </w:pPr>
            <w:r>
              <w:rPr>
                <w:rFonts w:ascii="Arial" w:cs="Arial" w:eastAsia="Arial" w:hAnsi="Arial"/>
                <w:sz w:val="18"/>
                <w:szCs w:val="18"/>
                <w:color w:val="auto"/>
                <w:w w:val="99"/>
              </w:rPr>
              <w:t>Total liabilities and stockholders' equity</w:t>
            </w:r>
          </w:p>
        </w:tc>
        <w:tc>
          <w:tcPr>
            <w:tcW w:w="314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1200" w:type="dxa"/>
            <w:vAlign w:val="bottom"/>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$670,038</w:t>
            </w:r>
          </w:p>
        </w:tc>
        <w:tc>
          <w:tcPr>
            <w:tcW w:w="160" w:type="dxa"/>
            <w:vAlign w:val="bottom"/>
            <w:shd w:val="clear" w:color="auto" w:fill="C0C0C0"/>
          </w:tcPr>
          <w:p>
            <w:pPr>
              <w:spacing w:after="0"/>
              <w:rPr>
                <w:sz w:val="21"/>
                <w:szCs w:val="21"/>
                <w:color w:val="auto"/>
              </w:rPr>
            </w:pPr>
          </w:p>
        </w:tc>
        <w:tc>
          <w:tcPr>
            <w:tcW w:w="11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$936,258</w:t>
            </w:r>
          </w:p>
        </w:tc>
        <w:tc>
          <w:tcPr>
            <w:tcW w:w="20" w:type="dxa"/>
            <w:vAlign w:val="bottom"/>
          </w:tcPr>
          <w:p>
            <w:pPr>
              <w:spacing w:after="0"/>
              <w:rPr>
                <w:sz w:val="21"/>
                <w:szCs w:val="21"/>
                <w:color w:val="auto"/>
              </w:rPr>
            </w:pPr>
          </w:p>
        </w:tc>
      </w:tr>
      <w:tr>
        <w:trPr>
          <w:trHeight w:val="361"/>
        </w:trPr>
        <w:tc>
          <w:tcPr>
            <w:tcW w:w="3740" w:type="dxa"/>
            <w:vAlign w:val="bottom"/>
            <w:tcBorders>
              <w:top w:val="single" w:sz="8" w:color="C0C0C0"/>
              <w:bottom w:val="single" w:sz="8" w:color="808080"/>
            </w:tcBorders>
          </w:tcPr>
          <w:p>
            <w:pPr>
              <w:spacing w:after="0"/>
              <w:rPr>
                <w:sz w:val="24"/>
                <w:szCs w:val="24"/>
                <w:color w:val="auto"/>
              </w:rPr>
            </w:pPr>
          </w:p>
        </w:tc>
        <w:tc>
          <w:tcPr>
            <w:tcW w:w="3140" w:type="dxa"/>
            <w:vAlign w:val="bottom"/>
            <w:tcBorders>
              <w:top w:val="single" w:sz="8" w:color="C0C0C0"/>
              <w:bottom w:val="single" w:sz="8" w:color="808080"/>
            </w:tcBorders>
          </w:tcPr>
          <w:p>
            <w:pPr>
              <w:spacing w:after="0"/>
              <w:rPr>
                <w:sz w:val="24"/>
                <w:szCs w:val="24"/>
                <w:color w:val="auto"/>
              </w:rPr>
            </w:pPr>
          </w:p>
        </w:tc>
        <w:tc>
          <w:tcPr>
            <w:tcW w:w="900" w:type="dxa"/>
            <w:vAlign w:val="bottom"/>
            <w:tcBorders>
              <w:top w:val="single" w:sz="8" w:color="C0C0C0"/>
              <w:bottom w:val="single" w:sz="8" w:color="808080"/>
            </w:tcBorders>
          </w:tcPr>
          <w:p>
            <w:pPr>
              <w:spacing w:after="0"/>
              <w:rPr>
                <w:sz w:val="24"/>
                <w:szCs w:val="24"/>
                <w:color w:val="auto"/>
              </w:rPr>
            </w:pPr>
          </w:p>
        </w:tc>
        <w:tc>
          <w:tcPr>
            <w:tcW w:w="280" w:type="dxa"/>
            <w:vAlign w:val="bottom"/>
            <w:tcBorders>
              <w:top w:val="single" w:sz="8" w:color="C0C0C0"/>
              <w:bottom w:val="single" w:sz="8" w:color="808080"/>
            </w:tcBorders>
          </w:tcPr>
          <w:p>
            <w:pPr>
              <w:spacing w:after="0"/>
              <w:rPr>
                <w:sz w:val="24"/>
                <w:szCs w:val="24"/>
                <w:color w:val="auto"/>
              </w:rPr>
            </w:pPr>
          </w:p>
        </w:tc>
        <w:tc>
          <w:tcPr>
            <w:tcW w:w="100" w:type="dxa"/>
            <w:vAlign w:val="bottom"/>
            <w:tcBorders>
              <w:top w:val="single" w:sz="8" w:color="C0C0C0"/>
              <w:bottom w:val="single" w:sz="8" w:color="808080"/>
            </w:tcBorders>
          </w:tcPr>
          <w:p>
            <w:pPr>
              <w:spacing w:after="0"/>
              <w:rPr>
                <w:sz w:val="24"/>
                <w:szCs w:val="24"/>
                <w:color w:val="auto"/>
              </w:rPr>
            </w:pPr>
          </w:p>
        </w:tc>
        <w:tc>
          <w:tcPr>
            <w:tcW w:w="800" w:type="dxa"/>
            <w:vAlign w:val="bottom"/>
            <w:tcBorders>
              <w:top w:val="single" w:sz="8" w:color="C0C0C0"/>
              <w:bottom w:val="single" w:sz="8" w:color="808080"/>
            </w:tcBorders>
          </w:tcPr>
          <w:p>
            <w:pPr>
              <w:spacing w:after="0"/>
              <w:rPr>
                <w:sz w:val="24"/>
                <w:szCs w:val="24"/>
                <w:color w:val="auto"/>
              </w:rPr>
            </w:pPr>
          </w:p>
        </w:tc>
        <w:tc>
          <w:tcPr>
            <w:tcW w:w="280" w:type="dxa"/>
            <w:vAlign w:val="bottom"/>
            <w:tcBorders>
              <w:top w:val="single" w:sz="8" w:color="auto"/>
              <w:bottom w:val="single" w:sz="8" w:color="808080"/>
            </w:tcBorders>
          </w:tcPr>
          <w:p>
            <w:pPr>
              <w:spacing w:after="0"/>
              <w:rPr>
                <w:sz w:val="24"/>
                <w:szCs w:val="24"/>
                <w:color w:val="auto"/>
              </w:rPr>
            </w:pPr>
          </w:p>
        </w:tc>
        <w:tc>
          <w:tcPr>
            <w:tcW w:w="82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0C0C0"/>
              <w:bottom w:val="single" w:sz="8" w:color="808080"/>
            </w:tcBorders>
          </w:tcPr>
          <w:p>
            <w:pPr>
              <w:spacing w:after="0"/>
              <w:rPr>
                <w:sz w:val="24"/>
                <w:szCs w:val="24"/>
                <w:color w:val="auto"/>
              </w:rPr>
            </w:pPr>
          </w:p>
        </w:tc>
        <w:tc>
          <w:tcPr>
            <w:tcW w:w="160" w:type="dxa"/>
            <w:vAlign w:val="bottom"/>
            <w:tcBorders>
              <w:top w:val="single" w:sz="8" w:color="C0C0C0"/>
              <w:bottom w:val="single" w:sz="8" w:color="808080"/>
            </w:tcBorders>
          </w:tcPr>
          <w:p>
            <w:pPr>
              <w:spacing w:after="0"/>
              <w:rPr>
                <w:sz w:val="24"/>
                <w:szCs w:val="24"/>
                <w:color w:val="auto"/>
              </w:rPr>
            </w:pPr>
          </w:p>
        </w:tc>
        <w:tc>
          <w:tcPr>
            <w:tcW w:w="120" w:type="dxa"/>
            <w:vAlign w:val="bottom"/>
            <w:tcBorders>
              <w:top w:val="single" w:sz="8" w:color="auto"/>
              <w:bottom w:val="single" w:sz="8" w:color="808080"/>
            </w:tcBorders>
          </w:tcPr>
          <w:p>
            <w:pPr>
              <w:spacing w:after="0"/>
              <w:rPr>
                <w:sz w:val="24"/>
                <w:szCs w:val="24"/>
                <w:color w:val="auto"/>
              </w:rPr>
            </w:pPr>
          </w:p>
        </w:tc>
        <w:tc>
          <w:tcPr>
            <w:tcW w:w="980" w:type="dxa"/>
            <w:vAlign w:val="bottom"/>
            <w:tcBorders>
              <w:top w:val="single" w:sz="8" w:color="auto"/>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415"/>
        </w:trPr>
        <w:tc>
          <w:tcPr>
            <w:tcW w:w="3740" w:type="dxa"/>
            <w:vAlign w:val="bottom"/>
          </w:tcPr>
          <w:p>
            <w:pPr>
              <w:spacing w:after="0"/>
              <w:rPr>
                <w:sz w:val="24"/>
                <w:szCs w:val="24"/>
                <w:color w:val="auto"/>
              </w:rPr>
            </w:pPr>
          </w:p>
        </w:tc>
        <w:tc>
          <w:tcPr>
            <w:tcW w:w="442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98"/>
              </w:rPr>
              <w:t>REGENERON PHARMACEUTICALS, INC.</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8160" w:type="dxa"/>
            <w:vAlign w:val="bottom"/>
            <w:gridSpan w:val="5"/>
          </w:tcPr>
          <w:p>
            <w:pPr>
              <w:jc w:val="center"/>
              <w:ind w:left="3172"/>
              <w:spacing w:after="0"/>
              <w:rPr>
                <w:sz w:val="20"/>
                <w:szCs w:val="20"/>
                <w:color w:val="auto"/>
              </w:rPr>
            </w:pPr>
            <w:r>
              <w:rPr>
                <w:rFonts w:ascii="Arial" w:cs="Arial" w:eastAsia="Arial" w:hAnsi="Arial"/>
                <w:sz w:val="18"/>
                <w:szCs w:val="18"/>
                <w:b w:val="1"/>
                <w:bCs w:val="1"/>
                <w:color w:val="auto"/>
                <w:w w:val="94"/>
              </w:rPr>
              <w:t>CONDENSED STATEMENTS OF OPERATIONS (Unaudited)</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2"/>
        </w:trPr>
        <w:tc>
          <w:tcPr>
            <w:tcW w:w="3740" w:type="dxa"/>
            <w:vAlign w:val="bottom"/>
          </w:tcPr>
          <w:p>
            <w:pPr>
              <w:spacing w:after="0"/>
              <w:rPr>
                <w:sz w:val="19"/>
                <w:szCs w:val="19"/>
                <w:color w:val="auto"/>
              </w:rPr>
            </w:pPr>
          </w:p>
        </w:tc>
        <w:tc>
          <w:tcPr>
            <w:tcW w:w="4420" w:type="dxa"/>
            <w:vAlign w:val="bottom"/>
            <w:gridSpan w:val="4"/>
          </w:tcPr>
          <w:p>
            <w:pPr>
              <w:jc w:val="center"/>
              <w:ind w:right="480"/>
              <w:spacing w:after="0"/>
              <w:rPr>
                <w:sz w:val="20"/>
                <w:szCs w:val="20"/>
                <w:color w:val="auto"/>
              </w:rPr>
            </w:pPr>
            <w:r>
              <w:rPr>
                <w:rFonts w:ascii="Arial" w:cs="Arial" w:eastAsia="Arial" w:hAnsi="Arial"/>
                <w:sz w:val="18"/>
                <w:szCs w:val="18"/>
                <w:b w:val="1"/>
                <w:bCs w:val="1"/>
                <w:i w:val="1"/>
                <w:iCs w:val="1"/>
                <w:color w:val="auto"/>
                <w:w w:val="84"/>
              </w:rPr>
              <w:t>(In thousands, except per share data)</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6"/>
        </w:trPr>
        <w:tc>
          <w:tcPr>
            <w:tcW w:w="37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80" w:type="dxa"/>
            <w:vAlign w:val="bottom"/>
            <w:gridSpan w:val="4"/>
          </w:tcPr>
          <w:p>
            <w:pPr>
              <w:jc w:val="right"/>
              <w:ind w:right="152"/>
              <w:spacing w:after="0"/>
              <w:rPr>
                <w:sz w:val="20"/>
                <w:szCs w:val="20"/>
                <w:color w:val="auto"/>
              </w:rPr>
            </w:pPr>
            <w:r>
              <w:rPr>
                <w:rFonts w:ascii="Arial" w:cs="Arial" w:eastAsia="Arial" w:hAnsi="Arial"/>
                <w:sz w:val="18"/>
                <w:szCs w:val="18"/>
                <w:b w:val="1"/>
                <w:bCs w:val="1"/>
                <w:color w:val="auto"/>
              </w:rPr>
              <w:t>For the three months</w:t>
            </w:r>
          </w:p>
        </w:tc>
        <w:tc>
          <w:tcPr>
            <w:tcW w:w="280" w:type="dxa"/>
            <w:vAlign w:val="bottom"/>
          </w:tcPr>
          <w:p>
            <w:pPr>
              <w:spacing w:after="0"/>
              <w:rPr>
                <w:sz w:val="24"/>
                <w:szCs w:val="24"/>
                <w:color w:val="auto"/>
              </w:rPr>
            </w:pPr>
          </w:p>
        </w:tc>
        <w:tc>
          <w:tcPr>
            <w:tcW w:w="220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For the year</w:t>
            </w:r>
          </w:p>
        </w:tc>
      </w:tr>
      <w:tr>
        <w:trPr>
          <w:trHeight w:val="243"/>
        </w:trPr>
        <w:tc>
          <w:tcPr>
            <w:tcW w:w="374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2080" w:type="dxa"/>
            <w:vAlign w:val="bottom"/>
            <w:gridSpan w:val="4"/>
          </w:tcPr>
          <w:p>
            <w:pPr>
              <w:jc w:val="right"/>
              <w:ind w:right="192"/>
              <w:spacing w:after="0"/>
              <w:rPr>
                <w:sz w:val="20"/>
                <w:szCs w:val="20"/>
                <w:color w:val="auto"/>
              </w:rPr>
            </w:pPr>
            <w:r>
              <w:rPr>
                <w:rFonts w:ascii="Arial" w:cs="Arial" w:eastAsia="Arial" w:hAnsi="Arial"/>
                <w:sz w:val="18"/>
                <w:szCs w:val="18"/>
                <w:b w:val="1"/>
                <w:bCs w:val="1"/>
                <w:color w:val="auto"/>
              </w:rPr>
              <w:t>ended December 31,</w:t>
            </w:r>
          </w:p>
        </w:tc>
        <w:tc>
          <w:tcPr>
            <w:tcW w:w="280" w:type="dxa"/>
            <w:vAlign w:val="bottom"/>
          </w:tcPr>
          <w:p>
            <w:pPr>
              <w:spacing w:after="0"/>
              <w:rPr>
                <w:sz w:val="21"/>
                <w:szCs w:val="21"/>
                <w:color w:val="auto"/>
              </w:rPr>
            </w:pPr>
          </w:p>
        </w:tc>
        <w:tc>
          <w:tcPr>
            <w:tcW w:w="220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rPr>
              <w:t>ended December 31,</w:t>
            </w:r>
          </w:p>
        </w:tc>
      </w:tr>
      <w:tr>
        <w:trPr>
          <w:trHeight w:val="252"/>
        </w:trPr>
        <w:tc>
          <w:tcPr>
            <w:tcW w:w="3740" w:type="dxa"/>
            <w:vAlign w:val="bottom"/>
          </w:tcPr>
          <w:p>
            <w:pPr>
              <w:spacing w:after="0"/>
              <w:rPr>
                <w:sz w:val="21"/>
                <w:szCs w:val="21"/>
                <w:color w:val="auto"/>
              </w:rPr>
            </w:pPr>
          </w:p>
        </w:tc>
        <w:tc>
          <w:tcPr>
            <w:tcW w:w="404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ind w:right="192"/>
              <w:spacing w:after="0"/>
              <w:rPr>
                <w:sz w:val="20"/>
                <w:szCs w:val="20"/>
                <w:color w:val="auto"/>
              </w:rPr>
            </w:pPr>
            <w:r>
              <w:rPr>
                <w:rFonts w:ascii="Arial" w:cs="Arial" w:eastAsia="Arial" w:hAnsi="Arial"/>
                <w:sz w:val="18"/>
                <w:szCs w:val="18"/>
                <w:b w:val="1"/>
                <w:bCs w:val="1"/>
                <w:color w:val="auto"/>
              </w:rPr>
              <w:t>2007</w:t>
            </w:r>
          </w:p>
        </w:tc>
        <w:tc>
          <w:tcPr>
            <w:tcW w:w="110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32"/>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21"/>
                <w:szCs w:val="21"/>
                <w:color w:val="auto"/>
              </w:rPr>
            </w:pPr>
          </w:p>
        </w:tc>
      </w:tr>
      <w:tr>
        <w:trPr>
          <w:trHeight w:val="230"/>
        </w:trPr>
        <w:tc>
          <w:tcPr>
            <w:tcW w:w="374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Revenues</w:t>
            </w:r>
          </w:p>
        </w:tc>
        <w:tc>
          <w:tcPr>
            <w:tcW w:w="3140" w:type="dxa"/>
            <w:vAlign w:val="bottom"/>
            <w:tcBorders>
              <w:top w:val="single" w:sz="8" w:color="C0C0C0"/>
            </w:tcBorders>
            <w:shd w:val="clear" w:color="auto" w:fill="C0C0C0"/>
          </w:tcPr>
          <w:p>
            <w:pPr>
              <w:spacing w:after="0"/>
              <w:rPr>
                <w:sz w:val="19"/>
                <w:szCs w:val="19"/>
                <w:color w:val="auto"/>
              </w:rPr>
            </w:pPr>
          </w:p>
        </w:tc>
        <w:tc>
          <w:tcPr>
            <w:tcW w:w="900" w:type="dxa"/>
            <w:vAlign w:val="bottom"/>
            <w:tcBorders>
              <w:top w:val="single" w:sz="8" w:color="auto"/>
            </w:tcBorders>
            <w:shd w:val="clear" w:color="auto" w:fill="C0C0C0"/>
          </w:tcPr>
          <w:p>
            <w:pPr>
              <w:spacing w:after="0"/>
              <w:rPr>
                <w:sz w:val="19"/>
                <w:szCs w:val="19"/>
                <w:color w:val="auto"/>
              </w:rPr>
            </w:pPr>
          </w:p>
        </w:tc>
        <w:tc>
          <w:tcPr>
            <w:tcW w:w="280" w:type="dxa"/>
            <w:vAlign w:val="bottom"/>
            <w:tcBorders>
              <w:top w:val="single" w:sz="8" w:color="C0C0C0"/>
            </w:tcBorders>
            <w:shd w:val="clear" w:color="auto" w:fill="C0C0C0"/>
          </w:tcPr>
          <w:p>
            <w:pPr>
              <w:spacing w:after="0"/>
              <w:rPr>
                <w:sz w:val="19"/>
                <w:szCs w:val="19"/>
                <w:color w:val="auto"/>
              </w:rPr>
            </w:pPr>
          </w:p>
        </w:tc>
        <w:tc>
          <w:tcPr>
            <w:tcW w:w="100" w:type="dxa"/>
            <w:vAlign w:val="bottom"/>
            <w:tcBorders>
              <w:top w:val="single" w:sz="8" w:color="auto"/>
            </w:tcBorders>
            <w:shd w:val="clear" w:color="auto" w:fill="C0C0C0"/>
          </w:tcPr>
          <w:p>
            <w:pPr>
              <w:spacing w:after="0"/>
              <w:rPr>
                <w:sz w:val="19"/>
                <w:szCs w:val="19"/>
                <w:color w:val="auto"/>
              </w:rPr>
            </w:pPr>
          </w:p>
        </w:tc>
        <w:tc>
          <w:tcPr>
            <w:tcW w:w="800" w:type="dxa"/>
            <w:vAlign w:val="bottom"/>
            <w:tcBorders>
              <w:top w:val="single" w:sz="8" w:color="auto"/>
            </w:tcBorders>
            <w:shd w:val="clear" w:color="auto" w:fill="C0C0C0"/>
          </w:tcPr>
          <w:p>
            <w:pPr>
              <w:spacing w:after="0"/>
              <w:rPr>
                <w:sz w:val="19"/>
                <w:szCs w:val="19"/>
                <w:color w:val="auto"/>
              </w:rPr>
            </w:pPr>
          </w:p>
        </w:tc>
        <w:tc>
          <w:tcPr>
            <w:tcW w:w="280" w:type="dxa"/>
            <w:vAlign w:val="bottom"/>
            <w:tcBorders>
              <w:top w:val="single" w:sz="8" w:color="C0C0C0"/>
            </w:tcBorders>
            <w:shd w:val="clear" w:color="auto" w:fill="C0C0C0"/>
          </w:tcPr>
          <w:p>
            <w:pPr>
              <w:spacing w:after="0"/>
              <w:rPr>
                <w:sz w:val="19"/>
                <w:szCs w:val="19"/>
                <w:color w:val="auto"/>
              </w:rPr>
            </w:pPr>
          </w:p>
        </w:tc>
        <w:tc>
          <w:tcPr>
            <w:tcW w:w="820" w:type="dxa"/>
            <w:vAlign w:val="bottom"/>
            <w:tcBorders>
              <w:top w:val="single" w:sz="8" w:color="auto"/>
            </w:tcBorders>
            <w:shd w:val="clear" w:color="auto" w:fill="C0C0C0"/>
          </w:tcPr>
          <w:p>
            <w:pPr>
              <w:spacing w:after="0"/>
              <w:rPr>
                <w:sz w:val="19"/>
                <w:szCs w:val="19"/>
                <w:color w:val="auto"/>
              </w:rPr>
            </w:pPr>
          </w:p>
        </w:tc>
        <w:tc>
          <w:tcPr>
            <w:tcW w:w="100" w:type="dxa"/>
            <w:vAlign w:val="bottom"/>
            <w:tcBorders>
              <w:top w:val="single" w:sz="8" w:color="auto"/>
            </w:tcBorders>
            <w:shd w:val="clear" w:color="auto" w:fill="C0C0C0"/>
          </w:tcPr>
          <w:p>
            <w:pPr>
              <w:spacing w:after="0"/>
              <w:rPr>
                <w:sz w:val="19"/>
                <w:szCs w:val="19"/>
                <w:color w:val="auto"/>
              </w:rPr>
            </w:pPr>
          </w:p>
        </w:tc>
        <w:tc>
          <w:tcPr>
            <w:tcW w:w="160" w:type="dxa"/>
            <w:vAlign w:val="bottom"/>
            <w:tcBorders>
              <w:top w:val="single" w:sz="8" w:color="C0C0C0"/>
            </w:tcBorders>
            <w:shd w:val="clear" w:color="auto" w:fill="C0C0C0"/>
          </w:tcPr>
          <w:p>
            <w:pPr>
              <w:spacing w:after="0"/>
              <w:rPr>
                <w:sz w:val="19"/>
                <w:szCs w:val="19"/>
                <w:color w:val="auto"/>
              </w:rPr>
            </w:pPr>
          </w:p>
        </w:tc>
        <w:tc>
          <w:tcPr>
            <w:tcW w:w="120" w:type="dxa"/>
            <w:vAlign w:val="bottom"/>
            <w:tcBorders>
              <w:top w:val="single" w:sz="8" w:color="C0C0C0"/>
            </w:tcBorders>
            <w:shd w:val="clear" w:color="auto" w:fill="C0C0C0"/>
          </w:tcPr>
          <w:p>
            <w:pPr>
              <w:spacing w:after="0"/>
              <w:rPr>
                <w:sz w:val="19"/>
                <w:szCs w:val="19"/>
                <w:color w:val="auto"/>
              </w:rPr>
            </w:pPr>
          </w:p>
        </w:tc>
        <w:tc>
          <w:tcPr>
            <w:tcW w:w="980" w:type="dxa"/>
            <w:vAlign w:val="bottom"/>
            <w:tcBorders>
              <w:top w:val="single" w:sz="8" w:color="auto"/>
            </w:tcBorders>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35"/>
        </w:trPr>
        <w:tc>
          <w:tcPr>
            <w:tcW w:w="3740" w:type="dxa"/>
            <w:vAlign w:val="bottom"/>
          </w:tcPr>
          <w:p>
            <w:pPr>
              <w:ind w:left="320"/>
              <w:spacing w:after="0"/>
              <w:rPr>
                <w:sz w:val="20"/>
                <w:szCs w:val="20"/>
                <w:color w:val="auto"/>
              </w:rPr>
            </w:pPr>
            <w:r>
              <w:rPr>
                <w:rFonts w:ascii="Arial" w:cs="Arial" w:eastAsia="Arial" w:hAnsi="Arial"/>
                <w:sz w:val="18"/>
                <w:szCs w:val="18"/>
                <w:color w:val="auto"/>
              </w:rPr>
              <w:t>Contract research and development</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$ 42,294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w w:val="96"/>
              </w:rPr>
              <w:t>$ 54,730</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$192,208</w:t>
            </w:r>
          </w:p>
        </w:tc>
        <w:tc>
          <w:tcPr>
            <w:tcW w:w="160" w:type="dxa"/>
            <w:vAlign w:val="bottom"/>
          </w:tcPr>
          <w:p>
            <w:pPr>
              <w:spacing w:after="0"/>
              <w:rPr>
                <w:sz w:val="20"/>
                <w:szCs w:val="20"/>
                <w:color w:val="auto"/>
              </w:rPr>
            </w:pP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  96,603</w:t>
            </w:r>
          </w:p>
        </w:tc>
        <w:tc>
          <w:tcPr>
            <w:tcW w:w="20" w:type="dxa"/>
            <w:vAlign w:val="bottom"/>
          </w:tcPr>
          <w:p>
            <w:pPr>
              <w:spacing w:after="0"/>
              <w:rPr>
                <w:sz w:val="20"/>
                <w:szCs w:val="20"/>
                <w:color w:val="auto"/>
              </w:rPr>
            </w:pPr>
          </w:p>
        </w:tc>
      </w:tr>
      <w:tr>
        <w:trPr>
          <w:trHeight w:val="251"/>
        </w:trPr>
        <w:tc>
          <w:tcPr>
            <w:tcW w:w="37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Technology licensing</w:t>
            </w:r>
          </w:p>
        </w:tc>
        <w:tc>
          <w:tcPr>
            <w:tcW w:w="40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10,000</w:t>
            </w:r>
          </w:p>
        </w:tc>
        <w:tc>
          <w:tcPr>
            <w:tcW w:w="1200" w:type="dxa"/>
            <w:vAlign w:val="bottom"/>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40,000</w:t>
            </w:r>
          </w:p>
        </w:tc>
        <w:tc>
          <w:tcPr>
            <w:tcW w:w="160" w:type="dxa"/>
            <w:vAlign w:val="bottom"/>
            <w:shd w:val="clear" w:color="auto" w:fill="C0C0C0"/>
          </w:tcPr>
          <w:p>
            <w:pPr>
              <w:spacing w:after="0"/>
              <w:rPr>
                <w:sz w:val="21"/>
                <w:szCs w:val="21"/>
                <w:color w:val="auto"/>
              </w:rPr>
            </w:pPr>
          </w:p>
        </w:tc>
        <w:tc>
          <w:tcPr>
            <w:tcW w:w="110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28,421</w:t>
            </w:r>
          </w:p>
        </w:tc>
        <w:tc>
          <w:tcPr>
            <w:tcW w:w="20" w:type="dxa"/>
            <w:vAlign w:val="bottom"/>
          </w:tcPr>
          <w:p>
            <w:pPr>
              <w:spacing w:after="0"/>
              <w:rPr>
                <w:sz w:val="21"/>
                <w:szCs w:val="21"/>
                <w:color w:val="auto"/>
              </w:rPr>
            </w:pPr>
          </w:p>
        </w:tc>
      </w:tr>
      <w:tr>
        <w:trPr>
          <w:trHeight w:val="237"/>
        </w:trPr>
        <w:tc>
          <w:tcPr>
            <w:tcW w:w="374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Net product sales</w:t>
            </w:r>
          </w:p>
        </w:tc>
        <w:tc>
          <w:tcPr>
            <w:tcW w:w="3140" w:type="dxa"/>
            <w:vAlign w:val="bottom"/>
            <w:tcBorders>
              <w:bottom w:val="single" w:sz="8" w:color="C0C0C0"/>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3,543</w:t>
            </w:r>
          </w:p>
        </w:tc>
        <w:tc>
          <w:tcPr>
            <w:tcW w:w="28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6,249</w:t>
            </w:r>
          </w:p>
        </w:tc>
        <w:tc>
          <w:tcPr>
            <w:tcW w:w="16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3740" w:type="dxa"/>
            <w:vAlign w:val="bottom"/>
            <w:shd w:val="clear" w:color="auto" w:fill="C0C0C0"/>
          </w:tcPr>
          <w:p>
            <w:pPr>
              <w:spacing w:after="0"/>
              <w:rPr>
                <w:sz w:val="20"/>
                <w:szCs w:val="20"/>
                <w:color w:val="auto"/>
              </w:rPr>
            </w:pPr>
          </w:p>
        </w:tc>
        <w:tc>
          <w:tcPr>
            <w:tcW w:w="40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55,837</w:t>
            </w:r>
          </w:p>
        </w:tc>
        <w:tc>
          <w:tcPr>
            <w:tcW w:w="2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64,730</w:t>
            </w:r>
          </w:p>
        </w:tc>
        <w:tc>
          <w:tcPr>
            <w:tcW w:w="1200" w:type="dxa"/>
            <w:vAlign w:val="bottom"/>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238,457</w:t>
            </w:r>
          </w:p>
        </w:tc>
        <w:tc>
          <w:tcPr>
            <w:tcW w:w="160" w:type="dxa"/>
            <w:vAlign w:val="bottom"/>
            <w:shd w:val="clear" w:color="auto" w:fill="C0C0C0"/>
          </w:tcPr>
          <w:p>
            <w:pPr>
              <w:spacing w:after="0"/>
              <w:rPr>
                <w:sz w:val="20"/>
                <w:szCs w:val="20"/>
                <w:color w:val="auto"/>
              </w:rPr>
            </w:pPr>
          </w:p>
        </w:tc>
        <w:tc>
          <w:tcPr>
            <w:tcW w:w="110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125,024</w:t>
            </w:r>
          </w:p>
        </w:tc>
        <w:tc>
          <w:tcPr>
            <w:tcW w:w="20" w:type="dxa"/>
            <w:vAlign w:val="bottom"/>
          </w:tcPr>
          <w:p>
            <w:pPr>
              <w:spacing w:after="0"/>
              <w:rPr>
                <w:sz w:val="20"/>
                <w:szCs w:val="20"/>
                <w:color w:val="auto"/>
              </w:rPr>
            </w:pPr>
          </w:p>
        </w:tc>
      </w:tr>
      <w:tr>
        <w:trPr>
          <w:trHeight w:val="230"/>
        </w:trPr>
        <w:tc>
          <w:tcPr>
            <w:tcW w:w="37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3740" w:type="dxa"/>
            <w:vAlign w:val="bottom"/>
            <w:shd w:val="clear" w:color="auto" w:fill="C0C0C0"/>
          </w:tcPr>
          <w:p>
            <w:pPr>
              <w:spacing w:after="0"/>
              <w:rPr>
                <w:sz w:val="20"/>
                <w:szCs w:val="20"/>
                <w:color w:val="auto"/>
              </w:rPr>
            </w:pPr>
            <w:r>
              <w:rPr>
                <w:rFonts w:ascii="Arial" w:cs="Arial" w:eastAsia="Arial" w:hAnsi="Arial"/>
                <w:sz w:val="18"/>
                <w:szCs w:val="18"/>
                <w:color w:val="auto"/>
              </w:rPr>
              <w:t>Expenses</w:t>
            </w:r>
          </w:p>
        </w:tc>
        <w:tc>
          <w:tcPr>
            <w:tcW w:w="314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374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76,314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64,825</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278,016</w:t>
            </w:r>
          </w:p>
        </w:tc>
        <w:tc>
          <w:tcPr>
            <w:tcW w:w="160" w:type="dxa"/>
            <w:vAlign w:val="bottom"/>
          </w:tcPr>
          <w:p>
            <w:pPr>
              <w:spacing w:after="0"/>
              <w:rPr>
                <w:sz w:val="20"/>
                <w:szCs w:val="20"/>
                <w:color w:val="auto"/>
              </w:rPr>
            </w:pP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201,613</w:t>
            </w:r>
          </w:p>
        </w:tc>
        <w:tc>
          <w:tcPr>
            <w:tcW w:w="20" w:type="dxa"/>
            <w:vAlign w:val="bottom"/>
          </w:tcPr>
          <w:p>
            <w:pPr>
              <w:spacing w:after="0"/>
              <w:rPr>
                <w:sz w:val="20"/>
                <w:szCs w:val="20"/>
                <w:color w:val="auto"/>
              </w:rPr>
            </w:pPr>
          </w:p>
        </w:tc>
      </w:tr>
      <w:tr>
        <w:trPr>
          <w:trHeight w:val="251"/>
        </w:trPr>
        <w:tc>
          <w:tcPr>
            <w:tcW w:w="37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Selling, general, and administrative</w:t>
            </w:r>
          </w:p>
        </w:tc>
        <w:tc>
          <w:tcPr>
            <w:tcW w:w="40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13,491</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11,439</w:t>
            </w:r>
          </w:p>
        </w:tc>
        <w:tc>
          <w:tcPr>
            <w:tcW w:w="1200" w:type="dxa"/>
            <w:vAlign w:val="bottom"/>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49,348</w:t>
            </w:r>
          </w:p>
        </w:tc>
        <w:tc>
          <w:tcPr>
            <w:tcW w:w="160" w:type="dxa"/>
            <w:vAlign w:val="bottom"/>
            <w:shd w:val="clear" w:color="auto" w:fill="C0C0C0"/>
          </w:tcPr>
          <w:p>
            <w:pPr>
              <w:spacing w:after="0"/>
              <w:rPr>
                <w:sz w:val="21"/>
                <w:szCs w:val="21"/>
                <w:color w:val="auto"/>
              </w:rPr>
            </w:pPr>
          </w:p>
        </w:tc>
        <w:tc>
          <w:tcPr>
            <w:tcW w:w="110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37,865</w:t>
            </w:r>
          </w:p>
        </w:tc>
        <w:tc>
          <w:tcPr>
            <w:tcW w:w="20" w:type="dxa"/>
            <w:vAlign w:val="bottom"/>
          </w:tcPr>
          <w:p>
            <w:pPr>
              <w:spacing w:after="0"/>
              <w:rPr>
                <w:sz w:val="21"/>
                <w:szCs w:val="21"/>
                <w:color w:val="auto"/>
              </w:rPr>
            </w:pPr>
          </w:p>
        </w:tc>
      </w:tr>
      <w:tr>
        <w:trPr>
          <w:trHeight w:val="237"/>
        </w:trPr>
        <w:tc>
          <w:tcPr>
            <w:tcW w:w="374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Cost of goods sold</w:t>
            </w:r>
          </w:p>
        </w:tc>
        <w:tc>
          <w:tcPr>
            <w:tcW w:w="3140" w:type="dxa"/>
            <w:vAlign w:val="bottom"/>
            <w:tcBorders>
              <w:bottom w:val="single" w:sz="8" w:color="C0C0C0"/>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28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923</w:t>
            </w:r>
          </w:p>
        </w:tc>
        <w:tc>
          <w:tcPr>
            <w:tcW w:w="16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3740" w:type="dxa"/>
            <w:vAlign w:val="bottom"/>
            <w:shd w:val="clear" w:color="auto" w:fill="C0C0C0"/>
          </w:tcPr>
          <w:p>
            <w:pPr>
              <w:spacing w:after="0"/>
              <w:rPr>
                <w:sz w:val="20"/>
                <w:szCs w:val="20"/>
                <w:color w:val="auto"/>
              </w:rPr>
            </w:pPr>
          </w:p>
        </w:tc>
        <w:tc>
          <w:tcPr>
            <w:tcW w:w="3140" w:type="dxa"/>
            <w:vAlign w:val="bottom"/>
            <w:shd w:val="clear" w:color="auto" w:fill="C0C0C0"/>
          </w:tcPr>
          <w:p>
            <w:pPr>
              <w:spacing w:after="0"/>
              <w:rPr>
                <w:sz w:val="20"/>
                <w:szCs w:val="20"/>
                <w:color w:val="auto"/>
              </w:rPr>
            </w:pPr>
          </w:p>
        </w:tc>
        <w:tc>
          <w:tcPr>
            <w:tcW w:w="9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90,436</w:t>
            </w:r>
          </w:p>
        </w:tc>
        <w:tc>
          <w:tcPr>
            <w:tcW w:w="28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8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76,264</w:t>
            </w:r>
          </w:p>
        </w:tc>
        <w:tc>
          <w:tcPr>
            <w:tcW w:w="280" w:type="dxa"/>
            <w:vAlign w:val="bottom"/>
            <w:shd w:val="clear" w:color="auto" w:fill="C0C0C0"/>
          </w:tcPr>
          <w:p>
            <w:pPr>
              <w:spacing w:after="0"/>
              <w:rPr>
                <w:sz w:val="20"/>
                <w:szCs w:val="20"/>
                <w:color w:val="auto"/>
              </w:rPr>
            </w:pPr>
          </w:p>
        </w:tc>
        <w:tc>
          <w:tcPr>
            <w:tcW w:w="920" w:type="dxa"/>
            <w:vAlign w:val="bottom"/>
            <w:tcBorders>
              <w:bottom w:val="single" w:sz="8" w:color="auto"/>
            </w:tcBorders>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328,287</w:t>
            </w:r>
          </w:p>
        </w:tc>
        <w:tc>
          <w:tcPr>
            <w:tcW w:w="1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9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239,478</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-6461125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-6461125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-2885440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-2885440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1"/>
        </w:trPr>
        <w:tc>
          <w:tcPr>
            <w:tcW w:w="6880" w:type="dxa"/>
            <w:vAlign w:val="bottom"/>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(34,599)</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(11,534)</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(89,830)</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(114,454)</w:t>
            </w:r>
          </w:p>
        </w:tc>
        <w:tc>
          <w:tcPr>
            <w:tcW w:w="20" w:type="dxa"/>
            <w:vAlign w:val="bottom"/>
          </w:tcPr>
          <w:p>
            <w:pPr>
              <w:spacing w:after="0"/>
              <w:rPr>
                <w:sz w:val="20"/>
                <w:szCs w:val="20"/>
                <w:color w:val="auto"/>
              </w:rPr>
            </w:pPr>
          </w:p>
        </w:tc>
      </w:tr>
      <w:tr>
        <w:trPr>
          <w:trHeight w:val="230"/>
        </w:trPr>
        <w:tc>
          <w:tcPr>
            <w:tcW w:w="6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6880" w:type="dxa"/>
            <w:vAlign w:val="bottom"/>
            <w:shd w:val="clear" w:color="auto" w:fill="C0C0C0"/>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6880" w:type="dxa"/>
            <w:vAlign w:val="bottom"/>
          </w:tcPr>
          <w:p>
            <w:pPr>
              <w:ind w:left="320"/>
              <w:spacing w:after="0"/>
              <w:rPr>
                <w:sz w:val="20"/>
                <w:szCs w:val="20"/>
                <w:color w:val="auto"/>
              </w:rPr>
            </w:pPr>
            <w:r>
              <w:rPr>
                <w:rFonts w:ascii="Arial" w:cs="Arial" w:eastAsia="Arial" w:hAnsi="Arial"/>
                <w:sz w:val="18"/>
                <w:szCs w:val="18"/>
                <w:color w:val="auto"/>
              </w:rPr>
              <w:t>Investment income</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2,648</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1,473</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18,161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20,897</w:t>
            </w:r>
          </w:p>
        </w:tc>
        <w:tc>
          <w:tcPr>
            <w:tcW w:w="20" w:type="dxa"/>
            <w:vAlign w:val="bottom"/>
          </w:tcPr>
          <w:p>
            <w:pPr>
              <w:spacing w:after="0"/>
              <w:rPr>
                <w:sz w:val="20"/>
                <w:szCs w:val="20"/>
                <w:color w:val="auto"/>
              </w:rPr>
            </w:pPr>
          </w:p>
        </w:tc>
      </w:tr>
      <w:tr>
        <w:trPr>
          <w:trHeight w:val="251"/>
        </w:trPr>
        <w:tc>
          <w:tcPr>
            <w:tcW w:w="68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(295)</w:t>
            </w:r>
          </w:p>
        </w:tc>
        <w:tc>
          <w:tcPr>
            <w:tcW w:w="2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(3,010)</w:t>
            </w:r>
          </w:p>
        </w:tc>
        <w:tc>
          <w:tcPr>
            <w:tcW w:w="2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(7,752)</w:t>
            </w:r>
          </w:p>
        </w:tc>
        <w:tc>
          <w:tcPr>
            <w:tcW w:w="2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8"/>
              </w:rPr>
              <w:t>(12,043)</w:t>
            </w:r>
          </w:p>
        </w:tc>
        <w:tc>
          <w:tcPr>
            <w:tcW w:w="20" w:type="dxa"/>
            <w:vAlign w:val="bottom"/>
          </w:tcPr>
          <w:p>
            <w:pPr>
              <w:spacing w:after="0"/>
              <w:rPr>
                <w:sz w:val="21"/>
                <w:szCs w:val="21"/>
                <w:color w:val="auto"/>
              </w:rPr>
            </w:pPr>
          </w:p>
        </w:tc>
      </w:tr>
      <w:tr>
        <w:trPr>
          <w:trHeight w:val="237"/>
        </w:trPr>
        <w:tc>
          <w:tcPr>
            <w:tcW w:w="688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Loss on early extinguishment of debt</w:t>
            </w: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280" w:type="dxa"/>
            <w:vAlign w:val="bottom"/>
            <w:tcBorders>
              <w:bottom w:val="single" w:sz="8" w:color="C0C0C0"/>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6880" w:type="dxa"/>
            <w:vAlign w:val="bottom"/>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2,353</w:t>
            </w:r>
          </w:p>
        </w:tc>
        <w:tc>
          <w:tcPr>
            <w:tcW w:w="280" w:type="dxa"/>
            <w:vAlign w:val="bottom"/>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(1,537)</w:t>
            </w:r>
          </w:p>
        </w:tc>
        <w:tc>
          <w:tcPr>
            <w:tcW w:w="280" w:type="dxa"/>
            <w:vAlign w:val="bottom"/>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6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9,471</w:t>
            </w:r>
          </w:p>
        </w:tc>
        <w:tc>
          <w:tcPr>
            <w:tcW w:w="280" w:type="dxa"/>
            <w:vAlign w:val="bottom"/>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8,854</w:t>
            </w:r>
          </w:p>
        </w:tc>
        <w:tc>
          <w:tcPr>
            <w:tcW w:w="20" w:type="dxa"/>
            <w:vAlign w:val="bottom"/>
          </w:tcPr>
          <w:p>
            <w:pPr>
              <w:spacing w:after="0"/>
              <w:rPr>
                <w:sz w:val="21"/>
                <w:szCs w:val="21"/>
                <w:color w:val="auto"/>
              </w:rPr>
            </w:pPr>
          </w:p>
        </w:tc>
      </w:tr>
      <w:tr>
        <w:trPr>
          <w:trHeight w:val="221"/>
        </w:trPr>
        <w:tc>
          <w:tcPr>
            <w:tcW w:w="6880" w:type="dxa"/>
            <w:vAlign w:val="bottom"/>
          </w:tcPr>
          <w:p>
            <w:pPr>
              <w:spacing w:after="0"/>
              <w:rPr>
                <w:sz w:val="20"/>
                <w:szCs w:val="20"/>
                <w:color w:val="auto"/>
              </w:rPr>
            </w:pPr>
            <w:r>
              <w:rPr>
                <w:rFonts w:ascii="Arial" w:cs="Arial" w:eastAsia="Arial" w:hAnsi="Arial"/>
                <w:sz w:val="18"/>
                <w:szCs w:val="18"/>
                <w:color w:val="auto"/>
              </w:rPr>
              <w:t>Net loss before income tax expense</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(32,246)</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(13,071)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(80,359)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5"/>
              </w:rPr>
              <w:t>(105,600)</w:t>
            </w:r>
          </w:p>
        </w:tc>
        <w:tc>
          <w:tcPr>
            <w:tcW w:w="20" w:type="dxa"/>
            <w:vAlign w:val="bottom"/>
          </w:tcPr>
          <w:p>
            <w:pPr>
              <w:spacing w:after="0"/>
              <w:rPr>
                <w:sz w:val="19"/>
                <w:szCs w:val="19"/>
                <w:color w:val="auto"/>
              </w:rPr>
            </w:pPr>
          </w:p>
        </w:tc>
      </w:tr>
      <w:tr>
        <w:trPr>
          <w:trHeight w:val="259"/>
        </w:trPr>
        <w:tc>
          <w:tcPr>
            <w:tcW w:w="6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6880" w:type="dxa"/>
            <w:vAlign w:val="bottom"/>
            <w:shd w:val="clear" w:color="auto" w:fill="C0C0C0"/>
          </w:tcPr>
          <w:p>
            <w:pPr>
              <w:spacing w:after="0"/>
              <w:rPr>
                <w:sz w:val="20"/>
                <w:szCs w:val="20"/>
                <w:color w:val="auto"/>
              </w:rPr>
            </w:pPr>
            <w:r>
              <w:rPr>
                <w:rFonts w:ascii="Arial" w:cs="Arial" w:eastAsia="Arial" w:hAnsi="Arial"/>
                <w:sz w:val="18"/>
                <w:szCs w:val="18"/>
                <w:color w:val="auto"/>
              </w:rPr>
              <w:t>Income tax expense (benefit)</w:t>
            </w:r>
          </w:p>
        </w:tc>
        <w:tc>
          <w:tcPr>
            <w:tcW w:w="260" w:type="dxa"/>
            <w:vAlign w:val="bottom"/>
            <w:tcBorders>
              <w:bottom w:val="single" w:sz="8" w:color="auto"/>
            </w:tcBorders>
            <w:shd w:val="clear" w:color="auto" w:fill="C0C0C0"/>
          </w:tcPr>
          <w:p>
            <w:pPr>
              <w:spacing w:after="0"/>
              <w:rPr>
                <w:sz w:val="20"/>
                <w:szCs w:val="20"/>
                <w:color w:val="auto"/>
              </w:rPr>
            </w:pPr>
          </w:p>
        </w:tc>
        <w:tc>
          <w:tcPr>
            <w:tcW w:w="6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(728)</w:t>
            </w:r>
          </w:p>
        </w:tc>
        <w:tc>
          <w:tcPr>
            <w:tcW w:w="280" w:type="dxa"/>
            <w:vAlign w:val="bottom"/>
            <w:shd w:val="clear" w:color="auto" w:fill="C0C0C0"/>
          </w:tcPr>
          <w:p>
            <w:pPr>
              <w:spacing w:after="0"/>
              <w:rPr>
                <w:sz w:val="20"/>
                <w:szCs w:val="20"/>
                <w:color w:val="auto"/>
              </w:rPr>
            </w:pPr>
          </w:p>
        </w:tc>
        <w:tc>
          <w:tcPr>
            <w:tcW w:w="260" w:type="dxa"/>
            <w:vAlign w:val="bottom"/>
            <w:tcBorders>
              <w:bottom w:val="single" w:sz="8" w:color="auto"/>
            </w:tcBorders>
            <w:shd w:val="clear" w:color="auto" w:fill="C0C0C0"/>
          </w:tcPr>
          <w:p>
            <w:pPr>
              <w:spacing w:after="0"/>
              <w:rPr>
                <w:sz w:val="20"/>
                <w:szCs w:val="20"/>
                <w:color w:val="auto"/>
              </w:rPr>
            </w:pPr>
          </w:p>
        </w:tc>
        <w:tc>
          <w:tcPr>
            <w:tcW w:w="640" w:type="dxa"/>
            <w:vAlign w:val="bottom"/>
            <w:tcBorders>
              <w:bottom w:val="single" w:sz="8" w:color="auto"/>
            </w:tcBorders>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260" w:type="dxa"/>
            <w:vAlign w:val="bottom"/>
            <w:tcBorders>
              <w:bottom w:val="single" w:sz="8" w:color="auto"/>
            </w:tcBorders>
            <w:shd w:val="clear" w:color="auto" w:fill="C0C0C0"/>
          </w:tcPr>
          <w:p>
            <w:pPr>
              <w:spacing w:after="0"/>
              <w:rPr>
                <w:sz w:val="20"/>
                <w:szCs w:val="20"/>
                <w:color w:val="auto"/>
              </w:rPr>
            </w:pPr>
          </w:p>
        </w:tc>
        <w:tc>
          <w:tcPr>
            <w:tcW w:w="6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2,351</w:t>
            </w:r>
          </w:p>
        </w:tc>
        <w:tc>
          <w:tcPr>
            <w:tcW w:w="280" w:type="dxa"/>
            <w:vAlign w:val="bottom"/>
            <w:shd w:val="clear" w:color="auto" w:fill="C0C0C0"/>
          </w:tcPr>
          <w:p>
            <w:pPr>
              <w:spacing w:after="0"/>
              <w:rPr>
                <w:sz w:val="20"/>
                <w:szCs w:val="20"/>
                <w:color w:val="auto"/>
              </w:rPr>
            </w:pPr>
          </w:p>
        </w:tc>
        <w:tc>
          <w:tcPr>
            <w:tcW w:w="260" w:type="dxa"/>
            <w:vAlign w:val="bottom"/>
            <w:tcBorders>
              <w:bottom w:val="single" w:sz="8" w:color="auto"/>
            </w:tcBorders>
            <w:shd w:val="clear" w:color="auto" w:fill="C0C0C0"/>
          </w:tcPr>
          <w:p>
            <w:pPr>
              <w:spacing w:after="0"/>
              <w:rPr>
                <w:sz w:val="20"/>
                <w:szCs w:val="20"/>
                <w:color w:val="auto"/>
              </w:rPr>
            </w:pPr>
          </w:p>
        </w:tc>
        <w:tc>
          <w:tcPr>
            <w:tcW w:w="720" w:type="dxa"/>
            <w:vAlign w:val="bottom"/>
            <w:tcBorders>
              <w:bottom w:val="single" w:sz="8" w:color="auto"/>
            </w:tcBorders>
            <w:shd w:val="clear" w:color="auto" w:fill="C0C0C0"/>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6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68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89"/>
              </w:rPr>
              <w:t>(31,518)</w:t>
            </w:r>
          </w:p>
        </w:tc>
        <w:tc>
          <w:tcPr>
            <w:tcW w:w="28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86"/>
              </w:rPr>
              <w:t>(13,071)</w:t>
            </w:r>
          </w:p>
        </w:tc>
        <w:tc>
          <w:tcPr>
            <w:tcW w:w="28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89"/>
              </w:rPr>
              <w:t>(82,710)</w:t>
            </w:r>
          </w:p>
        </w:tc>
        <w:tc>
          <w:tcPr>
            <w:tcW w:w="28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85"/>
              </w:rPr>
              <w:t>(105,600)</w:t>
            </w:r>
          </w:p>
        </w:tc>
        <w:tc>
          <w:tcPr>
            <w:tcW w:w="20" w:type="dxa"/>
            <w:vAlign w:val="bottom"/>
          </w:tcPr>
          <w:p>
            <w:pPr>
              <w:spacing w:after="0"/>
              <w:rPr>
                <w:sz w:val="21"/>
                <w:szCs w:val="21"/>
                <w:color w:val="auto"/>
              </w:rPr>
            </w:pPr>
          </w:p>
        </w:tc>
      </w:tr>
      <w:tr>
        <w:trPr>
          <w:trHeight w:val="230"/>
        </w:trPr>
        <w:tc>
          <w:tcPr>
            <w:tcW w:w="6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68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Net loss per share amounts, basic and diluted</w:t>
            </w:r>
          </w:p>
        </w:tc>
        <w:tc>
          <w:tcPr>
            <w:tcW w:w="2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(0.40)</w:t>
            </w:r>
          </w:p>
        </w:tc>
        <w:tc>
          <w:tcPr>
            <w:tcW w:w="28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(0.19)</w:t>
            </w:r>
          </w:p>
        </w:tc>
        <w:tc>
          <w:tcPr>
            <w:tcW w:w="28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(1.05)</w:t>
            </w:r>
          </w:p>
        </w:tc>
        <w:tc>
          <w:tcPr>
            <w:tcW w:w="28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21"/>
                <w:szCs w:val="21"/>
                <w:color w:val="auto"/>
              </w:rPr>
            </w:pPr>
          </w:p>
        </w:tc>
      </w:tr>
      <w:tr>
        <w:trPr>
          <w:trHeight w:val="230"/>
        </w:trPr>
        <w:tc>
          <w:tcPr>
            <w:tcW w:w="6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6880" w:type="dxa"/>
            <w:vAlign w:val="bottom"/>
            <w:shd w:val="clear" w:color="auto" w:fill="C0C0C0"/>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2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8"/>
              </w:rPr>
              <w:t>79,190</w:t>
            </w:r>
          </w:p>
        </w:tc>
        <w:tc>
          <w:tcPr>
            <w:tcW w:w="2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94"/>
              </w:rPr>
              <w:t>67,754</w:t>
            </w:r>
          </w:p>
        </w:tc>
        <w:tc>
          <w:tcPr>
            <w:tcW w:w="2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98"/>
              </w:rPr>
              <w:t>78,827</w:t>
            </w:r>
          </w:p>
        </w:tc>
        <w:tc>
          <w:tcPr>
            <w:tcW w:w="2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66,334</w:t>
            </w:r>
          </w:p>
        </w:tc>
        <w:tc>
          <w:tcPr>
            <w:tcW w:w="20" w:type="dxa"/>
            <w:vAlign w:val="bottom"/>
          </w:tcPr>
          <w:p>
            <w:pPr>
              <w:spacing w:after="0"/>
              <w:rPr>
                <w:sz w:val="21"/>
                <w:szCs w:val="21"/>
                <w:color w:val="auto"/>
              </w:rPr>
            </w:pPr>
          </w:p>
        </w:tc>
      </w:tr>
      <w:tr>
        <w:trPr>
          <w:trHeight w:val="361"/>
        </w:trPr>
        <w:tc>
          <w:tcPr>
            <w:tcW w:w="68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4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2019-12-10T08:56:17Z</dcterms:created>
  <dcterms:modified xsi:type="dcterms:W3CDTF">2019-12-10T08:56:17Z</dcterms:modified>
</cp:coreProperties>
</file>