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85" w:lineRule="exact"/>
        <w:rPr>
          <w:sz w:val="24"/>
          <w:szCs w:val="24"/>
          <w:color w:val="auto"/>
        </w:rPr>
      </w:pPr>
    </w:p>
    <w:p>
      <w:pPr>
        <w:ind w:left="480"/>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480" w:right="4560" w:hanging="472"/>
        <w:spacing w:after="0" w:line="299"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ind w:left="480"/>
        <w:spacing w:after="0"/>
        <w:tabs>
          <w:tab w:leader="none" w:pos="33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10795</wp:posOffset>
            </wp:positionV>
            <wp:extent cx="1440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3"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480" w:right="4540" w:hanging="472"/>
        <w:spacing w:after="0" w:line="299" w:lineRule="auto"/>
        <w:tabs>
          <w:tab w:leader="none" w:pos="197"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214" w:lineRule="exact"/>
        <w:rPr>
          <w:sz w:val="24"/>
          <w:szCs w:val="24"/>
          <w:color w:val="auto"/>
        </w:rPr>
      </w:pPr>
    </w:p>
    <w:p>
      <w:pPr>
        <w:ind w:left="48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0-19034</w:t>
      </w:r>
    </w:p>
    <w:p>
      <w:pPr>
        <w:spacing w:after="0" w:line="256"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REGENERON PHARMACEUTICALS, INC.</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5"/>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0" w:type="dxa"/>
            <w:vAlign w:val="bottom"/>
            <w:gridSpan w:val="5"/>
          </w:tcPr>
          <w:p>
            <w:pPr>
              <w:jc w:val="center"/>
              <w:ind w:right="210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664"/>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4"/>
          </w:tcPr>
          <w:p>
            <w:pPr>
              <w:jc w:val="center"/>
              <w:ind w:right="3992"/>
              <w:spacing w:after="0"/>
              <w:rPr>
                <w:sz w:val="20"/>
                <w:szCs w:val="20"/>
                <w:color w:val="auto"/>
              </w:rPr>
            </w:pPr>
            <w:r>
              <w:rPr>
                <w:rFonts w:ascii="Arial" w:cs="Arial" w:eastAsia="Arial" w:hAnsi="Arial"/>
                <w:sz w:val="18"/>
                <w:szCs w:val="18"/>
                <w:color w:val="auto"/>
                <w:w w:val="92"/>
              </w:rPr>
              <w:t>New York</w:t>
            </w: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89"/>
              </w:rPr>
              <w:t>13-3444607</w:t>
            </w: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8"/>
        </w:trPr>
        <w:tc>
          <w:tcPr>
            <w:tcW w:w="5820" w:type="dxa"/>
            <w:vAlign w:val="bottom"/>
            <w:gridSpan w:val="6"/>
          </w:tcPr>
          <w:p>
            <w:pPr>
              <w:jc w:val="center"/>
              <w:ind w:right="2972"/>
              <w:spacing w:after="0"/>
              <w:rPr>
                <w:sz w:val="20"/>
                <w:szCs w:val="20"/>
                <w:color w:val="auto"/>
              </w:rPr>
            </w:pPr>
            <w:r>
              <w:rPr>
                <w:rFonts w:ascii="Arial" w:cs="Arial" w:eastAsia="Arial" w:hAnsi="Arial"/>
                <w:sz w:val="18"/>
                <w:szCs w:val="18"/>
                <w:color w:val="auto"/>
                <w:w w:val="90"/>
              </w:rPr>
              <w:t>(State or other jurisdiction of</w:t>
            </w: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5820" w:type="dxa"/>
            <w:vAlign w:val="bottom"/>
            <w:gridSpan w:val="6"/>
          </w:tcPr>
          <w:p>
            <w:pPr>
              <w:jc w:val="center"/>
              <w:ind w:right="2972"/>
              <w:spacing w:after="0"/>
              <w:rPr>
                <w:sz w:val="20"/>
                <w:szCs w:val="20"/>
                <w:color w:val="auto"/>
              </w:rPr>
            </w:pPr>
            <w:r>
              <w:rPr>
                <w:rFonts w:ascii="Arial" w:cs="Arial" w:eastAsia="Arial" w:hAnsi="Arial"/>
                <w:sz w:val="18"/>
                <w:szCs w:val="18"/>
                <w:color w:val="auto"/>
                <w:w w:val="90"/>
              </w:rPr>
              <w:t>incorporation or organization)</w:t>
            </w: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53"/>
        </w:trPr>
        <w:tc>
          <w:tcPr>
            <w:tcW w:w="5820" w:type="dxa"/>
            <w:vAlign w:val="bottom"/>
            <w:gridSpan w:val="6"/>
          </w:tcPr>
          <w:p>
            <w:pPr>
              <w:jc w:val="center"/>
              <w:ind w:right="2972"/>
              <w:spacing w:after="0"/>
              <w:rPr>
                <w:sz w:val="20"/>
                <w:szCs w:val="20"/>
                <w:color w:val="auto"/>
              </w:rPr>
            </w:pPr>
            <w:r>
              <w:rPr>
                <w:rFonts w:ascii="Arial" w:cs="Arial" w:eastAsia="Arial" w:hAnsi="Arial"/>
                <w:sz w:val="18"/>
                <w:szCs w:val="18"/>
                <w:color w:val="auto"/>
                <w:w w:val="92"/>
              </w:rPr>
              <w:t>777 Old Saw Mill River Road</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4"/>
        </w:trPr>
        <w:tc>
          <w:tcPr>
            <w:tcW w:w="620" w:type="dxa"/>
            <w:vAlign w:val="bottom"/>
          </w:tcPr>
          <w:p>
            <w:pPr>
              <w:spacing w:after="0"/>
              <w:rPr>
                <w:sz w:val="15"/>
                <w:szCs w:val="15"/>
                <w:color w:val="auto"/>
              </w:rPr>
            </w:pPr>
          </w:p>
        </w:tc>
        <w:tc>
          <w:tcPr>
            <w:tcW w:w="1540" w:type="dxa"/>
            <w:vAlign w:val="bottom"/>
            <w:tcBorders>
              <w:bottom w:val="single" w:sz="8" w:color="auto"/>
            </w:tcBorders>
            <w:gridSpan w:val="3"/>
          </w:tcPr>
          <w:p>
            <w:pPr>
              <w:jc w:val="center"/>
              <w:spacing w:after="0" w:line="184" w:lineRule="exact"/>
              <w:rPr>
                <w:sz w:val="20"/>
                <w:szCs w:val="20"/>
                <w:color w:val="auto"/>
              </w:rPr>
            </w:pPr>
            <w:r>
              <w:rPr>
                <w:rFonts w:ascii="Arial" w:cs="Arial" w:eastAsia="Arial" w:hAnsi="Arial"/>
                <w:sz w:val="18"/>
                <w:szCs w:val="18"/>
                <w:color w:val="auto"/>
                <w:w w:val="91"/>
              </w:rPr>
              <w:t>Tarrytown, New York</w:t>
            </w:r>
          </w:p>
        </w:tc>
        <w:tc>
          <w:tcPr>
            <w:tcW w:w="36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color w:val="auto"/>
                <w:w w:val="89"/>
              </w:rPr>
              <w:t>10591-6707</w:t>
            </w:r>
          </w:p>
        </w:tc>
        <w:tc>
          <w:tcPr>
            <w:tcW w:w="840" w:type="dxa"/>
            <w:vAlign w:val="bottom"/>
          </w:tcPr>
          <w:p>
            <w:pPr>
              <w:spacing w:after="0"/>
              <w:rPr>
                <w:sz w:val="15"/>
                <w:szCs w:val="15"/>
                <w:color w:val="auto"/>
              </w:rPr>
            </w:pPr>
          </w:p>
        </w:tc>
      </w:tr>
      <w:tr>
        <w:trPr>
          <w:trHeight w:val="235"/>
        </w:trPr>
        <w:tc>
          <w:tcPr>
            <w:tcW w:w="5820" w:type="dxa"/>
            <w:vAlign w:val="bottom"/>
            <w:gridSpan w:val="6"/>
          </w:tcPr>
          <w:p>
            <w:pPr>
              <w:jc w:val="center"/>
              <w:ind w:right="2952"/>
              <w:spacing w:after="0"/>
              <w:rPr>
                <w:sz w:val="20"/>
                <w:szCs w:val="20"/>
                <w:color w:val="auto"/>
              </w:rPr>
            </w:pPr>
            <w:r>
              <w:rPr>
                <w:rFonts w:ascii="Arial" w:cs="Arial" w:eastAsia="Arial" w:hAnsi="Arial"/>
                <w:sz w:val="18"/>
                <w:szCs w:val="18"/>
                <w:color w:val="auto"/>
                <w:w w:val="90"/>
              </w:rPr>
              <w:t>(Address of principal executive offices)</w:t>
            </w:r>
          </w:p>
        </w:tc>
        <w:tc>
          <w:tcPr>
            <w:tcW w:w="840" w:type="dxa"/>
            <w:vAlign w:val="bottom"/>
          </w:tcPr>
          <w:p>
            <w:pPr>
              <w:spacing w:after="0"/>
              <w:rPr>
                <w:sz w:val="20"/>
                <w:szCs w:val="20"/>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(Zip Code)</w:t>
            </w:r>
          </w:p>
        </w:tc>
      </w:tr>
    </w:tbl>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(914) 347-7000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46"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580"/>
        <w:spacing w:after="0"/>
        <w:tabs>
          <w:tab w:leader="none" w:pos="5000" w:val="left"/>
          <w:tab w:leader="none" w:pos="616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19685</wp:posOffset>
            </wp:positionV>
            <wp:extent cx="266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19685</wp:posOffset>
            </wp:positionV>
            <wp:extent cx="266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59"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4580"/>
        <w:spacing w:after="0"/>
        <w:tabs>
          <w:tab w:leader="none" w:pos="5000" w:val="left"/>
          <w:tab w:leader="none" w:pos="616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19685</wp:posOffset>
            </wp:positionV>
            <wp:extent cx="266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19685</wp:posOffset>
            </wp:positionV>
            <wp:extent cx="266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59"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3660" w:type="dxa"/>
            <w:vAlign w:val="bottom"/>
            <w:gridSpan w:val="3"/>
          </w:tcPr>
          <w:p>
            <w:pPr>
              <w:ind w:left="60"/>
              <w:spacing w:after="0"/>
              <w:rPr>
                <w:sz w:val="20"/>
                <w:szCs w:val="20"/>
                <w:color w:val="auto"/>
              </w:rPr>
            </w:pPr>
            <w:r>
              <w:rPr>
                <w:rFonts w:ascii="Arial" w:cs="Arial" w:eastAsia="Arial" w:hAnsi="Arial"/>
                <w:sz w:val="18"/>
                <w:szCs w:val="18"/>
                <w:color w:val="auto"/>
              </w:rPr>
              <w:t>X</w:t>
            </w: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21"/>
                <w:szCs w:val="21"/>
                <w:b w:val="1"/>
                <w:bCs w:val="1"/>
                <w:color w:val="auto"/>
              </w:rPr>
              <w:t>__</w:t>
            </w: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240" w:type="dxa"/>
            <w:vAlign w:val="bottom"/>
            <w:tcBorders>
              <w:top w:val="single" w:sz="8" w:color="auto"/>
              <w:bottom w:val="single" w:sz="8" w:color="auto"/>
            </w:tcBorders>
          </w:tcPr>
          <w:p>
            <w:pPr>
              <w:spacing w:after="0"/>
              <w:rPr>
                <w:sz w:val="20"/>
                <w:szCs w:val="20"/>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2"/>
              </w:rPr>
              <w:t>(Do not check if a smaller reporting company)</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ind w:left="80"/>
              <w:spacing w:after="0" w:line="237" w:lineRule="exact"/>
              <w:rPr>
                <w:sz w:val="20"/>
                <w:szCs w:val="20"/>
                <w:color w:val="auto"/>
              </w:rPr>
            </w:pPr>
            <w:r>
              <w:rPr>
                <w:rFonts w:ascii="Arial" w:cs="Arial" w:eastAsia="Arial" w:hAnsi="Arial"/>
                <w:sz w:val="18"/>
                <w:szCs w:val="18"/>
                <w:color w:val="auto"/>
                <w:w w:val="89"/>
              </w:rPr>
              <w:t xml:space="preserve">Smaller reporting company </w:t>
            </w:r>
            <w:r>
              <w:rPr>
                <w:rFonts w:ascii="Arial" w:cs="Arial" w:eastAsia="Arial" w:hAnsi="Arial"/>
                <w:sz w:val="21"/>
                <w:szCs w:val="21"/>
                <w:b w:val="1"/>
                <w:bCs w:val="1"/>
                <w:color w:val="auto"/>
                <w:w w:val="89"/>
              </w:rPr>
              <w:t>__</w:t>
            </w:r>
          </w:p>
        </w:tc>
      </w:tr>
      <w:tr>
        <w:trPr>
          <w:trHeight w:val="444"/>
        </w:trPr>
        <w:tc>
          <w:tcPr>
            <w:tcW w:w="9140" w:type="dxa"/>
            <w:vAlign w:val="bottom"/>
            <w:gridSpan w:val="7"/>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r>
      <w:tr>
        <w:trPr>
          <w:trHeight w:val="237"/>
        </w:trPr>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tcPr>
          <w:p>
            <w:pPr>
              <w:ind w:left="2720"/>
              <w:spacing w:after="0"/>
              <w:rPr>
                <w:sz w:val="20"/>
                <w:szCs w:val="20"/>
                <w:color w:val="auto"/>
              </w:rPr>
            </w:pPr>
            <w:r>
              <w:rPr>
                <w:rFonts w:ascii="Arial" w:cs="Arial" w:eastAsia="Arial" w:hAnsi="Arial"/>
                <w:sz w:val="18"/>
                <w:szCs w:val="18"/>
                <w:color w:val="auto"/>
                <w:w w:val="90"/>
              </w:rPr>
              <w:t>Yes</w:t>
            </w:r>
          </w:p>
        </w:tc>
        <w:tc>
          <w:tcPr>
            <w:tcW w:w="400" w:type="dxa"/>
            <w:vAlign w:val="bottom"/>
          </w:tcPr>
          <w:p>
            <w:pPr>
              <w:spacing w:after="0"/>
              <w:rPr>
                <w:sz w:val="20"/>
                <w:szCs w:val="20"/>
                <w:color w:val="auto"/>
              </w:rPr>
            </w:pPr>
          </w:p>
        </w:tc>
        <w:tc>
          <w:tcPr>
            <w:tcW w:w="3860" w:type="dxa"/>
            <w:vAlign w:val="bottom"/>
            <w:gridSpan w:val="3"/>
          </w:tcPr>
          <w:p>
            <w:pPr>
              <w:ind w:left="880"/>
              <w:spacing w:after="0"/>
              <w:rPr>
                <w:sz w:val="20"/>
                <w:szCs w:val="20"/>
                <w:color w:val="auto"/>
              </w:rPr>
            </w:pPr>
            <w:r>
              <w:rPr>
                <w:rFonts w:ascii="Arial" w:cs="Arial" w:eastAsia="Arial" w:hAnsi="Arial"/>
                <w:sz w:val="18"/>
                <w:szCs w:val="18"/>
                <w:color w:val="auto"/>
              </w:rPr>
              <w:t>No   X</w:t>
            </w:r>
          </w:p>
        </w:tc>
      </w:tr>
      <w:tr>
        <w:trPr>
          <w:trHeight w:val="20"/>
        </w:trPr>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July 15, 2010:</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Class of Common Stock</w:t>
            </w:r>
          </w:p>
        </w:tc>
        <w:tc>
          <w:tcPr>
            <w:tcW w:w="19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Number of Shares</w:t>
            </w:r>
          </w:p>
        </w:tc>
      </w:tr>
      <w:tr>
        <w:trPr>
          <w:trHeight w:val="20"/>
        </w:trPr>
        <w:tc>
          <w:tcPr>
            <w:tcW w:w="3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28"/>
        </w:trPr>
        <w:tc>
          <w:tcPr>
            <w:tcW w:w="6800" w:type="dxa"/>
            <w:vAlign w:val="bottom"/>
            <w:gridSpan w:val="3"/>
          </w:tcPr>
          <w:p>
            <w:pPr>
              <w:jc w:val="center"/>
              <w:ind w:left="1152"/>
              <w:spacing w:after="0"/>
              <w:rPr>
                <w:sz w:val="20"/>
                <w:szCs w:val="20"/>
                <w:color w:val="auto"/>
              </w:rPr>
            </w:pPr>
            <w:r>
              <w:rPr>
                <w:rFonts w:ascii="Arial" w:cs="Arial" w:eastAsia="Arial" w:hAnsi="Arial"/>
                <w:sz w:val="18"/>
                <w:szCs w:val="18"/>
                <w:color w:val="auto"/>
                <w:w w:val="87"/>
              </w:rPr>
              <w:t>Class A Stock, $0.001 par value</w:t>
            </w:r>
          </w:p>
        </w:tc>
        <w:tc>
          <w:tcPr>
            <w:tcW w:w="1280" w:type="dxa"/>
            <w:vAlign w:val="bottom"/>
          </w:tcPr>
          <w:p>
            <w:pPr>
              <w:jc w:val="right"/>
              <w:ind w:right="192"/>
              <w:spacing w:after="0"/>
              <w:rPr>
                <w:sz w:val="20"/>
                <w:szCs w:val="20"/>
                <w:color w:val="auto"/>
              </w:rPr>
            </w:pPr>
            <w:r>
              <w:rPr>
                <w:rFonts w:ascii="Arial" w:cs="Arial" w:eastAsia="Arial" w:hAnsi="Arial"/>
                <w:sz w:val="18"/>
                <w:szCs w:val="18"/>
                <w:color w:val="auto"/>
              </w:rPr>
              <w:t>2,182,036</w:t>
            </w:r>
          </w:p>
        </w:tc>
        <w:tc>
          <w:tcPr>
            <w:tcW w:w="3360" w:type="dxa"/>
            <w:vAlign w:val="bottom"/>
          </w:tcPr>
          <w:p>
            <w:pPr>
              <w:spacing w:after="0"/>
              <w:rPr>
                <w:sz w:val="19"/>
                <w:szCs w:val="19"/>
                <w:color w:val="auto"/>
              </w:rPr>
            </w:pPr>
          </w:p>
        </w:tc>
      </w:tr>
      <w:tr>
        <w:trPr>
          <w:trHeight w:val="222"/>
        </w:trPr>
        <w:tc>
          <w:tcPr>
            <w:tcW w:w="6800" w:type="dxa"/>
            <w:vAlign w:val="bottom"/>
            <w:gridSpan w:val="3"/>
          </w:tcPr>
          <w:p>
            <w:pPr>
              <w:jc w:val="center"/>
              <w:ind w:left="1152"/>
              <w:spacing w:after="0"/>
              <w:rPr>
                <w:sz w:val="20"/>
                <w:szCs w:val="20"/>
                <w:color w:val="auto"/>
              </w:rPr>
            </w:pPr>
            <w:r>
              <w:rPr>
                <w:rFonts w:ascii="Arial" w:cs="Arial" w:eastAsia="Arial" w:hAnsi="Arial"/>
                <w:sz w:val="18"/>
                <w:szCs w:val="18"/>
                <w:color w:val="auto"/>
                <w:w w:val="88"/>
              </w:rPr>
              <w:t>Common Stock, $0.001 par value</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79,931,305</w:t>
            </w:r>
          </w:p>
        </w:tc>
        <w:tc>
          <w:tcPr>
            <w:tcW w:w="3360" w:type="dxa"/>
            <w:vAlign w:val="bottom"/>
          </w:tcPr>
          <w:p>
            <w:pPr>
              <w:spacing w:after="0"/>
              <w:rPr>
                <w:sz w:val="19"/>
                <w:szCs w:val="19"/>
                <w:color w:val="auto"/>
              </w:rPr>
            </w:pPr>
          </w:p>
        </w:tc>
      </w:tr>
      <w:tr>
        <w:trPr>
          <w:trHeight w:val="363"/>
        </w:trPr>
        <w:tc>
          <w:tcPr>
            <w:tcW w:w="31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2010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40" w:type="dxa"/>
            <w:vAlign w:val="bottom"/>
            <w:gridSpan w:val="2"/>
          </w:tcPr>
          <w:p>
            <w:pPr>
              <w:ind w:left="900"/>
              <w:spacing w:after="0"/>
              <w:rPr>
                <w:sz w:val="20"/>
                <w:szCs w:val="20"/>
                <w:color w:val="auto"/>
              </w:rPr>
            </w:pPr>
            <w:r>
              <w:rPr>
                <w:rFonts w:ascii="Arial" w:cs="Arial" w:eastAsia="Arial" w:hAnsi="Arial"/>
                <w:sz w:val="18"/>
                <w:szCs w:val="18"/>
                <w:b w:val="1"/>
                <w:bCs w:val="1"/>
                <w:color w:val="auto"/>
                <w:w w:val="88"/>
              </w:rPr>
              <w:t>Page Numbers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8"/>
                <w:szCs w:val="18"/>
                <w:b w:val="1"/>
                <w:bCs w:val="1"/>
                <w:color w:val="auto"/>
              </w:rPr>
              <w:t>PART I</w:t>
            </w:r>
          </w:p>
        </w:tc>
        <w:tc>
          <w:tcPr>
            <w:tcW w:w="8460" w:type="dxa"/>
            <w:vAlign w:val="bottom"/>
            <w:tcBorders>
              <w:top w:val="single" w:sz="8" w:color="C0C0C0"/>
            </w:tcBorders>
            <w:gridSpan w:val="8"/>
            <w:shd w:val="clear" w:color="auto" w:fill="C0C0C0"/>
          </w:tcPr>
          <w:p>
            <w:pPr>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tcBorders>
              <w:top w:val="single" w:sz="8" w:color="C0C0C0"/>
            </w:tcBorders>
            <w:shd w:val="clear" w:color="auto" w:fill="C0C0C0"/>
          </w:tcPr>
          <w:p>
            <w:pPr>
              <w:spacing w:after="0"/>
              <w:rPr>
                <w:sz w:val="19"/>
                <w:szCs w:val="19"/>
                <w:color w:val="auto"/>
              </w:rPr>
            </w:pPr>
          </w:p>
        </w:tc>
        <w:tc>
          <w:tcPr>
            <w:tcW w:w="114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1</w:t>
            </w:r>
          </w:p>
        </w:tc>
        <w:tc>
          <w:tcPr>
            <w:tcW w:w="8460" w:type="dxa"/>
            <w:vAlign w:val="bottom"/>
            <w:gridSpan w:val="8"/>
            <w:shd w:val="clear" w:color="auto" w:fill="C0C0C0"/>
          </w:tcPr>
          <w:p>
            <w:pPr>
              <w:spacing w:after="0" w:line="189" w:lineRule="exact"/>
              <w:rPr>
                <w:sz w:val="20"/>
                <w:szCs w:val="20"/>
                <w:color w:val="auto"/>
              </w:rPr>
            </w:pPr>
            <w:r>
              <w:rPr>
                <w:rFonts w:ascii="Arial" w:cs="Arial" w:eastAsia="Arial" w:hAnsi="Arial"/>
                <w:sz w:val="18"/>
                <w:szCs w:val="18"/>
                <w:color w:val="auto"/>
              </w:rPr>
              <w:t>Financial Statements</w:t>
            </w:r>
          </w:p>
        </w:tc>
        <w:tc>
          <w:tcPr>
            <w:tcW w:w="900" w:type="dxa"/>
            <w:vAlign w:val="bottom"/>
            <w:shd w:val="clear" w:color="auto" w:fill="C0C0C0"/>
          </w:tcPr>
          <w:p>
            <w:pPr>
              <w:spacing w:after="0"/>
              <w:rPr>
                <w:sz w:val="19"/>
                <w:szCs w:val="19"/>
                <w:color w:val="auto"/>
              </w:rPr>
            </w:pPr>
          </w:p>
        </w:tc>
        <w:tc>
          <w:tcPr>
            <w:tcW w:w="1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180" w:type="dxa"/>
            <w:vAlign w:val="bottom"/>
            <w:tcBorders>
              <w:top w:val="single" w:sz="8" w:color="C0C0C0"/>
            </w:tcBorders>
          </w:tcPr>
          <w:p>
            <w:pPr>
              <w:spacing w:after="0"/>
              <w:rPr>
                <w:sz w:val="21"/>
                <w:szCs w:val="21"/>
                <w:color w:val="auto"/>
              </w:rPr>
            </w:pPr>
          </w:p>
        </w:tc>
        <w:tc>
          <w:tcPr>
            <w:tcW w:w="900" w:type="dxa"/>
            <w:vAlign w:val="bottom"/>
            <w:tcBorders>
              <w:top w:val="single" w:sz="8" w:color="C0C0C0"/>
            </w:tcBorders>
          </w:tcPr>
          <w:p>
            <w:pPr>
              <w:spacing w:after="0"/>
              <w:rPr>
                <w:sz w:val="21"/>
                <w:szCs w:val="21"/>
                <w:color w:val="auto"/>
              </w:rPr>
            </w:pPr>
          </w:p>
        </w:tc>
        <w:tc>
          <w:tcPr>
            <w:tcW w:w="1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60" w:type="dxa"/>
            <w:vAlign w:val="bottom"/>
            <w:gridSpan w:val="8"/>
            <w:shd w:val="clear" w:color="auto" w:fill="C0C0C0"/>
          </w:tcPr>
          <w:p>
            <w:pPr>
              <w:spacing w:after="0"/>
              <w:rPr>
                <w:sz w:val="20"/>
                <w:szCs w:val="20"/>
                <w:color w:val="auto"/>
              </w:rPr>
            </w:pPr>
            <w:r>
              <w:rPr>
                <w:rFonts w:ascii="Arial" w:cs="Arial" w:eastAsia="Arial" w:hAnsi="Arial"/>
                <w:sz w:val="18"/>
                <w:szCs w:val="18"/>
                <w:color w:val="auto"/>
              </w:rPr>
              <w:t>Condensed balance sheets (unaudited) at June 30, 2010 and December 31, 2009</w:t>
            </w:r>
          </w:p>
        </w:tc>
        <w:tc>
          <w:tcPr>
            <w:tcW w:w="2040" w:type="dxa"/>
            <w:vAlign w:val="bottom"/>
            <w:gridSpan w:val="2"/>
            <w:shd w:val="clear" w:color="auto" w:fill="C0C0C0"/>
          </w:tcPr>
          <w:p>
            <w:pPr>
              <w:ind w:left="12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60" w:type="dxa"/>
            <w:vAlign w:val="bottom"/>
            <w:gridSpan w:val="8"/>
            <w:shd w:val="clear" w:color="auto" w:fill="C0C0C0"/>
          </w:tcPr>
          <w:p>
            <w:pPr>
              <w:spacing w:after="0"/>
              <w:rPr>
                <w:sz w:val="20"/>
                <w:szCs w:val="20"/>
                <w:color w:val="auto"/>
              </w:rPr>
            </w:pPr>
            <w:r>
              <w:rPr>
                <w:rFonts w:ascii="Arial" w:cs="Arial" w:eastAsia="Arial" w:hAnsi="Arial"/>
                <w:sz w:val="18"/>
                <w:szCs w:val="18"/>
                <w:color w:val="auto"/>
                <w:w w:val="96"/>
              </w:rPr>
              <w:t>Condensed statements of operations (unaudited) for the three and six months ended June 30, 2010 and 2009</w:t>
            </w:r>
          </w:p>
        </w:tc>
        <w:tc>
          <w:tcPr>
            <w:tcW w:w="2040" w:type="dxa"/>
            <w:vAlign w:val="bottom"/>
            <w:gridSpan w:val="2"/>
            <w:shd w:val="clear" w:color="auto" w:fill="C0C0C0"/>
          </w:tcPr>
          <w:p>
            <w:pPr>
              <w:ind w:left="1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60" w:type="dxa"/>
            <w:vAlign w:val="bottom"/>
            <w:gridSpan w:val="8"/>
            <w:shd w:val="clear" w:color="auto" w:fill="C0C0C0"/>
          </w:tcPr>
          <w:p>
            <w:pPr>
              <w:spacing w:after="0"/>
              <w:rPr>
                <w:sz w:val="20"/>
                <w:szCs w:val="20"/>
                <w:color w:val="auto"/>
              </w:rPr>
            </w:pPr>
            <w:r>
              <w:rPr>
                <w:rFonts w:ascii="Arial" w:cs="Arial" w:eastAsia="Arial" w:hAnsi="Arial"/>
                <w:sz w:val="18"/>
                <w:szCs w:val="18"/>
                <w:color w:val="auto"/>
                <w:w w:val="97"/>
              </w:rPr>
              <w:t>Condensed statements of stockholders’ equity (unaudited) for the six months ended June 30, 2010 and 2009</w:t>
            </w:r>
          </w:p>
        </w:tc>
        <w:tc>
          <w:tcPr>
            <w:tcW w:w="2040" w:type="dxa"/>
            <w:vAlign w:val="bottom"/>
            <w:gridSpan w:val="2"/>
            <w:shd w:val="clear" w:color="auto" w:fill="C0C0C0"/>
          </w:tcPr>
          <w:p>
            <w:pPr>
              <w:ind w:left="12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60" w:type="dxa"/>
            <w:vAlign w:val="bottom"/>
            <w:gridSpan w:val="8"/>
            <w:shd w:val="clear" w:color="auto" w:fill="C0C0C0"/>
          </w:tcPr>
          <w:p>
            <w:pPr>
              <w:spacing w:after="0"/>
              <w:rPr>
                <w:sz w:val="20"/>
                <w:szCs w:val="20"/>
                <w:color w:val="auto"/>
              </w:rPr>
            </w:pPr>
            <w:r>
              <w:rPr>
                <w:rFonts w:ascii="Arial" w:cs="Arial" w:eastAsia="Arial" w:hAnsi="Arial"/>
                <w:sz w:val="18"/>
                <w:szCs w:val="18"/>
                <w:color w:val="auto"/>
              </w:rPr>
              <w:t>Condensed statements of cash flows (unaudited) for the six months ended June 30, 2010 and 2009</w:t>
            </w:r>
          </w:p>
        </w:tc>
        <w:tc>
          <w:tcPr>
            <w:tcW w:w="2040" w:type="dxa"/>
            <w:vAlign w:val="bottom"/>
            <w:gridSpan w:val="2"/>
            <w:shd w:val="clear" w:color="auto" w:fill="C0C0C0"/>
          </w:tcPr>
          <w:p>
            <w:pPr>
              <w:ind w:left="12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60" w:type="dxa"/>
            <w:vAlign w:val="bottom"/>
            <w:gridSpan w:val="8"/>
            <w:shd w:val="clear" w:color="auto" w:fill="C0C0C0"/>
          </w:tcPr>
          <w:p>
            <w:pPr>
              <w:spacing w:after="0"/>
              <w:rPr>
                <w:sz w:val="20"/>
                <w:szCs w:val="20"/>
                <w:color w:val="auto"/>
              </w:rPr>
            </w:pPr>
            <w:r>
              <w:rPr>
                <w:rFonts w:ascii="Arial" w:cs="Arial" w:eastAsia="Arial" w:hAnsi="Arial"/>
                <w:sz w:val="18"/>
                <w:szCs w:val="18"/>
                <w:color w:val="auto"/>
              </w:rPr>
              <w:t>Notes to condensed financial statements (unaudited)</w:t>
            </w:r>
          </w:p>
        </w:tc>
        <w:tc>
          <w:tcPr>
            <w:tcW w:w="2040" w:type="dxa"/>
            <w:vAlign w:val="bottom"/>
            <w:gridSpan w:val="2"/>
            <w:shd w:val="clear" w:color="auto" w:fill="C0C0C0"/>
          </w:tcPr>
          <w:p>
            <w:pPr>
              <w:ind w:left="1260"/>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2</w:t>
            </w:r>
          </w:p>
        </w:tc>
        <w:tc>
          <w:tcPr>
            <w:tcW w:w="8460" w:type="dxa"/>
            <w:vAlign w:val="bottom"/>
            <w:gridSpan w:val="8"/>
            <w:shd w:val="clear" w:color="auto" w:fill="C0C0C0"/>
          </w:tcPr>
          <w:p>
            <w:pPr>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40" w:type="dxa"/>
            <w:vAlign w:val="bottom"/>
            <w:gridSpan w:val="2"/>
            <w:shd w:val="clear" w:color="auto" w:fill="C0C0C0"/>
          </w:tcPr>
          <w:p>
            <w:pPr>
              <w:ind w:left="1260"/>
              <w:spacing w:after="0" w:line="189" w:lineRule="exact"/>
              <w:rPr>
                <w:sz w:val="20"/>
                <w:szCs w:val="20"/>
                <w:color w:val="auto"/>
              </w:rPr>
            </w:pPr>
            <w:r>
              <w:rPr>
                <w:rFonts w:ascii="Arial" w:cs="Arial" w:eastAsia="Arial" w:hAnsi="Arial"/>
                <w:sz w:val="18"/>
                <w:szCs w:val="18"/>
                <w:color w:val="auto"/>
              </w:rPr>
              <w:t>14-37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2180" w:type="dxa"/>
            <w:vAlign w:val="bottom"/>
            <w:tcBorders>
              <w:top w:val="single" w:sz="8" w:color="C0C0C0"/>
            </w:tcBorders>
          </w:tcPr>
          <w:p>
            <w:pPr>
              <w:spacing w:after="0"/>
              <w:rPr>
                <w:sz w:val="21"/>
                <w:szCs w:val="21"/>
                <w:color w:val="auto"/>
              </w:rPr>
            </w:pPr>
          </w:p>
        </w:tc>
        <w:tc>
          <w:tcPr>
            <w:tcW w:w="900" w:type="dxa"/>
            <w:vAlign w:val="bottom"/>
            <w:tcBorders>
              <w:top w:val="single" w:sz="8" w:color="C0C0C0"/>
            </w:tcBorders>
          </w:tcPr>
          <w:p>
            <w:pPr>
              <w:spacing w:after="0"/>
              <w:rPr>
                <w:sz w:val="21"/>
                <w:szCs w:val="21"/>
                <w:color w:val="auto"/>
              </w:rPr>
            </w:pPr>
          </w:p>
        </w:tc>
        <w:tc>
          <w:tcPr>
            <w:tcW w:w="1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3</w:t>
            </w:r>
          </w:p>
        </w:tc>
        <w:tc>
          <w:tcPr>
            <w:tcW w:w="8460" w:type="dxa"/>
            <w:vAlign w:val="bottom"/>
            <w:gridSpan w:val="8"/>
            <w:shd w:val="clear" w:color="auto" w:fill="C0C0C0"/>
          </w:tcPr>
          <w:p>
            <w:pPr>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2040" w:type="dxa"/>
            <w:vAlign w:val="bottom"/>
            <w:gridSpan w:val="2"/>
            <w:shd w:val="clear" w:color="auto" w:fill="C0C0C0"/>
          </w:tcPr>
          <w:p>
            <w:pPr>
              <w:ind w:left="1260"/>
              <w:spacing w:after="0" w:line="189"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180" w:type="dxa"/>
            <w:vAlign w:val="bottom"/>
            <w:tcBorders>
              <w:top w:val="single" w:sz="8" w:color="C0C0C0"/>
            </w:tcBorders>
          </w:tcPr>
          <w:p>
            <w:pPr>
              <w:spacing w:after="0"/>
              <w:rPr>
                <w:sz w:val="21"/>
                <w:szCs w:val="21"/>
                <w:color w:val="auto"/>
              </w:rPr>
            </w:pPr>
          </w:p>
        </w:tc>
        <w:tc>
          <w:tcPr>
            <w:tcW w:w="900" w:type="dxa"/>
            <w:vAlign w:val="bottom"/>
            <w:tcBorders>
              <w:top w:val="single" w:sz="8" w:color="C0C0C0"/>
            </w:tcBorders>
          </w:tcPr>
          <w:p>
            <w:pPr>
              <w:spacing w:after="0"/>
              <w:rPr>
                <w:sz w:val="21"/>
                <w:szCs w:val="21"/>
                <w:color w:val="auto"/>
              </w:rPr>
            </w:pPr>
          </w:p>
        </w:tc>
        <w:tc>
          <w:tcPr>
            <w:tcW w:w="1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4</w:t>
            </w:r>
          </w:p>
        </w:tc>
        <w:tc>
          <w:tcPr>
            <w:tcW w:w="8460" w:type="dxa"/>
            <w:vAlign w:val="bottom"/>
            <w:gridSpan w:val="8"/>
            <w:shd w:val="clear" w:color="auto" w:fill="C0C0C0"/>
          </w:tcPr>
          <w:p>
            <w:pPr>
              <w:spacing w:after="0" w:line="189" w:lineRule="exact"/>
              <w:rPr>
                <w:sz w:val="20"/>
                <w:szCs w:val="20"/>
                <w:color w:val="auto"/>
              </w:rPr>
            </w:pPr>
            <w:r>
              <w:rPr>
                <w:rFonts w:ascii="Arial" w:cs="Arial" w:eastAsia="Arial" w:hAnsi="Arial"/>
                <w:sz w:val="18"/>
                <w:szCs w:val="18"/>
                <w:color w:val="auto"/>
              </w:rPr>
              <w:t>Controls and Procedures</w:t>
            </w:r>
          </w:p>
        </w:tc>
        <w:tc>
          <w:tcPr>
            <w:tcW w:w="2040" w:type="dxa"/>
            <w:vAlign w:val="bottom"/>
            <w:gridSpan w:val="2"/>
            <w:shd w:val="clear" w:color="auto" w:fill="C0C0C0"/>
          </w:tcPr>
          <w:p>
            <w:pPr>
              <w:ind w:left="1260"/>
              <w:spacing w:after="0" w:line="189" w:lineRule="exact"/>
              <w:rPr>
                <w:sz w:val="20"/>
                <w:szCs w:val="20"/>
                <w:color w:val="auto"/>
              </w:rPr>
            </w:pPr>
            <w:r>
              <w:rPr>
                <w:rFonts w:ascii="Arial" w:cs="Arial" w:eastAsia="Arial" w:hAnsi="Arial"/>
                <w:sz w:val="18"/>
                <w:szCs w:val="18"/>
                <w:color w:val="auto"/>
              </w:rPr>
              <w:t>37-38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180" w:type="dxa"/>
            <w:vAlign w:val="bottom"/>
            <w:tcBorders>
              <w:top w:val="single" w:sz="8" w:color="C0C0C0"/>
            </w:tcBorders>
          </w:tcPr>
          <w:p>
            <w:pPr>
              <w:spacing w:after="0"/>
              <w:rPr>
                <w:sz w:val="21"/>
                <w:szCs w:val="21"/>
                <w:color w:val="auto"/>
              </w:rPr>
            </w:pPr>
          </w:p>
        </w:tc>
        <w:tc>
          <w:tcPr>
            <w:tcW w:w="900" w:type="dxa"/>
            <w:vAlign w:val="bottom"/>
            <w:tcBorders>
              <w:top w:val="single" w:sz="8" w:color="C0C0C0"/>
            </w:tcBorders>
          </w:tcPr>
          <w:p>
            <w:pPr>
              <w:spacing w:after="0"/>
              <w:rPr>
                <w:sz w:val="21"/>
                <w:szCs w:val="21"/>
                <w:color w:val="auto"/>
              </w:rPr>
            </w:pPr>
          </w:p>
        </w:tc>
        <w:tc>
          <w:tcPr>
            <w:tcW w:w="1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0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8460" w:type="dxa"/>
            <w:vAlign w:val="bottom"/>
            <w:gridSpan w:val="8"/>
            <w:shd w:val="clear" w:color="auto" w:fill="C0C0C0"/>
          </w:tcPr>
          <w:p>
            <w:pPr>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1</w:t>
            </w:r>
          </w:p>
        </w:tc>
        <w:tc>
          <w:tcPr>
            <w:tcW w:w="8460" w:type="dxa"/>
            <w:vAlign w:val="bottom"/>
            <w:gridSpan w:val="8"/>
            <w:shd w:val="clear" w:color="auto" w:fill="C0C0C0"/>
          </w:tcPr>
          <w:p>
            <w:pPr>
              <w:spacing w:after="0" w:line="189" w:lineRule="exact"/>
              <w:rPr>
                <w:sz w:val="20"/>
                <w:szCs w:val="20"/>
                <w:color w:val="auto"/>
              </w:rPr>
            </w:pPr>
            <w:r>
              <w:rPr>
                <w:rFonts w:ascii="Arial" w:cs="Arial" w:eastAsia="Arial" w:hAnsi="Arial"/>
                <w:sz w:val="18"/>
                <w:szCs w:val="18"/>
                <w:color w:val="auto"/>
              </w:rPr>
              <w:t>Legal Proceedings</w:t>
            </w:r>
          </w:p>
        </w:tc>
        <w:tc>
          <w:tcPr>
            <w:tcW w:w="2040" w:type="dxa"/>
            <w:vAlign w:val="bottom"/>
            <w:gridSpan w:val="2"/>
            <w:shd w:val="clear" w:color="auto" w:fill="C0C0C0"/>
          </w:tcPr>
          <w:p>
            <w:pPr>
              <w:ind w:left="1260"/>
              <w:spacing w:after="0" w:line="189"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180" w:type="dxa"/>
            <w:vAlign w:val="bottom"/>
            <w:tcBorders>
              <w:top w:val="single" w:sz="8" w:color="C0C0C0"/>
            </w:tcBorders>
          </w:tcPr>
          <w:p>
            <w:pPr>
              <w:spacing w:after="0"/>
              <w:rPr>
                <w:sz w:val="21"/>
                <w:szCs w:val="21"/>
                <w:color w:val="auto"/>
              </w:rPr>
            </w:pPr>
          </w:p>
        </w:tc>
        <w:tc>
          <w:tcPr>
            <w:tcW w:w="900" w:type="dxa"/>
            <w:vAlign w:val="bottom"/>
            <w:tcBorders>
              <w:top w:val="single" w:sz="8" w:color="C0C0C0"/>
            </w:tcBorders>
          </w:tcPr>
          <w:p>
            <w:pPr>
              <w:spacing w:after="0"/>
              <w:rPr>
                <w:sz w:val="21"/>
                <w:szCs w:val="21"/>
                <w:color w:val="auto"/>
              </w:rPr>
            </w:pPr>
          </w:p>
        </w:tc>
        <w:tc>
          <w:tcPr>
            <w:tcW w:w="1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1A</w:t>
            </w:r>
          </w:p>
        </w:tc>
        <w:tc>
          <w:tcPr>
            <w:tcW w:w="8460" w:type="dxa"/>
            <w:vAlign w:val="bottom"/>
            <w:gridSpan w:val="8"/>
            <w:shd w:val="clear" w:color="auto" w:fill="C0C0C0"/>
          </w:tcPr>
          <w:p>
            <w:pPr>
              <w:spacing w:after="0" w:line="189" w:lineRule="exact"/>
              <w:rPr>
                <w:sz w:val="20"/>
                <w:szCs w:val="20"/>
                <w:color w:val="auto"/>
              </w:rPr>
            </w:pPr>
            <w:r>
              <w:rPr>
                <w:rFonts w:ascii="Arial" w:cs="Arial" w:eastAsia="Arial" w:hAnsi="Arial"/>
                <w:sz w:val="18"/>
                <w:szCs w:val="18"/>
                <w:color w:val="auto"/>
              </w:rPr>
              <w:t>Risk Factors</w:t>
            </w:r>
          </w:p>
        </w:tc>
        <w:tc>
          <w:tcPr>
            <w:tcW w:w="2040" w:type="dxa"/>
            <w:vAlign w:val="bottom"/>
            <w:gridSpan w:val="2"/>
            <w:shd w:val="clear" w:color="auto" w:fill="C0C0C0"/>
          </w:tcPr>
          <w:p>
            <w:pPr>
              <w:ind w:left="1260"/>
              <w:spacing w:after="0" w:line="189" w:lineRule="exact"/>
              <w:rPr>
                <w:sz w:val="20"/>
                <w:szCs w:val="20"/>
                <w:color w:val="auto"/>
              </w:rPr>
            </w:pPr>
            <w:r>
              <w:rPr>
                <w:rFonts w:ascii="Arial" w:cs="Arial" w:eastAsia="Arial" w:hAnsi="Arial"/>
                <w:sz w:val="18"/>
                <w:szCs w:val="18"/>
                <w:color w:val="auto"/>
              </w:rPr>
              <w:t>38-54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180" w:type="dxa"/>
            <w:vAlign w:val="bottom"/>
            <w:tcBorders>
              <w:top w:val="single" w:sz="8" w:color="C0C0C0"/>
            </w:tcBorders>
          </w:tcPr>
          <w:p>
            <w:pPr>
              <w:spacing w:after="0"/>
              <w:rPr>
                <w:sz w:val="21"/>
                <w:szCs w:val="21"/>
                <w:color w:val="auto"/>
              </w:rPr>
            </w:pPr>
          </w:p>
        </w:tc>
        <w:tc>
          <w:tcPr>
            <w:tcW w:w="900" w:type="dxa"/>
            <w:vAlign w:val="bottom"/>
            <w:tcBorders>
              <w:top w:val="single" w:sz="8" w:color="C0C0C0"/>
            </w:tcBorders>
          </w:tcPr>
          <w:p>
            <w:pPr>
              <w:spacing w:after="0"/>
              <w:rPr>
                <w:sz w:val="21"/>
                <w:szCs w:val="21"/>
                <w:color w:val="auto"/>
              </w:rPr>
            </w:pPr>
          </w:p>
        </w:tc>
        <w:tc>
          <w:tcPr>
            <w:tcW w:w="1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6</w:t>
            </w:r>
          </w:p>
        </w:tc>
        <w:tc>
          <w:tcPr>
            <w:tcW w:w="8460" w:type="dxa"/>
            <w:vAlign w:val="bottom"/>
            <w:gridSpan w:val="8"/>
            <w:shd w:val="clear" w:color="auto" w:fill="C0C0C0"/>
          </w:tcPr>
          <w:p>
            <w:pPr>
              <w:spacing w:after="0" w:line="189" w:lineRule="exact"/>
              <w:rPr>
                <w:sz w:val="20"/>
                <w:szCs w:val="20"/>
                <w:color w:val="auto"/>
              </w:rPr>
            </w:pPr>
            <w:r>
              <w:rPr>
                <w:rFonts w:ascii="Arial" w:cs="Arial" w:eastAsia="Arial" w:hAnsi="Arial"/>
                <w:sz w:val="18"/>
                <w:szCs w:val="18"/>
                <w:color w:val="auto"/>
              </w:rPr>
              <w:t>Exhibits</w:t>
            </w:r>
          </w:p>
        </w:tc>
        <w:tc>
          <w:tcPr>
            <w:tcW w:w="2040" w:type="dxa"/>
            <w:vAlign w:val="bottom"/>
            <w:gridSpan w:val="2"/>
            <w:shd w:val="clear" w:color="auto" w:fill="C0C0C0"/>
          </w:tcPr>
          <w:p>
            <w:pPr>
              <w:ind w:left="1260"/>
              <w:spacing w:after="0" w:line="189"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180" w:type="dxa"/>
            <w:vAlign w:val="bottom"/>
            <w:tcBorders>
              <w:top w:val="single" w:sz="8" w:color="C0C0C0"/>
            </w:tcBorders>
          </w:tcPr>
          <w:p>
            <w:pPr>
              <w:spacing w:after="0"/>
              <w:rPr>
                <w:sz w:val="21"/>
                <w:szCs w:val="21"/>
                <w:color w:val="auto"/>
              </w:rPr>
            </w:pPr>
          </w:p>
        </w:tc>
        <w:tc>
          <w:tcPr>
            <w:tcW w:w="900" w:type="dxa"/>
            <w:vAlign w:val="bottom"/>
            <w:tcBorders>
              <w:top w:val="single" w:sz="8" w:color="C0C0C0"/>
            </w:tcBorders>
          </w:tcPr>
          <w:p>
            <w:pPr>
              <w:spacing w:after="0"/>
              <w:rPr>
                <w:sz w:val="21"/>
                <w:szCs w:val="21"/>
                <w:color w:val="auto"/>
              </w:rPr>
            </w:pPr>
          </w:p>
        </w:tc>
        <w:tc>
          <w:tcPr>
            <w:tcW w:w="1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360" w:type="dxa"/>
            <w:vAlign w:val="bottom"/>
            <w:gridSpan w:val="11"/>
            <w:shd w:val="clear" w:color="auto" w:fill="C0C0C0"/>
          </w:tcPr>
          <w:p>
            <w:pPr>
              <w:spacing w:after="0"/>
              <w:rPr>
                <w:sz w:val="20"/>
                <w:szCs w:val="20"/>
                <w:color w:val="auto"/>
              </w:rPr>
            </w:pPr>
            <w:r>
              <w:rPr>
                <w:rFonts w:ascii="Arial" w:cs="Arial" w:eastAsia="Arial" w:hAnsi="Arial"/>
                <w:sz w:val="18"/>
                <w:szCs w:val="18"/>
                <w:b w:val="1"/>
                <w:bCs w:val="1"/>
                <w:color w:val="auto"/>
              </w:rPr>
              <w:t>SIGNATURE PAGE</w:t>
            </w:r>
          </w:p>
        </w:tc>
        <w:tc>
          <w:tcPr>
            <w:tcW w:w="2040" w:type="dxa"/>
            <w:vAlign w:val="bottom"/>
            <w:gridSpan w:val="2"/>
            <w:shd w:val="clear" w:color="auto" w:fill="C0C0C0"/>
          </w:tcPr>
          <w:p>
            <w:pPr>
              <w:ind w:left="126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JUNE 30, 2010 AND DECEMBER 31, 2009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w w:val="97"/>
              </w:rPr>
              <w:t>June 30,</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52"/>
        </w:trPr>
        <w:tc>
          <w:tcPr>
            <w:tcW w:w="8580" w:type="dxa"/>
            <w:vAlign w:val="bottom"/>
            <w:tcBorders>
              <w:bottom w:val="single" w:sz="8" w:color="C0C0C0"/>
            </w:tcBorders>
          </w:tcPr>
          <w:p>
            <w:pPr>
              <w:ind w:left="39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r>
      <w:tr>
        <w:trPr>
          <w:trHeight w:val="230"/>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112,000</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207,075</w:t>
            </w: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194,337</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134,255</w:t>
            </w: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Accounts receivable from the sanofi-aventis Group</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91,126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62,703</w:t>
            </w: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receivable - other</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4,070</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2,865</w:t>
            </w:r>
          </w:p>
        </w:tc>
      </w:tr>
      <w:tr>
        <w:trPr>
          <w:trHeight w:val="237"/>
        </w:trPr>
        <w:tc>
          <w:tcPr>
            <w:tcW w:w="85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16,217</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18,610</w:t>
            </w:r>
          </w:p>
        </w:tc>
      </w:tr>
      <w:tr>
        <w:trPr>
          <w:trHeight w:val="243"/>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417,750</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425,508</w:t>
            </w:r>
          </w:p>
        </w:tc>
      </w:tr>
      <w:tr>
        <w:trPr>
          <w:trHeight w:val="243"/>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3,400</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1,600</w:t>
            </w: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70,465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47,080</w:t>
            </w:r>
          </w:p>
        </w:tc>
      </w:tr>
      <w:tr>
        <w:trPr>
          <w:trHeight w:val="235"/>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r>
      <w:tr>
        <w:trPr>
          <w:trHeight w:val="259"/>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292,329</w:t>
            </w:r>
          </w:p>
        </w:tc>
        <w:tc>
          <w:tcPr>
            <w:tcW w:w="2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259,676</w:t>
            </w:r>
          </w:p>
        </w:tc>
      </w:tr>
      <w:tr>
        <w:trPr>
          <w:trHeight w:val="237"/>
        </w:trPr>
        <w:tc>
          <w:tcPr>
            <w:tcW w:w="85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6,697</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7,338</w:t>
            </w:r>
          </w:p>
        </w:tc>
      </w:tr>
      <w:tr>
        <w:trPr>
          <w:trHeight w:val="250"/>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790,641</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741,202</w:t>
            </w:r>
          </w:p>
        </w:tc>
      </w:tr>
      <w:tr>
        <w:trPr>
          <w:trHeight w:val="230"/>
        </w:trPr>
        <w:tc>
          <w:tcPr>
            <w:tcW w:w="8580" w:type="dxa"/>
            <w:vAlign w:val="bottom"/>
            <w:tcBorders>
              <w:top w:val="single" w:sz="8" w:color="C0C0C0"/>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43"/>
        </w:trPr>
        <w:tc>
          <w:tcPr>
            <w:tcW w:w="8580" w:type="dxa"/>
            <w:vAlign w:val="bottom"/>
            <w:shd w:val="clear" w:color="auto" w:fill="C0C0C0"/>
          </w:tcPr>
          <w:p>
            <w:pPr>
              <w:ind w:left="246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58,256</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49,031</w:t>
            </w: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Deferred revenue from sanofi-aventis, current portion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19,126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17,523</w:t>
            </w: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Deferred revenue - other, current portion</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41,741</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27,021</w:t>
            </w:r>
          </w:p>
        </w:tc>
      </w:tr>
      <w:tr>
        <w:trPr>
          <w:trHeight w:val="237"/>
        </w:trPr>
        <w:tc>
          <w:tcPr>
            <w:tcW w:w="85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Facility lease obligations, current portion</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448</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43"/>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119,571</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93,575</w:t>
            </w:r>
          </w:p>
        </w:tc>
      </w:tr>
      <w:tr>
        <w:trPr>
          <w:trHeight w:val="243"/>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 from sanofi-aventis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96,168</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90,933</w:t>
            </w: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Deferred revenue - other</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42,009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46,951</w:t>
            </w:r>
          </w:p>
        </w:tc>
      </w:tr>
      <w:tr>
        <w:trPr>
          <w:trHeight w:val="251"/>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Facility lease obligations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157,359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109,022</w:t>
            </w:r>
          </w:p>
        </w:tc>
      </w:tr>
      <w:tr>
        <w:trPr>
          <w:trHeight w:val="237"/>
        </w:trPr>
        <w:tc>
          <w:tcPr>
            <w:tcW w:w="85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long term liabilities</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4,318</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3,959</w:t>
            </w:r>
          </w:p>
        </w:tc>
      </w:tr>
      <w:tr>
        <w:trPr>
          <w:trHeight w:val="237"/>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419,425</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344,440</w:t>
            </w:r>
          </w:p>
        </w:tc>
      </w:tr>
      <w:tr>
        <w:trPr>
          <w:trHeight w:val="230"/>
        </w:trPr>
        <w:tc>
          <w:tcPr>
            <w:tcW w:w="8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43"/>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28"/>
        </w:trPr>
        <w:tc>
          <w:tcPr>
            <w:tcW w:w="8580" w:type="dxa"/>
            <w:vAlign w:val="bottom"/>
          </w:tcPr>
          <w:p>
            <w:pPr>
              <w:ind w:left="320"/>
              <w:spacing w:after="0"/>
              <w:rPr>
                <w:sz w:val="20"/>
                <w:szCs w:val="20"/>
                <w:color w:val="auto"/>
              </w:rPr>
            </w:pPr>
            <w:r>
              <w:rPr>
                <w:rFonts w:ascii="Arial" w:cs="Arial" w:eastAsia="Arial" w:hAnsi="Arial"/>
                <w:sz w:val="18"/>
                <w:szCs w:val="18"/>
                <w:color w:val="auto"/>
              </w:rPr>
              <w:t>Preferred stock, $.01 par value; 30,000,000 shares authorized; issued and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1"/>
        </w:trPr>
        <w:tc>
          <w:tcPr>
            <w:tcW w:w="8580" w:type="dxa"/>
            <w:vAlign w:val="bottom"/>
          </w:tcPr>
          <w:p>
            <w:pPr>
              <w:ind w:left="620"/>
              <w:spacing w:after="0"/>
              <w:rPr>
                <w:sz w:val="20"/>
                <w:szCs w:val="20"/>
                <w:color w:val="auto"/>
              </w:rPr>
            </w:pPr>
            <w:r>
              <w:rPr>
                <w:rFonts w:ascii="Arial" w:cs="Arial" w:eastAsia="Arial" w:hAnsi="Arial"/>
                <w:sz w:val="18"/>
                <w:szCs w:val="18"/>
                <w:color w:val="auto"/>
              </w:rPr>
              <w:t>outstanding - none</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5"/>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r>
      <w:tr>
        <w:trPr>
          <w:trHeight w:val="259"/>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shares issued and outstanding - 2,182,036 in 2010 and 2,244,698 in 2009</w:t>
            </w: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w:t>
            </w:r>
          </w:p>
        </w:tc>
        <w:tc>
          <w:tcPr>
            <w:tcW w:w="2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w:t>
            </w:r>
          </w:p>
        </w:tc>
      </w:tr>
      <w:tr>
        <w:trPr>
          <w:trHeight w:val="228"/>
        </w:trPr>
        <w:tc>
          <w:tcPr>
            <w:tcW w:w="8580" w:type="dxa"/>
            <w:vAlign w:val="bottom"/>
          </w:tcPr>
          <w:p>
            <w:pPr>
              <w:ind w:left="320"/>
              <w:spacing w:after="0"/>
              <w:rPr>
                <w:sz w:val="20"/>
                <w:szCs w:val="20"/>
                <w:color w:val="auto"/>
              </w:rPr>
            </w:pPr>
            <w:r>
              <w:rPr>
                <w:rFonts w:ascii="Arial" w:cs="Arial" w:eastAsia="Arial" w:hAnsi="Arial"/>
                <w:sz w:val="18"/>
                <w:szCs w:val="18"/>
                <w:color w:val="auto"/>
              </w:rPr>
              <w:t>Common Stock, $.001 par value; 160,000,000 shares authorized;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1"/>
        </w:trPr>
        <w:tc>
          <w:tcPr>
            <w:tcW w:w="8580" w:type="dxa"/>
            <w:vAlign w:val="bottom"/>
          </w:tcPr>
          <w:p>
            <w:pPr>
              <w:ind w:left="620"/>
              <w:spacing w:after="0"/>
              <w:rPr>
                <w:sz w:val="20"/>
                <w:szCs w:val="20"/>
                <w:color w:val="auto"/>
              </w:rPr>
            </w:pPr>
            <w:r>
              <w:rPr>
                <w:rFonts w:ascii="Arial" w:cs="Arial" w:eastAsia="Arial" w:hAnsi="Arial"/>
                <w:sz w:val="18"/>
                <w:szCs w:val="18"/>
                <w:color w:val="auto"/>
              </w:rPr>
              <w:t>shares issued and outstanding - 79,923,216 in 2010 and 78,860,862 in 2009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1,368,531</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1,336,732</w:t>
            </w: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(997,091)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(941,095)</w:t>
            </w: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1,044</w:t>
            </w:r>
          </w:p>
        </w:tc>
      </w:tr>
      <w:tr>
        <w:trPr>
          <w:trHeight w:val="230"/>
        </w:trPr>
        <w:tc>
          <w:tcPr>
            <w:tcW w:w="858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371,216</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396,762</w:t>
            </w:r>
          </w:p>
        </w:tc>
      </w:tr>
      <w:tr>
        <w:trPr>
          <w:trHeight w:val="242"/>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790,641</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741,202</w:t>
            </w:r>
          </w:p>
        </w:tc>
      </w:tr>
      <w:tr>
        <w:trPr>
          <w:trHeight w:val="28"/>
        </w:trPr>
        <w:tc>
          <w:tcPr>
            <w:tcW w:w="858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86"/>
              </w:rPr>
              <w:t>Three months ended June 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52"/>
        </w:trPr>
        <w:tc>
          <w:tcPr>
            <w:tcW w:w="60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r>
      <w:tr>
        <w:trPr>
          <w:trHeight w:val="230"/>
        </w:trPr>
        <w:tc>
          <w:tcPr>
            <w:tcW w:w="602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r>
      <w:tr>
        <w:trPr>
          <w:trHeight w:val="235"/>
        </w:trPr>
        <w:tc>
          <w:tcPr>
            <w:tcW w:w="6020" w:type="dxa"/>
            <w:vAlign w:val="bottom"/>
          </w:tcPr>
          <w:p>
            <w:pPr>
              <w:ind w:left="320"/>
              <w:spacing w:after="0"/>
              <w:rPr>
                <w:sz w:val="20"/>
                <w:szCs w:val="20"/>
                <w:color w:val="auto"/>
              </w:rPr>
            </w:pPr>
            <w:r>
              <w:rPr>
                <w:rFonts w:ascii="Arial" w:cs="Arial" w:eastAsia="Arial" w:hAnsi="Arial"/>
                <w:sz w:val="18"/>
                <w:szCs w:val="18"/>
                <w:color w:val="auto"/>
              </w:rPr>
              <w:t>Sanofi-aventis collaboration revenue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84,941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60,732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153,612</w:t>
            </w:r>
          </w:p>
        </w:tc>
        <w:tc>
          <w:tcPr>
            <w:tcW w:w="28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110,392</w:t>
            </w:r>
          </w:p>
        </w:tc>
      </w:tr>
      <w:tr>
        <w:trPr>
          <w:trHeight w:val="251"/>
        </w:trPr>
        <w:tc>
          <w:tcPr>
            <w:tcW w:w="60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collaboration revenue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13,635</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12,846</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26,722</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22,794</w:t>
            </w:r>
          </w:p>
        </w:tc>
      </w:tr>
      <w:tr>
        <w:trPr>
          <w:trHeight w:val="235"/>
        </w:trPr>
        <w:tc>
          <w:tcPr>
            <w:tcW w:w="6020" w:type="dxa"/>
            <w:vAlign w:val="bottom"/>
          </w:tcPr>
          <w:p>
            <w:pPr>
              <w:ind w:left="320"/>
              <w:spacing w:after="0"/>
              <w:rPr>
                <w:sz w:val="20"/>
                <w:szCs w:val="20"/>
                <w:color w:val="auto"/>
              </w:rPr>
            </w:pPr>
            <w:r>
              <w:rPr>
                <w:rFonts w:ascii="Arial" w:cs="Arial" w:eastAsia="Arial" w:hAnsi="Arial"/>
                <w:sz w:val="18"/>
                <w:szCs w:val="18"/>
                <w:color w:val="auto"/>
              </w:rPr>
              <w:t>Technology licensing</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20,000</w:t>
            </w:r>
          </w:p>
        </w:tc>
      </w:tr>
      <w:tr>
        <w:trPr>
          <w:trHeight w:val="251"/>
        </w:trPr>
        <w:tc>
          <w:tcPr>
            <w:tcW w:w="60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product sales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5,197</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4,500</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15,049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8,391</w:t>
            </w:r>
          </w:p>
        </w:tc>
      </w:tr>
      <w:tr>
        <w:trPr>
          <w:trHeight w:val="237"/>
        </w:trPr>
        <w:tc>
          <w:tcPr>
            <w:tcW w:w="60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Contract research and other</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1,954</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3,436</w:t>
            </w:r>
          </w:p>
        </w:tc>
      </w:tr>
      <w:tr>
        <w:trPr>
          <w:trHeight w:val="237"/>
        </w:trPr>
        <w:tc>
          <w:tcPr>
            <w:tcW w:w="60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115,886</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90,032</w:t>
            </w:r>
          </w:p>
        </w:tc>
        <w:tc>
          <w:tcPr>
            <w:tcW w:w="26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219,420</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165,013</w:t>
            </w:r>
          </w:p>
        </w:tc>
      </w:tr>
      <w:tr>
        <w:trPr>
          <w:trHeight w:val="230"/>
        </w:trPr>
        <w:tc>
          <w:tcPr>
            <w:tcW w:w="6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602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602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124,526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94,231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241,997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174,538</w:t>
            </w:r>
          </w:p>
        </w:tc>
      </w:tr>
      <w:tr>
        <w:trPr>
          <w:trHeight w:val="251"/>
        </w:trPr>
        <w:tc>
          <w:tcPr>
            <w:tcW w:w="60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14,679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11,632</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28,902</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23,052</w:t>
            </w:r>
          </w:p>
        </w:tc>
      </w:tr>
      <w:tr>
        <w:trPr>
          <w:trHeight w:val="237"/>
        </w:trPr>
        <w:tc>
          <w:tcPr>
            <w:tcW w:w="60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435</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827</w:t>
            </w:r>
          </w:p>
        </w:tc>
      </w:tr>
      <w:tr>
        <w:trPr>
          <w:trHeight w:val="237"/>
        </w:trPr>
        <w:tc>
          <w:tcPr>
            <w:tcW w:w="60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139,610</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106,298</w:t>
            </w:r>
          </w:p>
        </w:tc>
        <w:tc>
          <w:tcPr>
            <w:tcW w:w="26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272,021</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198,417</w:t>
            </w:r>
          </w:p>
        </w:tc>
      </w:tr>
      <w:tr>
        <w:trPr>
          <w:trHeight w:val="230"/>
        </w:trPr>
        <w:tc>
          <w:tcPr>
            <w:tcW w:w="6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7"/>
        </w:trPr>
        <w:tc>
          <w:tcPr>
            <w:tcW w:w="602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(23,724)</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(16,266)</w:t>
            </w:r>
          </w:p>
        </w:tc>
        <w:tc>
          <w:tcPr>
            <w:tcW w:w="26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(52,601)</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(33,404)</w:t>
            </w:r>
          </w:p>
        </w:tc>
      </w:tr>
      <w:tr>
        <w:trPr>
          <w:trHeight w:val="243"/>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602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602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1,328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3,078</w:t>
            </w:r>
          </w:p>
        </w:tc>
      </w:tr>
      <w:tr>
        <w:trPr>
          <w:trHeight w:val="244"/>
        </w:trPr>
        <w:tc>
          <w:tcPr>
            <w:tcW w:w="60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(2,342)</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(4,426)</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spacing w:after="0"/>
              <w:rPr>
                <w:sz w:val="21"/>
                <w:szCs w:val="21"/>
                <w:color w:val="auto"/>
              </w:rPr>
            </w:pPr>
          </w:p>
        </w:tc>
      </w:tr>
      <w:tr>
        <w:trPr>
          <w:trHeight w:val="237"/>
        </w:trPr>
        <w:tc>
          <w:tcPr>
            <w:tcW w:w="60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1,328</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3,078</w:t>
            </w:r>
          </w:p>
        </w:tc>
      </w:tr>
      <w:tr>
        <w:trPr>
          <w:trHeight w:val="480"/>
        </w:trPr>
        <w:tc>
          <w:tcPr>
            <w:tcW w:w="602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(25,474)</w:t>
            </w:r>
          </w:p>
        </w:tc>
        <w:tc>
          <w:tcPr>
            <w:tcW w:w="5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(14,938)</w:t>
            </w: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(55,996)</w:t>
            </w:r>
          </w:p>
        </w:tc>
        <w:tc>
          <w:tcPr>
            <w:tcW w:w="280" w:type="dxa"/>
            <w:vAlign w:val="bottom"/>
            <w:shd w:val="clear" w:color="auto" w:fill="C0C0C0"/>
          </w:tcPr>
          <w:p>
            <w:pPr>
              <w:spacing w:after="0"/>
              <w:rPr>
                <w:sz w:val="24"/>
                <w:szCs w:val="24"/>
                <w:color w:val="auto"/>
              </w:rPr>
            </w:pP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(30,326)</w:t>
            </w:r>
          </w:p>
        </w:tc>
      </w:tr>
      <w:tr>
        <w:trPr>
          <w:trHeight w:val="230"/>
        </w:trPr>
        <w:tc>
          <w:tcPr>
            <w:tcW w:w="602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43"/>
        </w:trPr>
        <w:tc>
          <w:tcPr>
            <w:tcW w:w="602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(0.31)</w:t>
            </w:r>
          </w:p>
        </w:tc>
        <w:tc>
          <w:tcPr>
            <w:tcW w:w="5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(0.69)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(0.38)</w:t>
            </w:r>
          </w:p>
        </w:tc>
      </w:tr>
      <w:tr>
        <w:trPr>
          <w:trHeight w:val="243"/>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602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81,492</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79,626</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81,330</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2010 and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3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Class A Stock</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Common Stock</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1"/>
              </w:rPr>
              <w:t>Comprehensive</w:t>
            </w:r>
          </w:p>
        </w:tc>
        <w:tc>
          <w:tcPr>
            <w:tcW w:w="220" w:type="dxa"/>
            <w:vAlign w:val="bottom"/>
          </w:tcPr>
          <w:p>
            <w:pPr>
              <w:spacing w:after="0"/>
              <w:rPr>
                <w:sz w:val="21"/>
                <w:szCs w:val="21"/>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Stockholders'</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Comprehensive</w:t>
            </w:r>
          </w:p>
        </w:tc>
      </w:tr>
      <w:tr>
        <w:trPr>
          <w:trHeight w:val="41"/>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96"/>
        </w:trPr>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7"/>
                <w:szCs w:val="17"/>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7"/>
                <w:szCs w:val="17"/>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Loss</w:t>
            </w:r>
          </w:p>
        </w:tc>
      </w:tr>
      <w:tr>
        <w:trPr>
          <w:trHeight w:val="41"/>
        </w:trPr>
        <w:tc>
          <w:tcPr>
            <w:tcW w:w="304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7"/>
        </w:trPr>
        <w:tc>
          <w:tcPr>
            <w:tcW w:w="3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December 31, 2009</w:t>
            </w:r>
          </w:p>
        </w:tc>
        <w:tc>
          <w:tcPr>
            <w:tcW w:w="84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2,245</w:t>
            </w:r>
          </w:p>
        </w:tc>
        <w:tc>
          <w:tcPr>
            <w:tcW w:w="600" w:type="dxa"/>
            <w:vAlign w:val="bottom"/>
            <w:tcBorders>
              <w:bottom w:val="single" w:sz="8" w:color="C0C0C0"/>
            </w:tcBorders>
            <w:gridSpan w:val="2"/>
            <w:shd w:val="clear" w:color="auto" w:fill="C0C0C0"/>
          </w:tcPr>
          <w:p>
            <w:pPr>
              <w:jc w:val="right"/>
              <w:ind w:right="25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0C0C0"/>
            </w:tcBorders>
            <w:shd w:val="clear" w:color="auto" w:fill="C0C0C0"/>
          </w:tcPr>
          <w:p>
            <w:pPr>
              <w:spacing w:after="0"/>
              <w:rPr>
                <w:sz w:val="18"/>
                <w:szCs w:val="18"/>
                <w:color w:val="auto"/>
              </w:rPr>
            </w:pPr>
          </w:p>
        </w:tc>
        <w:tc>
          <w:tcPr>
            <w:tcW w:w="5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w w:val="88"/>
              </w:rPr>
              <w:t>78,861</w:t>
            </w:r>
          </w:p>
        </w:tc>
        <w:tc>
          <w:tcPr>
            <w:tcW w:w="540" w:type="dxa"/>
            <w:vAlign w:val="bottom"/>
            <w:tcBorders>
              <w:bottom w:val="single" w:sz="8" w:color="C0C0C0"/>
            </w:tcBorders>
            <w:gridSpan w:val="2"/>
            <w:shd w:val="clear" w:color="auto" w:fill="C0C0C0"/>
          </w:tcPr>
          <w:p>
            <w:pPr>
              <w:jc w:val="right"/>
              <w:ind w:right="29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79</w:t>
            </w:r>
          </w:p>
        </w:tc>
        <w:tc>
          <w:tcPr>
            <w:tcW w:w="2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1,336,732</w:t>
            </w:r>
          </w:p>
        </w:tc>
        <w:tc>
          <w:tcPr>
            <w:tcW w:w="2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(941,095)</w:t>
            </w:r>
          </w:p>
        </w:tc>
        <w:tc>
          <w:tcPr>
            <w:tcW w:w="280" w:type="dxa"/>
            <w:vAlign w:val="bottom"/>
            <w:tcBorders>
              <w:bottom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1,044</w:t>
            </w:r>
          </w:p>
        </w:tc>
        <w:tc>
          <w:tcPr>
            <w:tcW w:w="3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396,762</w:t>
            </w:r>
          </w:p>
        </w:tc>
        <w:tc>
          <w:tcPr>
            <w:tcW w:w="22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740" w:type="dxa"/>
            <w:vAlign w:val="bottom"/>
            <w:tcBorders>
              <w:bottom w:val="single" w:sz="8" w:color="C0C0C0"/>
            </w:tcBorders>
            <w:shd w:val="clear" w:color="auto" w:fill="C0C0C0"/>
          </w:tcPr>
          <w:p>
            <w:pPr>
              <w:spacing w:after="0"/>
              <w:rPr>
                <w:sz w:val="18"/>
                <w:szCs w:val="18"/>
                <w:color w:val="auto"/>
              </w:rPr>
            </w:pPr>
          </w:p>
        </w:tc>
      </w:tr>
      <w:tr>
        <w:trPr>
          <w:trHeight w:val="202"/>
        </w:trPr>
        <w:tc>
          <w:tcPr>
            <w:tcW w:w="3040" w:type="dxa"/>
            <w:vAlign w:val="bottom"/>
          </w:tcPr>
          <w:p>
            <w:pPr>
              <w:spacing w:after="0"/>
              <w:rPr>
                <w:sz w:val="20"/>
                <w:szCs w:val="20"/>
                <w:color w:val="auto"/>
              </w:rPr>
            </w:pPr>
            <w:r>
              <w:rPr>
                <w:rFonts w:ascii="Arial" w:cs="Arial" w:eastAsia="Arial" w:hAnsi="Arial"/>
                <w:sz w:val="14"/>
                <w:szCs w:val="14"/>
                <w:color w:val="auto"/>
              </w:rPr>
              <w:t>Issuance of Common Stock in connection with</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3"/>
        </w:trPr>
        <w:tc>
          <w:tcPr>
            <w:tcW w:w="3040" w:type="dxa"/>
            <w:vAlign w:val="bottom"/>
          </w:tcPr>
          <w:p>
            <w:pPr>
              <w:ind w:left="240"/>
              <w:spacing w:after="0"/>
              <w:rPr>
                <w:sz w:val="20"/>
                <w:szCs w:val="20"/>
                <w:color w:val="auto"/>
              </w:rPr>
            </w:pPr>
            <w:r>
              <w:rPr>
                <w:rFonts w:ascii="Arial" w:cs="Arial" w:eastAsia="Arial" w:hAnsi="Arial"/>
                <w:sz w:val="14"/>
                <w:szCs w:val="14"/>
                <w:color w:val="auto"/>
                <w:w w:val="92"/>
              </w:rPr>
              <w:t>exercise of stock options, net of shares tendered</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11,391</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11,392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1"/>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2"/>
        </w:trPr>
        <w:tc>
          <w:tcPr>
            <w:tcW w:w="3040" w:type="dxa"/>
            <w:vAlign w:val="bottom"/>
            <w:shd w:val="clear" w:color="auto" w:fill="C0C0C0"/>
          </w:tcPr>
          <w:p>
            <w:pPr>
              <w:spacing w:after="0"/>
              <w:rPr>
                <w:sz w:val="20"/>
                <w:szCs w:val="20"/>
                <w:color w:val="auto"/>
              </w:rPr>
            </w:pPr>
            <w:r>
              <w:rPr>
                <w:rFonts w:ascii="Arial" w:cs="Arial" w:eastAsia="Arial" w:hAnsi="Arial"/>
                <w:sz w:val="14"/>
                <w:szCs w:val="14"/>
                <w:color w:val="auto"/>
              </w:rPr>
              <w:t>Issuance of Common Stock in connection with</w:t>
            </w:r>
          </w:p>
        </w:tc>
        <w:tc>
          <w:tcPr>
            <w:tcW w:w="22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280" w:type="dxa"/>
            <w:vAlign w:val="bottom"/>
            <w:tcBorders>
              <w:right w:val="single" w:sz="8" w:color="C0C0C0"/>
            </w:tcBorders>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r>
      <w:tr>
        <w:trPr>
          <w:trHeight w:val="264"/>
        </w:trPr>
        <w:tc>
          <w:tcPr>
            <w:tcW w:w="30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Company 401(k) Savings Plan contribution</w:t>
            </w:r>
          </w:p>
        </w:tc>
        <w:tc>
          <w:tcPr>
            <w:tcW w:w="220" w:type="dxa"/>
            <w:vAlign w:val="bottom"/>
            <w:tcBorders>
              <w:bottom w:val="single" w:sz="8" w:color="C0C0C0"/>
            </w:tcBorders>
            <w:shd w:val="clear" w:color="auto" w:fill="C0C0C0"/>
          </w:tcPr>
          <w:p>
            <w:pPr>
              <w:spacing w:after="0"/>
              <w:rPr>
                <w:sz w:val="22"/>
                <w:szCs w:val="22"/>
                <w:color w:val="auto"/>
              </w:rPr>
            </w:pPr>
          </w:p>
        </w:tc>
        <w:tc>
          <w:tcPr>
            <w:tcW w:w="62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0C0C0"/>
            </w:tcBorders>
            <w:shd w:val="clear" w:color="auto" w:fill="C0C0C0"/>
          </w:tcPr>
          <w:p>
            <w:pPr>
              <w:spacing w:after="0"/>
              <w:rPr>
                <w:sz w:val="22"/>
                <w:szCs w:val="22"/>
                <w:color w:val="auto"/>
              </w:rPr>
            </w:pPr>
          </w:p>
        </w:tc>
        <w:tc>
          <w:tcPr>
            <w:tcW w:w="4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2,867</w:t>
            </w:r>
          </w:p>
        </w:tc>
        <w:tc>
          <w:tcPr>
            <w:tcW w:w="2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right w:val="single" w:sz="8" w:color="C0C0C0"/>
            </w:tcBorders>
            <w:shd w:val="clear" w:color="auto" w:fill="C0C0C0"/>
          </w:tcPr>
          <w:p>
            <w:pPr>
              <w:spacing w:after="0"/>
              <w:rPr>
                <w:sz w:val="22"/>
                <w:szCs w:val="22"/>
                <w:color w:val="auto"/>
              </w:rPr>
            </w:pPr>
          </w:p>
        </w:tc>
        <w:tc>
          <w:tcPr>
            <w:tcW w:w="8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2,867</w:t>
            </w:r>
          </w:p>
        </w:tc>
        <w:tc>
          <w:tcPr>
            <w:tcW w:w="22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740" w:type="dxa"/>
            <w:vAlign w:val="bottom"/>
            <w:tcBorders>
              <w:bottom w:val="single" w:sz="8" w:color="C0C0C0"/>
            </w:tcBorders>
            <w:shd w:val="clear" w:color="auto" w:fill="C0C0C0"/>
          </w:tcPr>
          <w:p>
            <w:pPr>
              <w:spacing w:after="0"/>
              <w:rPr>
                <w:sz w:val="22"/>
                <w:szCs w:val="22"/>
                <w:color w:val="auto"/>
              </w:rPr>
            </w:pPr>
          </w:p>
        </w:tc>
      </w:tr>
      <w:tr>
        <w:trPr>
          <w:trHeight w:val="202"/>
        </w:trPr>
        <w:tc>
          <w:tcPr>
            <w:tcW w:w="3040" w:type="dxa"/>
            <w:vAlign w:val="bottom"/>
          </w:tcPr>
          <w:p>
            <w:pPr>
              <w:spacing w:after="0"/>
              <w:rPr>
                <w:sz w:val="20"/>
                <w:szCs w:val="20"/>
                <w:color w:val="auto"/>
              </w:rPr>
            </w:pPr>
            <w:r>
              <w:rPr>
                <w:rFonts w:ascii="Arial" w:cs="Arial" w:eastAsia="Arial" w:hAnsi="Arial"/>
                <w:sz w:val="14"/>
                <w:szCs w:val="14"/>
                <w:color w:val="auto"/>
              </w:rPr>
              <w:t>Issuance of restricted Common Stock under</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3"/>
        </w:trPr>
        <w:tc>
          <w:tcPr>
            <w:tcW w:w="3040" w:type="dxa"/>
            <w:vAlign w:val="bottom"/>
          </w:tcPr>
          <w:p>
            <w:pPr>
              <w:ind w:left="240"/>
              <w:spacing w:after="0"/>
              <w:rPr>
                <w:sz w:val="20"/>
                <w:szCs w:val="20"/>
                <w:color w:val="auto"/>
              </w:rPr>
            </w:pPr>
            <w:r>
              <w:rPr>
                <w:rFonts w:ascii="Arial" w:cs="Arial" w:eastAsia="Arial" w:hAnsi="Arial"/>
                <w:sz w:val="14"/>
                <w:szCs w:val="14"/>
                <w:color w:val="auto"/>
              </w:rPr>
              <w:t>Long-Term Incentive Plan</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1"/>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3"/>
        </w:trPr>
        <w:tc>
          <w:tcPr>
            <w:tcW w:w="3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Conversion of Class A Stock to Common Stock</w:t>
            </w:r>
          </w:p>
        </w:tc>
        <w:tc>
          <w:tcPr>
            <w:tcW w:w="8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(63)</w:t>
            </w:r>
          </w:p>
        </w:tc>
        <w:tc>
          <w:tcPr>
            <w:tcW w:w="20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right w:val="single" w:sz="8" w:color="C0C0C0"/>
            </w:tcBorders>
            <w:shd w:val="clear" w:color="auto" w:fill="C0C0C0"/>
          </w:tcPr>
          <w:p>
            <w:pPr>
              <w:spacing w:after="0"/>
              <w:rPr>
                <w:sz w:val="19"/>
                <w:szCs w:val="19"/>
                <w:color w:val="auto"/>
              </w:rPr>
            </w:pPr>
          </w:p>
        </w:tc>
        <w:tc>
          <w:tcPr>
            <w:tcW w:w="8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r>
      <w:tr>
        <w:trPr>
          <w:trHeight w:val="202"/>
        </w:trPr>
        <w:tc>
          <w:tcPr>
            <w:tcW w:w="30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17,541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1"/>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3"/>
        </w:trPr>
        <w:tc>
          <w:tcPr>
            <w:tcW w:w="3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(55,996)</w:t>
            </w:r>
          </w:p>
        </w:tc>
        <w:tc>
          <w:tcPr>
            <w:tcW w:w="280" w:type="dxa"/>
            <w:vAlign w:val="bottom"/>
            <w:tcBorders>
              <w:bottom w:val="single" w:sz="8" w:color="C0C0C0"/>
              <w:right w:val="single" w:sz="8" w:color="C0C0C0"/>
            </w:tcBorders>
            <w:shd w:val="clear" w:color="auto" w:fill="C0C0C0"/>
          </w:tcPr>
          <w:p>
            <w:pPr>
              <w:spacing w:after="0"/>
              <w:rPr>
                <w:sz w:val="19"/>
                <w:szCs w:val="19"/>
                <w:color w:val="auto"/>
              </w:rPr>
            </w:pPr>
          </w:p>
        </w:tc>
        <w:tc>
          <w:tcPr>
            <w:tcW w:w="8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(55,996)</w:t>
            </w:r>
          </w:p>
        </w:tc>
        <w:tc>
          <w:tcPr>
            <w:tcW w:w="2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jc w:val="right"/>
              <w:ind w:right="86"/>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(55,996)</w:t>
            </w:r>
          </w:p>
        </w:tc>
      </w:tr>
      <w:tr>
        <w:trPr>
          <w:trHeight w:val="202"/>
        </w:trPr>
        <w:tc>
          <w:tcPr>
            <w:tcW w:w="3040" w:type="dxa"/>
            <w:vAlign w:val="bottom"/>
          </w:tcPr>
          <w:p>
            <w:pPr>
              <w:spacing w:after="0"/>
              <w:rPr>
                <w:sz w:val="20"/>
                <w:szCs w:val="20"/>
                <w:color w:val="auto"/>
              </w:rPr>
            </w:pPr>
            <w:r>
              <w:rPr>
                <w:rFonts w:ascii="Arial" w:cs="Arial" w:eastAsia="Arial" w:hAnsi="Arial"/>
                <w:sz w:val="14"/>
                <w:szCs w:val="14"/>
                <w:color w:val="auto"/>
              </w:rPr>
              <w:t>Change in net unrealized gain (loss) on</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3"/>
        </w:trPr>
        <w:tc>
          <w:tcPr>
            <w:tcW w:w="3040" w:type="dxa"/>
            <w:vAlign w:val="bottom"/>
          </w:tcPr>
          <w:p>
            <w:pPr>
              <w:ind w:left="24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(1,350)</w:t>
            </w:r>
          </w:p>
        </w:tc>
      </w:tr>
      <w:tr>
        <w:trPr>
          <w:trHeight w:val="41"/>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3"/>
        </w:trPr>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5"/>
        </w:trPr>
        <w:tc>
          <w:tcPr>
            <w:tcW w:w="3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June 30, 2010</w:t>
            </w:r>
          </w:p>
        </w:tc>
        <w:tc>
          <w:tcPr>
            <w:tcW w:w="84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2,182</w:t>
            </w:r>
          </w:p>
        </w:tc>
        <w:tc>
          <w:tcPr>
            <w:tcW w:w="600" w:type="dxa"/>
            <w:vAlign w:val="bottom"/>
            <w:tcBorders>
              <w:bottom w:val="single" w:sz="8" w:color="C0C0C0"/>
            </w:tcBorders>
            <w:gridSpan w:val="2"/>
            <w:shd w:val="clear" w:color="auto" w:fill="C0C0C0"/>
          </w:tcPr>
          <w:p>
            <w:pPr>
              <w:jc w:val="right"/>
              <w:ind w:right="25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0C0C0"/>
            </w:tcBorders>
            <w:shd w:val="clear" w:color="auto" w:fill="C0C0C0"/>
          </w:tcPr>
          <w:p>
            <w:pPr>
              <w:spacing w:after="0"/>
              <w:rPr>
                <w:sz w:val="21"/>
                <w:szCs w:val="21"/>
                <w:color w:val="auto"/>
              </w:rPr>
            </w:pPr>
          </w:p>
        </w:tc>
        <w:tc>
          <w:tcPr>
            <w:tcW w:w="5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w w:val="88"/>
              </w:rPr>
              <w:t>79,923</w:t>
            </w:r>
          </w:p>
        </w:tc>
        <w:tc>
          <w:tcPr>
            <w:tcW w:w="540" w:type="dxa"/>
            <w:vAlign w:val="bottom"/>
            <w:tcBorders>
              <w:bottom w:val="single" w:sz="8" w:color="C0C0C0"/>
            </w:tcBorders>
            <w:gridSpan w:val="2"/>
            <w:shd w:val="clear" w:color="auto" w:fill="C0C0C0"/>
          </w:tcPr>
          <w:p>
            <w:pPr>
              <w:jc w:val="right"/>
              <w:ind w:right="29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80</w:t>
            </w:r>
          </w:p>
        </w:tc>
        <w:tc>
          <w:tcPr>
            <w:tcW w:w="22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1,368,531</w:t>
            </w:r>
          </w:p>
        </w:tc>
        <w:tc>
          <w:tcPr>
            <w:tcW w:w="22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(997,091)</w:t>
            </w:r>
          </w:p>
        </w:tc>
        <w:tc>
          <w:tcPr>
            <w:tcW w:w="280" w:type="dxa"/>
            <w:vAlign w:val="bottom"/>
            <w:tcBorders>
              <w:bottom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(306)</w:t>
            </w:r>
          </w:p>
        </w:tc>
        <w:tc>
          <w:tcPr>
            <w:tcW w:w="3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371,216</w:t>
            </w:r>
          </w:p>
        </w:tc>
        <w:tc>
          <w:tcPr>
            <w:tcW w:w="2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jc w:val="right"/>
              <w:ind w:right="86"/>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(57,346)</w:t>
            </w:r>
          </w:p>
        </w:tc>
      </w:tr>
      <w:tr>
        <w:trPr>
          <w:trHeight w:val="230"/>
        </w:trPr>
        <w:tc>
          <w:tcPr>
            <w:tcW w:w="3040" w:type="dxa"/>
            <w:vAlign w:val="bottom"/>
            <w:tcBorders>
              <w:top w:val="single" w:sz="8" w:color="C0C0C0"/>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23"/>
        </w:trPr>
        <w:tc>
          <w:tcPr>
            <w:tcW w:w="3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December 31, 2008</w:t>
            </w:r>
          </w:p>
        </w:tc>
        <w:tc>
          <w:tcPr>
            <w:tcW w:w="84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2,249</w:t>
            </w:r>
          </w:p>
        </w:tc>
        <w:tc>
          <w:tcPr>
            <w:tcW w:w="600" w:type="dxa"/>
            <w:vAlign w:val="bottom"/>
            <w:tcBorders>
              <w:bottom w:val="single" w:sz="8" w:color="C0C0C0"/>
            </w:tcBorders>
            <w:gridSpan w:val="2"/>
            <w:shd w:val="clear" w:color="auto" w:fill="C0C0C0"/>
          </w:tcPr>
          <w:p>
            <w:pPr>
              <w:jc w:val="right"/>
              <w:ind w:right="25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w w:val="88"/>
              </w:rPr>
              <w:t>77,642</w:t>
            </w:r>
          </w:p>
        </w:tc>
        <w:tc>
          <w:tcPr>
            <w:tcW w:w="540" w:type="dxa"/>
            <w:vAlign w:val="bottom"/>
            <w:tcBorders>
              <w:bottom w:val="single" w:sz="8" w:color="C0C0C0"/>
            </w:tcBorders>
            <w:gridSpan w:val="2"/>
            <w:shd w:val="clear" w:color="auto" w:fill="C0C0C0"/>
          </w:tcPr>
          <w:p>
            <w:pPr>
              <w:jc w:val="right"/>
              <w:ind w:right="29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78</w:t>
            </w: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1,294,813</w:t>
            </w:r>
          </w:p>
        </w:tc>
        <w:tc>
          <w:tcPr>
            <w:tcW w:w="2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(873,265)</w:t>
            </w:r>
          </w:p>
        </w:tc>
        <w:tc>
          <w:tcPr>
            <w:tcW w:w="280" w:type="dxa"/>
            <w:vAlign w:val="bottom"/>
            <w:tcBorders>
              <w:bottom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(114)</w:t>
            </w:r>
          </w:p>
        </w:tc>
        <w:tc>
          <w:tcPr>
            <w:tcW w:w="3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421,514</w:t>
            </w:r>
          </w:p>
        </w:tc>
        <w:tc>
          <w:tcPr>
            <w:tcW w:w="2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r>
      <w:tr>
        <w:trPr>
          <w:trHeight w:val="202"/>
        </w:trPr>
        <w:tc>
          <w:tcPr>
            <w:tcW w:w="3040" w:type="dxa"/>
            <w:vAlign w:val="bottom"/>
          </w:tcPr>
          <w:p>
            <w:pPr>
              <w:spacing w:after="0"/>
              <w:rPr>
                <w:sz w:val="20"/>
                <w:szCs w:val="20"/>
                <w:color w:val="auto"/>
              </w:rPr>
            </w:pPr>
            <w:r>
              <w:rPr>
                <w:rFonts w:ascii="Arial" w:cs="Arial" w:eastAsia="Arial" w:hAnsi="Arial"/>
                <w:sz w:val="14"/>
                <w:szCs w:val="14"/>
                <w:color w:val="auto"/>
              </w:rPr>
              <w:t>Issuance of Common Stock in connection with</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3"/>
        </w:trPr>
        <w:tc>
          <w:tcPr>
            <w:tcW w:w="3040" w:type="dxa"/>
            <w:vAlign w:val="bottom"/>
          </w:tcPr>
          <w:p>
            <w:pPr>
              <w:ind w:left="240"/>
              <w:spacing w:after="0"/>
              <w:rPr>
                <w:sz w:val="20"/>
                <w:szCs w:val="20"/>
                <w:color w:val="auto"/>
              </w:rPr>
            </w:pPr>
            <w:r>
              <w:rPr>
                <w:rFonts w:ascii="Arial" w:cs="Arial" w:eastAsia="Arial" w:hAnsi="Arial"/>
                <w:sz w:val="14"/>
                <w:szCs w:val="14"/>
                <w:color w:val="auto"/>
                <w:w w:val="92"/>
              </w:rPr>
              <w:t>exercise of stock options, net of shares tendered</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1"/>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2"/>
        </w:trPr>
        <w:tc>
          <w:tcPr>
            <w:tcW w:w="3040" w:type="dxa"/>
            <w:vAlign w:val="bottom"/>
            <w:shd w:val="clear" w:color="auto" w:fill="C0C0C0"/>
          </w:tcPr>
          <w:p>
            <w:pPr>
              <w:spacing w:after="0"/>
              <w:rPr>
                <w:sz w:val="20"/>
                <w:szCs w:val="20"/>
                <w:color w:val="auto"/>
              </w:rPr>
            </w:pPr>
            <w:r>
              <w:rPr>
                <w:rFonts w:ascii="Arial" w:cs="Arial" w:eastAsia="Arial" w:hAnsi="Arial"/>
                <w:sz w:val="14"/>
                <w:szCs w:val="14"/>
                <w:color w:val="auto"/>
              </w:rPr>
              <w:t>Issuance of Common Stock in connection with</w:t>
            </w:r>
          </w:p>
        </w:tc>
        <w:tc>
          <w:tcPr>
            <w:tcW w:w="22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280" w:type="dxa"/>
            <w:vAlign w:val="bottom"/>
            <w:tcBorders>
              <w:right w:val="single" w:sz="8" w:color="C0C0C0"/>
            </w:tcBorders>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r>
      <w:tr>
        <w:trPr>
          <w:trHeight w:val="264"/>
        </w:trPr>
        <w:tc>
          <w:tcPr>
            <w:tcW w:w="30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Company 401(k) Savings Plan contribution</w:t>
            </w:r>
          </w:p>
        </w:tc>
        <w:tc>
          <w:tcPr>
            <w:tcW w:w="220" w:type="dxa"/>
            <w:vAlign w:val="bottom"/>
            <w:tcBorders>
              <w:bottom w:val="single" w:sz="8" w:color="C0C0C0"/>
            </w:tcBorders>
            <w:shd w:val="clear" w:color="auto" w:fill="C0C0C0"/>
          </w:tcPr>
          <w:p>
            <w:pPr>
              <w:spacing w:after="0"/>
              <w:rPr>
                <w:sz w:val="22"/>
                <w:szCs w:val="22"/>
                <w:color w:val="auto"/>
              </w:rPr>
            </w:pPr>
          </w:p>
        </w:tc>
        <w:tc>
          <w:tcPr>
            <w:tcW w:w="62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0C0C0"/>
            </w:tcBorders>
            <w:shd w:val="clear" w:color="auto" w:fill="C0C0C0"/>
          </w:tcPr>
          <w:p>
            <w:pPr>
              <w:spacing w:after="0"/>
              <w:rPr>
                <w:sz w:val="22"/>
                <w:szCs w:val="22"/>
                <w:color w:val="auto"/>
              </w:rPr>
            </w:pPr>
          </w:p>
        </w:tc>
        <w:tc>
          <w:tcPr>
            <w:tcW w:w="4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1,391</w:t>
            </w:r>
          </w:p>
        </w:tc>
        <w:tc>
          <w:tcPr>
            <w:tcW w:w="2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right w:val="single" w:sz="8" w:color="C0C0C0"/>
            </w:tcBorders>
            <w:shd w:val="clear" w:color="auto" w:fill="C0C0C0"/>
          </w:tcPr>
          <w:p>
            <w:pPr>
              <w:spacing w:after="0"/>
              <w:rPr>
                <w:sz w:val="22"/>
                <w:szCs w:val="22"/>
                <w:color w:val="auto"/>
              </w:rPr>
            </w:pPr>
          </w:p>
        </w:tc>
        <w:tc>
          <w:tcPr>
            <w:tcW w:w="8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1,391</w:t>
            </w:r>
          </w:p>
        </w:tc>
        <w:tc>
          <w:tcPr>
            <w:tcW w:w="22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740" w:type="dxa"/>
            <w:vAlign w:val="bottom"/>
            <w:tcBorders>
              <w:bottom w:val="single" w:sz="8" w:color="C0C0C0"/>
            </w:tcBorders>
            <w:shd w:val="clear" w:color="auto" w:fill="C0C0C0"/>
          </w:tcPr>
          <w:p>
            <w:pPr>
              <w:spacing w:after="0"/>
              <w:rPr>
                <w:sz w:val="22"/>
                <w:szCs w:val="22"/>
                <w:color w:val="auto"/>
              </w:rPr>
            </w:pPr>
          </w:p>
        </w:tc>
      </w:tr>
      <w:tr>
        <w:trPr>
          <w:trHeight w:val="202"/>
        </w:trPr>
        <w:tc>
          <w:tcPr>
            <w:tcW w:w="3040" w:type="dxa"/>
            <w:vAlign w:val="bottom"/>
          </w:tcPr>
          <w:p>
            <w:pPr>
              <w:spacing w:after="0"/>
              <w:rPr>
                <w:sz w:val="20"/>
                <w:szCs w:val="20"/>
                <w:color w:val="auto"/>
              </w:rPr>
            </w:pPr>
            <w:r>
              <w:rPr>
                <w:rFonts w:ascii="Arial" w:cs="Arial" w:eastAsia="Arial" w:hAnsi="Arial"/>
                <w:sz w:val="14"/>
                <w:szCs w:val="14"/>
                <w:color w:val="auto"/>
              </w:rPr>
              <w:t>Conversion of Class A Stock to Common Stock</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1"/>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3"/>
        </w:trPr>
        <w:tc>
          <w:tcPr>
            <w:tcW w:w="3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15,094</w:t>
            </w:r>
          </w:p>
        </w:tc>
        <w:tc>
          <w:tcPr>
            <w:tcW w:w="2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right w:val="single" w:sz="8" w:color="C0C0C0"/>
            </w:tcBorders>
            <w:shd w:val="clear" w:color="auto" w:fill="C0C0C0"/>
          </w:tcPr>
          <w:p>
            <w:pPr>
              <w:spacing w:after="0"/>
              <w:rPr>
                <w:sz w:val="19"/>
                <w:szCs w:val="19"/>
                <w:color w:val="auto"/>
              </w:rPr>
            </w:pPr>
          </w:p>
        </w:tc>
        <w:tc>
          <w:tcPr>
            <w:tcW w:w="8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15,094</w:t>
            </w:r>
          </w:p>
        </w:tc>
        <w:tc>
          <w:tcPr>
            <w:tcW w:w="2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r>
      <w:tr>
        <w:trPr>
          <w:trHeight w:val="202"/>
        </w:trPr>
        <w:tc>
          <w:tcPr>
            <w:tcW w:w="304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(30,326)</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(30,326)</w:t>
            </w:r>
          </w:p>
        </w:tc>
        <w:tc>
          <w:tcPr>
            <w:tcW w:w="220" w:type="dxa"/>
            <w:vAlign w:val="bottom"/>
          </w:tcPr>
          <w:p>
            <w:pPr>
              <w:spacing w:after="0"/>
              <w:rPr>
                <w:sz w:val="17"/>
                <w:szCs w:val="17"/>
                <w:color w:val="auto"/>
              </w:rPr>
            </w:pPr>
          </w:p>
        </w:tc>
        <w:tc>
          <w:tcPr>
            <w:tcW w:w="200" w:type="dxa"/>
            <w:vAlign w:val="bottom"/>
          </w:tcPr>
          <w:p>
            <w:pPr>
              <w:jc w:val="right"/>
              <w:ind w:right="86"/>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(30,326)</w:t>
            </w:r>
          </w:p>
        </w:tc>
      </w:tr>
      <w:tr>
        <w:trPr>
          <w:trHeight w:val="41"/>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2"/>
        </w:trPr>
        <w:tc>
          <w:tcPr>
            <w:tcW w:w="3040" w:type="dxa"/>
            <w:vAlign w:val="bottom"/>
            <w:shd w:val="clear" w:color="auto" w:fill="C0C0C0"/>
          </w:tcPr>
          <w:p>
            <w:pPr>
              <w:spacing w:after="0"/>
              <w:rPr>
                <w:sz w:val="20"/>
                <w:szCs w:val="20"/>
                <w:color w:val="auto"/>
              </w:rPr>
            </w:pPr>
            <w:r>
              <w:rPr>
                <w:rFonts w:ascii="Arial" w:cs="Arial" w:eastAsia="Arial" w:hAnsi="Arial"/>
                <w:sz w:val="14"/>
                <w:szCs w:val="14"/>
                <w:color w:val="auto"/>
              </w:rPr>
              <w:t>Change in net unrealized gain (loss) on</w:t>
            </w:r>
          </w:p>
        </w:tc>
        <w:tc>
          <w:tcPr>
            <w:tcW w:w="22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280" w:type="dxa"/>
            <w:vAlign w:val="bottom"/>
            <w:tcBorders>
              <w:right w:val="single" w:sz="8" w:color="C0C0C0"/>
            </w:tcBorders>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r>
      <w:tr>
        <w:trPr>
          <w:trHeight w:val="284"/>
        </w:trPr>
        <w:tc>
          <w:tcPr>
            <w:tcW w:w="30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marketable securities</w:t>
            </w:r>
          </w:p>
        </w:tc>
        <w:tc>
          <w:tcPr>
            <w:tcW w:w="220" w:type="dxa"/>
            <w:vAlign w:val="bottom"/>
            <w:tcBorders>
              <w:bottom w:val="single" w:sz="8" w:color="C0C0C0"/>
            </w:tcBorders>
            <w:shd w:val="clear" w:color="auto" w:fill="C0C0C0"/>
          </w:tcPr>
          <w:p>
            <w:pPr>
              <w:spacing w:after="0"/>
              <w:rPr>
                <w:sz w:val="24"/>
                <w:szCs w:val="24"/>
                <w:color w:val="auto"/>
              </w:rPr>
            </w:pPr>
          </w:p>
        </w:tc>
        <w:tc>
          <w:tcPr>
            <w:tcW w:w="62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40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4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4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60" w:type="dxa"/>
            <w:vAlign w:val="bottom"/>
            <w:tcBorders>
              <w:bottom w:val="single" w:sz="8" w:color="C0C0C0"/>
            </w:tcBorders>
            <w:shd w:val="clear" w:color="auto" w:fill="C0C0C0"/>
          </w:tcPr>
          <w:p>
            <w:pPr>
              <w:spacing w:after="0"/>
              <w:rPr>
                <w:sz w:val="24"/>
                <w:szCs w:val="24"/>
                <w:color w:val="auto"/>
              </w:rPr>
            </w:pPr>
          </w:p>
        </w:tc>
        <w:tc>
          <w:tcPr>
            <w:tcW w:w="280" w:type="dxa"/>
            <w:vAlign w:val="bottom"/>
            <w:tcBorders>
              <w:bottom w:val="single" w:sz="8" w:color="C0C0C0"/>
              <w:right w:val="single" w:sz="8" w:color="C0C0C0"/>
            </w:tcBorders>
            <w:shd w:val="clear" w:color="auto" w:fill="C0C0C0"/>
          </w:tcPr>
          <w:p>
            <w:pPr>
              <w:spacing w:after="0"/>
              <w:rPr>
                <w:sz w:val="24"/>
                <w:szCs w:val="24"/>
                <w:color w:val="auto"/>
              </w:rPr>
            </w:pPr>
          </w:p>
        </w:tc>
        <w:tc>
          <w:tcPr>
            <w:tcW w:w="8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1,128</w:t>
            </w:r>
          </w:p>
        </w:tc>
        <w:tc>
          <w:tcPr>
            <w:tcW w:w="2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1,128</w:t>
            </w:r>
          </w:p>
        </w:tc>
        <w:tc>
          <w:tcPr>
            <w:tcW w:w="22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7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1,128</w:t>
            </w:r>
          </w:p>
        </w:tc>
      </w:tr>
      <w:tr>
        <w:trPr>
          <w:trHeight w:val="223"/>
        </w:trPr>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23"/>
        </w:trPr>
        <w:tc>
          <w:tcPr>
            <w:tcW w:w="3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June 30, 2009</w:t>
            </w:r>
          </w:p>
        </w:tc>
        <w:tc>
          <w:tcPr>
            <w:tcW w:w="2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2,247</w:t>
            </w:r>
          </w:p>
        </w:tc>
        <w:tc>
          <w:tcPr>
            <w:tcW w:w="600" w:type="dxa"/>
            <w:vAlign w:val="bottom"/>
            <w:tcBorders>
              <w:bottom w:val="single" w:sz="8" w:color="C0C0C0"/>
            </w:tcBorders>
            <w:gridSpan w:val="2"/>
            <w:shd w:val="clear" w:color="auto" w:fill="C0C0C0"/>
          </w:tcPr>
          <w:p>
            <w:pPr>
              <w:jc w:val="right"/>
              <w:ind w:right="25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w w:val="88"/>
              </w:rPr>
              <w:t>77,921</w:t>
            </w:r>
          </w:p>
        </w:tc>
        <w:tc>
          <w:tcPr>
            <w:tcW w:w="540" w:type="dxa"/>
            <w:vAlign w:val="bottom"/>
            <w:tcBorders>
              <w:bottom w:val="single" w:sz="8" w:color="C0C0C0"/>
            </w:tcBorders>
            <w:gridSpan w:val="2"/>
            <w:shd w:val="clear" w:color="auto" w:fill="C0C0C0"/>
          </w:tcPr>
          <w:p>
            <w:pPr>
              <w:jc w:val="right"/>
              <w:ind w:right="29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78</w:t>
            </w: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1,313,003</w:t>
            </w:r>
          </w:p>
        </w:tc>
        <w:tc>
          <w:tcPr>
            <w:tcW w:w="2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(903,591)</w:t>
            </w:r>
          </w:p>
        </w:tc>
        <w:tc>
          <w:tcPr>
            <w:tcW w:w="280" w:type="dxa"/>
            <w:vAlign w:val="bottom"/>
            <w:tcBorders>
              <w:bottom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1,014</w:t>
            </w:r>
          </w:p>
        </w:tc>
        <w:tc>
          <w:tcPr>
            <w:tcW w:w="3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410,506</w:t>
            </w:r>
          </w:p>
        </w:tc>
        <w:tc>
          <w:tcPr>
            <w:tcW w:w="2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jc w:val="right"/>
              <w:ind w:right="86"/>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(29,198)</w:t>
            </w:r>
          </w:p>
        </w:tc>
      </w:tr>
      <w:tr>
        <w:trPr>
          <w:trHeight w:val="27"/>
        </w:trPr>
        <w:tc>
          <w:tcPr>
            <w:tcW w:w="304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0C0C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w w:val="89"/>
              </w:rPr>
              <w:t>Six months ended June 30,</w:t>
            </w:r>
          </w:p>
        </w:tc>
        <w:tc>
          <w:tcPr>
            <w:tcW w:w="20" w:type="dxa"/>
            <w:vAlign w:val="bottom"/>
          </w:tcPr>
          <w:p>
            <w:pPr>
              <w:spacing w:after="0"/>
              <w:rPr>
                <w:sz w:val="19"/>
                <w:szCs w:val="19"/>
                <w:color w:val="auto"/>
              </w:rPr>
            </w:pPr>
          </w:p>
        </w:tc>
      </w:tr>
      <w:tr>
        <w:trPr>
          <w:trHeight w:val="252"/>
        </w:trPr>
        <w:tc>
          <w:tcPr>
            <w:tcW w:w="85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30"/>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96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85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(55,996)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(30,326)</w:t>
            </w:r>
          </w:p>
        </w:tc>
        <w:tc>
          <w:tcPr>
            <w:tcW w:w="20" w:type="dxa"/>
            <w:vAlign w:val="bottom"/>
          </w:tcPr>
          <w:p>
            <w:pPr>
              <w:spacing w:after="0"/>
              <w:rPr>
                <w:sz w:val="20"/>
                <w:szCs w:val="20"/>
                <w:color w:val="auto"/>
              </w:rPr>
            </w:pPr>
          </w:p>
        </w:tc>
      </w:tr>
      <w:tr>
        <w:trPr>
          <w:trHeight w:val="214"/>
        </w:trPr>
        <w:tc>
          <w:tcPr>
            <w:tcW w:w="8580" w:type="dxa"/>
            <w:vAlign w:val="bottom"/>
            <w:tcBorders>
              <w:top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Adjustments to reconcile net loss to net cash</w:t>
            </w:r>
          </w:p>
        </w:tc>
        <w:tc>
          <w:tcPr>
            <w:tcW w:w="280" w:type="dxa"/>
            <w:vAlign w:val="bottom"/>
            <w:tcBorders>
              <w:top w:val="single" w:sz="8" w:color="C0C0C0"/>
            </w:tcBorders>
            <w:shd w:val="clear" w:color="auto" w:fill="C0C0C0"/>
          </w:tcPr>
          <w:p>
            <w:pPr>
              <w:spacing w:after="0"/>
              <w:rPr>
                <w:sz w:val="18"/>
                <w:szCs w:val="18"/>
                <w:color w:val="auto"/>
              </w:rPr>
            </w:pPr>
          </w:p>
        </w:tc>
        <w:tc>
          <w:tcPr>
            <w:tcW w:w="180" w:type="dxa"/>
            <w:vAlign w:val="bottom"/>
            <w:tcBorders>
              <w:top w:val="single" w:sz="8" w:color="auto"/>
            </w:tcBorders>
            <w:shd w:val="clear" w:color="auto" w:fill="C0C0C0"/>
          </w:tcPr>
          <w:p>
            <w:pPr>
              <w:spacing w:after="0"/>
              <w:rPr>
                <w:sz w:val="18"/>
                <w:szCs w:val="18"/>
                <w:color w:val="auto"/>
              </w:rPr>
            </w:pPr>
          </w:p>
        </w:tc>
        <w:tc>
          <w:tcPr>
            <w:tcW w:w="960" w:type="dxa"/>
            <w:vAlign w:val="bottom"/>
            <w:tcBorders>
              <w:top w:val="single" w:sz="8" w:color="auto"/>
            </w:tcBorders>
            <w:shd w:val="clear" w:color="auto" w:fill="C0C0C0"/>
          </w:tcPr>
          <w:p>
            <w:pPr>
              <w:spacing w:after="0"/>
              <w:rPr>
                <w:sz w:val="18"/>
                <w:szCs w:val="18"/>
                <w:color w:val="auto"/>
              </w:rPr>
            </w:pPr>
          </w:p>
        </w:tc>
        <w:tc>
          <w:tcPr>
            <w:tcW w:w="280" w:type="dxa"/>
            <w:vAlign w:val="bottom"/>
            <w:tcBorders>
              <w:top w:val="single" w:sz="8" w:color="C0C0C0"/>
            </w:tcBorders>
            <w:shd w:val="clear" w:color="auto" w:fill="C0C0C0"/>
          </w:tcPr>
          <w:p>
            <w:pPr>
              <w:spacing w:after="0"/>
              <w:rPr>
                <w:sz w:val="18"/>
                <w:szCs w:val="18"/>
                <w:color w:val="auto"/>
              </w:rPr>
            </w:pPr>
          </w:p>
        </w:tc>
        <w:tc>
          <w:tcPr>
            <w:tcW w:w="240" w:type="dxa"/>
            <w:vAlign w:val="bottom"/>
            <w:tcBorders>
              <w:top w:val="single" w:sz="8" w:color="auto"/>
            </w:tcBorders>
            <w:shd w:val="clear" w:color="auto" w:fill="C0C0C0"/>
          </w:tcPr>
          <w:p>
            <w:pPr>
              <w:spacing w:after="0"/>
              <w:rPr>
                <w:sz w:val="18"/>
                <w:szCs w:val="18"/>
                <w:color w:val="auto"/>
              </w:rPr>
            </w:pPr>
          </w:p>
        </w:tc>
        <w:tc>
          <w:tcPr>
            <w:tcW w:w="900" w:type="dxa"/>
            <w:vAlign w:val="bottom"/>
            <w:tcBorders>
              <w:top w:val="single" w:sz="8" w:color="auto"/>
            </w:tcBorders>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used in operating activities</w:t>
            </w: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9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90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858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5,722</w:t>
            </w:r>
          </w:p>
        </w:tc>
        <w:tc>
          <w:tcPr>
            <w:tcW w:w="20" w:type="dxa"/>
            <w:vAlign w:val="bottom"/>
          </w:tcPr>
          <w:p>
            <w:pPr>
              <w:spacing w:after="0"/>
              <w:rPr>
                <w:sz w:val="20"/>
                <w:szCs w:val="20"/>
                <w:color w:val="auto"/>
              </w:rPr>
            </w:pPr>
          </w:p>
        </w:tc>
      </w:tr>
      <w:tr>
        <w:trPr>
          <w:trHeight w:val="251"/>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Non-cash compensation expense</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17,541</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15,094</w:t>
            </w:r>
          </w:p>
        </w:tc>
        <w:tc>
          <w:tcPr>
            <w:tcW w:w="20" w:type="dxa"/>
            <w:vAlign w:val="bottom"/>
          </w:tcPr>
          <w:p>
            <w:pPr>
              <w:spacing w:after="0"/>
              <w:rPr>
                <w:sz w:val="21"/>
                <w:szCs w:val="21"/>
                <w:color w:val="auto"/>
              </w:rPr>
            </w:pPr>
          </w:p>
        </w:tc>
      </w:tr>
      <w:tr>
        <w:trPr>
          <w:trHeight w:val="235"/>
        </w:trPr>
        <w:tc>
          <w:tcPr>
            <w:tcW w:w="8580" w:type="dxa"/>
            <w:vAlign w:val="bottom"/>
          </w:tcPr>
          <w:p>
            <w:pPr>
              <w:ind w:left="620"/>
              <w:spacing w:after="0"/>
              <w:rPr>
                <w:sz w:val="20"/>
                <w:szCs w:val="20"/>
                <w:color w:val="auto"/>
              </w:rPr>
            </w:pPr>
            <w:r>
              <w:rPr>
                <w:rFonts w:ascii="Arial" w:cs="Arial" w:eastAsia="Arial" w:hAnsi="Arial"/>
                <w:sz w:val="18"/>
                <w:szCs w:val="18"/>
                <w:color w:val="auto"/>
              </w:rPr>
              <w:t>Other non-cash charges and expenses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Net realized loss on marketable securities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580" w:type="dxa"/>
            <w:vAlign w:val="bottom"/>
          </w:tcPr>
          <w:p>
            <w:pPr>
              <w:ind w:left="6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8580" w:type="dxa"/>
            <w:vAlign w:val="bottom"/>
            <w:shd w:val="clear" w:color="auto" w:fill="C0C0C0"/>
          </w:tcPr>
          <w:p>
            <w:pPr>
              <w:ind w:left="920"/>
              <w:spacing w:after="0"/>
              <w:rPr>
                <w:sz w:val="20"/>
                <w:szCs w:val="20"/>
                <w:color w:val="auto"/>
              </w:rPr>
            </w:pPr>
            <w:r>
              <w:rPr>
                <w:rFonts w:ascii="Arial" w:cs="Arial" w:eastAsia="Arial" w:hAnsi="Arial"/>
                <w:sz w:val="18"/>
                <w:szCs w:val="18"/>
                <w:color w:val="auto"/>
              </w:rPr>
              <w:t>Increase in accounts receivable</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(29,628)</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(24,834)</w:t>
            </w:r>
          </w:p>
        </w:tc>
        <w:tc>
          <w:tcPr>
            <w:tcW w:w="20" w:type="dxa"/>
            <w:vAlign w:val="bottom"/>
          </w:tcPr>
          <w:p>
            <w:pPr>
              <w:spacing w:after="0"/>
              <w:rPr>
                <w:sz w:val="21"/>
                <w:szCs w:val="21"/>
                <w:color w:val="auto"/>
              </w:rPr>
            </w:pPr>
          </w:p>
        </w:tc>
      </w:tr>
      <w:tr>
        <w:trPr>
          <w:trHeight w:val="235"/>
        </w:trPr>
        <w:tc>
          <w:tcPr>
            <w:tcW w:w="8580" w:type="dxa"/>
            <w:vAlign w:val="bottom"/>
          </w:tcPr>
          <w:p>
            <w:pPr>
              <w:ind w:left="920"/>
              <w:spacing w:after="0"/>
              <w:rPr>
                <w:sz w:val="20"/>
                <w:szCs w:val="20"/>
                <w:color w:val="auto"/>
              </w:rPr>
            </w:pPr>
            <w:r>
              <w:rPr>
                <w:rFonts w:ascii="Arial" w:cs="Arial" w:eastAsia="Arial" w:hAnsi="Arial"/>
                <w:sz w:val="18"/>
                <w:szCs w:val="18"/>
                <w:color w:val="auto"/>
              </w:rPr>
              <w:t>Decrease (increase) in prepaid expenses and other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1,604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20"/>
                <w:szCs w:val="20"/>
                <w:color w:val="auto"/>
              </w:rPr>
            </w:pPr>
          </w:p>
        </w:tc>
      </w:tr>
      <w:tr>
        <w:trPr>
          <w:trHeight w:val="251"/>
        </w:trPr>
        <w:tc>
          <w:tcPr>
            <w:tcW w:w="8580" w:type="dxa"/>
            <w:vAlign w:val="bottom"/>
            <w:shd w:val="clear" w:color="auto" w:fill="C0C0C0"/>
          </w:tcPr>
          <w:p>
            <w:pPr>
              <w:ind w:left="920"/>
              <w:spacing w:after="0"/>
              <w:rPr>
                <w:sz w:val="20"/>
                <w:szCs w:val="20"/>
                <w:color w:val="auto"/>
              </w:rPr>
            </w:pPr>
            <w:r>
              <w:rPr>
                <w:rFonts w:ascii="Arial" w:cs="Arial" w:eastAsia="Arial" w:hAnsi="Arial"/>
                <w:sz w:val="18"/>
                <w:szCs w:val="18"/>
                <w:color w:val="auto"/>
              </w:rPr>
              <w:t>Increase in deferred revenue</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16,616</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5,873</w:t>
            </w:r>
          </w:p>
        </w:tc>
        <w:tc>
          <w:tcPr>
            <w:tcW w:w="20" w:type="dxa"/>
            <w:vAlign w:val="bottom"/>
          </w:tcPr>
          <w:p>
            <w:pPr>
              <w:spacing w:after="0"/>
              <w:rPr>
                <w:sz w:val="21"/>
                <w:szCs w:val="21"/>
                <w:color w:val="auto"/>
              </w:rPr>
            </w:pPr>
          </w:p>
        </w:tc>
      </w:tr>
      <w:tr>
        <w:trPr>
          <w:trHeight w:val="228"/>
        </w:trPr>
        <w:tc>
          <w:tcPr>
            <w:tcW w:w="8580" w:type="dxa"/>
            <w:vAlign w:val="bottom"/>
          </w:tcPr>
          <w:p>
            <w:pPr>
              <w:ind w:left="920"/>
              <w:spacing w:after="0"/>
              <w:rPr>
                <w:sz w:val="20"/>
                <w:szCs w:val="20"/>
                <w:color w:val="auto"/>
              </w:rPr>
            </w:pPr>
            <w:r>
              <w:rPr>
                <w:rFonts w:ascii="Arial" w:cs="Arial" w:eastAsia="Arial" w:hAnsi="Arial"/>
                <w:sz w:val="18"/>
                <w:szCs w:val="18"/>
                <w:color w:val="auto"/>
              </w:rPr>
              <w:t>Increase in accounts payable, accrued expenses,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8580" w:type="dxa"/>
            <w:vAlign w:val="bottom"/>
            <w:tcBorders>
              <w:bottom w:val="single" w:sz="8" w:color="C0C0C0"/>
            </w:tcBorders>
          </w:tcPr>
          <w:p>
            <w:pPr>
              <w:ind w:left="1240"/>
              <w:spacing w:after="0"/>
              <w:rPr>
                <w:sz w:val="20"/>
                <w:szCs w:val="20"/>
                <w:color w:val="auto"/>
              </w:rPr>
            </w:pPr>
            <w:r>
              <w:rPr>
                <w:rFonts w:ascii="Arial" w:cs="Arial" w:eastAsia="Arial" w:hAnsi="Arial"/>
                <w:sz w:val="18"/>
                <w:szCs w:val="18"/>
                <w:color w:val="auto"/>
              </w:rPr>
              <w:t>and other liabilities</w:t>
            </w: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18,105</w:t>
            </w:r>
          </w:p>
        </w:tc>
        <w:tc>
          <w:tcPr>
            <w:tcW w:w="28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13,045</w:t>
            </w:r>
          </w:p>
        </w:tc>
        <w:tc>
          <w:tcPr>
            <w:tcW w:w="20" w:type="dxa"/>
            <w:vAlign w:val="bottom"/>
          </w:tcPr>
          <w:p>
            <w:pPr>
              <w:spacing w:after="0"/>
              <w:rPr>
                <w:sz w:val="21"/>
                <w:szCs w:val="21"/>
                <w:color w:val="auto"/>
              </w:rPr>
            </w:pPr>
          </w:p>
        </w:tc>
      </w:tr>
      <w:tr>
        <w:trPr>
          <w:trHeight w:val="243"/>
        </w:trPr>
        <w:tc>
          <w:tcPr>
            <w:tcW w:w="8580" w:type="dxa"/>
            <w:vAlign w:val="bottom"/>
            <w:shd w:val="clear" w:color="auto" w:fill="C0C0C0"/>
          </w:tcPr>
          <w:p>
            <w:pPr>
              <w:ind w:left="1540"/>
              <w:spacing w:after="0"/>
              <w:rPr>
                <w:sz w:val="20"/>
                <w:szCs w:val="20"/>
                <w:color w:val="auto"/>
              </w:rPr>
            </w:pPr>
            <w:r>
              <w:rPr>
                <w:rFonts w:ascii="Arial" w:cs="Arial" w:eastAsia="Arial" w:hAnsi="Arial"/>
                <w:sz w:val="18"/>
                <w:szCs w:val="18"/>
                <w:color w:val="auto"/>
              </w:rPr>
              <w:t>Total adjustments</w:t>
            </w:r>
          </w:p>
        </w:tc>
        <w:tc>
          <w:tcPr>
            <w:tcW w:w="28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33,370</w:t>
            </w:r>
          </w:p>
        </w:tc>
        <w:tc>
          <w:tcPr>
            <w:tcW w:w="28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14,322</w:t>
            </w:r>
          </w:p>
        </w:tc>
        <w:tc>
          <w:tcPr>
            <w:tcW w:w="20" w:type="dxa"/>
            <w:vAlign w:val="bottom"/>
          </w:tcPr>
          <w:p>
            <w:pPr>
              <w:spacing w:after="0"/>
              <w:rPr>
                <w:sz w:val="21"/>
                <w:szCs w:val="21"/>
                <w:color w:val="auto"/>
              </w:rPr>
            </w:pPr>
          </w:p>
        </w:tc>
      </w:tr>
      <w:tr>
        <w:trPr>
          <w:trHeight w:val="230"/>
        </w:trPr>
        <w:tc>
          <w:tcPr>
            <w:tcW w:w="8580" w:type="dxa"/>
            <w:vAlign w:val="bottom"/>
          </w:tcPr>
          <w:p>
            <w:pPr>
              <w:ind w:left="15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c>
          <w:tcPr>
            <w:tcW w:w="20" w:type="dxa"/>
            <w:vAlign w:val="bottom"/>
          </w:tcPr>
          <w:p>
            <w:pPr>
              <w:spacing w:after="0"/>
              <w:rPr>
                <w:sz w:val="20"/>
                <w:szCs w:val="20"/>
                <w:color w:val="auto"/>
              </w:rPr>
            </w:pPr>
          </w:p>
        </w:tc>
      </w:tr>
      <w:tr>
        <w:trPr>
          <w:trHeight w:val="230"/>
        </w:trPr>
        <w:tc>
          <w:tcPr>
            <w:tcW w:w="8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(222,168)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(105,315)</w:t>
            </w:r>
          </w:p>
        </w:tc>
        <w:tc>
          <w:tcPr>
            <w:tcW w:w="20" w:type="dxa"/>
            <w:vAlign w:val="bottom"/>
          </w:tcPr>
          <w:p>
            <w:pPr>
              <w:spacing w:after="0"/>
              <w:rPr>
                <w:sz w:val="20"/>
                <w:szCs w:val="20"/>
                <w:color w:val="auto"/>
              </w:rPr>
            </w:pP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Sales or maturities of marketable securities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137,909</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190,723</w:t>
            </w:r>
          </w:p>
        </w:tc>
        <w:tc>
          <w:tcPr>
            <w:tcW w:w="20" w:type="dxa"/>
            <w:vAlign w:val="bottom"/>
          </w:tcPr>
          <w:p>
            <w:pPr>
              <w:spacing w:after="0"/>
              <w:rPr>
                <w:sz w:val="21"/>
                <w:szCs w:val="21"/>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(52,671)</w:t>
            </w:r>
          </w:p>
        </w:tc>
        <w:tc>
          <w:tcPr>
            <w:tcW w:w="20" w:type="dxa"/>
            <w:vAlign w:val="bottom"/>
          </w:tcPr>
          <w:p>
            <w:pPr>
              <w:spacing w:after="0"/>
              <w:rPr>
                <w:sz w:val="20"/>
                <w:szCs w:val="20"/>
                <w:color w:val="auto"/>
              </w:rPr>
            </w:pP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(Increase) decrease in restricted cash</w:t>
            </w:r>
          </w:p>
        </w:tc>
        <w:tc>
          <w:tcPr>
            <w:tcW w:w="28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(1,800)</w:t>
            </w:r>
          </w:p>
        </w:tc>
        <w:tc>
          <w:tcPr>
            <w:tcW w:w="28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r>
      <w:tr>
        <w:trPr>
          <w:trHeight w:val="230"/>
        </w:trPr>
        <w:tc>
          <w:tcPr>
            <w:tcW w:w="8580" w:type="dxa"/>
            <w:vAlign w:val="bottom"/>
          </w:tcPr>
          <w:p>
            <w:pPr>
              <w:ind w:left="154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(131,383)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32,787</w:t>
            </w:r>
          </w:p>
        </w:tc>
        <w:tc>
          <w:tcPr>
            <w:tcW w:w="20" w:type="dxa"/>
            <w:vAlign w:val="bottom"/>
          </w:tcPr>
          <w:p>
            <w:pPr>
              <w:spacing w:after="0"/>
              <w:rPr>
                <w:sz w:val="20"/>
                <w:szCs w:val="20"/>
                <w:color w:val="auto"/>
              </w:rPr>
            </w:pPr>
          </w:p>
        </w:tc>
      </w:tr>
      <w:tr>
        <w:trPr>
          <w:trHeight w:val="230"/>
        </w:trPr>
        <w:tc>
          <w:tcPr>
            <w:tcW w:w="8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Proceeds in connection with facility lease obligations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47,544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5,182</w:t>
            </w:r>
          </w:p>
        </w:tc>
        <w:tc>
          <w:tcPr>
            <w:tcW w:w="20" w:type="dxa"/>
            <w:vAlign w:val="bottom"/>
          </w:tcPr>
          <w:p>
            <w:pPr>
              <w:spacing w:after="0"/>
              <w:rPr>
                <w:sz w:val="20"/>
                <w:szCs w:val="20"/>
                <w:color w:val="auto"/>
              </w:rPr>
            </w:pP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Payments in connection with facility lease obligations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(674)</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5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Net proceeds from the issuance of Common Stock</w:t>
            </w:r>
          </w:p>
        </w:tc>
        <w:tc>
          <w:tcPr>
            <w:tcW w:w="28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12,064</w:t>
            </w: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20"/>
                <w:szCs w:val="20"/>
                <w:color w:val="auto"/>
              </w:rPr>
            </w:pPr>
          </w:p>
        </w:tc>
      </w:tr>
      <w:tr>
        <w:trPr>
          <w:trHeight w:val="237"/>
        </w:trPr>
        <w:tc>
          <w:tcPr>
            <w:tcW w:w="8580" w:type="dxa"/>
            <w:vAlign w:val="bottom"/>
            <w:shd w:val="clear" w:color="auto" w:fill="C0C0C0"/>
          </w:tcPr>
          <w:p>
            <w:pPr>
              <w:ind w:left="15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0C0C0"/>
          </w:tcPr>
          <w:p>
            <w:pPr>
              <w:spacing w:after="0"/>
              <w:rPr>
                <w:sz w:val="20"/>
                <w:szCs w:val="20"/>
                <w:color w:val="auto"/>
              </w:rPr>
            </w:pPr>
          </w:p>
        </w:tc>
        <w:tc>
          <w:tcPr>
            <w:tcW w:w="180" w:type="dxa"/>
            <w:vAlign w:val="bottom"/>
            <w:tcBorders>
              <w:bottom w:val="single" w:sz="8" w:color="auto"/>
            </w:tcBorders>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58,934</w:t>
            </w:r>
          </w:p>
        </w:tc>
        <w:tc>
          <w:tcPr>
            <w:tcW w:w="28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6,887</w:t>
            </w:r>
          </w:p>
        </w:tc>
        <w:tc>
          <w:tcPr>
            <w:tcW w:w="20" w:type="dxa"/>
            <w:vAlign w:val="bottom"/>
          </w:tcPr>
          <w:p>
            <w:pPr>
              <w:spacing w:after="0"/>
              <w:rPr>
                <w:sz w:val="20"/>
                <w:szCs w:val="20"/>
                <w:color w:val="auto"/>
              </w:rPr>
            </w:pPr>
          </w:p>
        </w:tc>
      </w:tr>
      <w:tr>
        <w:trPr>
          <w:trHeight w:val="230"/>
        </w:trPr>
        <w:tc>
          <w:tcPr>
            <w:tcW w:w="8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(95,075)</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23,670</w:t>
            </w:r>
          </w:p>
        </w:tc>
        <w:tc>
          <w:tcPr>
            <w:tcW w:w="20" w:type="dxa"/>
            <w:vAlign w:val="bottom"/>
          </w:tcPr>
          <w:p>
            <w:pPr>
              <w:spacing w:after="0"/>
              <w:rPr>
                <w:sz w:val="21"/>
                <w:szCs w:val="21"/>
                <w:color w:val="auto"/>
              </w:rPr>
            </w:pPr>
          </w:p>
        </w:tc>
      </w:tr>
      <w:tr>
        <w:trPr>
          <w:trHeight w:val="243"/>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0C0C0"/>
          </w:tcPr>
          <w:p>
            <w:pPr>
              <w:spacing w:after="0"/>
              <w:rPr>
                <w:sz w:val="20"/>
                <w:szCs w:val="20"/>
                <w:color w:val="auto"/>
              </w:rPr>
            </w:pPr>
          </w:p>
        </w:tc>
        <w:tc>
          <w:tcPr>
            <w:tcW w:w="180" w:type="dxa"/>
            <w:vAlign w:val="bottom"/>
            <w:tcBorders>
              <w:bottom w:val="single" w:sz="8" w:color="auto"/>
            </w:tcBorders>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207,075</w:t>
            </w:r>
          </w:p>
        </w:tc>
        <w:tc>
          <w:tcPr>
            <w:tcW w:w="28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247,796</w:t>
            </w:r>
          </w:p>
        </w:tc>
        <w:tc>
          <w:tcPr>
            <w:tcW w:w="20" w:type="dxa"/>
            <w:vAlign w:val="bottom"/>
          </w:tcPr>
          <w:p>
            <w:pPr>
              <w:spacing w:after="0"/>
              <w:rPr>
                <w:sz w:val="20"/>
                <w:szCs w:val="20"/>
                <w:color w:val="auto"/>
              </w:rPr>
            </w:pPr>
          </w:p>
        </w:tc>
      </w:tr>
      <w:tr>
        <w:trPr>
          <w:trHeight w:val="230"/>
        </w:trPr>
        <w:tc>
          <w:tcPr>
            <w:tcW w:w="8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2"/>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112,000</w:t>
            </w:r>
          </w:p>
        </w:tc>
        <w:tc>
          <w:tcPr>
            <w:tcW w:w="5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271,466</w:t>
            </w:r>
          </w:p>
        </w:tc>
        <w:tc>
          <w:tcPr>
            <w:tcW w:w="20" w:type="dxa"/>
            <w:vAlign w:val="bottom"/>
          </w:tcPr>
          <w:p>
            <w:pPr>
              <w:spacing w:after="0"/>
              <w:rPr>
                <w:sz w:val="22"/>
                <w:szCs w:val="22"/>
                <w:color w:val="auto"/>
              </w:rPr>
            </w:pPr>
          </w:p>
        </w:tc>
      </w:tr>
      <w:tr>
        <w:trPr>
          <w:trHeight w:val="432"/>
        </w:trPr>
        <w:tc>
          <w:tcPr>
            <w:tcW w:w="8580" w:type="dxa"/>
            <w:vAlign w:val="bottom"/>
            <w:tcBorders>
              <w:top w:val="single" w:sz="8" w:color="C0C0C0"/>
            </w:tcBorders>
          </w:tcPr>
          <w:p>
            <w:pPr>
              <w:ind w:left="3000"/>
              <w:spacing w:after="0"/>
              <w:rPr>
                <w:sz w:val="20"/>
                <w:szCs w:val="20"/>
                <w:color w:val="auto"/>
              </w:rPr>
            </w:pPr>
            <w:r>
              <w:rPr>
                <w:rFonts w:ascii="Arial" w:cs="Arial" w:eastAsia="Arial" w:hAnsi="Arial"/>
                <w:sz w:val="18"/>
                <w:szCs w:val="18"/>
                <w:b w:val="1"/>
                <w:bCs w:val="1"/>
                <w:color w:val="auto"/>
                <w:w w:val="89"/>
              </w:rPr>
              <w:t>The accompanying notes are an integral part of the financial statements.</w:t>
            </w:r>
          </w:p>
        </w:tc>
        <w:tc>
          <w:tcPr>
            <w:tcW w:w="280" w:type="dxa"/>
            <w:vAlign w:val="bottom"/>
            <w:tcBorders>
              <w:top w:val="single" w:sz="8" w:color="C0C0C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85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457"/>
        </w:trPr>
        <w:tc>
          <w:tcPr>
            <w:tcW w:w="8580" w:type="dxa"/>
            <w:vAlign w:val="bottom"/>
          </w:tcPr>
          <w:p>
            <w:pPr>
              <w:ind w:left="56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8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2009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2009.</w:t>
      </w:r>
    </w:p>
    <w:p>
      <w:pPr>
        <w:spacing w:after="0" w:line="22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Effective in the first quarter of 2010, the estimated useful lives of certain capitalized laboratory and other equipment, which is a component of property, plant, and equipment, was extended. The effect of this change in estimate was to lower depreciation expense by $1.0 million and $2.0 million and to lower the Company’s net loss per share by $0.01 and $0.02 for the three and six months ended June 30, 2010,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(rilonacept) Product Revenue</w:t>
      </w:r>
    </w:p>
    <w:p>
      <w:pPr>
        <w:spacing w:after="0" w:line="214" w:lineRule="exact"/>
        <w:rPr>
          <w:sz w:val="20"/>
          <w:szCs w:val="20"/>
          <w:color w:val="auto"/>
        </w:rPr>
      </w:pPr>
    </w:p>
    <w:p>
      <w:pPr>
        <w:jc w:val="both"/>
        <w:ind w:firstLine="419"/>
        <w:spacing w:after="0" w:line="216" w:lineRule="auto"/>
        <w:rPr>
          <w:sz w:val="20"/>
          <w:szCs w:val="20"/>
          <w:color w:val="auto"/>
        </w:rPr>
      </w:pPr>
      <w:r>
        <w:rPr>
          <w:rFonts w:ascii="Arial" w:cs="Arial" w:eastAsia="Arial" w:hAnsi="Arial"/>
          <w:sz w:val="17"/>
          <w:szCs w:val="17"/>
          <w:color w:val="auto"/>
        </w:rPr>
        <w:t>In February 2008, the Company received marketing approval from the U.S. Food and Drug Administration (“FDA”)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Injection for Subcutaneous Use for the treatment of Cryopyrin-Associated Periodic Syndromes (“CAPS”). The Company had limited historical return experience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beginning with initial sales in 2008 through the end of 2009; therefore,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w:t>
      </w:r>
      <w:r>
        <w:rPr>
          <w:rFonts w:ascii="Arial" w:cs="Arial" w:eastAsia="Arial" w:hAnsi="Arial"/>
          <w:sz w:val="23"/>
          <w:szCs w:val="23"/>
          <w:color w:val="auto"/>
          <w:vertAlign w:val="superscript"/>
        </w:rPr>
        <w:t>®</w:t>
      </w:r>
      <w:r>
        <w:rPr>
          <w:rFonts w:ascii="Arial" w:cs="Arial" w:eastAsia="Arial" w:hAnsi="Arial"/>
          <w:sz w:val="17"/>
          <w:szCs w:val="17"/>
          <w:color w:val="auto"/>
        </w:rPr>
        <w:t>. As a result, $4.8 million of previously deferred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were recognized as revenue in the first quarter of 2010.</w:t>
      </w:r>
    </w:p>
    <w:p>
      <w:pPr>
        <w:spacing w:after="0" w:line="263" w:lineRule="exact"/>
        <w:rPr>
          <w:sz w:val="20"/>
          <w:szCs w:val="20"/>
          <w:color w:val="auto"/>
        </w:rPr>
      </w:pPr>
    </w:p>
    <w:p>
      <w:pPr>
        <w:jc w:val="both"/>
        <w:ind w:firstLine="284"/>
        <w:spacing w:after="0" w:line="206"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totaled $5.2 million and $4.5 million for the three months ended June 30, 2010 and 2009, respectively, and $15.0 million and $8.4 million for the six months ended June 30, 2010 and 2009, respectively.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during the first six months of 2010 included $10.2 million of net product sales made during this period and $4.8 million of previously deferred net product sales, as described above. There was no deferred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revenue at June 30, 2010. At June 30, 2009, deferred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revenue was $4.9 million. The effect of this change in estimate related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revenue was to lower the Company’s net loss per share by $0.06 for the six months ended June 30, 2010.</w:t>
      </w:r>
    </w:p>
    <w:p>
      <w:pPr>
        <w:spacing w:after="0" w:line="264" w:lineRule="exact"/>
        <w:rPr>
          <w:sz w:val="20"/>
          <w:szCs w:val="20"/>
          <w:color w:val="auto"/>
        </w:rPr>
      </w:pPr>
    </w:p>
    <w:p>
      <w:pPr>
        <w:jc w:val="both"/>
        <w:ind w:firstLine="297"/>
        <w:spacing w:after="0" w:line="226" w:lineRule="auto"/>
        <w:rPr>
          <w:sz w:val="20"/>
          <w:szCs w:val="20"/>
          <w:color w:val="auto"/>
        </w:rPr>
      </w:pPr>
      <w:r>
        <w:rPr>
          <w:rFonts w:ascii="Arial" w:cs="Arial" w:eastAsia="Arial" w:hAnsi="Arial"/>
          <w:sz w:val="17"/>
          <w:szCs w:val="17"/>
          <w:color w:val="auto"/>
        </w:rPr>
        <w:t>Cost of goods sold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sales, which consisted primarily of royalties, totaled $0.4 million for both the three months ended June 30, 2010 and 2009, and $1.1 million and $0.8 million for the six months ended June 30, 2010 and 2009, respectively. To date,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shipments to the Company’s customers have consisted of supplies of inventory manufactured and expensed prior to FDA approval of ARCALYST</w:t>
      </w:r>
      <w:r>
        <w:rPr>
          <w:rFonts w:ascii="Arial" w:cs="Arial" w:eastAsia="Arial" w:hAnsi="Arial"/>
          <w:sz w:val="23"/>
          <w:szCs w:val="23"/>
          <w:color w:val="auto"/>
          <w:vertAlign w:val="superscript"/>
        </w:rPr>
        <w:t>®</w:t>
      </w:r>
      <w:r>
        <w:rPr>
          <w:rFonts w:ascii="Arial" w:cs="Arial" w:eastAsia="Arial" w:hAnsi="Arial"/>
          <w:sz w:val="17"/>
          <w:szCs w:val="17"/>
          <w:color w:val="auto"/>
        </w:rPr>
        <w:t>; therefore, the costs of these supplies were not included in costs of goods sold. At both June 30, 2010 and December 31, 2009, the Company had $0.4 million of inventoried work-in-process costs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which is included in prepaid expenses and other current assets.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285" w:lineRule="exact"/>
        <w:rPr>
          <w:sz w:val="20"/>
          <w:szCs w:val="20"/>
          <w:color w:val="auto"/>
        </w:rPr>
      </w:pPr>
    </w:p>
    <w:p>
      <w:pPr>
        <w:jc w:val="both"/>
        <w:ind w:right="20" w:firstLine="284"/>
        <w:spacing w:after="0" w:line="255" w:lineRule="auto"/>
        <w:rPr>
          <w:sz w:val="20"/>
          <w:szCs w:val="20"/>
          <w:color w:val="auto"/>
        </w:rPr>
      </w:pPr>
      <w:r>
        <w:rPr>
          <w:rFonts w:ascii="Arial" w:cs="Arial" w:eastAsia="Arial" w:hAnsi="Arial"/>
          <w:sz w:val="18"/>
          <w:szCs w:val="18"/>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six months ended June 30, 2010 and 2009,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37"/>
        </w:trPr>
        <w:tc>
          <w:tcPr>
            <w:tcW w:w="6000" w:type="dxa"/>
            <w:vAlign w:val="bottom"/>
            <w:tcBorders>
              <w:bottom w:val="single" w:sz="8" w:color="C0C0C0"/>
            </w:tcBorders>
          </w:tcPr>
          <w:p>
            <w:pPr>
              <w:spacing w:after="0"/>
              <w:rPr>
                <w:sz w:val="20"/>
                <w:szCs w:val="20"/>
                <w:color w:val="auto"/>
              </w:rPr>
            </w:pPr>
          </w:p>
        </w:tc>
        <w:tc>
          <w:tcPr>
            <w:tcW w:w="220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r>
      <w:tr>
        <w:trPr>
          <w:trHeight w:val="243"/>
        </w:trPr>
        <w:tc>
          <w:tcPr>
            <w:tcW w:w="600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23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(25,474)</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(14,938)</w:t>
            </w:r>
          </w:p>
        </w:tc>
      </w:tr>
      <w:tr>
        <w:trPr>
          <w:trHeight w:val="243"/>
        </w:trPr>
        <w:tc>
          <w:tcPr>
            <w:tcW w:w="60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600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2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81,492</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79,626</w:t>
            </w:r>
          </w:p>
        </w:tc>
      </w:tr>
      <w:tr>
        <w:trPr>
          <w:trHeight w:val="243"/>
        </w:trPr>
        <w:tc>
          <w:tcPr>
            <w:tcW w:w="60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600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23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(0.31)</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(0.19)</w:t>
            </w:r>
          </w:p>
        </w:tc>
      </w:tr>
      <w:tr>
        <w:trPr>
          <w:trHeight w:val="480"/>
        </w:trPr>
        <w:tc>
          <w:tcPr>
            <w:tcW w:w="6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7"/>
        </w:trPr>
        <w:tc>
          <w:tcPr>
            <w:tcW w:w="6000" w:type="dxa"/>
            <w:vAlign w:val="bottom"/>
            <w:tcBorders>
              <w:bottom w:val="single" w:sz="8" w:color="C0C0C0"/>
            </w:tcBorders>
          </w:tcPr>
          <w:p>
            <w:pPr>
              <w:spacing w:after="0"/>
              <w:rPr>
                <w:sz w:val="20"/>
                <w:szCs w:val="20"/>
                <w:color w:val="auto"/>
              </w:rPr>
            </w:pPr>
          </w:p>
        </w:tc>
        <w:tc>
          <w:tcPr>
            <w:tcW w:w="220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r>
      <w:tr>
        <w:trPr>
          <w:trHeight w:val="243"/>
        </w:trPr>
        <w:tc>
          <w:tcPr>
            <w:tcW w:w="600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23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(55,996)</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(30,326)</w:t>
            </w:r>
          </w:p>
        </w:tc>
      </w:tr>
      <w:tr>
        <w:trPr>
          <w:trHeight w:val="243"/>
        </w:trPr>
        <w:tc>
          <w:tcPr>
            <w:tcW w:w="60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600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2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81,330</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79,562</w:t>
            </w:r>
          </w:p>
        </w:tc>
      </w:tr>
      <w:tr>
        <w:trPr>
          <w:trHeight w:val="243"/>
        </w:trPr>
        <w:tc>
          <w:tcPr>
            <w:tcW w:w="60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600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23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(0.69)</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(0.38)</w:t>
            </w:r>
          </w:p>
        </w:tc>
      </w:tr>
    </w:tbl>
    <w:p>
      <w:pPr>
        <w:spacing w:after="0" w:line="262" w:lineRule="exact"/>
        <w:rPr>
          <w:sz w:val="20"/>
          <w:szCs w:val="20"/>
          <w:color w:val="auto"/>
        </w:rPr>
      </w:pPr>
    </w:p>
    <w:p>
      <w:pPr>
        <w:ind w:right="20" w:firstLine="284"/>
        <w:spacing w:after="0" w:line="268" w:lineRule="auto"/>
        <w:rPr>
          <w:sz w:val="20"/>
          <w:szCs w:val="20"/>
          <w:color w:val="auto"/>
        </w:rPr>
      </w:pPr>
      <w:r>
        <w:rPr>
          <w:rFonts w:ascii="Arial" w:cs="Arial" w:eastAsia="Arial" w:hAnsi="Arial"/>
          <w:sz w:val="18"/>
          <w:szCs w:val="18"/>
          <w:color w:val="auto"/>
        </w:rPr>
        <w:t>Shares issuable upon the exercise of stock options and vesting of restricted stock awards, which have been excluded from the June 30, 2010 and 2009 diluted per share amounts because their effect would have been antidilutive, include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8"/>
              </w:rPr>
              <w:t>Three months ended June 30,</w:t>
            </w:r>
          </w:p>
        </w:tc>
        <w:tc>
          <w:tcPr>
            <w:tcW w:w="600" w:type="dxa"/>
            <w:vAlign w:val="bottom"/>
          </w:tcPr>
          <w:p>
            <w:pPr>
              <w:spacing w:after="0"/>
              <w:rPr>
                <w:sz w:val="20"/>
                <w:szCs w:val="20"/>
                <w:color w:val="auto"/>
              </w:rPr>
            </w:pPr>
          </w:p>
        </w:tc>
      </w:tr>
      <w:tr>
        <w:trPr>
          <w:trHeight w:val="237"/>
        </w:trPr>
        <w:tc>
          <w:tcPr>
            <w:tcW w:w="4400" w:type="dxa"/>
            <w:vAlign w:val="bottom"/>
            <w:tcBorders>
              <w:bottom w:val="single" w:sz="8" w:color="C0C0C0"/>
            </w:tcBorders>
          </w:tcPr>
          <w:p>
            <w:pPr>
              <w:spacing w:after="0"/>
              <w:rPr>
                <w:sz w:val="20"/>
                <w:szCs w:val="20"/>
                <w:color w:val="auto"/>
              </w:rPr>
            </w:pPr>
          </w:p>
        </w:tc>
        <w:tc>
          <w:tcPr>
            <w:tcW w:w="41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600" w:type="dxa"/>
            <w:vAlign w:val="bottom"/>
          </w:tcPr>
          <w:p>
            <w:pPr>
              <w:spacing w:after="0"/>
              <w:rPr>
                <w:sz w:val="20"/>
                <w:szCs w:val="20"/>
                <w:color w:val="auto"/>
              </w:rPr>
            </w:pPr>
          </w:p>
        </w:tc>
      </w:tr>
      <w:tr>
        <w:trPr>
          <w:trHeight w:val="230"/>
        </w:trPr>
        <w:tc>
          <w:tcPr>
            <w:tcW w:w="440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4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600" w:type="dxa"/>
            <w:vAlign w:val="bottom"/>
          </w:tcPr>
          <w:p>
            <w:pPr>
              <w:spacing w:after="0"/>
              <w:rPr>
                <w:sz w:val="19"/>
                <w:szCs w:val="19"/>
                <w:color w:val="auto"/>
              </w:rPr>
            </w:pPr>
          </w:p>
        </w:tc>
      </w:tr>
      <w:tr>
        <w:trPr>
          <w:trHeight w:val="235"/>
        </w:trPr>
        <w:tc>
          <w:tcPr>
            <w:tcW w:w="440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21,288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20,106</w:t>
            </w:r>
          </w:p>
        </w:tc>
        <w:tc>
          <w:tcPr>
            <w:tcW w:w="600" w:type="dxa"/>
            <w:vAlign w:val="bottom"/>
          </w:tcPr>
          <w:p>
            <w:pPr>
              <w:spacing w:after="0"/>
              <w:rPr>
                <w:sz w:val="20"/>
                <w:szCs w:val="20"/>
                <w:color w:val="auto"/>
              </w:rPr>
            </w:pPr>
          </w:p>
        </w:tc>
      </w:tr>
      <w:tr>
        <w:trPr>
          <w:trHeight w:val="251"/>
        </w:trPr>
        <w:tc>
          <w:tcPr>
            <w:tcW w:w="44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 average exercise price</w:t>
            </w:r>
          </w:p>
        </w:tc>
        <w:tc>
          <w:tcPr>
            <w:tcW w:w="4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18.67</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17.56</w:t>
            </w:r>
          </w:p>
        </w:tc>
        <w:tc>
          <w:tcPr>
            <w:tcW w:w="60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440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4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600" w:type="dxa"/>
            <w:vAlign w:val="bottom"/>
          </w:tcPr>
          <w:p>
            <w:pPr>
              <w:spacing w:after="0"/>
              <w:rPr>
                <w:sz w:val="21"/>
                <w:szCs w:val="21"/>
                <w:color w:val="auto"/>
              </w:rPr>
            </w:pPr>
          </w:p>
        </w:tc>
      </w:tr>
      <w:tr>
        <w:trPr>
          <w:trHeight w:val="228"/>
        </w:trPr>
        <w:tc>
          <w:tcPr>
            <w:tcW w:w="440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19"/>
                <w:szCs w:val="19"/>
                <w:color w:val="auto"/>
              </w:rPr>
            </w:pPr>
          </w:p>
        </w:tc>
      </w:tr>
      <w:tr>
        <w:trPr>
          <w:trHeight w:val="495"/>
        </w:trPr>
        <w:tc>
          <w:tcPr>
            <w:tcW w:w="44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8"/>
                <w:szCs w:val="18"/>
                <w:b w:val="1"/>
                <w:bCs w:val="1"/>
                <w:color w:val="auto"/>
                <w:w w:val="86"/>
              </w:rPr>
              <w:t>Six months ended June 30,</w:t>
            </w:r>
          </w:p>
        </w:tc>
        <w:tc>
          <w:tcPr>
            <w:tcW w:w="600" w:type="dxa"/>
            <w:vAlign w:val="bottom"/>
          </w:tcPr>
          <w:p>
            <w:pPr>
              <w:spacing w:after="0"/>
              <w:rPr>
                <w:sz w:val="24"/>
                <w:szCs w:val="24"/>
                <w:color w:val="auto"/>
              </w:rPr>
            </w:pPr>
          </w:p>
        </w:tc>
      </w:tr>
      <w:tr>
        <w:trPr>
          <w:trHeight w:val="237"/>
        </w:trPr>
        <w:tc>
          <w:tcPr>
            <w:tcW w:w="4400" w:type="dxa"/>
            <w:vAlign w:val="bottom"/>
            <w:tcBorders>
              <w:bottom w:val="single" w:sz="8" w:color="C0C0C0"/>
            </w:tcBorders>
          </w:tcPr>
          <w:p>
            <w:pPr>
              <w:spacing w:after="0"/>
              <w:rPr>
                <w:sz w:val="20"/>
                <w:szCs w:val="20"/>
                <w:color w:val="auto"/>
              </w:rPr>
            </w:pPr>
          </w:p>
        </w:tc>
        <w:tc>
          <w:tcPr>
            <w:tcW w:w="41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600" w:type="dxa"/>
            <w:vAlign w:val="bottom"/>
          </w:tcPr>
          <w:p>
            <w:pPr>
              <w:spacing w:after="0"/>
              <w:rPr>
                <w:sz w:val="20"/>
                <w:szCs w:val="20"/>
                <w:color w:val="auto"/>
              </w:rPr>
            </w:pPr>
          </w:p>
        </w:tc>
      </w:tr>
      <w:tr>
        <w:trPr>
          <w:trHeight w:val="243"/>
        </w:trPr>
        <w:tc>
          <w:tcPr>
            <w:tcW w:w="440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4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600" w:type="dxa"/>
            <w:vAlign w:val="bottom"/>
          </w:tcPr>
          <w:p>
            <w:pPr>
              <w:spacing w:after="0"/>
              <w:rPr>
                <w:sz w:val="21"/>
                <w:szCs w:val="21"/>
                <w:color w:val="auto"/>
              </w:rPr>
            </w:pPr>
          </w:p>
        </w:tc>
      </w:tr>
      <w:tr>
        <w:trPr>
          <w:trHeight w:val="235"/>
        </w:trPr>
        <w:tc>
          <w:tcPr>
            <w:tcW w:w="440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21,344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20,161</w:t>
            </w:r>
          </w:p>
        </w:tc>
        <w:tc>
          <w:tcPr>
            <w:tcW w:w="600" w:type="dxa"/>
            <w:vAlign w:val="bottom"/>
          </w:tcPr>
          <w:p>
            <w:pPr>
              <w:spacing w:after="0"/>
              <w:rPr>
                <w:sz w:val="20"/>
                <w:szCs w:val="20"/>
                <w:color w:val="auto"/>
              </w:rPr>
            </w:pPr>
          </w:p>
        </w:tc>
      </w:tr>
      <w:tr>
        <w:trPr>
          <w:trHeight w:val="251"/>
        </w:trPr>
        <w:tc>
          <w:tcPr>
            <w:tcW w:w="44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 average exercise price</w:t>
            </w:r>
          </w:p>
        </w:tc>
        <w:tc>
          <w:tcPr>
            <w:tcW w:w="4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18.63</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17.56</w:t>
            </w:r>
          </w:p>
        </w:tc>
        <w:tc>
          <w:tcPr>
            <w:tcW w:w="60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440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4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600" w:type="dxa"/>
            <w:vAlign w:val="bottom"/>
          </w:tcPr>
          <w:p>
            <w:pPr>
              <w:spacing w:after="0"/>
              <w:rPr>
                <w:sz w:val="21"/>
                <w:szCs w:val="21"/>
                <w:color w:val="auto"/>
              </w:rPr>
            </w:pPr>
          </w:p>
        </w:tc>
      </w:tr>
      <w:tr>
        <w:trPr>
          <w:trHeight w:val="228"/>
        </w:trPr>
        <w:tc>
          <w:tcPr>
            <w:tcW w:w="440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19"/>
                <w:szCs w:val="19"/>
                <w:color w:val="auto"/>
              </w:rPr>
            </w:pPr>
          </w:p>
        </w:tc>
      </w:tr>
      <w:tr>
        <w:trPr>
          <w:trHeight w:val="473"/>
        </w:trPr>
        <w:tc>
          <w:tcPr>
            <w:tcW w:w="4400" w:type="dxa"/>
            <w:vAlign w:val="bottom"/>
          </w:tcPr>
          <w:p>
            <w:pPr>
              <w:spacing w:after="0"/>
              <w:rPr>
                <w:sz w:val="24"/>
                <w:szCs w:val="24"/>
                <w:color w:val="auto"/>
              </w:rPr>
            </w:pPr>
          </w:p>
        </w:tc>
        <w:tc>
          <w:tcPr>
            <w:tcW w:w="4140" w:type="dxa"/>
            <w:vAlign w:val="bottom"/>
          </w:tcPr>
          <w:p>
            <w:pPr>
              <w:jc w:val="right"/>
              <w:ind w:right="269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3"/>
        </w:trPr>
        <w:tc>
          <w:tcPr>
            <w:tcW w:w="440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7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Included in accounts payable and accrued expenses at June 30, 2010 and December 31, 2009 were $4.1 million and $9.8 million, respectively, of accrued capital expenditures. Included in accounts payable and accrued expenses at June 30, 2009 and December 31, 2008 were $12.1 million and $7.0 million, respectively, of accrued capital expenditures.</w:t>
      </w:r>
    </w:p>
    <w:p>
      <w:pPr>
        <w:spacing w:after="0" w:line="248"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Included in accounts payable and accrued expenses at December 31, 2009 and 2008 were $2.6 million and $1.5 million, respectively, of accrued Company 401(k) Savings Plan contribution expense. In the first quarter of 2010 and 2009, the Company contributed 111,419 and 81,086 shares, respectively, of Common Stock to the 401(k) Savings Plan in satisfaction of these obligations.</w:t>
      </w:r>
    </w:p>
    <w:p>
      <w:pPr>
        <w:spacing w:after="0" w:line="248" w:lineRule="exact"/>
        <w:rPr>
          <w:sz w:val="20"/>
          <w:szCs w:val="20"/>
          <w:color w:val="auto"/>
        </w:rPr>
      </w:pPr>
    </w:p>
    <w:p>
      <w:pPr>
        <w:jc w:val="both"/>
        <w:ind w:firstLine="338"/>
        <w:spacing w:after="0" w:line="306" w:lineRule="auto"/>
        <w:rPr>
          <w:sz w:val="20"/>
          <w:szCs w:val="20"/>
          <w:color w:val="auto"/>
        </w:rPr>
      </w:pPr>
      <w:r>
        <w:rPr>
          <w:rFonts w:ascii="Arial" w:cs="Arial" w:eastAsia="Arial" w:hAnsi="Arial"/>
          <w:sz w:val="16"/>
          <w:szCs w:val="16"/>
          <w:color w:val="auto"/>
        </w:rPr>
        <w:t>Pursuant to the application of authoritative guidance issued by the Financial Accounting Standards Board (“FASB”) to the Company’s lease of office and laboratory facilities in Tarrytown, New York, the Company recognized a facility lease obligation of $1.3 million for the six months ended June 30, 2009, in connection with capitalizing, on the Company’s books, the landlord’s costs of constructing new facilities that the Company has leased.</w:t>
      </w:r>
    </w:p>
    <w:p>
      <w:pPr>
        <w:spacing w:after="0" w:line="215"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Included in facility lease obligations and property, plant, and equipment at June 30, 2010 was $1.7 million of capitalized and deferred interest for the six months ended June 30, 2010, as the related facilities being leased by the Company are currently under construction and lease payments on these facilities do not commence until January 2011.</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Included in other assets at December 31, 2009 was $0.7 million due to the Company in connection with employee exercises of stock options.</w:t>
      </w:r>
    </w:p>
    <w:p>
      <w:pPr>
        <w:spacing w:after="0" w:line="3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Included in marketable securities at June 30, 2010 and December 31, 2009 were $1.3 million and $0.6 million, respectively, of accrued interest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Included in marketable securities at June 30, 2009 and December 31, 2008 were $1.3 million and $1.7 million, respectively, of accrued interest income.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5"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Marketable securities at June 30, 2010 and December 31, 2009 consisted of debt securities, as detailed below, and an equity security, the aggregate fair value of which was $3.8 million and $5.5 million at June 30, 2010 and December 31, 2009, respectively, and the aggregate cost basis of which was $4.0 million at both June 30, 2010 and December 31, 2009. The following tables summarize the amortized cost basis of debt securities included in marketable securities, the aggregate fair value of those securities, and gross unrealized gains and losses on those securities at June 30, 2010 and December 31, 2009.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Amortized</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Fair</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At June 30, 2010</w:t>
            </w:r>
          </w:p>
        </w:tc>
        <w:tc>
          <w:tcPr>
            <w:tcW w:w="28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Cost Basis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b w:val="1"/>
                <w:bCs w:val="1"/>
                <w:color w:val="auto"/>
                <w:w w:val="89"/>
              </w:rPr>
              <w:t>Net</w:t>
            </w:r>
          </w:p>
        </w:tc>
      </w:tr>
      <w:tr>
        <w:trPr>
          <w:trHeight w:val="20"/>
        </w:trPr>
        <w:tc>
          <w:tcPr>
            <w:tcW w:w="1260" w:type="dxa"/>
            <w:vAlign w:val="bottom"/>
            <w:tcBorders>
              <w:top w:val="single" w:sz="8" w:color="auto"/>
              <w:bottom w:val="single" w:sz="8" w:color="C0C0C0"/>
            </w:tcBorders>
          </w:tcPr>
          <w:p>
            <w:pPr>
              <w:spacing w:after="0" w:line="20" w:lineRule="exact"/>
              <w:rPr>
                <w:sz w:val="1"/>
                <w:szCs w:val="1"/>
                <w:color w:val="auto"/>
              </w:rPr>
            </w:pPr>
          </w:p>
        </w:tc>
        <w:tc>
          <w:tcPr>
            <w:tcW w:w="400" w:type="dxa"/>
            <w:vAlign w:val="bottom"/>
            <w:tcBorders>
              <w:bottom w:val="single" w:sz="8" w:color="C0C0C0"/>
            </w:tcBorders>
          </w:tcPr>
          <w:p>
            <w:pPr>
              <w:spacing w:after="0" w:line="20" w:lineRule="exact"/>
              <w:rPr>
                <w:sz w:val="1"/>
                <w:szCs w:val="1"/>
                <w:color w:val="auto"/>
              </w:rPr>
            </w:pPr>
          </w:p>
        </w:tc>
        <w:tc>
          <w:tcPr>
            <w:tcW w:w="5100" w:type="dxa"/>
            <w:vAlign w:val="bottom"/>
            <w:tcBorders>
              <w:bottom w:val="single" w:sz="8" w:color="C0C0C0"/>
            </w:tcBorders>
          </w:tcPr>
          <w:p>
            <w:pPr>
              <w:spacing w:after="0" w:line="20" w:lineRule="exact"/>
              <w:rPr>
                <w:sz w:val="1"/>
                <w:szCs w:val="1"/>
                <w:color w:val="auto"/>
              </w:rPr>
            </w:pPr>
          </w:p>
        </w:tc>
        <w:tc>
          <w:tcPr>
            <w:tcW w:w="280" w:type="dxa"/>
            <w:vAlign w:val="bottom"/>
            <w:tcBorders>
              <w:bottom w:val="single" w:sz="8" w:color="C0C0C0"/>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0C0C0"/>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0C0C0"/>
            </w:tcBorders>
          </w:tcPr>
          <w:p>
            <w:pPr>
              <w:spacing w:after="0" w:line="20" w:lineRule="exact"/>
              <w:rPr>
                <w:sz w:val="1"/>
                <w:szCs w:val="1"/>
                <w:color w:val="auto"/>
              </w:rPr>
            </w:pPr>
          </w:p>
        </w:tc>
        <w:tc>
          <w:tcPr>
            <w:tcW w:w="14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C0C0C0"/>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C0C0C0"/>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10"/>
        </w:trPr>
        <w:tc>
          <w:tcPr>
            <w:tcW w:w="676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Maturities within one year</w:t>
            </w:r>
          </w:p>
        </w:tc>
        <w:tc>
          <w:tcPr>
            <w:tcW w:w="28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r>
      <w:tr>
        <w:trPr>
          <w:trHeight w:val="235"/>
        </w:trPr>
        <w:tc>
          <w:tcPr>
            <w:tcW w:w="6760" w:type="dxa"/>
            <w:vAlign w:val="bottom"/>
            <w:gridSpan w:val="3"/>
          </w:tcPr>
          <w:p>
            <w:pPr>
              <w:ind w:left="320"/>
              <w:spacing w:after="0"/>
              <w:rPr>
                <w:sz w:val="20"/>
                <w:szCs w:val="20"/>
                <w:color w:val="auto"/>
              </w:rPr>
            </w:pPr>
            <w:r>
              <w:rPr>
                <w:rFonts w:ascii="Arial" w:cs="Arial" w:eastAsia="Arial" w:hAnsi="Arial"/>
                <w:sz w:val="18"/>
                <w:szCs w:val="18"/>
                <w:color w:val="auto"/>
              </w:rPr>
              <w:t>U.S. government obligations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156,142</w:t>
            </w:r>
          </w:p>
        </w:tc>
        <w:tc>
          <w:tcPr>
            <w:tcW w:w="2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$ 156,208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66</w:t>
            </w:r>
          </w:p>
        </w:tc>
      </w:tr>
      <w:tr>
        <w:trPr>
          <w:trHeight w:val="235"/>
        </w:trPr>
        <w:tc>
          <w:tcPr>
            <w:tcW w:w="676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r>
      <w:tr>
        <w:trPr>
          <w:trHeight w:val="259"/>
        </w:trPr>
        <w:tc>
          <w:tcPr>
            <w:tcW w:w="6760" w:type="dxa"/>
            <w:vAlign w:val="bottom"/>
            <w:gridSpan w:val="3"/>
            <w:shd w:val="clear" w:color="auto" w:fill="C0C0C0"/>
          </w:tcPr>
          <w:p>
            <w:pPr>
              <w:ind w:left="620"/>
              <w:spacing w:after="0"/>
              <w:rPr>
                <w:sz w:val="20"/>
                <w:szCs w:val="20"/>
                <w:color w:val="auto"/>
              </w:rPr>
            </w:pPr>
            <w:r>
              <w:rPr>
                <w:rFonts w:ascii="Arial" w:cs="Arial" w:eastAsia="Arial" w:hAnsi="Arial"/>
                <w:sz w:val="18"/>
                <w:szCs w:val="18"/>
                <w:color w:val="auto"/>
              </w:rPr>
              <w:t>bonds</w:t>
            </w: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31,216</w:t>
            </w:r>
          </w:p>
        </w:tc>
        <w:tc>
          <w:tcPr>
            <w:tcW w:w="280" w:type="dxa"/>
            <w:vAlign w:val="bottom"/>
            <w:shd w:val="clear" w:color="auto" w:fill="C0C0C0"/>
          </w:tcPr>
          <w:p>
            <w:pPr>
              <w:spacing w:after="0"/>
              <w:rPr>
                <w:sz w:val="22"/>
                <w:szCs w:val="22"/>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31,362</w:t>
            </w: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4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9"/>
              </w:rPr>
              <w:t>146</w:t>
            </w: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146</w:t>
            </w:r>
          </w:p>
        </w:tc>
      </w:tr>
      <w:tr>
        <w:trPr>
          <w:trHeight w:val="235"/>
        </w:trPr>
        <w:tc>
          <w:tcPr>
            <w:tcW w:w="6760" w:type="dxa"/>
            <w:vAlign w:val="bottom"/>
            <w:gridSpan w:val="3"/>
          </w:tcPr>
          <w:p>
            <w:pPr>
              <w:ind w:left="3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3,053</w:t>
            </w:r>
          </w:p>
        </w:tc>
        <w:tc>
          <w:tcPr>
            <w:tcW w:w="2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3,067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51"/>
        </w:trPr>
        <w:tc>
          <w:tcPr>
            <w:tcW w:w="676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w:t>
            </w:r>
          </w:p>
        </w:tc>
      </w:tr>
      <w:tr>
        <w:trPr>
          <w:trHeight w:val="228"/>
        </w:trPr>
        <w:tc>
          <w:tcPr>
            <w:tcW w:w="6760" w:type="dxa"/>
            <w:vAlign w:val="bottom"/>
            <w:gridSpan w:val="3"/>
          </w:tcPr>
          <w:p>
            <w:pPr>
              <w:ind w:left="320"/>
              <w:spacing w:after="0"/>
              <w:rPr>
                <w:sz w:val="20"/>
                <w:szCs w:val="20"/>
                <w:color w:val="auto"/>
              </w:rPr>
            </w:pPr>
            <w:r>
              <w:rPr>
                <w:rFonts w:ascii="Arial" w:cs="Arial" w:eastAsia="Arial" w:hAnsi="Arial"/>
                <w:sz w:val="18"/>
                <w:szCs w:val="18"/>
                <w:color w:val="auto"/>
              </w:rPr>
              <w:t>U.S. government guaranteed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2"/>
        </w:trPr>
        <w:tc>
          <w:tcPr>
            <w:tcW w:w="6760" w:type="dxa"/>
            <w:vAlign w:val="bottom"/>
            <w:tcBorders>
              <w:bottom w:val="single" w:sz="8" w:color="C0C0C0"/>
            </w:tcBorders>
            <w:gridSpan w:val="3"/>
          </w:tcPr>
          <w:p>
            <w:pPr>
              <w:ind w:left="620"/>
              <w:spacing w:after="0"/>
              <w:rPr>
                <w:sz w:val="20"/>
                <w:szCs w:val="20"/>
                <w:color w:val="auto"/>
              </w:rPr>
            </w:pPr>
            <w:r>
              <w:rPr>
                <w:rFonts w:ascii="Arial" w:cs="Arial" w:eastAsia="Arial" w:hAnsi="Arial"/>
                <w:sz w:val="18"/>
                <w:szCs w:val="18"/>
                <w:color w:val="auto"/>
              </w:rPr>
              <w:t>collateralized mortgage obligations</w:t>
            </w: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w:t>
            </w:r>
          </w:p>
        </w:tc>
        <w:tc>
          <w:tcPr>
            <w:tcW w:w="28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190</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190</w:t>
            </w:r>
          </w:p>
        </w:tc>
      </w:tr>
      <w:tr>
        <w:trPr>
          <w:trHeight w:val="243"/>
        </w:trPr>
        <w:tc>
          <w:tcPr>
            <w:tcW w:w="1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5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193,987</w:t>
            </w:r>
          </w:p>
        </w:tc>
        <w:tc>
          <w:tcPr>
            <w:tcW w:w="2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194,337</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9"/>
              </w:rPr>
              <w:t>420</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350</w:t>
            </w:r>
          </w:p>
        </w:tc>
      </w:tr>
      <w:tr>
        <w:trPr>
          <w:trHeight w:val="215"/>
        </w:trPr>
        <w:tc>
          <w:tcPr>
            <w:tcW w:w="6760" w:type="dxa"/>
            <w:vAlign w:val="bottom"/>
            <w:gridSpan w:val="3"/>
          </w:tcPr>
          <w:p>
            <w:pPr>
              <w:spacing w:after="0"/>
              <w:rPr>
                <w:sz w:val="20"/>
                <w:szCs w:val="20"/>
                <w:color w:val="auto"/>
              </w:rPr>
            </w:pPr>
            <w:r>
              <w:rPr>
                <w:rFonts w:ascii="Arial" w:cs="Arial" w:eastAsia="Arial" w:hAnsi="Arial"/>
                <w:sz w:val="18"/>
                <w:szCs w:val="18"/>
                <w:color w:val="auto"/>
              </w:rPr>
              <w:t>Maturities between one and four years</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251"/>
        </w:trPr>
        <w:tc>
          <w:tcPr>
            <w:tcW w:w="676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U.S. government obligations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30,476</w:t>
            </w:r>
          </w:p>
        </w:tc>
        <w:tc>
          <w:tcPr>
            <w:tcW w:w="2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30,536</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60</w:t>
            </w:r>
          </w:p>
        </w:tc>
      </w:tr>
      <w:tr>
        <w:trPr>
          <w:trHeight w:val="228"/>
        </w:trPr>
        <w:tc>
          <w:tcPr>
            <w:tcW w:w="6760" w:type="dxa"/>
            <w:vAlign w:val="bottom"/>
            <w:gridSpan w:val="3"/>
          </w:tcPr>
          <w:p>
            <w:pPr>
              <w:ind w:left="320"/>
              <w:spacing w:after="0"/>
              <w:rPr>
                <w:sz w:val="20"/>
                <w:szCs w:val="20"/>
                <w:color w:val="auto"/>
              </w:rPr>
            </w:pPr>
            <w:r>
              <w:rPr>
                <w:rFonts w:ascii="Arial" w:cs="Arial" w:eastAsia="Arial" w:hAnsi="Arial"/>
                <w:sz w:val="18"/>
                <w:szCs w:val="18"/>
                <w:color w:val="auto"/>
              </w:rPr>
              <w:t>U.S. government guaranteed corporate</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1"/>
        </w:trPr>
        <w:tc>
          <w:tcPr>
            <w:tcW w:w="6760" w:type="dxa"/>
            <w:vAlign w:val="bottom"/>
            <w:gridSpan w:val="3"/>
          </w:tcPr>
          <w:p>
            <w:pPr>
              <w:ind w:left="620"/>
              <w:spacing w:after="0"/>
              <w:rPr>
                <w:sz w:val="20"/>
                <w:szCs w:val="20"/>
                <w:color w:val="auto"/>
              </w:rPr>
            </w:pPr>
            <w:r>
              <w:rPr>
                <w:rFonts w:ascii="Arial" w:cs="Arial" w:eastAsia="Arial" w:hAnsi="Arial"/>
                <w:sz w:val="18"/>
                <w:szCs w:val="18"/>
                <w:color w:val="auto"/>
              </w:rPr>
              <w:t>bonds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32,240</w:t>
            </w:r>
          </w:p>
        </w:tc>
        <w:tc>
          <w:tcPr>
            <w:tcW w:w="2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32,648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408</w:t>
            </w:r>
          </w:p>
        </w:tc>
      </w:tr>
      <w:tr>
        <w:trPr>
          <w:trHeight w:val="251"/>
        </w:trPr>
        <w:tc>
          <w:tcPr>
            <w:tcW w:w="676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1,450</w:t>
            </w:r>
          </w:p>
        </w:tc>
        <w:tc>
          <w:tcPr>
            <w:tcW w:w="2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1,313</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5"/>
              </w:rPr>
              <w:t>(137)</w:t>
            </w:r>
          </w:p>
        </w:tc>
      </w:tr>
      <w:tr>
        <w:trPr>
          <w:trHeight w:val="237"/>
        </w:trPr>
        <w:tc>
          <w:tcPr>
            <w:tcW w:w="6760" w:type="dxa"/>
            <w:vAlign w:val="bottom"/>
            <w:tcBorders>
              <w:bottom w:val="single" w:sz="8" w:color="C0C0C0"/>
            </w:tcBorders>
            <w:gridSpan w:val="3"/>
          </w:tcPr>
          <w:p>
            <w:pPr>
              <w:ind w:left="320"/>
              <w:spacing w:after="0"/>
              <w:rPr>
                <w:sz w:val="20"/>
                <w:szCs w:val="20"/>
                <w:color w:val="auto"/>
              </w:rPr>
            </w:pPr>
            <w:r>
              <w:rPr>
                <w:rFonts w:ascii="Arial" w:cs="Arial" w:eastAsia="Arial" w:hAnsi="Arial"/>
                <w:sz w:val="18"/>
                <w:szCs w:val="18"/>
                <w:color w:val="auto"/>
              </w:rPr>
              <w:t>Municipal bonds</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280" w:type="dxa"/>
            <w:vAlign w:val="bottom"/>
            <w:tcBorders>
              <w:bottom w:val="single" w:sz="8" w:color="C0C0C0"/>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126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51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66,362</w:t>
            </w:r>
          </w:p>
        </w:tc>
        <w:tc>
          <w:tcPr>
            <w:tcW w:w="2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66,689</w:t>
            </w: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9"/>
              </w:rPr>
              <w:t>471</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327</w:t>
            </w:r>
          </w:p>
        </w:tc>
      </w:tr>
      <w:tr>
        <w:trPr>
          <w:trHeight w:val="230"/>
        </w:trPr>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r>
      <w:tr>
        <w:trPr>
          <w:trHeight w:val="257"/>
        </w:trPr>
        <w:tc>
          <w:tcPr>
            <w:tcW w:w="126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5100" w:type="dxa"/>
            <w:vAlign w:val="bottom"/>
            <w:shd w:val="clear" w:color="auto" w:fill="C0C0C0"/>
          </w:tcPr>
          <w:p>
            <w:pPr>
              <w:spacing w:after="0"/>
              <w:rPr>
                <w:sz w:val="22"/>
                <w:szCs w:val="22"/>
                <w:color w:val="auto"/>
              </w:rPr>
            </w:pPr>
          </w:p>
        </w:tc>
        <w:tc>
          <w:tcPr>
            <w:tcW w:w="4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260,349</w:t>
            </w:r>
          </w:p>
        </w:tc>
        <w:tc>
          <w:tcPr>
            <w:tcW w:w="280" w:type="dxa"/>
            <w:vAlign w:val="bottom"/>
            <w:shd w:val="clear" w:color="auto" w:fill="C0C0C0"/>
          </w:tcPr>
          <w:p>
            <w:pPr>
              <w:spacing w:after="0"/>
              <w:rPr>
                <w:sz w:val="22"/>
                <w:szCs w:val="22"/>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82"/>
              </w:rPr>
              <w:t>$ 261,026</w:t>
            </w:r>
          </w:p>
        </w:tc>
        <w:tc>
          <w:tcPr>
            <w:tcW w:w="26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9"/>
              </w:rPr>
              <w:t>891</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0C0C0"/>
          </w:tcPr>
          <w:p>
            <w:pPr>
              <w:spacing w:after="0"/>
              <w:rPr>
                <w:sz w:val="22"/>
                <w:szCs w:val="22"/>
                <w:color w:val="auto"/>
              </w:rPr>
            </w:pP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677</w:t>
            </w:r>
          </w:p>
        </w:tc>
      </w:tr>
      <w:tr>
        <w:trPr>
          <w:trHeight w:val="203"/>
        </w:trPr>
        <w:tc>
          <w:tcPr>
            <w:tcW w:w="1660" w:type="dxa"/>
            <w:vAlign w:val="bottom"/>
            <w:tcBorders>
              <w:top w:val="single" w:sz="8" w:color="C0C0C0"/>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8"/>
              </w:rPr>
              <w:t>At December 31, 2009</w:t>
            </w:r>
          </w:p>
        </w:tc>
        <w:tc>
          <w:tcPr>
            <w:tcW w:w="5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r>
      <w:tr>
        <w:trPr>
          <w:trHeight w:val="243"/>
        </w:trPr>
        <w:tc>
          <w:tcPr>
            <w:tcW w:w="676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r>
      <w:tr>
        <w:trPr>
          <w:trHeight w:val="235"/>
        </w:trPr>
        <w:tc>
          <w:tcPr>
            <w:tcW w:w="6760" w:type="dxa"/>
            <w:vAlign w:val="bottom"/>
            <w:gridSpan w:val="3"/>
          </w:tcPr>
          <w:p>
            <w:pPr>
              <w:ind w:left="320"/>
              <w:spacing w:after="0"/>
              <w:rPr>
                <w:sz w:val="20"/>
                <w:szCs w:val="20"/>
                <w:color w:val="auto"/>
              </w:rPr>
            </w:pPr>
            <w:r>
              <w:rPr>
                <w:rFonts w:ascii="Arial" w:cs="Arial" w:eastAsia="Arial" w:hAnsi="Arial"/>
                <w:sz w:val="18"/>
                <w:szCs w:val="18"/>
                <w:color w:val="auto"/>
              </w:rPr>
              <w:t>U.S. government obligations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100,491</w:t>
            </w:r>
          </w:p>
        </w:tc>
        <w:tc>
          <w:tcPr>
            <w:tcW w:w="2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$ 100,573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35"/>
        </w:trPr>
        <w:tc>
          <w:tcPr>
            <w:tcW w:w="676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r>
      <w:tr>
        <w:trPr>
          <w:trHeight w:val="259"/>
        </w:trPr>
        <w:tc>
          <w:tcPr>
            <w:tcW w:w="6760" w:type="dxa"/>
            <w:vAlign w:val="bottom"/>
            <w:gridSpan w:val="3"/>
            <w:shd w:val="clear" w:color="auto" w:fill="C0C0C0"/>
          </w:tcPr>
          <w:p>
            <w:pPr>
              <w:ind w:left="620"/>
              <w:spacing w:after="0"/>
              <w:rPr>
                <w:sz w:val="20"/>
                <w:szCs w:val="20"/>
                <w:color w:val="auto"/>
              </w:rPr>
            </w:pPr>
            <w:r>
              <w:rPr>
                <w:rFonts w:ascii="Arial" w:cs="Arial" w:eastAsia="Arial" w:hAnsi="Arial"/>
                <w:sz w:val="18"/>
                <w:szCs w:val="18"/>
                <w:color w:val="auto"/>
              </w:rPr>
              <w:t>bonds</w:t>
            </w: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17,176</w:t>
            </w:r>
          </w:p>
        </w:tc>
        <w:tc>
          <w:tcPr>
            <w:tcW w:w="280" w:type="dxa"/>
            <w:vAlign w:val="bottom"/>
            <w:shd w:val="clear" w:color="auto" w:fill="C0C0C0"/>
          </w:tcPr>
          <w:p>
            <w:pPr>
              <w:spacing w:after="0"/>
              <w:rPr>
                <w:sz w:val="22"/>
                <w:szCs w:val="22"/>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17,340</w:t>
            </w: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4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9"/>
              </w:rPr>
              <w:t>164</w:t>
            </w: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164</w:t>
            </w:r>
          </w:p>
        </w:tc>
      </w:tr>
      <w:tr>
        <w:trPr>
          <w:trHeight w:val="235"/>
        </w:trPr>
        <w:tc>
          <w:tcPr>
            <w:tcW w:w="6760" w:type="dxa"/>
            <w:vAlign w:val="bottom"/>
            <w:gridSpan w:val="3"/>
          </w:tcPr>
          <w:p>
            <w:pPr>
              <w:ind w:left="3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10,142</w:t>
            </w:r>
          </w:p>
        </w:tc>
        <w:tc>
          <w:tcPr>
            <w:tcW w:w="2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10,342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200</w:t>
            </w:r>
          </w:p>
        </w:tc>
      </w:tr>
      <w:tr>
        <w:trPr>
          <w:trHeight w:val="251"/>
        </w:trPr>
        <w:tc>
          <w:tcPr>
            <w:tcW w:w="676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2,471</w:t>
            </w:r>
          </w:p>
        </w:tc>
        <w:tc>
          <w:tcPr>
            <w:tcW w:w="2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2,338</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5"/>
              </w:rPr>
              <w:t>(133)</w:t>
            </w:r>
          </w:p>
        </w:tc>
      </w:tr>
      <w:tr>
        <w:trPr>
          <w:trHeight w:val="228"/>
        </w:trPr>
        <w:tc>
          <w:tcPr>
            <w:tcW w:w="6760" w:type="dxa"/>
            <w:vAlign w:val="bottom"/>
            <w:gridSpan w:val="3"/>
          </w:tcPr>
          <w:p>
            <w:pPr>
              <w:ind w:left="320"/>
              <w:spacing w:after="0"/>
              <w:rPr>
                <w:sz w:val="20"/>
                <w:szCs w:val="20"/>
                <w:color w:val="auto"/>
              </w:rPr>
            </w:pPr>
            <w:r>
              <w:rPr>
                <w:rFonts w:ascii="Arial" w:cs="Arial" w:eastAsia="Arial" w:hAnsi="Arial"/>
                <w:sz w:val="18"/>
                <w:szCs w:val="18"/>
                <w:color w:val="auto"/>
              </w:rPr>
              <w:t>U.S. government guaranteed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2"/>
        </w:trPr>
        <w:tc>
          <w:tcPr>
            <w:tcW w:w="6760" w:type="dxa"/>
            <w:vAlign w:val="bottom"/>
            <w:tcBorders>
              <w:bottom w:val="single" w:sz="8" w:color="C0C0C0"/>
            </w:tcBorders>
            <w:gridSpan w:val="3"/>
          </w:tcPr>
          <w:p>
            <w:pPr>
              <w:ind w:left="620"/>
              <w:spacing w:after="0"/>
              <w:rPr>
                <w:sz w:val="20"/>
                <w:szCs w:val="20"/>
                <w:color w:val="auto"/>
              </w:rPr>
            </w:pPr>
            <w:r>
              <w:rPr>
                <w:rFonts w:ascii="Arial" w:cs="Arial" w:eastAsia="Arial" w:hAnsi="Arial"/>
                <w:sz w:val="18"/>
                <w:szCs w:val="18"/>
                <w:color w:val="auto"/>
              </w:rPr>
              <w:t>collateralized mortgage obligations</w:t>
            </w: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28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1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5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133,892</w:t>
            </w:r>
          </w:p>
        </w:tc>
        <w:tc>
          <w:tcPr>
            <w:tcW w:w="2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134,255</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9"/>
              </w:rPr>
              <w:t>496</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363</w:t>
            </w:r>
          </w:p>
        </w:tc>
      </w:tr>
      <w:tr>
        <w:trPr>
          <w:trHeight w:val="215"/>
        </w:trPr>
        <w:tc>
          <w:tcPr>
            <w:tcW w:w="6760" w:type="dxa"/>
            <w:vAlign w:val="bottom"/>
            <w:gridSpan w:val="3"/>
          </w:tcPr>
          <w:p>
            <w:pPr>
              <w:spacing w:after="0"/>
              <w:rPr>
                <w:sz w:val="20"/>
                <w:szCs w:val="20"/>
                <w:color w:val="auto"/>
              </w:rPr>
            </w:pPr>
            <w:r>
              <w:rPr>
                <w:rFonts w:ascii="Arial" w:cs="Arial" w:eastAsia="Arial" w:hAnsi="Arial"/>
                <w:sz w:val="18"/>
                <w:szCs w:val="18"/>
                <w:color w:val="auto"/>
              </w:rPr>
              <w:t>Maturities between one and two years</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251"/>
        </w:trPr>
        <w:tc>
          <w:tcPr>
            <w:tcW w:w="676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U.S. government obligations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9,413</w:t>
            </w:r>
          </w:p>
        </w:tc>
        <w:tc>
          <w:tcPr>
            <w:tcW w:w="2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9,367</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r>
      <w:tr>
        <w:trPr>
          <w:trHeight w:val="228"/>
        </w:trPr>
        <w:tc>
          <w:tcPr>
            <w:tcW w:w="6760" w:type="dxa"/>
            <w:vAlign w:val="bottom"/>
            <w:gridSpan w:val="3"/>
          </w:tcPr>
          <w:p>
            <w:pPr>
              <w:ind w:left="320"/>
              <w:spacing w:after="0"/>
              <w:rPr>
                <w:sz w:val="20"/>
                <w:szCs w:val="20"/>
                <w:color w:val="auto"/>
              </w:rPr>
            </w:pPr>
            <w:r>
              <w:rPr>
                <w:rFonts w:ascii="Arial" w:cs="Arial" w:eastAsia="Arial" w:hAnsi="Arial"/>
                <w:sz w:val="18"/>
                <w:szCs w:val="18"/>
                <w:color w:val="auto"/>
              </w:rPr>
              <w:t>U.S. government guaranteed corporate</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1"/>
        </w:trPr>
        <w:tc>
          <w:tcPr>
            <w:tcW w:w="6760" w:type="dxa"/>
            <w:vAlign w:val="bottom"/>
            <w:gridSpan w:val="3"/>
          </w:tcPr>
          <w:p>
            <w:pPr>
              <w:ind w:left="620"/>
              <w:spacing w:after="0"/>
              <w:rPr>
                <w:sz w:val="20"/>
                <w:szCs w:val="20"/>
                <w:color w:val="auto"/>
              </w:rPr>
            </w:pPr>
            <w:r>
              <w:rPr>
                <w:rFonts w:ascii="Arial" w:cs="Arial" w:eastAsia="Arial" w:hAnsi="Arial"/>
                <w:sz w:val="18"/>
                <w:szCs w:val="18"/>
                <w:color w:val="auto"/>
              </w:rPr>
              <w:t>bonds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31,064</w:t>
            </w:r>
          </w:p>
        </w:tc>
        <w:tc>
          <w:tcPr>
            <w:tcW w:w="2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31,344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280</w:t>
            </w:r>
          </w:p>
        </w:tc>
      </w:tr>
      <w:tr>
        <w:trPr>
          <w:trHeight w:val="244"/>
        </w:trPr>
        <w:tc>
          <w:tcPr>
            <w:tcW w:w="676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1,168</w:t>
            </w:r>
          </w:p>
        </w:tc>
        <w:tc>
          <w:tcPr>
            <w:tcW w:w="280" w:type="dxa"/>
            <w:vAlign w:val="bottom"/>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5"/>
              </w:rPr>
              <w:t>(268)</w:t>
            </w:r>
          </w:p>
        </w:tc>
      </w:tr>
      <w:tr>
        <w:trPr>
          <w:trHeight w:val="237"/>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41,645</w:t>
            </w:r>
          </w:p>
        </w:tc>
        <w:tc>
          <w:tcPr>
            <w:tcW w:w="2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41,611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r>
      <w:tr>
        <w:trPr>
          <w:trHeight w:val="235"/>
        </w:trPr>
        <w:tc>
          <w:tcPr>
            <w:tcW w:w="126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5100" w:type="dxa"/>
            <w:vAlign w:val="bottom"/>
            <w:shd w:val="clear" w:color="auto" w:fill="C0C0C0"/>
          </w:tcPr>
          <w:p>
            <w:pPr>
              <w:spacing w:after="0"/>
              <w:rPr>
                <w:sz w:val="20"/>
                <w:szCs w:val="20"/>
                <w:color w:val="auto"/>
              </w:rPr>
            </w:pPr>
          </w:p>
        </w:tc>
        <w:tc>
          <w:tcPr>
            <w:tcW w:w="4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175,537</w:t>
            </w:r>
          </w:p>
        </w:tc>
        <w:tc>
          <w:tcPr>
            <w:tcW w:w="2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82"/>
              </w:rPr>
              <w:t>$ 175,866</w:t>
            </w:r>
          </w:p>
        </w:tc>
        <w:tc>
          <w:tcPr>
            <w:tcW w:w="26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9"/>
              </w:rPr>
              <w:t>776</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0C0C0"/>
          </w:tcPr>
          <w:p>
            <w:pPr>
              <w:spacing w:after="0"/>
              <w:rPr>
                <w:sz w:val="20"/>
                <w:szCs w:val="20"/>
                <w:color w:val="auto"/>
              </w:rPr>
            </w:pP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329</w:t>
            </w:r>
          </w:p>
        </w:tc>
      </w:tr>
      <w:tr>
        <w:trPr>
          <w:trHeight w:val="35"/>
        </w:trPr>
        <w:tc>
          <w:tcPr>
            <w:tcW w:w="1260" w:type="dxa"/>
            <w:vAlign w:val="bottom"/>
            <w:shd w:val="clear" w:color="auto" w:fill="C0C0C0"/>
          </w:tcPr>
          <w:p>
            <w:pPr>
              <w:spacing w:after="0"/>
              <w:rPr>
                <w:sz w:val="3"/>
                <w:szCs w:val="3"/>
                <w:color w:val="auto"/>
              </w:rPr>
            </w:pPr>
          </w:p>
        </w:tc>
        <w:tc>
          <w:tcPr>
            <w:tcW w:w="400" w:type="dxa"/>
            <w:vAlign w:val="bottom"/>
            <w:shd w:val="clear" w:color="auto" w:fill="C0C0C0"/>
          </w:tcPr>
          <w:p>
            <w:pPr>
              <w:spacing w:after="0"/>
              <w:rPr>
                <w:sz w:val="3"/>
                <w:szCs w:val="3"/>
                <w:color w:val="auto"/>
              </w:rPr>
            </w:pPr>
          </w:p>
        </w:tc>
        <w:tc>
          <w:tcPr>
            <w:tcW w:w="5100" w:type="dxa"/>
            <w:vAlign w:val="bottom"/>
            <w:shd w:val="clear" w:color="auto" w:fill="C0C0C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6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r>
    </w:tbl>
    <w:p>
      <w:pPr>
        <w:spacing w:after="0" w:line="248" w:lineRule="exact"/>
        <w:rPr>
          <w:sz w:val="20"/>
          <w:szCs w:val="20"/>
          <w:color w:val="auto"/>
        </w:rPr>
      </w:pPr>
    </w:p>
    <w:p>
      <w:pPr>
        <w:jc w:val="both"/>
        <w:ind w:right="20" w:firstLine="311"/>
        <w:spacing w:after="0" w:line="268" w:lineRule="auto"/>
        <w:rPr>
          <w:sz w:val="20"/>
          <w:szCs w:val="20"/>
          <w:color w:val="auto"/>
        </w:rPr>
      </w:pPr>
      <w:r>
        <w:rPr>
          <w:rFonts w:ascii="Arial" w:cs="Arial" w:eastAsia="Arial" w:hAnsi="Arial"/>
          <w:sz w:val="18"/>
          <w:szCs w:val="18"/>
          <w:color w:val="auto"/>
        </w:rPr>
        <w:t>At June 30, 2010 and December 31, 2009, marketable securities included an additional unrealized loss of $0.3 million and an additional unrealized gain of $1.4 million, respectively, related to the equity security in the Company’s marketable securities portfolio.</w:t>
      </w:r>
    </w:p>
    <w:p>
      <w:pPr>
        <w:spacing w:after="0" w:line="24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June 30, 2010 and December 31, 2009. The debt securities listed at June 30, 2010 mature at various dates through July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w w:val="89"/>
              </w:rPr>
              <w:t>Less than 12 Months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8"/>
                <w:szCs w:val="18"/>
                <w:b w:val="1"/>
                <w:bCs w:val="1"/>
                <w:color w:val="auto"/>
                <w:w w:val="92"/>
              </w:rPr>
              <w:t>12 Months or Greater</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Total</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Unrealized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Unrealized</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Unrealized</w:t>
            </w:r>
          </w:p>
        </w:tc>
        <w:tc>
          <w:tcPr>
            <w:tcW w:w="0" w:type="dxa"/>
            <w:vAlign w:val="bottom"/>
          </w:tcPr>
          <w:p>
            <w:pPr>
              <w:spacing w:after="0"/>
              <w:rPr>
                <w:sz w:val="1"/>
                <w:szCs w:val="1"/>
                <w:color w:val="auto"/>
              </w:rPr>
            </w:pPr>
          </w:p>
        </w:tc>
      </w:tr>
      <w:tr>
        <w:trPr>
          <w:trHeight w:val="231"/>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At June 30, 2010</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b w:val="1"/>
                <w:bCs w:val="1"/>
                <w:color w:val="auto"/>
                <w:w w:val="99"/>
              </w:rPr>
              <w:t>Loss</w:t>
            </w:r>
          </w:p>
        </w:tc>
        <w:tc>
          <w:tcPr>
            <w:tcW w:w="1320" w:type="dxa"/>
            <w:vAlign w:val="bottom"/>
            <w:gridSpan w:val="4"/>
          </w:tcPr>
          <w:p>
            <w:pPr>
              <w:ind w:left="2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b w:val="1"/>
                <w:bCs w:val="1"/>
                <w:color w:val="auto"/>
                <w:w w:val="99"/>
              </w:rPr>
              <w:t>Loss</w:t>
            </w:r>
          </w:p>
        </w:tc>
        <w:tc>
          <w:tcPr>
            <w:tcW w:w="1060" w:type="dxa"/>
            <w:vAlign w:val="bottom"/>
            <w:gridSpan w:val="3"/>
          </w:tcPr>
          <w:p>
            <w:pPr>
              <w:ind w:left="260"/>
              <w:spacing w:after="0"/>
              <w:rPr>
                <w:sz w:val="20"/>
                <w:szCs w:val="20"/>
                <w:color w:val="auto"/>
              </w:rPr>
            </w:pPr>
            <w:r>
              <w:rPr>
                <w:rFonts w:ascii="Arial" w:cs="Arial" w:eastAsia="Arial" w:hAnsi="Arial"/>
                <w:sz w:val="18"/>
                <w:szCs w:val="18"/>
                <w:b w:val="1"/>
                <w:bCs w:val="1"/>
                <w:color w:val="auto"/>
                <w:w w:val="90"/>
              </w:rPr>
              <w:t>Fair Value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C0C0C0"/>
            </w:tcBorders>
          </w:tcPr>
          <w:p>
            <w:pPr>
              <w:spacing w:after="0" w:line="20" w:lineRule="exact"/>
              <w:rPr>
                <w:sz w:val="1"/>
                <w:szCs w:val="1"/>
                <w:color w:val="auto"/>
              </w:rPr>
            </w:pPr>
          </w:p>
        </w:tc>
        <w:tc>
          <w:tcPr>
            <w:tcW w:w="400" w:type="dxa"/>
            <w:vAlign w:val="bottom"/>
            <w:tcBorders>
              <w:bottom w:val="single" w:sz="8" w:color="C0C0C0"/>
            </w:tcBorders>
          </w:tcPr>
          <w:p>
            <w:pPr>
              <w:spacing w:after="0" w:line="20" w:lineRule="exact"/>
              <w:rPr>
                <w:sz w:val="1"/>
                <w:szCs w:val="1"/>
                <w:color w:val="auto"/>
              </w:rPr>
            </w:pPr>
          </w:p>
        </w:tc>
        <w:tc>
          <w:tcPr>
            <w:tcW w:w="3180" w:type="dxa"/>
            <w:vAlign w:val="bottom"/>
            <w:tcBorders>
              <w:bottom w:val="single" w:sz="8" w:color="C0C0C0"/>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0C0C0"/>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0C0C0"/>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U.S. government obligations</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23,417</w:t>
            </w: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46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23,417</w:t>
            </w:r>
          </w:p>
        </w:tc>
        <w:tc>
          <w:tcPr>
            <w:tcW w:w="4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2,020</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8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1,188</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1,188</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Equity security</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shd w:val="clear" w:color="auto" w:fill="C0C0C0"/>
          </w:tcPr>
          <w:p>
            <w:pPr>
              <w:spacing w:after="0" w:line="20" w:lineRule="exact"/>
              <w:rPr>
                <w:sz w:val="1"/>
                <w:szCs w:val="1"/>
                <w:color w:val="auto"/>
              </w:rPr>
            </w:pPr>
          </w:p>
        </w:tc>
        <w:tc>
          <w:tcPr>
            <w:tcW w:w="400" w:type="dxa"/>
            <w:vAlign w:val="bottom"/>
            <w:shd w:val="clear" w:color="auto" w:fill="C0C0C0"/>
          </w:tcPr>
          <w:p>
            <w:pPr>
              <w:spacing w:after="0" w:line="20" w:lineRule="exact"/>
              <w:rPr>
                <w:sz w:val="1"/>
                <w:szCs w:val="1"/>
                <w:color w:val="auto"/>
              </w:rPr>
            </w:pPr>
          </w:p>
        </w:tc>
        <w:tc>
          <w:tcPr>
            <w:tcW w:w="31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31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28,381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0C0C0"/>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(203)</w:t>
            </w:r>
          </w:p>
        </w:tc>
        <w:tc>
          <w:tcPr>
            <w:tcW w:w="46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30,401</w:t>
            </w:r>
          </w:p>
        </w:tc>
        <w:tc>
          <w:tcPr>
            <w:tcW w:w="4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40" w:type="dxa"/>
            <w:vAlign w:val="bottom"/>
            <w:tcBorders>
              <w:top w:val="single" w:sz="8" w:color="C0C0C0"/>
            </w:tcBorders>
          </w:tcPr>
          <w:p>
            <w:pPr>
              <w:spacing w:after="0"/>
              <w:rPr>
                <w:sz w:val="19"/>
                <w:szCs w:val="19"/>
                <w:color w:val="auto"/>
              </w:rPr>
            </w:pPr>
          </w:p>
        </w:tc>
        <w:tc>
          <w:tcPr>
            <w:tcW w:w="400" w:type="dxa"/>
            <w:vAlign w:val="bottom"/>
            <w:tcBorders>
              <w:top w:val="single" w:sz="8" w:color="C0C0C0"/>
            </w:tcBorders>
          </w:tcPr>
          <w:p>
            <w:pPr>
              <w:spacing w:after="0"/>
              <w:rPr>
                <w:sz w:val="19"/>
                <w:szCs w:val="19"/>
                <w:color w:val="auto"/>
              </w:rPr>
            </w:pPr>
          </w:p>
        </w:tc>
        <w:tc>
          <w:tcPr>
            <w:tcW w:w="318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64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b w:val="1"/>
                <w:bCs w:val="1"/>
                <w:color w:val="auto"/>
                <w:w w:val="87"/>
              </w:rPr>
              <w:t>At December 31, 2009</w:t>
            </w:r>
          </w:p>
        </w:tc>
        <w:tc>
          <w:tcPr>
            <w:tcW w:w="31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9,367</w:t>
            </w:r>
          </w:p>
        </w:tc>
        <w:tc>
          <w:tcPr>
            <w:tcW w:w="280" w:type="dxa"/>
            <w:vAlign w:val="bottom"/>
          </w:tcPr>
          <w:p>
            <w:pPr>
              <w:spacing w:after="0"/>
              <w:rPr>
                <w:sz w:val="20"/>
                <w:szCs w:val="20"/>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9,367</w:t>
            </w: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3,238</w:t>
            </w:r>
          </w:p>
        </w:tc>
        <w:tc>
          <w:tcPr>
            <w:tcW w:w="200" w:type="dxa"/>
            <w:vAlign w:val="bottom"/>
            <w:shd w:val="clear" w:color="auto" w:fill="C0C0C0"/>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3,238</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9,367</w:t>
            </w:r>
          </w:p>
        </w:tc>
        <w:tc>
          <w:tcPr>
            <w:tcW w:w="280" w:type="dxa"/>
            <w:vAlign w:val="bottom"/>
          </w:tcPr>
          <w:p>
            <w:pPr>
              <w:spacing w:after="0"/>
              <w:rPr>
                <w:sz w:val="21"/>
                <w:szCs w:val="21"/>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3,238</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12,605</w:t>
            </w: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79"/>
              </w:rPr>
              <w:t>10</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05"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73"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Realized gains and losses are included as a component of investment income. For the three and six months ended June 30, 2010 and 2009, realized gains and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assets that are measured at fair value on a recurring basis</w:t>
      </w:r>
      <w:r>
        <w:rPr>
          <w:rFonts w:ascii="Arial" w:cs="Arial" w:eastAsia="Arial" w:hAnsi="Arial"/>
          <w:sz w:val="18"/>
          <w:szCs w:val="18"/>
          <w:i w:val="1"/>
          <w:iCs w:val="1"/>
          <w:color w:val="auto"/>
        </w:rPr>
        <w:t>,</w:t>
      </w:r>
      <w:r>
        <w:rPr>
          <w:rFonts w:ascii="Arial" w:cs="Arial" w:eastAsia="Arial" w:hAnsi="Arial"/>
          <w:sz w:val="18"/>
          <w:szCs w:val="18"/>
          <w:color w:val="auto"/>
        </w:rPr>
        <w:t xml:space="preserve"> at June 30, 2010 and December 31, 2009,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89"/>
              </w:rPr>
              <w:t>Fair Value Measurements at Reporting Date Using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Quoted Prices</w:t>
            </w:r>
          </w:p>
        </w:tc>
        <w:tc>
          <w:tcPr>
            <w:tcW w:w="100" w:type="dxa"/>
            <w:vAlign w:val="bottom"/>
          </w:tcPr>
          <w:p>
            <w:pPr>
              <w:spacing w:after="0"/>
              <w:rPr>
                <w:sz w:val="19"/>
                <w:szCs w:val="19"/>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21"/>
                <w:szCs w:val="21"/>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Markets for</w:t>
            </w:r>
          </w:p>
        </w:tc>
        <w:tc>
          <w:tcPr>
            <w:tcW w:w="100" w:type="dxa"/>
            <w:vAlign w:val="bottom"/>
          </w:tcPr>
          <w:p>
            <w:pPr>
              <w:spacing w:after="0"/>
              <w:rPr>
                <w:sz w:val="21"/>
                <w:szCs w:val="21"/>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Observable</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Identical Assets</w:t>
            </w:r>
          </w:p>
        </w:tc>
        <w:tc>
          <w:tcPr>
            <w:tcW w:w="100" w:type="dxa"/>
            <w:vAlign w:val="bottom"/>
          </w:tcPr>
          <w:p>
            <w:pPr>
              <w:spacing w:after="0"/>
              <w:rPr>
                <w:sz w:val="21"/>
                <w:szCs w:val="21"/>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1"/>
                <w:szCs w:val="21"/>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C0C0C0"/>
              <w:bottom w:val="single" w:sz="8" w:color="auto"/>
            </w:tcBorders>
            <w:shd w:val="clear" w:color="auto" w:fill="C0C0C0"/>
          </w:tcPr>
          <w:p>
            <w:pPr>
              <w:spacing w:after="0" w:line="202" w:lineRule="exact"/>
              <w:rPr>
                <w:sz w:val="20"/>
                <w:szCs w:val="20"/>
                <w:color w:val="auto"/>
              </w:rPr>
            </w:pPr>
            <w:r>
              <w:rPr>
                <w:rFonts w:ascii="Arial" w:cs="Arial" w:eastAsia="Arial" w:hAnsi="Arial"/>
                <w:sz w:val="18"/>
                <w:szCs w:val="18"/>
                <w:b w:val="1"/>
                <w:bCs w:val="1"/>
                <w:color w:val="auto"/>
                <w:w w:val="86"/>
              </w:rPr>
              <w:t>At June 30, 2010</w:t>
            </w:r>
          </w:p>
        </w:tc>
        <w:tc>
          <w:tcPr>
            <w:tcW w:w="4900" w:type="dxa"/>
            <w:vAlign w:val="bottom"/>
            <w:tcBorders>
              <w:top w:val="single" w:sz="8" w:color="C0C0C0"/>
              <w:bottom w:val="single" w:sz="8" w:color="C0C0C0"/>
            </w:tcBorders>
            <w:gridSpan w:val="2"/>
            <w:shd w:val="clear" w:color="auto" w:fill="C0C0C0"/>
          </w:tcPr>
          <w:p>
            <w:pPr>
              <w:spacing w:after="0"/>
              <w:rPr>
                <w:sz w:val="18"/>
                <w:szCs w:val="18"/>
                <w:color w:val="auto"/>
              </w:rPr>
            </w:pPr>
          </w:p>
        </w:tc>
        <w:tc>
          <w:tcPr>
            <w:tcW w:w="280" w:type="dxa"/>
            <w:vAlign w:val="bottom"/>
            <w:tcBorders>
              <w:top w:val="single" w:sz="8" w:color="C0C0C0"/>
              <w:bottom w:val="single" w:sz="8" w:color="C0C0C0"/>
            </w:tcBorders>
            <w:shd w:val="clear" w:color="auto" w:fill="C0C0C0"/>
          </w:tcPr>
          <w:p>
            <w:pPr>
              <w:spacing w:after="0"/>
              <w:rPr>
                <w:sz w:val="18"/>
                <w:szCs w:val="18"/>
                <w:color w:val="auto"/>
              </w:rPr>
            </w:pPr>
          </w:p>
        </w:tc>
        <w:tc>
          <w:tcPr>
            <w:tcW w:w="140" w:type="dxa"/>
            <w:vAlign w:val="bottom"/>
            <w:tcBorders>
              <w:top w:val="single" w:sz="8" w:color="C0C0C0"/>
              <w:bottom w:val="single" w:sz="8" w:color="C0C0C0"/>
            </w:tcBorders>
            <w:shd w:val="clear" w:color="auto" w:fill="C0C0C0"/>
          </w:tcPr>
          <w:p>
            <w:pPr>
              <w:spacing w:after="0"/>
              <w:rPr>
                <w:sz w:val="18"/>
                <w:szCs w:val="18"/>
                <w:color w:val="auto"/>
              </w:rPr>
            </w:pPr>
          </w:p>
        </w:tc>
        <w:tc>
          <w:tcPr>
            <w:tcW w:w="640" w:type="dxa"/>
            <w:vAlign w:val="bottom"/>
            <w:tcBorders>
              <w:top w:val="single" w:sz="8" w:color="C0C0C0"/>
              <w:bottom w:val="single" w:sz="8" w:color="C0C0C0"/>
            </w:tcBorders>
            <w:shd w:val="clear" w:color="auto" w:fill="C0C0C0"/>
          </w:tcPr>
          <w:p>
            <w:pPr>
              <w:spacing w:after="0"/>
              <w:rPr>
                <w:sz w:val="18"/>
                <w:szCs w:val="18"/>
                <w:color w:val="auto"/>
              </w:rPr>
            </w:pPr>
          </w:p>
        </w:tc>
        <w:tc>
          <w:tcPr>
            <w:tcW w:w="260" w:type="dxa"/>
            <w:vAlign w:val="bottom"/>
            <w:tcBorders>
              <w:top w:val="single" w:sz="8" w:color="C0C0C0"/>
              <w:bottom w:val="single" w:sz="8" w:color="C0C0C0"/>
            </w:tcBorders>
            <w:shd w:val="clear" w:color="auto" w:fill="C0C0C0"/>
          </w:tcPr>
          <w:p>
            <w:pPr>
              <w:spacing w:after="0"/>
              <w:rPr>
                <w:sz w:val="18"/>
                <w:szCs w:val="18"/>
                <w:color w:val="auto"/>
              </w:rPr>
            </w:pPr>
          </w:p>
        </w:tc>
        <w:tc>
          <w:tcPr>
            <w:tcW w:w="120" w:type="dxa"/>
            <w:vAlign w:val="bottom"/>
            <w:tcBorders>
              <w:top w:val="single" w:sz="8" w:color="auto"/>
              <w:bottom w:val="single" w:sz="8" w:color="C0C0C0"/>
            </w:tcBorders>
            <w:shd w:val="clear" w:color="auto" w:fill="C0C0C0"/>
          </w:tcPr>
          <w:p>
            <w:pPr>
              <w:spacing w:after="0"/>
              <w:rPr>
                <w:sz w:val="18"/>
                <w:szCs w:val="18"/>
                <w:color w:val="auto"/>
              </w:rPr>
            </w:pPr>
          </w:p>
        </w:tc>
        <w:tc>
          <w:tcPr>
            <w:tcW w:w="1060" w:type="dxa"/>
            <w:vAlign w:val="bottom"/>
            <w:tcBorders>
              <w:top w:val="single" w:sz="8" w:color="auto"/>
              <w:bottom w:val="single" w:sz="8" w:color="C0C0C0"/>
            </w:tcBorders>
            <w:shd w:val="clear" w:color="auto" w:fill="C0C0C0"/>
          </w:tcPr>
          <w:p>
            <w:pPr>
              <w:spacing w:after="0"/>
              <w:rPr>
                <w:sz w:val="18"/>
                <w:szCs w:val="18"/>
                <w:color w:val="auto"/>
              </w:rPr>
            </w:pPr>
          </w:p>
        </w:tc>
        <w:tc>
          <w:tcPr>
            <w:tcW w:w="280" w:type="dxa"/>
            <w:vAlign w:val="bottom"/>
            <w:tcBorders>
              <w:top w:val="single" w:sz="8" w:color="C0C0C0"/>
              <w:bottom w:val="single" w:sz="8" w:color="C0C0C0"/>
            </w:tcBorders>
            <w:shd w:val="clear" w:color="auto" w:fill="C0C0C0"/>
          </w:tcPr>
          <w:p>
            <w:pPr>
              <w:spacing w:after="0"/>
              <w:rPr>
                <w:sz w:val="18"/>
                <w:szCs w:val="18"/>
                <w:color w:val="auto"/>
              </w:rPr>
            </w:pPr>
          </w:p>
        </w:tc>
        <w:tc>
          <w:tcPr>
            <w:tcW w:w="100" w:type="dxa"/>
            <w:vAlign w:val="bottom"/>
            <w:tcBorders>
              <w:top w:val="single" w:sz="8" w:color="auto"/>
              <w:bottom w:val="single" w:sz="8" w:color="C0C0C0"/>
            </w:tcBorders>
            <w:shd w:val="clear" w:color="auto" w:fill="C0C0C0"/>
          </w:tcPr>
          <w:p>
            <w:pPr>
              <w:spacing w:after="0"/>
              <w:rPr>
                <w:sz w:val="18"/>
                <w:szCs w:val="18"/>
                <w:color w:val="auto"/>
              </w:rPr>
            </w:pPr>
          </w:p>
        </w:tc>
        <w:tc>
          <w:tcPr>
            <w:tcW w:w="1000" w:type="dxa"/>
            <w:vAlign w:val="bottom"/>
            <w:tcBorders>
              <w:top w:val="single" w:sz="8" w:color="auto"/>
              <w:bottom w:val="single" w:sz="8" w:color="C0C0C0"/>
            </w:tcBorders>
            <w:shd w:val="clear" w:color="auto" w:fill="C0C0C0"/>
          </w:tcPr>
          <w:p>
            <w:pPr>
              <w:spacing w:after="0"/>
              <w:rPr>
                <w:sz w:val="18"/>
                <w:szCs w:val="18"/>
                <w:color w:val="auto"/>
              </w:rPr>
            </w:pPr>
          </w:p>
        </w:tc>
        <w:tc>
          <w:tcPr>
            <w:tcW w:w="280" w:type="dxa"/>
            <w:vAlign w:val="bottom"/>
            <w:tcBorders>
              <w:top w:val="single" w:sz="8" w:color="C0C0C0"/>
              <w:bottom w:val="single" w:sz="8" w:color="C0C0C0"/>
            </w:tcBorders>
            <w:shd w:val="clear" w:color="auto" w:fill="C0C0C0"/>
          </w:tcPr>
          <w:p>
            <w:pPr>
              <w:spacing w:after="0"/>
              <w:rPr>
                <w:sz w:val="18"/>
                <w:szCs w:val="18"/>
                <w:color w:val="auto"/>
              </w:rPr>
            </w:pPr>
          </w:p>
        </w:tc>
        <w:tc>
          <w:tcPr>
            <w:tcW w:w="1100" w:type="dxa"/>
            <w:vAlign w:val="bottom"/>
            <w:tcBorders>
              <w:top w:val="single" w:sz="8" w:color="auto"/>
              <w:bottom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6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4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U.S. government obligations</w:t>
            </w:r>
          </w:p>
        </w:tc>
        <w:tc>
          <w:tcPr>
            <w:tcW w:w="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186,744</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186,744</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gridSpan w:val="3"/>
          </w:tcPr>
          <w:p>
            <w:pPr>
              <w:ind w:left="300"/>
              <w:spacing w:after="0"/>
              <w:rPr>
                <w:sz w:val="20"/>
                <w:szCs w:val="20"/>
                <w:color w:val="auto"/>
              </w:rPr>
            </w:pPr>
            <w:r>
              <w:rPr>
                <w:rFonts w:ascii="Arial" w:cs="Arial" w:eastAsia="Arial" w:hAnsi="Arial"/>
                <w:sz w:val="18"/>
                <w:szCs w:val="18"/>
                <w:color w:val="auto"/>
              </w:rPr>
              <w:t>U.S. government guaranteed corporate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40" w:type="dxa"/>
            <w:vAlign w:val="bottom"/>
            <w:gridSpan w:val="3"/>
          </w:tcPr>
          <w:p>
            <w:pPr>
              <w:ind w:left="600"/>
              <w:spacing w:after="0"/>
              <w:rPr>
                <w:sz w:val="20"/>
                <w:szCs w:val="20"/>
                <w:color w:val="auto"/>
              </w:rPr>
            </w:pPr>
            <w:r>
              <w:rPr>
                <w:rFonts w:ascii="Arial" w:cs="Arial" w:eastAsia="Arial" w:hAnsi="Arial"/>
                <w:sz w:val="18"/>
                <w:szCs w:val="18"/>
                <w:color w:val="auto"/>
              </w:rPr>
              <w:t>bonds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64,010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64,010</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4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3,067</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3,067</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40" w:type="dxa"/>
            <w:vAlign w:val="bottom"/>
            <w:gridSpan w:val="3"/>
          </w:tcPr>
          <w:p>
            <w:pPr>
              <w:ind w:left="30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4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U.S. government guaranteed</w:t>
            </w: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140" w:type="dxa"/>
            <w:vAlign w:val="bottom"/>
            <w:gridSpan w:val="3"/>
            <w:shd w:val="clear" w:color="auto" w:fill="C0C0C0"/>
          </w:tcPr>
          <w:p>
            <w:pPr>
              <w:ind w:left="600"/>
              <w:spacing w:after="0"/>
              <w:rPr>
                <w:sz w:val="20"/>
                <w:szCs w:val="20"/>
                <w:color w:val="auto"/>
              </w:rPr>
            </w:pPr>
            <w:r>
              <w:rPr>
                <w:rFonts w:ascii="Arial" w:cs="Arial" w:eastAsia="Arial" w:hAnsi="Arial"/>
                <w:sz w:val="18"/>
                <w:szCs w:val="18"/>
                <w:color w:val="auto"/>
              </w:rPr>
              <w:t>collateralized mortgage obligations</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2,993</w:t>
            </w:r>
          </w:p>
        </w:tc>
        <w:tc>
          <w:tcPr>
            <w:tcW w:w="2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2,993</w:t>
            </w:r>
          </w:p>
        </w:tc>
        <w:tc>
          <w:tcPr>
            <w:tcW w:w="280" w:type="dxa"/>
            <w:vAlign w:val="bottom"/>
            <w:shd w:val="clear" w:color="auto" w:fill="C0C0C0"/>
          </w:tcPr>
          <w:p>
            <w:pPr>
              <w:spacing w:after="0"/>
              <w:rPr>
                <w:sz w:val="22"/>
                <w:szCs w:val="22"/>
                <w:color w:val="auto"/>
              </w:rPr>
            </w:pPr>
          </w:p>
        </w:tc>
        <w:tc>
          <w:tcPr>
            <w:tcW w:w="11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40" w:type="dxa"/>
            <w:vAlign w:val="bottom"/>
            <w:gridSpan w:val="3"/>
          </w:tcPr>
          <w:p>
            <w:pPr>
              <w:ind w:left="30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2,192</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4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Equity security</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3,776</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3,776</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264,802</w:t>
            </w:r>
          </w:p>
        </w:tc>
        <w:tc>
          <w:tcPr>
            <w:tcW w:w="26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3,776</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261,026</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64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b w:val="1"/>
                <w:bCs w:val="1"/>
                <w:color w:val="auto"/>
                <w:w w:val="87"/>
              </w:rPr>
              <w:t>At December 31, 2009</w:t>
            </w:r>
          </w:p>
        </w:tc>
        <w:tc>
          <w:tcPr>
            <w:tcW w:w="45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100" w:type="dxa"/>
            <w:vAlign w:val="bottom"/>
            <w:tcBorders>
              <w:bottom w:val="single" w:sz="8" w:color="C0C0C0"/>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6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4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U.S. government obligations</w:t>
            </w:r>
          </w:p>
        </w:tc>
        <w:tc>
          <w:tcPr>
            <w:tcW w:w="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109,940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109,940</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gridSpan w:val="3"/>
          </w:tcPr>
          <w:p>
            <w:pPr>
              <w:ind w:left="300"/>
              <w:spacing w:after="0"/>
              <w:rPr>
                <w:sz w:val="20"/>
                <w:szCs w:val="20"/>
                <w:color w:val="auto"/>
              </w:rPr>
            </w:pPr>
            <w:r>
              <w:rPr>
                <w:rFonts w:ascii="Arial" w:cs="Arial" w:eastAsia="Arial" w:hAnsi="Arial"/>
                <w:sz w:val="18"/>
                <w:szCs w:val="18"/>
                <w:color w:val="auto"/>
              </w:rPr>
              <w:t>U.S. government guaranteed corporate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48,684</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40" w:type="dxa"/>
            <w:vAlign w:val="bottom"/>
            <w:gridSpan w:val="3"/>
          </w:tcPr>
          <w:p>
            <w:pPr>
              <w:ind w:left="600"/>
              <w:spacing w:after="0"/>
              <w:rPr>
                <w:sz w:val="20"/>
                <w:szCs w:val="20"/>
                <w:color w:val="auto"/>
              </w:rPr>
            </w:pPr>
            <w:r>
              <w:rPr>
                <w:rFonts w:ascii="Arial" w:cs="Arial" w:eastAsia="Arial" w:hAnsi="Arial"/>
                <w:sz w:val="18"/>
                <w:szCs w:val="18"/>
                <w:color w:val="auto"/>
              </w:rPr>
              <w:t>bonds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4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10,342</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40" w:type="dxa"/>
            <w:vAlign w:val="bottom"/>
            <w:gridSpan w:val="3"/>
          </w:tcPr>
          <w:p>
            <w:pPr>
              <w:ind w:left="30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3,238</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40" w:type="dxa"/>
            <w:vAlign w:val="bottom"/>
            <w:gridSpan w:val="3"/>
            <w:shd w:val="clear" w:color="auto" w:fill="C0C0C0"/>
          </w:tcPr>
          <w:p>
            <w:pPr>
              <w:ind w:left="300"/>
              <w:spacing w:after="0"/>
              <w:rPr>
                <w:sz w:val="20"/>
                <w:szCs w:val="20"/>
                <w:color w:val="auto"/>
              </w:rPr>
            </w:pPr>
            <w:r>
              <w:rPr>
                <w:rFonts w:ascii="Arial" w:cs="Arial" w:eastAsia="Arial" w:hAnsi="Arial"/>
                <w:sz w:val="18"/>
                <w:szCs w:val="18"/>
                <w:color w:val="auto"/>
              </w:rPr>
              <w:t>U.S. government guaranteed</w:t>
            </w: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3,662</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3,662</w:t>
            </w:r>
          </w:p>
        </w:tc>
        <w:tc>
          <w:tcPr>
            <w:tcW w:w="280" w:type="dxa"/>
            <w:vAlign w:val="bottom"/>
            <w:shd w:val="clear" w:color="auto" w:fill="C0C0C0"/>
          </w:tcPr>
          <w:p>
            <w:pPr>
              <w:spacing w:after="0"/>
              <w:rPr>
                <w:sz w:val="20"/>
                <w:szCs w:val="20"/>
                <w:color w:val="auto"/>
              </w:rPr>
            </w:pPr>
          </w:p>
        </w:tc>
        <w:tc>
          <w:tcPr>
            <w:tcW w:w="1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140" w:type="dxa"/>
            <w:vAlign w:val="bottom"/>
            <w:gridSpan w:val="3"/>
            <w:shd w:val="clear" w:color="auto" w:fill="C0C0C0"/>
          </w:tcPr>
          <w:p>
            <w:pPr>
              <w:ind w:left="600"/>
              <w:spacing w:after="0"/>
              <w:rPr>
                <w:sz w:val="20"/>
                <w:szCs w:val="20"/>
                <w:color w:val="auto"/>
              </w:rPr>
            </w:pPr>
            <w:r>
              <w:rPr>
                <w:rFonts w:ascii="Arial" w:cs="Arial" w:eastAsia="Arial" w:hAnsi="Arial"/>
                <w:sz w:val="18"/>
                <w:szCs w:val="18"/>
                <w:color w:val="auto"/>
              </w:rPr>
              <w:t>collateralized mortgage obligations</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1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40" w:type="dxa"/>
            <w:vAlign w:val="bottom"/>
            <w:tcBorders>
              <w:bottom w:val="single" w:sz="8" w:color="C0C0C0"/>
            </w:tcBorders>
            <w:gridSpan w:val="3"/>
          </w:tcPr>
          <w:p>
            <w:pPr>
              <w:ind w:left="300"/>
              <w:spacing w:after="0"/>
              <w:rPr>
                <w:sz w:val="20"/>
                <w:szCs w:val="20"/>
                <w:color w:val="auto"/>
              </w:rPr>
            </w:pPr>
            <w:r>
              <w:rPr>
                <w:rFonts w:ascii="Arial" w:cs="Arial" w:eastAsia="Arial" w:hAnsi="Arial"/>
                <w:sz w:val="18"/>
                <w:szCs w:val="18"/>
                <w:color w:val="auto"/>
              </w:rPr>
              <w:t>Equity security</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4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4500" w:type="dxa"/>
            <w:vAlign w:val="bottom"/>
            <w:shd w:val="clear" w:color="auto" w:fill="C0C0C0"/>
          </w:tcPr>
          <w:p>
            <w:pPr>
              <w:spacing w:after="0"/>
              <w:rPr>
                <w:sz w:val="20"/>
                <w:szCs w:val="20"/>
                <w:color w:val="auto"/>
              </w:rPr>
            </w:pPr>
          </w:p>
        </w:tc>
        <w:tc>
          <w:tcPr>
            <w:tcW w:w="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181,335</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5,469</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175,866</w:t>
            </w:r>
          </w:p>
        </w:tc>
        <w:tc>
          <w:tcPr>
            <w:tcW w:w="280" w:type="dxa"/>
            <w:vAlign w:val="bottom"/>
            <w:shd w:val="clear" w:color="auto" w:fill="C0C0C0"/>
          </w:tcPr>
          <w:p>
            <w:pPr>
              <w:spacing w:after="0"/>
              <w:rPr>
                <w:sz w:val="20"/>
                <w:szCs w:val="20"/>
                <w:color w:val="auto"/>
              </w:rPr>
            </w:pPr>
          </w:p>
        </w:tc>
        <w:tc>
          <w:tcPr>
            <w:tcW w:w="1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240" w:type="dxa"/>
            <w:vAlign w:val="bottom"/>
            <w:shd w:val="clear" w:color="auto" w:fill="C0C0C0"/>
          </w:tcPr>
          <w:p>
            <w:pPr>
              <w:spacing w:after="0"/>
              <w:rPr>
                <w:sz w:val="3"/>
                <w:szCs w:val="3"/>
                <w:color w:val="auto"/>
              </w:rPr>
            </w:pPr>
          </w:p>
        </w:tc>
        <w:tc>
          <w:tcPr>
            <w:tcW w:w="400" w:type="dxa"/>
            <w:vAlign w:val="bottom"/>
            <w:shd w:val="clear" w:color="auto" w:fill="C0C0C0"/>
          </w:tcPr>
          <w:p>
            <w:pPr>
              <w:spacing w:after="0"/>
              <w:rPr>
                <w:sz w:val="3"/>
                <w:szCs w:val="3"/>
                <w:color w:val="auto"/>
              </w:rPr>
            </w:pPr>
          </w:p>
        </w:tc>
        <w:tc>
          <w:tcPr>
            <w:tcW w:w="4500" w:type="dxa"/>
            <w:vAlign w:val="bottom"/>
            <w:shd w:val="clear" w:color="auto" w:fill="C0C0C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100" w:type="dxa"/>
            <w:vAlign w:val="bottom"/>
            <w:shd w:val="clear" w:color="auto" w:fill="C0C0C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During the six months ended June 30, 2010, deterioration in the credit quality of a marketable security from one issuer subjected the Company to the risk of not being able to recover the carrying value of the security. As a result, the Company recognized a $0.1 million impairment charge related to this Level 2 marketable security, which the Company considered to be other-than-temporarily impaired. During the three months ended June 30, 2010, and the three and six months ended June 30, 2009, the Company did not record any charges for other-than-temporary impairment of its Level 2 marketable securities.</w:t>
      </w:r>
    </w:p>
    <w:p>
      <w:pPr>
        <w:spacing w:after="0" w:line="226" w:lineRule="exact"/>
        <w:rPr>
          <w:sz w:val="20"/>
          <w:szCs w:val="20"/>
          <w:color w:val="auto"/>
        </w:rPr>
      </w:pPr>
    </w:p>
    <w:p>
      <w:pPr>
        <w:jc w:val="both"/>
        <w:ind w:firstLine="297"/>
        <w:spacing w:after="0" w:line="290" w:lineRule="auto"/>
        <w:rPr>
          <w:sz w:val="20"/>
          <w:szCs w:val="20"/>
          <w:color w:val="auto"/>
        </w:rPr>
      </w:pPr>
      <w:r>
        <w:rPr>
          <w:rFonts w:ascii="Arial" w:cs="Arial" w:eastAsia="Arial" w:hAnsi="Arial"/>
          <w:sz w:val="16"/>
          <w:szCs w:val="16"/>
          <w:color w:val="auto"/>
        </w:rPr>
        <w:t>At June 30, 2009 and December 31, 2008, the Company held one Level 3 marketable security whose fair value was $0.1 million. This Level 3 security was valued using information provided by the Company’s investment advisors, including quoted bid prices which took into consideration the securities’ lack of liquidity. During the three and six months ended June 30, 2009, the Company did not record any settlements, realized gains or losses, or charges for other-than-temporary impairment related to this Level 3 marketable security. In addition, there were no purchases, sales, or maturities of Level 3 marketable securities and no unrealized gains or losses related to Level 3 marketable securities for the three and six months ended June 30, 2010 and 2009. The Company held no Level 3 marketable securities at June 30, 2010 and December 31, 2009. There were no transfers of marketable securities between Levels 1, 2, or 3 classifications during the three and six months ended June 30, 2010 and 2009.</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73" w:lineRule="exact"/>
        <w:rPr>
          <w:sz w:val="20"/>
          <w:szCs w:val="20"/>
          <w:color w:val="auto"/>
        </w:rPr>
      </w:pPr>
    </w:p>
    <w:p>
      <w:pPr>
        <w:jc w:val="both"/>
        <w:ind w:right="20" w:firstLine="270"/>
        <w:spacing w:after="0" w:line="298" w:lineRule="auto"/>
        <w:rPr>
          <w:sz w:val="20"/>
          <w:szCs w:val="20"/>
          <w:color w:val="auto"/>
        </w:rPr>
      </w:pPr>
      <w:r>
        <w:rPr>
          <w:rFonts w:ascii="Arial" w:cs="Arial" w:eastAsia="Arial" w:hAnsi="Arial"/>
          <w:sz w:val="16"/>
          <w:szCs w:val="16"/>
          <w:color w:val="auto"/>
        </w:rPr>
        <w:t>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221" w:lineRule="exact"/>
        <w:rPr>
          <w:sz w:val="20"/>
          <w:szCs w:val="20"/>
          <w:color w:val="auto"/>
        </w:rPr>
      </w:pPr>
    </w:p>
    <w:p>
      <w:pPr>
        <w:jc w:val="both"/>
        <w:ind w:right="20" w:firstLine="338"/>
        <w:spacing w:after="0" w:line="306" w:lineRule="auto"/>
        <w:rPr>
          <w:sz w:val="20"/>
          <w:szCs w:val="20"/>
          <w:color w:val="auto"/>
        </w:rPr>
      </w:pPr>
      <w:r>
        <w:rPr>
          <w:rFonts w:ascii="Arial" w:cs="Arial" w:eastAsia="Arial" w:hAnsi="Arial"/>
          <w:sz w:val="16"/>
          <w:szCs w:val="16"/>
          <w:color w:val="auto"/>
        </w:rPr>
        <w:t>The current economic environment, the deterioration in the credit quality of issuers of securities that the Company holds, and the continuing volatility of securities markets increase the risk of potential declines in the current market value of marketable securities in the Company’s investment portfolio. Such declines could result in charges against income in future periods for other-than-temporary impairments and the amounts could be material.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80" w:type="dxa"/>
            <w:vAlign w:val="bottom"/>
          </w:tcPr>
          <w:p>
            <w:pPr>
              <w:spacing w:after="0"/>
              <w:rPr>
                <w:sz w:val="20"/>
                <w:szCs w:val="20"/>
                <w:color w:val="auto"/>
              </w:rPr>
            </w:pPr>
            <w:r>
              <w:rPr>
                <w:rFonts w:ascii="Arial" w:cs="Arial" w:eastAsia="Arial" w:hAnsi="Arial"/>
                <w:sz w:val="18"/>
                <w:szCs w:val="18"/>
                <w:b w:val="1"/>
                <w:bCs w:val="1"/>
                <w:color w:val="auto"/>
              </w:rPr>
              <w:t>6. Accounts Payable and Accrued Expenses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86"/>
        </w:trPr>
        <w:tc>
          <w:tcPr>
            <w:tcW w:w="9480" w:type="dxa"/>
            <w:vAlign w:val="bottom"/>
          </w:tcPr>
          <w:p>
            <w:pPr>
              <w:ind w:left="280"/>
              <w:spacing w:after="0"/>
              <w:rPr>
                <w:sz w:val="20"/>
                <w:szCs w:val="20"/>
                <w:color w:val="auto"/>
              </w:rPr>
            </w:pPr>
            <w:r>
              <w:rPr>
                <w:rFonts w:ascii="Arial" w:cs="Arial" w:eastAsia="Arial" w:hAnsi="Arial"/>
                <w:sz w:val="18"/>
                <w:szCs w:val="18"/>
                <w:color w:val="auto"/>
              </w:rPr>
              <w:t>Accounts payable and accrued expenses as of June 30, 2010 and December 31, 2009 consist of the following:</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73"/>
        </w:trPr>
        <w:tc>
          <w:tcPr>
            <w:tcW w:w="94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85"/>
              </w:rPr>
              <w:t>December 31,</w:t>
            </w:r>
          </w:p>
        </w:tc>
      </w:tr>
      <w:tr>
        <w:trPr>
          <w:trHeight w:val="252"/>
        </w:trPr>
        <w:tc>
          <w:tcPr>
            <w:tcW w:w="9480" w:type="dxa"/>
            <w:vAlign w:val="bottom"/>
            <w:tcBorders>
              <w:bottom w:val="single" w:sz="8" w:color="C0C0C0"/>
            </w:tcBorders>
          </w:tcPr>
          <w:p>
            <w:pPr>
              <w:spacing w:after="0"/>
              <w:rPr>
                <w:sz w:val="21"/>
                <w:szCs w:val="21"/>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r>
      <w:tr>
        <w:trPr>
          <w:trHeight w:val="243"/>
        </w:trPr>
        <w:tc>
          <w:tcPr>
            <w:tcW w:w="9480" w:type="dxa"/>
            <w:vAlign w:val="bottom"/>
            <w:shd w:val="clear" w:color="auto" w:fill="C0C0C0"/>
          </w:tcPr>
          <w:p>
            <w:pPr>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$ 15,525</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18,638</w:t>
            </w:r>
          </w:p>
        </w:tc>
      </w:tr>
      <w:tr>
        <w:trPr>
          <w:trHeight w:val="235"/>
        </w:trPr>
        <w:tc>
          <w:tcPr>
            <w:tcW w:w="948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640" w:type="dxa"/>
            <w:vAlign w:val="bottom"/>
          </w:tcPr>
          <w:p>
            <w:pPr>
              <w:jc w:val="right"/>
              <w:spacing w:after="0"/>
              <w:rPr>
                <w:sz w:val="20"/>
                <w:szCs w:val="20"/>
                <w:color w:val="auto"/>
              </w:rPr>
            </w:pPr>
            <w:r>
              <w:rPr>
                <w:rFonts w:ascii="Arial" w:cs="Arial" w:eastAsia="Arial" w:hAnsi="Arial"/>
                <w:sz w:val="18"/>
                <w:szCs w:val="18"/>
                <w:color w:val="auto"/>
              </w:rPr>
              <w:t>19,469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9,444</w:t>
            </w:r>
          </w:p>
        </w:tc>
      </w:tr>
      <w:tr>
        <w:trPr>
          <w:trHeight w:val="251"/>
        </w:trPr>
        <w:tc>
          <w:tcPr>
            <w:tcW w:w="9480" w:type="dxa"/>
            <w:vAlign w:val="bottom"/>
            <w:shd w:val="clear" w:color="auto" w:fill="C0C0C0"/>
          </w:tcPr>
          <w:p>
            <w:pPr>
              <w:spacing w:after="0"/>
              <w:rPr>
                <w:sz w:val="20"/>
                <w:szCs w:val="20"/>
                <w:color w:val="auto"/>
              </w:rPr>
            </w:pPr>
            <w:r>
              <w:rPr>
                <w:rFonts w:ascii="Arial" w:cs="Arial" w:eastAsia="Arial" w:hAnsi="Arial"/>
                <w:sz w:val="18"/>
                <w:szCs w:val="18"/>
                <w:color w:val="auto"/>
              </w:rPr>
              <w:t>Accrued clinical trial expense</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16,141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11,673</w:t>
            </w:r>
          </w:p>
        </w:tc>
      </w:tr>
      <w:tr>
        <w:trPr>
          <w:trHeight w:val="235"/>
        </w:trPr>
        <w:tc>
          <w:tcPr>
            <w:tcW w:w="9480" w:type="dxa"/>
            <w:vAlign w:val="bottom"/>
          </w:tcPr>
          <w:p>
            <w:pPr>
              <w:spacing w:after="0"/>
              <w:rPr>
                <w:sz w:val="20"/>
                <w:szCs w:val="20"/>
                <w:color w:val="auto"/>
              </w:rPr>
            </w:pPr>
            <w:r>
              <w:rPr>
                <w:rFonts w:ascii="Arial" w:cs="Arial" w:eastAsia="Arial" w:hAnsi="Arial"/>
                <w:sz w:val="18"/>
                <w:szCs w:val="18"/>
                <w:color w:val="auto"/>
              </w:rPr>
              <w:t>Accrued property, plant, and equipment expenditures</w:t>
            </w:r>
          </w:p>
        </w:tc>
        <w:tc>
          <w:tcPr>
            <w:tcW w:w="640" w:type="dxa"/>
            <w:vAlign w:val="bottom"/>
          </w:tcPr>
          <w:p>
            <w:pPr>
              <w:jc w:val="right"/>
              <w:spacing w:after="0"/>
              <w:rPr>
                <w:sz w:val="20"/>
                <w:szCs w:val="20"/>
                <w:color w:val="auto"/>
              </w:rPr>
            </w:pPr>
            <w:r>
              <w:rPr>
                <w:rFonts w:ascii="Arial" w:cs="Arial" w:eastAsia="Arial" w:hAnsi="Arial"/>
                <w:sz w:val="18"/>
                <w:szCs w:val="18"/>
                <w:color w:val="auto"/>
              </w:rPr>
              <w:t>2,041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1,883</w:t>
            </w:r>
          </w:p>
        </w:tc>
      </w:tr>
      <w:tr>
        <w:trPr>
          <w:trHeight w:val="251"/>
        </w:trPr>
        <w:tc>
          <w:tcPr>
            <w:tcW w:w="9480" w:type="dxa"/>
            <w:vAlign w:val="bottom"/>
            <w:shd w:val="clear" w:color="auto" w:fill="C0C0C0"/>
          </w:tcPr>
          <w:p>
            <w:pPr>
              <w:spacing w:after="0"/>
              <w:rPr>
                <w:sz w:val="20"/>
                <w:szCs w:val="20"/>
                <w:color w:val="auto"/>
              </w:rPr>
            </w:pPr>
            <w:r>
              <w:rPr>
                <w:rFonts w:ascii="Arial" w:cs="Arial" w:eastAsia="Arial" w:hAnsi="Arial"/>
                <w:sz w:val="18"/>
                <w:szCs w:val="18"/>
                <w:color w:val="auto"/>
              </w:rPr>
              <w:t>Accrued expenses, other</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5,080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6,207</w:t>
            </w:r>
          </w:p>
        </w:tc>
      </w:tr>
      <w:tr>
        <w:trPr>
          <w:trHeight w:val="237"/>
        </w:trPr>
        <w:tc>
          <w:tcPr>
            <w:tcW w:w="94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Payable to Bayer HealthCare</w:t>
            </w: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r>
      <w:tr>
        <w:trPr>
          <w:trHeight w:val="250"/>
        </w:trPr>
        <w:tc>
          <w:tcPr>
            <w:tcW w:w="948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8"/>
              </w:rPr>
              <w:t>$ 58,256</w:t>
            </w:r>
          </w:p>
        </w:tc>
        <w:tc>
          <w:tcPr>
            <w:tcW w:w="28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49,031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Loss</w:t>
      </w:r>
    </w:p>
    <w:p>
      <w:pPr>
        <w:spacing w:after="0" w:line="285"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8"/>
          <w:szCs w:val="18"/>
          <w:color w:val="auto"/>
        </w:rPr>
        <w:t>Comprehensive loss of the Company includes net loss adjusted for the change in net unrealized gain (loss) on marketable securities, net of any tax effect. For the three and six months ended June 30, 2010 and 2009, the components of comprehensive loss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8"/>
                <w:szCs w:val="18"/>
                <w:b w:val="1"/>
                <w:bCs w:val="1"/>
                <w:color w:val="auto"/>
                <w:w w:val="87"/>
              </w:rPr>
              <w:t>Three months ended June 30,</w:t>
            </w:r>
          </w:p>
        </w:tc>
      </w:tr>
      <w:tr>
        <w:trPr>
          <w:trHeight w:val="237"/>
        </w:trPr>
        <w:tc>
          <w:tcPr>
            <w:tcW w:w="89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(25,474)</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(14,938)</w:t>
            </w:r>
          </w:p>
        </w:tc>
      </w:tr>
      <w:tr>
        <w:trPr>
          <w:trHeight w:val="237"/>
        </w:trPr>
        <w:tc>
          <w:tcPr>
            <w:tcW w:w="89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2,262</w:t>
            </w:r>
          </w:p>
        </w:tc>
      </w:tr>
      <w:tr>
        <w:trPr>
          <w:trHeight w:val="250"/>
        </w:trPr>
        <w:tc>
          <w:tcPr>
            <w:tcW w:w="894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comprehensive loss</w:t>
            </w: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(26,497)</w:t>
            </w:r>
          </w:p>
        </w:tc>
        <w:tc>
          <w:tcPr>
            <w:tcW w:w="280" w:type="dxa"/>
            <w:vAlign w:val="bottom"/>
            <w:tcBorders>
              <w:bottom w:val="single" w:sz="8" w:color="auto"/>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(12,676)</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w w:val="88"/>
              </w:rPr>
              <w:t>Six months ended June 30,</w:t>
            </w:r>
          </w:p>
        </w:tc>
        <w:tc>
          <w:tcPr>
            <w:tcW w:w="20" w:type="dxa"/>
            <w:vAlign w:val="bottom"/>
          </w:tcPr>
          <w:p>
            <w:pPr>
              <w:spacing w:after="0"/>
              <w:rPr>
                <w:sz w:val="20"/>
                <w:szCs w:val="20"/>
                <w:color w:val="auto"/>
              </w:rPr>
            </w:pPr>
          </w:p>
        </w:tc>
      </w:tr>
      <w:tr>
        <w:trPr>
          <w:trHeight w:val="237"/>
        </w:trPr>
        <w:tc>
          <w:tcPr>
            <w:tcW w:w="4960" w:type="dxa"/>
            <w:vAlign w:val="bottom"/>
            <w:tcBorders>
              <w:bottom w:val="single" w:sz="8" w:color="C0C0C0"/>
            </w:tcBorders>
          </w:tcPr>
          <w:p>
            <w:pPr>
              <w:spacing w:after="0"/>
              <w:rPr>
                <w:sz w:val="20"/>
                <w:szCs w:val="20"/>
                <w:color w:val="auto"/>
              </w:rPr>
            </w:pPr>
          </w:p>
        </w:tc>
        <w:tc>
          <w:tcPr>
            <w:tcW w:w="39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r>
      <w:tr>
        <w:trPr>
          <w:trHeight w:val="243"/>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41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(55,996)</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(30,326)</w:t>
            </w:r>
          </w:p>
        </w:tc>
        <w:tc>
          <w:tcPr>
            <w:tcW w:w="20" w:type="dxa"/>
            <w:vAlign w:val="bottom"/>
          </w:tcPr>
          <w:p>
            <w:pPr>
              <w:spacing w:after="0"/>
              <w:rPr>
                <w:sz w:val="21"/>
                <w:szCs w:val="21"/>
                <w:color w:val="auto"/>
              </w:rPr>
            </w:pPr>
          </w:p>
        </w:tc>
      </w:tr>
      <w:tr>
        <w:trPr>
          <w:trHeight w:val="237"/>
        </w:trPr>
        <w:tc>
          <w:tcPr>
            <w:tcW w:w="49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39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1,128</w:t>
            </w:r>
          </w:p>
        </w:tc>
        <w:tc>
          <w:tcPr>
            <w:tcW w:w="20" w:type="dxa"/>
            <w:vAlign w:val="bottom"/>
          </w:tcPr>
          <w:p>
            <w:pPr>
              <w:spacing w:after="0"/>
              <w:rPr>
                <w:sz w:val="20"/>
                <w:szCs w:val="20"/>
                <w:color w:val="auto"/>
              </w:rPr>
            </w:pPr>
          </w:p>
        </w:tc>
      </w:tr>
      <w:tr>
        <w:trPr>
          <w:trHeight w:val="262"/>
        </w:trPr>
        <w:tc>
          <w:tcPr>
            <w:tcW w:w="4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comprehensive loss</w:t>
            </w:r>
          </w:p>
        </w:tc>
        <w:tc>
          <w:tcPr>
            <w:tcW w:w="41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(57,346)</w:t>
            </w:r>
          </w:p>
        </w:tc>
        <w:tc>
          <w:tcPr>
            <w:tcW w:w="280" w:type="dxa"/>
            <w:vAlign w:val="bottom"/>
            <w:shd w:val="clear" w:color="auto" w:fill="C0C0C0"/>
          </w:tcPr>
          <w:p>
            <w:pPr>
              <w:spacing w:after="0"/>
              <w:rPr>
                <w:sz w:val="22"/>
                <w:szCs w:val="22"/>
                <w:color w:val="auto"/>
              </w:rPr>
            </w:pP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(29,198)</w:t>
            </w:r>
          </w:p>
        </w:tc>
        <w:tc>
          <w:tcPr>
            <w:tcW w:w="20" w:type="dxa"/>
            <w:vAlign w:val="bottom"/>
          </w:tcPr>
          <w:p>
            <w:pPr>
              <w:spacing w:after="0"/>
              <w:rPr>
                <w:sz w:val="22"/>
                <w:szCs w:val="22"/>
                <w:color w:val="auto"/>
              </w:rPr>
            </w:pPr>
          </w:p>
        </w:tc>
      </w:tr>
      <w:tr>
        <w:trPr>
          <w:trHeight w:val="445"/>
        </w:trPr>
        <w:tc>
          <w:tcPr>
            <w:tcW w:w="4960" w:type="dxa"/>
            <w:vAlign w:val="bottom"/>
            <w:tcBorders>
              <w:top w:val="single" w:sz="8" w:color="C0C0C0"/>
            </w:tcBorders>
          </w:tcPr>
          <w:p>
            <w:pPr>
              <w:spacing w:after="0"/>
              <w:rPr>
                <w:sz w:val="24"/>
                <w:szCs w:val="24"/>
                <w:color w:val="auto"/>
              </w:rPr>
            </w:pPr>
          </w:p>
        </w:tc>
        <w:tc>
          <w:tcPr>
            <w:tcW w:w="3980" w:type="dxa"/>
            <w:vAlign w:val="bottom"/>
            <w:tcBorders>
              <w:top w:val="single" w:sz="8" w:color="C0C0C0"/>
            </w:tcBorders>
          </w:tcPr>
          <w:p>
            <w:pPr>
              <w:jc w:val="right"/>
              <w:ind w:right="3052"/>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96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Legal Matters</w:t>
      </w:r>
    </w:p>
    <w:p>
      <w:pPr>
        <w:spacing w:after="0" w:line="285"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From time to time, the Company is a party to legal proceedings in the course of its business. The Company does not expect any such current legal proceedings to have a material adverse effect on the Company’s business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Future Impact of Recently Issued Accounting Standards</w:t>
      </w:r>
    </w:p>
    <w:p>
      <w:pPr>
        <w:spacing w:after="0" w:line="285"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In March 2010, the FASB amended its authoritative guidance on the milestone method of revenue recognition. The milestone method of revenue recognition has now been codified as an acceptable revenue recognition model when a milestone is deemed to be substantive. This guidance may be applied retrospectively to all arrangements or prospectively for milestones achieved after the adoption of the guidance. The Company will be required to adopt this amended guidance for the fiscal year beginning January 1, 2011, although earlier adoption is permitted. Management does not anticipate that the adoption of this guidance will have a material impact on the Company’s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 Extension of Technology Licensing Agreement with Astellas</w:t>
      </w:r>
    </w:p>
    <w:p>
      <w:pPr>
        <w:spacing w:after="0" w:line="285"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7"/>
          <w:szCs w:val="17"/>
          <w:color w:val="auto"/>
        </w:rPr>
        <w:t xml:space="preserve">In March 2007, the Company entered into a six-year non-exclusive license agreement with Astellas Pharma Inc. that allows Astellas to utilize the Company’s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 its internal research programs to discover human monoclonal antibodies. Under the terms of the agreement, Astellas made a $20.0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million annual, non-refundable payment to the Company in each of 2010, 2009, 2008, and 2007. In July 2010, the license agreement with Astellas was amended and extended through June 2023. Under the terms of the amended agreement, Astellas will make a $165.0 million up-front payment to the Company. In addition, Astellas will make a $130.0 million payment to the Company in June 2018 unless the license agreement has been terminated prior to that date. Astellas has the right to terminate this license agreement at any time by providing 90 days’ advance written notice. Under certain limited circumstances, such as a material breach of the agreement by the Company, Astellas may terminate the agreement and receive a refund of a portion of its payment to the Company under the July 2010 amendment to the agreement. The Company is entitled to receive a mid-single-digit royalty on any future sales of antibody products discovered by Astellas using the Company’s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5"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anticipated sales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shareholders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5" w:lineRule="exact"/>
        <w:rPr>
          <w:sz w:val="20"/>
          <w:szCs w:val="20"/>
          <w:color w:val="auto"/>
        </w:rPr>
      </w:pPr>
    </w:p>
    <w:p>
      <w:pPr>
        <w:jc w:val="both"/>
        <w:ind w:firstLine="297"/>
        <w:spacing w:after="0" w:line="232"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267"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We have eight product candidates in clinical development, including three product candidates that are in late-stage (Phase 3) clinical development. Our late stage programs are ARCALYST</w:t>
      </w:r>
      <w:r>
        <w:rPr>
          <w:rFonts w:ascii="Arial" w:cs="Arial" w:eastAsia="Arial" w:hAnsi="Arial"/>
          <w:sz w:val="23"/>
          <w:szCs w:val="23"/>
          <w:color w:val="auto"/>
          <w:vertAlign w:val="superscript"/>
        </w:rPr>
        <w:t>®</w:t>
      </w:r>
      <w:r>
        <w:rPr>
          <w:rFonts w:ascii="Arial" w:cs="Arial" w:eastAsia="Arial" w:hAnsi="Arial"/>
          <w:sz w:val="17"/>
          <w:szCs w:val="17"/>
          <w:color w:val="auto"/>
        </w:rPr>
        <w:t>, which is being developed for the prevention of gout flares in patients initiating uric acid-lowering treatment; VEGF Trap-Eye, which is being developed using intraocular delivery for the treatment of eye diseases in collaboration with Bayer HealthCare LLC; and aflibercept (VEGF Trap), which is being developed in oncology in collaboration with the sanofi-aventis Group. Our earlier stage clinical programs are REGN727, an antibody to PCSK9, which is being developed for low density lipoprotein (LDL) cholesterol reduction; REGN88, an antibody to the interleukin-6 receptor (IL-6R), which is being developed in rheumatoid arthritis and ankylosing spondilitis; REGN421, an antibody to Delta-like ligand-4 (Dll4), which is being developed in oncology; REGN668, an antibody to the interleukin-4 receptor (IL-4R), which is being developed in atopic dermatitis; and REGN475, an antibody to Nerve Growth Factor (NGF), which is being developed for the treatment of pain. All five of our earlier stage clinical programs are fully human antibodies that are being developed in collaboration with sanofi-aventis.</w:t>
      </w:r>
    </w:p>
    <w:p>
      <w:pPr>
        <w:spacing w:after="0" w:line="24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combine that foundation with our clinical development and manufacturing capabilities. Our long-term objective is to build a successful, integrated biopharmaceutical company that provides patients and medical professionals with new and better options for preventing and treating human diseases. However, developing and commercializing new medicines entails significant risk and expense.</w:t>
      </w:r>
    </w:p>
    <w:p>
      <w:pPr>
        <w:spacing w:after="0" w:line="251" w:lineRule="exact"/>
        <w:rPr>
          <w:sz w:val="20"/>
          <w:szCs w:val="20"/>
          <w:color w:val="auto"/>
        </w:rPr>
      </w:pPr>
    </w:p>
    <w:p>
      <w:pPr>
        <w:jc w:val="both"/>
        <w:ind w:firstLine="284"/>
        <w:spacing w:after="0" w:line="249"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to understand the role of these proteins in normal physiology as well as in models of disease. Our human monoclonal antibody technology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and cell line expression technologies (</w:t>
      </w:r>
      <w:r>
        <w:rPr>
          <w:rFonts w:ascii="Arial" w:cs="Arial" w:eastAsia="Arial" w:hAnsi="Arial"/>
          <w:sz w:val="16"/>
          <w:szCs w:val="16"/>
          <w:i w:val="1"/>
          <w:iCs w:val="1"/>
          <w:color w:val="auto"/>
        </w:rPr>
        <w:t>VelociMab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may then be utilized to design and produce new product candidates directed against the disease target. Our five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Under the terms of our antibody collaboration with sanofi-aventis, which was expanded during 2009, we plan to advance an average of four to five new antibody product candidates into clinical development each year, for an anticipated total of 30-40 candidates over the next eight years. We continue to invest in the development of enabling technologies to assist in our efforts to identify, develop, manufacture, and commercialize new product candidates.</w:t>
      </w:r>
    </w:p>
    <w:p>
      <w:pPr>
        <w:spacing w:after="0" w:line="2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 xml:space="preserve">We and Astellas Pharma Inc. announced in July 2010 that Astellas has extended through 2023 the non-exclusive license agreement that allows Astellas to utilize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in its internal research programs to discover fully human monoclonal antibody product candidates. Astellas will pay $165.0 million up-front and another $130.0 million in June 2018 unless it terminates the agreement prior to that date. Upon commercialization of any antibody products discovered utilizing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Astellas will pay us a mid-single-digit royalty on product sales.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Commercial Product: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Cryopyrin-Associated Periodic Syndromes (CAPS)</w:t>
      </w:r>
    </w:p>
    <w:p>
      <w:pPr>
        <w:spacing w:after="0" w:line="210" w:lineRule="exact"/>
        <w:rPr>
          <w:sz w:val="20"/>
          <w:szCs w:val="20"/>
          <w:color w:val="auto"/>
        </w:rPr>
      </w:pPr>
    </w:p>
    <w:p>
      <w:pPr>
        <w:jc w:val="both"/>
        <w:ind w:firstLine="270"/>
        <w:spacing w:after="0" w:line="206" w:lineRule="auto"/>
        <w:rPr>
          <w:sz w:val="20"/>
          <w:szCs w:val="20"/>
          <w:color w:val="auto"/>
        </w:rPr>
      </w:pPr>
      <w:r>
        <w:rPr>
          <w:rFonts w:ascii="Arial" w:cs="Arial" w:eastAsia="Arial" w:hAnsi="Arial"/>
          <w:sz w:val="18"/>
          <w:szCs w:val="18"/>
          <w:color w:val="auto"/>
        </w:rPr>
        <w:t>Net product sales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Injection for Subcutaneous Use in the second quarter of 2010 were $5.2 million, compared to $4.5 million during the same period of 2009. We recognized $15.0 million of net product sales during the first six months of 2010, which included $10.2 million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made during the first half of 2010 and $4.8 million of previously deferred net product sales, as described below under “Results of Operations.” In the first six months of 2009, we recognized $8.4 million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available for prescription in the United States for the treatment of Cryopyrin-Associated Periodic Syndromes (CAPS), including Familial Cold Auto-inflammatory Syndrome (FCAS) and Muckle-Wells Syndrome (MWS) in adults and children 12 and older.</w:t>
      </w:r>
    </w:p>
    <w:p>
      <w:pPr>
        <w:spacing w:after="0" w:line="264" w:lineRule="exact"/>
        <w:rPr>
          <w:sz w:val="20"/>
          <w:szCs w:val="20"/>
          <w:color w:val="auto"/>
        </w:rPr>
      </w:pPr>
    </w:p>
    <w:p>
      <w:pPr>
        <w:jc w:val="both"/>
        <w:ind w:firstLine="351"/>
        <w:spacing w:after="0" w:line="233"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 protein-based product designed to bind the interleukin-1 (called IL-1) cytokine and prevent its interaction with cell surface receptors. CAPS is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Inflammatory Diseases</w:t>
      </w:r>
    </w:p>
    <w:p>
      <w:pPr>
        <w:spacing w:after="0" w:line="210"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7"/>
          <w:szCs w:val="17"/>
          <w:color w:val="auto"/>
        </w:rPr>
        <w:t>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being developed for the prevention of gout flares in patients initiating uric acid-lowering therapy. Gout, a disease in which, as in CAPS, IL-1 may play an important role in pain and inflammation, is a very painful and common form of arthritis that results from high levels of uric acid, a bodily waste product normally excreted by the kidneys. The elevated uric acid can lead to formation of urate crystals in the joints of the toes, ankles, knees, wrists, fingers, and elbows. Uric acid-lowering therapy, most commonly with allopurinol, is prescribed to eliminate the urate crystals and prevent reformation. Paradoxically, the initiation of uric acid-lowering therapy often triggers an increase in the frequency of gout attacks in the first several months of treatment, which may lead to discontinuation of therapy. The break up of the urate crystals can result in stimulation of inflammatory mediators, including IL-1, resulting in acute flares of joint pain and inflammation. These painful flares generally persist for at least five days.</w:t>
      </w:r>
    </w:p>
    <w:p>
      <w:pPr>
        <w:spacing w:after="0" w:line="250"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6"/>
          <w:szCs w:val="16"/>
          <w:color w:val="auto"/>
        </w:rPr>
        <w:t>During the first quarter of 2009, we initiated a Phase 3 clinical development program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gout. The program included four clinical trials called PRE-SURGE 1 (</w:t>
      </w:r>
      <w:r>
        <w:rPr>
          <w:rFonts w:ascii="Arial" w:cs="Arial" w:eastAsia="Arial" w:hAnsi="Arial"/>
          <w:sz w:val="16"/>
          <w:szCs w:val="16"/>
          <w:u w:val="single" w:color="auto"/>
          <w:color w:val="auto"/>
        </w:rPr>
        <w:t>PRE</w:t>
      </w:r>
      <w:r>
        <w:rPr>
          <w:rFonts w:ascii="Arial" w:cs="Arial" w:eastAsia="Arial" w:hAnsi="Arial"/>
          <w:sz w:val="16"/>
          <w:szCs w:val="16"/>
          <w:color w:val="auto"/>
        </w:rPr>
        <w:t xml:space="preserve">vention </w:t>
      </w:r>
      <w:r>
        <w:rPr>
          <w:rFonts w:ascii="Arial" w:cs="Arial" w:eastAsia="Arial" w:hAnsi="Arial"/>
          <w:sz w:val="16"/>
          <w:szCs w:val="16"/>
          <w:u w:val="single" w:color="auto"/>
          <w:color w:val="auto"/>
        </w:rPr>
        <w:t>S</w:t>
      </w:r>
      <w:r>
        <w:rPr>
          <w:rFonts w:ascii="Arial" w:cs="Arial" w:eastAsia="Arial" w:hAnsi="Arial"/>
          <w:sz w:val="16"/>
          <w:szCs w:val="16"/>
          <w:color w:val="auto"/>
        </w:rPr>
        <w:t xml:space="preserve">tudy against </w:t>
      </w:r>
      <w:r>
        <w:rPr>
          <w:rFonts w:ascii="Arial" w:cs="Arial" w:eastAsia="Arial" w:hAnsi="Arial"/>
          <w:sz w:val="16"/>
          <w:szCs w:val="16"/>
          <w:u w:val="single" w:color="auto"/>
          <w:color w:val="auto"/>
        </w:rPr>
        <w:t>UR</w:t>
      </w:r>
      <w:r>
        <w:rPr>
          <w:rFonts w:ascii="Arial" w:cs="Arial" w:eastAsia="Arial" w:hAnsi="Arial"/>
          <w:sz w:val="16"/>
          <w:szCs w:val="16"/>
          <w:color w:val="auto"/>
        </w:rPr>
        <w:t xml:space="preserve">ate-lowering drug-induced </w:t>
      </w:r>
      <w:r>
        <w:rPr>
          <w:rFonts w:ascii="Arial" w:cs="Arial" w:eastAsia="Arial" w:hAnsi="Arial"/>
          <w:sz w:val="16"/>
          <w:szCs w:val="16"/>
          <w:u w:val="single" w:color="auto"/>
          <w:color w:val="auto"/>
        </w:rPr>
        <w:t>G</w:t>
      </w:r>
      <w:r>
        <w:rPr>
          <w:rFonts w:ascii="Arial" w:cs="Arial" w:eastAsia="Arial" w:hAnsi="Arial"/>
          <w:sz w:val="16"/>
          <w:szCs w:val="16"/>
          <w:color w:val="auto"/>
        </w:rPr>
        <w:t xml:space="preserve">out </w:t>
      </w:r>
      <w:r>
        <w:rPr>
          <w:rFonts w:ascii="Arial" w:cs="Arial" w:eastAsia="Arial" w:hAnsi="Arial"/>
          <w:sz w:val="16"/>
          <w:szCs w:val="16"/>
          <w:u w:val="single" w:color="auto"/>
          <w:color w:val="auto"/>
        </w:rPr>
        <w:t>E</w:t>
      </w:r>
      <w:r>
        <w:rPr>
          <w:rFonts w:ascii="Arial" w:cs="Arial" w:eastAsia="Arial" w:hAnsi="Arial"/>
          <w:sz w:val="16"/>
          <w:szCs w:val="16"/>
          <w:color w:val="auto"/>
        </w:rPr>
        <w:t>xacerbations), PRE-SURGE 2, SURGE (</w:t>
      </w:r>
      <w:r>
        <w:rPr>
          <w:rFonts w:ascii="Arial" w:cs="Arial" w:eastAsia="Arial" w:hAnsi="Arial"/>
          <w:sz w:val="16"/>
          <w:szCs w:val="16"/>
          <w:u w:val="single" w:color="auto"/>
          <w:color w:val="auto"/>
        </w:rPr>
        <w:t>S</w:t>
      </w:r>
      <w:r>
        <w:rPr>
          <w:rFonts w:ascii="Arial" w:cs="Arial" w:eastAsia="Arial" w:hAnsi="Arial"/>
          <w:sz w:val="16"/>
          <w:szCs w:val="16"/>
          <w:color w:val="auto"/>
        </w:rPr>
        <w:t xml:space="preserve">tudy </w:t>
      </w:r>
      <w:r>
        <w:rPr>
          <w:rFonts w:ascii="Arial" w:cs="Arial" w:eastAsia="Arial" w:hAnsi="Arial"/>
          <w:sz w:val="16"/>
          <w:szCs w:val="16"/>
          <w:u w:val="single" w:color="auto"/>
          <w:color w:val="auto"/>
        </w:rPr>
        <w:t>U</w:t>
      </w:r>
      <w:r>
        <w:rPr>
          <w:rFonts w:ascii="Arial" w:cs="Arial" w:eastAsia="Arial" w:hAnsi="Arial"/>
          <w:sz w:val="16"/>
          <w:szCs w:val="16"/>
          <w:color w:val="auto"/>
        </w:rPr>
        <w:t xml:space="preserve">tilizing </w:t>
      </w:r>
      <w:r>
        <w:rPr>
          <w:rFonts w:ascii="Arial" w:cs="Arial" w:eastAsia="Arial" w:hAnsi="Arial"/>
          <w:sz w:val="16"/>
          <w:szCs w:val="16"/>
          <w:u w:val="single" w:color="auto"/>
          <w:color w:val="auto"/>
        </w:rPr>
        <w:t>R</w:t>
      </w:r>
      <w:r>
        <w:rPr>
          <w:rFonts w:ascii="Arial" w:cs="Arial" w:eastAsia="Arial" w:hAnsi="Arial"/>
          <w:sz w:val="16"/>
          <w:szCs w:val="16"/>
          <w:color w:val="auto"/>
        </w:rPr>
        <w:t xml:space="preserve">ilonacept in </w:t>
      </w:r>
      <w:r>
        <w:rPr>
          <w:rFonts w:ascii="Arial" w:cs="Arial" w:eastAsia="Arial" w:hAnsi="Arial"/>
          <w:sz w:val="16"/>
          <w:szCs w:val="16"/>
          <w:u w:val="single" w:color="auto"/>
          <w:color w:val="auto"/>
        </w:rPr>
        <w:t>G</w:t>
      </w:r>
      <w:r>
        <w:rPr>
          <w:rFonts w:ascii="Arial" w:cs="Arial" w:eastAsia="Arial" w:hAnsi="Arial"/>
          <w:sz w:val="16"/>
          <w:szCs w:val="16"/>
          <w:color w:val="auto"/>
        </w:rPr>
        <w:t xml:space="preserve">out </w:t>
      </w:r>
      <w:r>
        <w:rPr>
          <w:rFonts w:ascii="Arial" w:cs="Arial" w:eastAsia="Arial" w:hAnsi="Arial"/>
          <w:sz w:val="16"/>
          <w:szCs w:val="16"/>
          <w:u w:val="single" w:color="auto"/>
          <w:color w:val="auto"/>
        </w:rPr>
        <w:t>E</w:t>
      </w:r>
      <w:r>
        <w:rPr>
          <w:rFonts w:ascii="Arial" w:cs="Arial" w:eastAsia="Arial" w:hAnsi="Arial"/>
          <w:sz w:val="16"/>
          <w:szCs w:val="16"/>
          <w:color w:val="auto"/>
        </w:rPr>
        <w:t>xacerbations), and RE-SURGE (</w:t>
      </w:r>
      <w:r>
        <w:rPr>
          <w:rFonts w:ascii="Arial" w:cs="Arial" w:eastAsia="Arial" w:hAnsi="Arial"/>
          <w:sz w:val="16"/>
          <w:szCs w:val="16"/>
          <w:u w:val="single" w:color="auto"/>
          <w:color w:val="auto"/>
        </w:rPr>
        <w:t>RE</w:t>
      </w:r>
      <w:r>
        <w:rPr>
          <w:rFonts w:ascii="Arial" w:cs="Arial" w:eastAsia="Arial" w:hAnsi="Arial"/>
          <w:sz w:val="16"/>
          <w:szCs w:val="16"/>
          <w:color w:val="auto"/>
        </w:rPr>
        <w:t xml:space="preserve">view of </w:t>
      </w:r>
      <w:r>
        <w:rPr>
          <w:rFonts w:ascii="Arial" w:cs="Arial" w:eastAsia="Arial" w:hAnsi="Arial"/>
          <w:sz w:val="16"/>
          <w:szCs w:val="16"/>
          <w:u w:val="single" w:color="auto"/>
          <w:color w:val="auto"/>
        </w:rPr>
        <w:t>S</w:t>
      </w:r>
      <w:r>
        <w:rPr>
          <w:rFonts w:ascii="Arial" w:cs="Arial" w:eastAsia="Arial" w:hAnsi="Arial"/>
          <w:sz w:val="16"/>
          <w:szCs w:val="16"/>
          <w:color w:val="auto"/>
        </w:rPr>
        <w:t xml:space="preserve">afety </w:t>
      </w:r>
      <w:r>
        <w:rPr>
          <w:rFonts w:ascii="Arial" w:cs="Arial" w:eastAsia="Arial" w:hAnsi="Arial"/>
          <w:sz w:val="16"/>
          <w:szCs w:val="16"/>
          <w:u w:val="single" w:color="auto"/>
          <w:color w:val="auto"/>
        </w:rPr>
        <w:t>U</w:t>
      </w:r>
      <w:r>
        <w:rPr>
          <w:rFonts w:ascii="Arial" w:cs="Arial" w:eastAsia="Arial" w:hAnsi="Arial"/>
          <w:sz w:val="16"/>
          <w:szCs w:val="16"/>
          <w:color w:val="auto"/>
        </w:rPr>
        <w:t xml:space="preserve">tilizing </w:t>
      </w:r>
      <w:r>
        <w:rPr>
          <w:rFonts w:ascii="Arial" w:cs="Arial" w:eastAsia="Arial" w:hAnsi="Arial"/>
          <w:sz w:val="16"/>
          <w:szCs w:val="16"/>
          <w:u w:val="single" w:color="auto"/>
          <w:color w:val="auto"/>
        </w:rPr>
        <w:t>R</w:t>
      </w:r>
      <w:r>
        <w:rPr>
          <w:rFonts w:ascii="Arial" w:cs="Arial" w:eastAsia="Arial" w:hAnsi="Arial"/>
          <w:sz w:val="16"/>
          <w:szCs w:val="16"/>
          <w:color w:val="auto"/>
        </w:rPr>
        <w:t xml:space="preserve">ilonacept in </w:t>
      </w:r>
      <w:r>
        <w:rPr>
          <w:rFonts w:ascii="Arial" w:cs="Arial" w:eastAsia="Arial" w:hAnsi="Arial"/>
          <w:sz w:val="16"/>
          <w:szCs w:val="16"/>
          <w:u w:val="single" w:color="auto"/>
          <w:color w:val="auto"/>
        </w:rPr>
        <w:t>G</w:t>
      </w:r>
      <w:r>
        <w:rPr>
          <w:rFonts w:ascii="Arial" w:cs="Arial" w:eastAsia="Arial" w:hAnsi="Arial"/>
          <w:sz w:val="16"/>
          <w:szCs w:val="16"/>
          <w:color w:val="auto"/>
        </w:rPr>
        <w:t xml:space="preserve">out </w:t>
      </w:r>
      <w:r>
        <w:rPr>
          <w:rFonts w:ascii="Arial" w:cs="Arial" w:eastAsia="Arial" w:hAnsi="Arial"/>
          <w:sz w:val="16"/>
          <w:szCs w:val="16"/>
          <w:u w:val="single" w:color="auto"/>
          <w:color w:val="auto"/>
        </w:rPr>
        <w:t>E</w:t>
      </w:r>
      <w:r>
        <w:rPr>
          <w:rFonts w:ascii="Arial" w:cs="Arial" w:eastAsia="Arial" w:hAnsi="Arial"/>
          <w:sz w:val="16"/>
          <w:szCs w:val="16"/>
          <w:color w:val="auto"/>
        </w:rPr>
        <w:t>xacerbations), each of which are described below.</w:t>
      </w:r>
    </w:p>
    <w:p>
      <w:pPr>
        <w:spacing w:after="0" w:line="249" w:lineRule="exact"/>
        <w:rPr>
          <w:sz w:val="20"/>
          <w:szCs w:val="20"/>
          <w:color w:val="auto"/>
        </w:rPr>
      </w:pPr>
    </w:p>
    <w:p>
      <w:pPr>
        <w:jc w:val="both"/>
        <w:ind w:firstLine="405"/>
        <w:spacing w:after="0" w:line="220" w:lineRule="auto"/>
        <w:rPr>
          <w:sz w:val="20"/>
          <w:szCs w:val="20"/>
          <w:color w:val="auto"/>
        </w:rPr>
      </w:pPr>
      <w:r>
        <w:rPr>
          <w:rFonts w:ascii="Arial" w:cs="Arial" w:eastAsia="Arial" w:hAnsi="Arial"/>
          <w:sz w:val="17"/>
          <w:szCs w:val="17"/>
          <w:color w:val="auto"/>
        </w:rPr>
        <w:t>In June 2010, we announced that our PRE-SURGE 1 study in gout patients initiating allopurinol therapy to lower their uric acid levels showed that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prevented gout attacks, as measured by the primary study endpoint of the number of gout flares per patient over the 16 week treatment period. Patients who received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at a weekly, self-administered, subcutaneous dose of 160 milligrams (mg) had an 80% decrease in mean number of gout flares compared to the placebo group over the 16 week treatment period (0.21 flares vs. 1.06 flares, p&lt;0.0001). Patients who received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at a weekly dose of 80 mg had a 73% decrease compared to the placebo group (0.29 flares vs. 1.06 flares, p&lt;0.0001).</w:t>
      </w:r>
    </w:p>
    <w:p>
      <w:pPr>
        <w:spacing w:after="0" w:line="262" w:lineRule="exact"/>
        <w:rPr>
          <w:sz w:val="20"/>
          <w:szCs w:val="20"/>
          <w:color w:val="auto"/>
        </w:rPr>
      </w:pPr>
    </w:p>
    <w:p>
      <w:pPr>
        <w:jc w:val="both"/>
        <w:ind w:firstLine="419"/>
        <w:spacing w:after="0" w:line="229" w:lineRule="auto"/>
        <w:rPr>
          <w:sz w:val="20"/>
          <w:szCs w:val="20"/>
          <w:color w:val="auto"/>
        </w:rPr>
      </w:pPr>
      <w:r>
        <w:rPr>
          <w:rFonts w:ascii="Arial" w:cs="Arial" w:eastAsia="Arial" w:hAnsi="Arial"/>
          <w:sz w:val="16"/>
          <w:szCs w:val="16"/>
          <w:color w:val="auto"/>
        </w:rPr>
        <w:t>All secondary endpoints of the study were highly positive (p&lt;0.001 vs. placebo). Among these endpoints,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reduced the proportion of patients who experienced two or more flares during the study period by up to 88% (3.7%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5.0%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31.6% with placebo, p&lt;0.0001). In addition,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reduced the proportion of patients who experienced at least one gout flare during the study period by up to 65% (16.3%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18.8%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46.8% with placebo, p&lt;0.001).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both"/>
        <w:ind w:firstLine="284"/>
        <w:spacing w:after="0" w:line="231" w:lineRule="auto"/>
        <w:rPr>
          <w:sz w:val="20"/>
          <w:szCs w:val="20"/>
          <w:color w:val="auto"/>
        </w:rPr>
      </w:pPr>
      <w:r>
        <w:rPr>
          <w:rFonts w:ascii="Arial" w:cs="Arial" w:eastAsia="Arial" w:hAnsi="Arial"/>
          <w:sz w:val="16"/>
          <w:szCs w:val="16"/>
          <w:color w:val="auto"/>
        </w:rPr>
        <w:t>A total of 241 patients were randomized in PRE-SURGE 1, a North America-based double-blind, placebo-controlled study.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generally well tolerated with no reported drug-related serious adverse events. Adverse events that occurred at a frequency of at least 5% in any study group were: injection site reaction (19.8%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8.8%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1.3% with placebo), upper respiratory tract infection (9.9%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8.8%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7.6% with placebo), lower respiratory tract infection (0%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5.0%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2.5% with placebo), musculoskeletal pain/ discomfort (6.2%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7.5%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8.9% with placebo), and headache, (3.7%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6.3%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1.3% with placebo).</w:t>
      </w:r>
    </w:p>
    <w:p>
      <w:pPr>
        <w:spacing w:after="0" w:line="175" w:lineRule="exact"/>
        <w:rPr>
          <w:sz w:val="20"/>
          <w:szCs w:val="20"/>
          <w:color w:val="auto"/>
        </w:rPr>
      </w:pPr>
    </w:p>
    <w:p>
      <w:pPr>
        <w:jc w:val="both"/>
        <w:ind w:firstLine="297"/>
        <w:spacing w:after="0" w:line="238" w:lineRule="auto"/>
        <w:rPr>
          <w:sz w:val="20"/>
          <w:szCs w:val="20"/>
          <w:color w:val="auto"/>
        </w:rPr>
      </w:pPr>
      <w:r>
        <w:rPr>
          <w:rFonts w:ascii="Arial" w:cs="Arial" w:eastAsia="Arial" w:hAnsi="Arial"/>
          <w:sz w:val="17"/>
          <w:szCs w:val="17"/>
          <w:color w:val="auto"/>
        </w:rPr>
        <w:t>In addition, in June 2010, we reported results from a placebo-controlled, Phase 3 study (called SURGE), evaluating pain in patients presenting with an acute gout flare. The results of this study showed that there was no significant benefit from combining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with indomethacin (a non-sterodial anti-inflammatory drug considered the standard of care), as measured by the primary study endpoint of the average intensity of gout pain from 24 to 72 hours after initiation of treatment. Patients treated with indomethacin alone experienced an average reduction in patient-reported pain scores (0 to 4 Likert scale where 0 represents no pain and 4 represents extreme pain) of 1.40 points from baseline compared to an average reduction of 1.55 points from baseline in patients treated with both indomethacin and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(p=0.33). Patients who received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alone experienced an average pain reduction of 0.69 points. Treatment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was generally well tolerated with no reported drug-related serious adverse events. The most commonly reported adverse event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was headache.</w:t>
      </w:r>
    </w:p>
    <w:p>
      <w:pPr>
        <w:spacing w:after="0" w:line="171" w:lineRule="exact"/>
        <w:rPr>
          <w:sz w:val="20"/>
          <w:szCs w:val="20"/>
          <w:color w:val="auto"/>
        </w:rPr>
      </w:pPr>
    </w:p>
    <w:p>
      <w:pPr>
        <w:jc w:val="both"/>
        <w:ind w:firstLine="270"/>
        <w:spacing w:after="0" w:line="239" w:lineRule="auto"/>
        <w:rPr>
          <w:sz w:val="20"/>
          <w:szCs w:val="20"/>
          <w:color w:val="auto"/>
        </w:rPr>
      </w:pPr>
      <w:r>
        <w:rPr>
          <w:rFonts w:ascii="Arial" w:cs="Arial" w:eastAsia="Arial" w:hAnsi="Arial"/>
          <w:sz w:val="17"/>
          <w:szCs w:val="17"/>
          <w:color w:val="auto"/>
        </w:rPr>
        <w:t>There are two ongoing studies in the Phase 3 program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prevention of gout flares in patients initiating uric acid-lowering therapy. The global PRE-SURGE 2 study, which has a similar trial design as PRE-SURGE 1, is evaluating the number of gout flares per patient over the first 16 weeks of initiation of allopurinol therapy. In addition, the global RE-SURGE study is evaluating the safety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versus placebo over 16 weeks in patients who are at risk for gout flares because they are taking uric acid-lowering drug treatment. PRE-SURGE 2 is fully enrolled and RE-SURGE is over 90% enrolled. Data from both studies are expected in early 2011. We own worldwide rights to ARCALYST</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Agreement with Novartis Pharma AG</w:t>
      </w:r>
    </w:p>
    <w:p>
      <w:pPr>
        <w:spacing w:after="0" w:line="285"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color w:val="auto"/>
        </w:rPr>
        <w:t>Under a June 2009 agreement with Novartis Pharma AG (that replaced a previous collaboration and license agreement), we receive tiered royalties on worldwide sales of Novartis’ canakinumab, a fully human anti-interleukin-IL1ß antibody. The multi-tiered royalty rates in the agreement start at 4% and reach 15% when annual sales exceed $1.5 billion. Canakinumab is approved to treat Cryopyrin-Associated Periodic Syndrome (CAPS) and is in development for gout, type 2 diabetes, and other inflammatory diseases.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Trap-Eye – Ophthalmologic Diseases</w:t>
      </w:r>
    </w:p>
    <w:p>
      <w:pPr>
        <w:spacing w:after="0" w:line="279"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VEGF Trap-Eye is a specially purified and formulated form of VEGF Trap, which is being developed for use in intraocular applications. We and Bayer HealthCare are testing VEGF Trap-Eye in Phase 3 programs in patients with the neovascular form of age-related macular degeneration (wet AMD) and central retinal vein occlusion (CRVO). We and Bayer HealthCare are also conducting a Phase 2 study of VEGF Trap-Eye in patients with diabetic macular edema (DME). Wet AMD and diabetic retinopathy (which includes DME) are two of the leading causes of adult blindness in the developed world. In both conditions, severe visual loss is caused by a combination of retinal edema and neovascular proliferation.</w:t>
      </w:r>
    </w:p>
    <w:p>
      <w:pPr>
        <w:spacing w:after="0" w:line="224"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6"/>
          <w:szCs w:val="16"/>
          <w:color w:val="auto"/>
        </w:rPr>
        <w:t>The Phase 3 trials in wet AMD, known as VIEW 1 and VIEW 2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 </w:t>
      </w:r>
      <w:r>
        <w:rPr>
          <w:rFonts w:ascii="Arial" w:cs="Arial" w:eastAsia="Arial" w:hAnsi="Arial"/>
          <w:sz w:val="16"/>
          <w:szCs w:val="16"/>
          <w:u w:val="single" w:color="auto"/>
          <w:color w:val="auto"/>
        </w:rPr>
        <w:t>I</w:t>
      </w:r>
      <w:r>
        <w:rPr>
          <w:rFonts w:ascii="Arial" w:cs="Arial" w:eastAsia="Arial" w:hAnsi="Arial"/>
          <w:sz w:val="16"/>
          <w:szCs w:val="16"/>
          <w:color w:val="auto"/>
        </w:rPr>
        <w:t xml:space="preserve">nvestigation of </w:t>
      </w:r>
      <w:r>
        <w:rPr>
          <w:rFonts w:ascii="Arial" w:cs="Arial" w:eastAsia="Arial" w:hAnsi="Arial"/>
          <w:sz w:val="16"/>
          <w:szCs w:val="16"/>
          <w:u w:val="single" w:color="auto"/>
          <w:color w:val="auto"/>
        </w:rPr>
        <w:t>E</w:t>
      </w:r>
      <w:r>
        <w:rPr>
          <w:rFonts w:ascii="Arial" w:cs="Arial" w:eastAsia="Arial" w:hAnsi="Arial"/>
          <w:sz w:val="16"/>
          <w:szCs w:val="16"/>
          <w:color w:val="auto"/>
        </w:rPr>
        <w:t xml:space="preserve">fficacy and Safety in </w:t>
      </w:r>
      <w:r>
        <w:rPr>
          <w:rFonts w:ascii="Arial" w:cs="Arial" w:eastAsia="Arial" w:hAnsi="Arial"/>
          <w:sz w:val="16"/>
          <w:szCs w:val="16"/>
          <w:u w:val="single" w:color="auto"/>
          <w:color w:val="auto"/>
        </w:rPr>
        <w:t>W</w:t>
      </w:r>
      <w:r>
        <w:rPr>
          <w:rFonts w:ascii="Arial" w:cs="Arial" w:eastAsia="Arial" w:hAnsi="Arial"/>
          <w:sz w:val="16"/>
          <w:szCs w:val="16"/>
          <w:color w:val="auto"/>
        </w:rPr>
        <w:t>et age-related macular degeneration), are comparing VEGF Trap-Eye and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(ranibizumab injection), owned by Genentech, Inc., an anti-angiogenic agent approved for use in wet AMD. VIEW 1 is being conducted in North America and VIEW 2 is being conducted in Europe, Asia Pacific, Japan, and Latin America. The VIEW 1 and VIEW 2 trials are both evaluating VEGF Trap-Eye doses of 0.5 milligrams (mg) and 2.0 mg at dosing intervals of four weeks and 2.0 mg at a dosing interval of eight weeks (after three monthly doses) compared with Lucentis (Genentech) dosed according to its U.S. label, which specifies doses of 0.5 mg administered every four weeks over the first year. As-needed dosing (PRN) with both agents will be evaluated in the second year of the studies, although patients will be dosed no less frequently than every 12 weeks. VIEW 1 and VIEW 2 were fully enrolled in 2009, and initial data are expected in the fourth quarter of 2010.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16" w:name="page17"/>
    <w:bookmarkEnd w:id="16"/>
    <w:p>
      <w:pPr>
        <w:jc w:val="both"/>
        <w:ind w:firstLine="405"/>
        <w:spacing w:after="0" w:line="290" w:lineRule="auto"/>
        <w:rPr>
          <w:sz w:val="20"/>
          <w:szCs w:val="20"/>
          <w:color w:val="auto"/>
        </w:rPr>
      </w:pPr>
      <w:r>
        <w:rPr>
          <w:rFonts w:ascii="Arial" w:cs="Arial" w:eastAsia="Arial" w:hAnsi="Arial"/>
          <w:sz w:val="16"/>
          <w:szCs w:val="16"/>
          <w:color w:val="auto"/>
        </w:rPr>
        <w:t>VEGF Trap-Eye is also in Phase 3 development for the treatment of central retinal vein occlusion (CRVO), another cause of visual impairment. The COPERNICUS (</w:t>
      </w:r>
      <w:r>
        <w:rPr>
          <w:rFonts w:ascii="Arial" w:cs="Arial" w:eastAsia="Arial" w:hAnsi="Arial"/>
          <w:sz w:val="16"/>
          <w:szCs w:val="16"/>
          <w:u w:val="single" w:color="auto"/>
          <w:color w:val="auto"/>
        </w:rPr>
        <w:t>CO</w:t>
      </w:r>
      <w:r>
        <w:rPr>
          <w:rFonts w:ascii="Arial" w:cs="Arial" w:eastAsia="Arial" w:hAnsi="Arial"/>
          <w:sz w:val="16"/>
          <w:szCs w:val="16"/>
          <w:color w:val="auto"/>
        </w:rPr>
        <w:t xml:space="preserve">ntrolled </w:t>
      </w:r>
      <w:r>
        <w:rPr>
          <w:rFonts w:ascii="Arial" w:cs="Arial" w:eastAsia="Arial" w:hAnsi="Arial"/>
          <w:sz w:val="16"/>
          <w:szCs w:val="16"/>
          <w:u w:val="single" w:color="auto"/>
          <w:color w:val="auto"/>
        </w:rPr>
        <w:t>P</w:t>
      </w:r>
      <w:r>
        <w:rPr>
          <w:rFonts w:ascii="Arial" w:cs="Arial" w:eastAsia="Arial" w:hAnsi="Arial"/>
          <w:sz w:val="16"/>
          <w:szCs w:val="16"/>
          <w:color w:val="auto"/>
        </w:rPr>
        <w:t xml:space="preserve">hase 3 </w:t>
      </w:r>
      <w:r>
        <w:rPr>
          <w:rFonts w:ascii="Arial" w:cs="Arial" w:eastAsia="Arial" w:hAnsi="Arial"/>
          <w:sz w:val="16"/>
          <w:szCs w:val="16"/>
          <w:u w:val="single" w:color="auto"/>
          <w:color w:val="auto"/>
        </w:rPr>
        <w:t>E</w:t>
      </w:r>
      <w:r>
        <w:rPr>
          <w:rFonts w:ascii="Arial" w:cs="Arial" w:eastAsia="Arial" w:hAnsi="Arial"/>
          <w:sz w:val="16"/>
          <w:szCs w:val="16"/>
          <w:color w:val="auto"/>
        </w:rPr>
        <w:t xml:space="preserve">valuation of </w:t>
      </w:r>
      <w:r>
        <w:rPr>
          <w:rFonts w:ascii="Arial" w:cs="Arial" w:eastAsia="Arial" w:hAnsi="Arial"/>
          <w:sz w:val="16"/>
          <w:szCs w:val="16"/>
          <w:u w:val="single" w:color="auto"/>
          <w:color w:val="auto"/>
        </w:rPr>
        <w:t>R</w:t>
      </w:r>
      <w:r>
        <w:rPr>
          <w:rFonts w:ascii="Arial" w:cs="Arial" w:eastAsia="Arial" w:hAnsi="Arial"/>
          <w:sz w:val="16"/>
          <w:szCs w:val="16"/>
          <w:color w:val="auto"/>
        </w:rPr>
        <w:t>epeated i</w:t>
      </w:r>
      <w:r>
        <w:rPr>
          <w:rFonts w:ascii="Arial" w:cs="Arial" w:eastAsia="Arial" w:hAnsi="Arial"/>
          <w:sz w:val="16"/>
          <w:szCs w:val="16"/>
          <w:u w:val="single" w:color="auto"/>
          <w:color w:val="auto"/>
        </w:rPr>
        <w:t>N</w:t>
      </w:r>
      <w:r>
        <w:rPr>
          <w:rFonts w:ascii="Arial" w:cs="Arial" w:eastAsia="Arial" w:hAnsi="Arial"/>
          <w:sz w:val="16"/>
          <w:szCs w:val="16"/>
          <w:color w:val="auto"/>
        </w:rPr>
        <w:t xml:space="preserve">travitreal administration of VEGF Trap-Eye </w:t>
      </w:r>
      <w:r>
        <w:rPr>
          <w:rFonts w:ascii="Arial" w:cs="Arial" w:eastAsia="Arial" w:hAnsi="Arial"/>
          <w:sz w:val="16"/>
          <w:szCs w:val="16"/>
          <w:u w:val="single" w:color="auto"/>
          <w:color w:val="auto"/>
        </w:rPr>
        <w:t>I</w:t>
      </w:r>
      <w:r>
        <w:rPr>
          <w:rFonts w:ascii="Arial" w:cs="Arial" w:eastAsia="Arial" w:hAnsi="Arial"/>
          <w:sz w:val="16"/>
          <w:szCs w:val="16"/>
          <w:color w:val="auto"/>
        </w:rPr>
        <w:t xml:space="preserve">n </w:t>
      </w:r>
      <w:r>
        <w:rPr>
          <w:rFonts w:ascii="Arial" w:cs="Arial" w:eastAsia="Arial" w:hAnsi="Arial"/>
          <w:sz w:val="16"/>
          <w:szCs w:val="16"/>
          <w:u w:val="single" w:color="auto"/>
          <w:color w:val="auto"/>
        </w:rPr>
        <w:t>C</w:t>
      </w:r>
      <w:r>
        <w:rPr>
          <w:rFonts w:ascii="Arial" w:cs="Arial" w:eastAsia="Arial" w:hAnsi="Arial"/>
          <w:sz w:val="16"/>
          <w:szCs w:val="16"/>
          <w:color w:val="auto"/>
        </w:rPr>
        <w:t xml:space="preserve">entral retinal vein occlusion: </w:t>
      </w:r>
      <w:r>
        <w:rPr>
          <w:rFonts w:ascii="Arial" w:cs="Arial" w:eastAsia="Arial" w:hAnsi="Arial"/>
          <w:sz w:val="16"/>
          <w:szCs w:val="16"/>
          <w:u w:val="single" w:color="auto"/>
          <w:color w:val="auto"/>
        </w:rPr>
        <w:t>U</w:t>
      </w:r>
      <w:r>
        <w:rPr>
          <w:rFonts w:ascii="Arial" w:cs="Arial" w:eastAsia="Arial" w:hAnsi="Arial"/>
          <w:sz w:val="16"/>
          <w:szCs w:val="16"/>
          <w:color w:val="auto"/>
        </w:rPr>
        <w:t xml:space="preserve">tility and </w:t>
      </w:r>
      <w:r>
        <w:rPr>
          <w:rFonts w:ascii="Arial" w:cs="Arial" w:eastAsia="Arial" w:hAnsi="Arial"/>
          <w:sz w:val="16"/>
          <w:szCs w:val="16"/>
          <w:u w:val="single" w:color="auto"/>
          <w:color w:val="auto"/>
        </w:rPr>
        <w:t>S</w:t>
      </w:r>
      <w:r>
        <w:rPr>
          <w:rFonts w:ascii="Arial" w:cs="Arial" w:eastAsia="Arial" w:hAnsi="Arial"/>
          <w:sz w:val="16"/>
          <w:szCs w:val="16"/>
          <w:color w:val="auto"/>
        </w:rPr>
        <w:t>afety) study is being led by Regeneron and the GALILEO (</w:t>
      </w:r>
      <w:r>
        <w:rPr>
          <w:rFonts w:ascii="Arial" w:cs="Arial" w:eastAsia="Arial" w:hAnsi="Arial"/>
          <w:sz w:val="16"/>
          <w:szCs w:val="16"/>
          <w:u w:val="single" w:color="auto"/>
          <w:color w:val="auto"/>
        </w:rPr>
        <w:t>G</w:t>
      </w:r>
      <w:r>
        <w:rPr>
          <w:rFonts w:ascii="Arial" w:cs="Arial" w:eastAsia="Arial" w:hAnsi="Arial"/>
          <w:sz w:val="16"/>
          <w:szCs w:val="16"/>
          <w:color w:val="auto"/>
        </w:rPr>
        <w:t xml:space="preserve">eneral </w:t>
      </w:r>
      <w:r>
        <w:rPr>
          <w:rFonts w:ascii="Arial" w:cs="Arial" w:eastAsia="Arial" w:hAnsi="Arial"/>
          <w:sz w:val="16"/>
          <w:szCs w:val="16"/>
          <w:u w:val="single" w:color="auto"/>
          <w:color w:val="auto"/>
        </w:rPr>
        <w:t>A</w:t>
      </w:r>
      <w:r>
        <w:rPr>
          <w:rFonts w:ascii="Arial" w:cs="Arial" w:eastAsia="Arial" w:hAnsi="Arial"/>
          <w:sz w:val="16"/>
          <w:szCs w:val="16"/>
          <w:color w:val="auto"/>
        </w:rPr>
        <w:t xml:space="preserve">ssessment </w:t>
      </w:r>
      <w:r>
        <w:rPr>
          <w:rFonts w:ascii="Arial" w:cs="Arial" w:eastAsia="Arial" w:hAnsi="Arial"/>
          <w:sz w:val="16"/>
          <w:szCs w:val="16"/>
          <w:u w:val="single" w:color="auto"/>
          <w:color w:val="auto"/>
        </w:rPr>
        <w:t>L</w:t>
      </w:r>
      <w:r>
        <w:rPr>
          <w:rFonts w:ascii="Arial" w:cs="Arial" w:eastAsia="Arial" w:hAnsi="Arial"/>
          <w:sz w:val="16"/>
          <w:szCs w:val="16"/>
          <w:color w:val="auto"/>
        </w:rPr>
        <w:t xml:space="preserve">imiting </w:t>
      </w:r>
      <w:r>
        <w:rPr>
          <w:rFonts w:ascii="Arial" w:cs="Arial" w:eastAsia="Arial" w:hAnsi="Arial"/>
          <w:sz w:val="16"/>
          <w:szCs w:val="16"/>
          <w:u w:val="single" w:color="auto"/>
          <w:color w:val="auto"/>
        </w:rPr>
        <w:t>I</w:t>
      </w:r>
      <w:r>
        <w:rPr>
          <w:rFonts w:ascii="Arial" w:cs="Arial" w:eastAsia="Arial" w:hAnsi="Arial"/>
          <w:sz w:val="16"/>
          <w:szCs w:val="16"/>
          <w:color w:val="auto"/>
        </w:rPr>
        <w:t>nfi</w:t>
      </w:r>
      <w:r>
        <w:rPr>
          <w:rFonts w:ascii="Arial" w:cs="Arial" w:eastAsia="Arial" w:hAnsi="Arial"/>
          <w:sz w:val="16"/>
          <w:szCs w:val="16"/>
          <w:u w:val="single" w:color="auto"/>
          <w:color w:val="auto"/>
        </w:rPr>
        <w:t>L</w:t>
      </w:r>
      <w:r>
        <w:rPr>
          <w:rFonts w:ascii="Arial" w:cs="Arial" w:eastAsia="Arial" w:hAnsi="Arial"/>
          <w:sz w:val="16"/>
          <w:szCs w:val="16"/>
          <w:color w:val="auto"/>
        </w:rPr>
        <w:t xml:space="preserve">tration of </w:t>
      </w:r>
      <w:r>
        <w:rPr>
          <w:rFonts w:ascii="Arial" w:cs="Arial" w:eastAsia="Arial" w:hAnsi="Arial"/>
          <w:sz w:val="16"/>
          <w:szCs w:val="16"/>
          <w:u w:val="single" w:color="auto"/>
          <w:color w:val="auto"/>
        </w:rPr>
        <w:t>E</w:t>
      </w:r>
      <w:r>
        <w:rPr>
          <w:rFonts w:ascii="Arial" w:cs="Arial" w:eastAsia="Arial" w:hAnsi="Arial"/>
          <w:sz w:val="16"/>
          <w:szCs w:val="16"/>
          <w:color w:val="auto"/>
        </w:rPr>
        <w:t xml:space="preserve">xudates in central retinal vein </w:t>
      </w:r>
      <w:r>
        <w:rPr>
          <w:rFonts w:ascii="Arial" w:cs="Arial" w:eastAsia="Arial" w:hAnsi="Arial"/>
          <w:sz w:val="16"/>
          <w:szCs w:val="16"/>
          <w:u w:val="single" w:color="auto"/>
          <w:color w:val="auto"/>
        </w:rPr>
        <w:t>O</w:t>
      </w:r>
      <w:r>
        <w:rPr>
          <w:rFonts w:ascii="Arial" w:cs="Arial" w:eastAsia="Arial" w:hAnsi="Arial"/>
          <w:sz w:val="16"/>
          <w:szCs w:val="16"/>
          <w:color w:val="auto"/>
        </w:rPr>
        <w:t>cclusion with VEGF Trap-Eye) study is being led by Bayer HealthCare. Patients in both studies will receive six monthly intravitreal injections of either VEGF Trap-Eye at a dose of 2 mg or sham control injections. The primary endpoint of both studies is improvement in visual acuity versus baseline after six months of treatment. At the end of the initial six months, patients will be dosed on a PRN basis for another six months. All patients will be eligible for rescue laser treatment. COPERNICUS is fully enrolled and GALILEO is over 90% enrolled. Initial data from both studies are anticipated in early 2011.</w:t>
      </w:r>
    </w:p>
    <w:p>
      <w:pPr>
        <w:spacing w:after="0" w:line="226"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color w:val="auto"/>
        </w:rPr>
        <w:t>The Phase 2 DME study, known as DA VINCI (</w:t>
      </w:r>
      <w:r>
        <w:rPr>
          <w:rFonts w:ascii="Arial" w:cs="Arial" w:eastAsia="Arial" w:hAnsi="Arial"/>
          <w:sz w:val="16"/>
          <w:szCs w:val="16"/>
          <w:u w:val="single" w:color="auto"/>
          <w:color w:val="auto"/>
        </w:rPr>
        <w:t>D</w:t>
      </w:r>
      <w:r>
        <w:rPr>
          <w:rFonts w:ascii="Arial" w:cs="Arial" w:eastAsia="Arial" w:hAnsi="Arial"/>
          <w:sz w:val="16"/>
          <w:szCs w:val="16"/>
          <w:color w:val="auto"/>
        </w:rPr>
        <w:t xml:space="preserve">ME </w:t>
      </w:r>
      <w:r>
        <w:rPr>
          <w:rFonts w:ascii="Arial" w:cs="Arial" w:eastAsia="Arial" w:hAnsi="Arial"/>
          <w:sz w:val="16"/>
          <w:szCs w:val="16"/>
          <w:u w:val="single" w:color="auto"/>
          <w:color w:val="auto"/>
        </w:rPr>
        <w:t>A</w:t>
      </w:r>
      <w:r>
        <w:rPr>
          <w:rFonts w:ascii="Arial" w:cs="Arial" w:eastAsia="Arial" w:hAnsi="Arial"/>
          <w:sz w:val="16"/>
          <w:szCs w:val="16"/>
          <w:color w:val="auto"/>
        </w:rPr>
        <w:t xml:space="preserve">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Trap-Eye: </w:t>
      </w:r>
      <w:r>
        <w:rPr>
          <w:rFonts w:ascii="Arial" w:cs="Arial" w:eastAsia="Arial" w:hAnsi="Arial"/>
          <w:sz w:val="16"/>
          <w:szCs w:val="16"/>
          <w:u w:val="single" w:color="auto"/>
          <w:color w:val="auto"/>
        </w:rPr>
        <w:t>IN</w:t>
      </w:r>
      <w:r>
        <w:rPr>
          <w:rFonts w:ascii="Arial" w:cs="Arial" w:eastAsia="Arial" w:hAnsi="Arial"/>
          <w:sz w:val="16"/>
          <w:szCs w:val="16"/>
          <w:color w:val="auto"/>
        </w:rPr>
        <w:t xml:space="preserve">vestigation of </w:t>
      </w:r>
      <w:r>
        <w:rPr>
          <w:rFonts w:ascii="Arial" w:cs="Arial" w:eastAsia="Arial" w:hAnsi="Arial"/>
          <w:sz w:val="16"/>
          <w:szCs w:val="16"/>
          <w:u w:val="single" w:color="auto"/>
          <w:color w:val="auto"/>
        </w:rPr>
        <w:t>C</w:t>
      </w:r>
      <w:r>
        <w:rPr>
          <w:rFonts w:ascii="Arial" w:cs="Arial" w:eastAsia="Arial" w:hAnsi="Arial"/>
          <w:sz w:val="16"/>
          <w:szCs w:val="16"/>
          <w:color w:val="auto"/>
        </w:rPr>
        <w:t xml:space="preserve">linical </w:t>
      </w:r>
      <w:r>
        <w:rPr>
          <w:rFonts w:ascii="Arial" w:cs="Arial" w:eastAsia="Arial" w:hAnsi="Arial"/>
          <w:sz w:val="16"/>
          <w:szCs w:val="16"/>
          <w:u w:val="single" w:color="auto"/>
          <w:color w:val="auto"/>
        </w:rPr>
        <w:t>I</w:t>
      </w:r>
      <w:r>
        <w:rPr>
          <w:rFonts w:ascii="Arial" w:cs="Arial" w:eastAsia="Arial" w:hAnsi="Arial"/>
          <w:sz w:val="16"/>
          <w:szCs w:val="16"/>
          <w:color w:val="auto"/>
        </w:rPr>
        <w:t>mpact), is a double-masked, randomized, controlled trial that is evaluating four different dosing regimens of VEGF Trap-Eye versus laser treatment. In February 2010, we and Bayer HealthCare announced that treatment with VEGF Trap-Eye demonstrated a statistically significant improvement in visual acuity compared to focal laser therapy, the primary endpoint of the study. Visual acuity was measured by the mean number of letters gained over the initial 24 weeks of the study. Patients in each of the four dosing groups receiving VEGF Trap-Eye achieved statistically significantly greater mean improvements in visual acuity (8.5 to 11.4 letters of vision gained) compared to patients receiving focal laser therapy (2.5 letters gained) at week 24 (p&lt; 0.01 for each VEGF Trap-Eye group versus focal laser). VEGF Trap-Eye was generally well-tolerated, and no ocular or non-ocular drug-related serious adverse events were reported. The adverse events reported were those typically associated with intravitreal injections or the underlying disease. Following the initial 24 weeks of treatment, patients continue to be treated for another 24 weeks on the same dosing regimens. Initial one-year results will be available later in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285"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DME, and CRVO.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can earn up to $70 million in future development and regulatory milestone payments related to the development of VEGF Trap-Eye and marketing approvals in major market countries outside the United States. We can also earn up to $135 million in sales milestone payments if total annual sales of VEGF Trap-Eye outside the United States achieve certain specified levels starting at $200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Aflibercept (VEGF Trap) – Oncology</w:t>
      </w:r>
    </w:p>
    <w:p>
      <w:pPr>
        <w:spacing w:after="0" w:line="27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VEGF-B, and the related Placental Growth Factor (called PlGF), and prevent their interaction with cell surface receptors. VEGF-A (and to a lesser degree, PlGF) is required for the growth of new blood vessels (a process known as angiogenesis) that are needed for tumors to grow.</w:t>
      </w:r>
    </w:p>
    <w:p>
      <w:pPr>
        <w:spacing w:after="0" w:line="248"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Aflibercept is being developed globally in cancer indications in collaboration with sanofi-aventis. We and sanofi-aventis are conducting three randomized, double-blind Phase 3 trials, all of which are fully enrolled, that are evaluating combinations of standard chemotherapy regimens with either aflibercept or placebo for the treatment of cancer. One trial (called VELOUR)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-line treatment for metastatic colorectal cancer in combination with FOLFIRI (folinic acid [leucovorin], 5-fluorouracil, and irinotecan). A second trial (VITAL)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-line treatment for locally advanced or metastatic non-small cell lung cancer in combination with docetaxel. A third trial (VENICE) is evaluating aflibercept as a 1</w:t>
      </w:r>
      <w:r>
        <w:rPr>
          <w:rFonts w:ascii="Arial" w:cs="Arial" w:eastAsia="Arial" w:hAnsi="Arial"/>
          <w:sz w:val="22"/>
          <w:szCs w:val="22"/>
          <w:color w:val="auto"/>
          <w:vertAlign w:val="superscript"/>
        </w:rPr>
        <w:t>st</w:t>
      </w:r>
      <w:r>
        <w:rPr>
          <w:rFonts w:ascii="Arial" w:cs="Arial" w:eastAsia="Arial" w:hAnsi="Arial"/>
          <w:sz w:val="16"/>
          <w:szCs w:val="16"/>
          <w:color w:val="auto"/>
        </w:rPr>
        <w:t>-line treatment for metastatic castration-resistant prostate cancer in combination with docetaxel/prednisone. In addition, a Phase 2 study (called AFFIRM) of aflibercept in 1</w:t>
      </w:r>
      <w:r>
        <w:rPr>
          <w:rFonts w:ascii="Arial" w:cs="Arial" w:eastAsia="Arial" w:hAnsi="Arial"/>
          <w:sz w:val="22"/>
          <w:szCs w:val="22"/>
          <w:color w:val="auto"/>
          <w:vertAlign w:val="superscript"/>
        </w:rPr>
        <w:t>st</w:t>
      </w:r>
      <w:r>
        <w:rPr>
          <w:rFonts w:ascii="Arial" w:cs="Arial" w:eastAsia="Arial" w:hAnsi="Arial"/>
          <w:sz w:val="16"/>
          <w:szCs w:val="16"/>
          <w:color w:val="auto"/>
        </w:rPr>
        <w:t>-line metastatic colorectal cancer in combination with FOLFOX (folinic acid [leucovorin], 5-fluorouracil, and oxaliplatin) is also fully enrolled.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7" w:name="page18"/>
    <w:bookmarkEnd w:id="17"/>
    <w:p>
      <w:pPr>
        <w:jc w:val="both"/>
        <w:ind w:firstLine="297"/>
        <w:spacing w:after="0" w:line="290" w:lineRule="auto"/>
        <w:rPr>
          <w:sz w:val="20"/>
          <w:szCs w:val="20"/>
          <w:color w:val="auto"/>
        </w:rPr>
      </w:pPr>
      <w:r>
        <w:rPr>
          <w:rFonts w:ascii="Arial" w:cs="Arial" w:eastAsia="Arial" w:hAnsi="Arial"/>
          <w:sz w:val="16"/>
          <w:szCs w:val="16"/>
          <w:color w:val="auto"/>
        </w:rPr>
        <w:t>Each of the Phase 3 studies is monitored by an Independent Data Monitoring Committee (IDMC), a body of independent clinical and statistical experts. The IDMCs meet periodically to evaluate data from the studies and may recommend changes in study design or study discontinuation. Both interim and final analyses will be conducted when a pre-specified number of events have occurred in each trial. Based on projected event rates, (i) an interim analysis of VELOUR at 65% of the prespecified number of events required for the final analysis of overall survival is expected to be conducted by an independent statistician and reviewed by an IDMC in the second half of 2010, (ii) final results are anticipated in the first half of 2011 from the VITAL study and in the second half of 2011 from the VELOUR study, and (iii) an interim analysis of VENICE is expected to be reviewed by an IDMC in mid-2011, with final results anticipated in 2012. Initial data from the AFFIRM study are anticipated in the second half of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pacing w:after="0" w:line="285"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We and sanofi-aventis U.S. (successor to Aventis Pharmaceuticals, Inc.) globally collaborate on the development and commercialization of aflibercept. Under the terms of our September 2003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 million in milestone payments upon receipt of specified marketing approvals, including up to $360 million related to the receipt of marketing approvals for up to eight aflibercept oncology and other indications in the United States or the European Union and up to $40 million related to the receipt of marketing approvals for up to five oncology indications in Japan.</w:t>
      </w:r>
    </w:p>
    <w:p>
      <w:pPr>
        <w:spacing w:after="0" w:line="228"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REGN727 (Anti-PCSK9 Antibody) for LDL cholesterol reduction</w:t>
      </w:r>
    </w:p>
    <w:p>
      <w:pPr>
        <w:spacing w:after="0" w:line="279"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7"/>
          <w:szCs w:val="17"/>
          <w:color w:val="auto"/>
        </w:rPr>
        <w:t xml:space="preserve">Elevated low density lipoprotein (LDL) cholesterol levels is a validated risk factor leading to cardiovascular disease. Statins are a class of drugs that lower LDL by upregulating the expression of the LDL receptor (LDLR), which removes LDL from circulation. PCSK9 (proprotein convertase substilisin/kexin type 9) is a protein that binds to LDLR and prevents LDLR from binding to and removing LDL from circulation. People who have a mutation that reduces the activity of PCSK9 have lower levels of LDL, as well as a reduced risk of adverse cardiovascular events. We used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to generate a fully human monoclonal antibody inhibitor of PCSK9, called REGN727, that is intended to robustly lower LDL cholesterol through a novel mechanism of action. REGN727 is targeted at inhibiting PCSK9, which results in prevention of the degradation of LDLRs in the liver, thereby facilitating LDL clearance from the systemic circulation leading to lower LDL levels in the blood.</w:t>
      </w:r>
    </w:p>
    <w:p>
      <w:pPr>
        <w:spacing w:after="0" w:line="256"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In May 2010, we announced that in an interim efficacy analysis of a dose-escalating, randomized, double-blind, placebo-controlled, Phase 1 trial in healthy volunteers, REGN727 achieved substantial, dose dependent decreases of LDL (bad) cholesterol. Each dosing cohort consisted of six treated and two placebo patients. In July 2010, we presented additional data from the Phase 1 program. At the highest intravenous dose tested, a single dose of REGN727 achieved a greater than 60% maximum mean reduction of LDL cholesterol from baseline that lasted for more than one month. At the highest subcutaneous dose tested, a single dose of REGN727 achieved a greater than 60% maximum mean reduction of LDL cholesterol from baseline that lasted for more than two weeks. No serious adverse events and no dose limiting toxicities have been reported. Dose escalation is ongoing in both studies.</w:t>
      </w:r>
    </w:p>
    <w:p>
      <w:pPr>
        <w:spacing w:after="0" w:line="228"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In July 2010, we also presented the results of an interim efficacy analysis of a dose escalating, randomized, double-blind, placebo-controlled Phase 1 trial of subcutaneously delivered REGN727 in hyperlipidemic patients (familial hypercholesterolemia and non-familial hypercholesterolemia) on stable doses of statins whose LDL levels were greater than 100 milligrams per deciliter (mg/dL). At the highest dose tested to-date, in eleven patients, a single dose of REGN727 achieved an approximately 40% maximum mean reduction of LDL cholesterol from baseline. No serious adverse events and no dose limiting toxicities have been reported. Dose escalation in this study is ongoing. REGN727 is being developed in collaboration with sanofi-aventis.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5. REGN88 (Anti-IL-6R Antibody) for inflammatory diseases</w:t>
      </w:r>
    </w:p>
    <w:p>
      <w:pPr>
        <w:spacing w:after="0" w:line="279"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Interleukin-6 (IL-6) is a key cytokine involved in the pathogenesis of rheumatoid arthritis, causing inflammation and joint destruction. A therapeutic antibody to the IL-6 receptor (IL-6R), tocilizumab, developed by Roche, has been approved for the treatment of rheumatoid arthritis.</w:t>
      </w:r>
    </w:p>
    <w:p>
      <w:pPr>
        <w:spacing w:after="0" w:line="23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 xml:space="preserve">REGN88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that has completed Phase 1 studies, the results of which were presented at the annual meeting of the European League Against Rheumatism (EULAR) in June 2010. REGN88 was well tolerated by patients with rheumatoid arthritis, and no dose-limiting toxicities were reported. Treatment with REGN88 resulted in dose-related reductions in biomarkers of inflammation. REGN88 is currently in a Phase 2/3 double-blind, placebo-controlled, dose-ranging study in patients with active rheumatoid arthritis and a Phase 2 double-blind, placebo-controlled, dose-ranging study in ankylosing spondylitis, a form of arthritis that primarily affects the spine. REGN88 is being developed in collaboration with sanofi-aventis.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REGN421 (Anti-Dll4 Antibody) for advanced malignancies</w:t>
      </w:r>
    </w:p>
    <w:p>
      <w:pPr>
        <w:spacing w:after="0" w:line="279"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8"/>
          <w:szCs w:val="18"/>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252" w:lineRule="exact"/>
        <w:rPr>
          <w:sz w:val="20"/>
          <w:szCs w:val="20"/>
          <w:color w:val="auto"/>
        </w:rPr>
      </w:pPr>
    </w:p>
    <w:p>
      <w:pPr>
        <w:jc w:val="both"/>
        <w:ind w:right="20" w:firstLine="459"/>
        <w:spacing w:after="0" w:line="219" w:lineRule="auto"/>
        <w:rPr>
          <w:sz w:val="20"/>
          <w:szCs w:val="20"/>
          <w:color w:val="auto"/>
        </w:rPr>
      </w:pPr>
      <w:r>
        <w:rPr>
          <w:rFonts w:ascii="Arial" w:cs="Arial" w:eastAsia="Arial" w:hAnsi="Arial"/>
          <w:sz w:val="18"/>
          <w:szCs w:val="18"/>
          <w:color w:val="auto"/>
        </w:rPr>
        <w:t xml:space="preserve">REGN421 is a fully human monoclonal antibody to Dll4 generated using our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REGN421, which is being developed in collaboration with sanofi-aventis, is in Phase 1 clinical development.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REGN668 (Anti-IL-4R Antibody) for allergic and immune conditions</w:t>
      </w:r>
    </w:p>
    <w:p>
      <w:pPr>
        <w:spacing w:after="0" w:line="279" w:lineRule="exact"/>
        <w:rPr>
          <w:sz w:val="20"/>
          <w:szCs w:val="20"/>
          <w:color w:val="auto"/>
        </w:rPr>
      </w:pPr>
    </w:p>
    <w:p>
      <w:pPr>
        <w:jc w:val="both"/>
        <w:ind w:firstLine="311"/>
        <w:spacing w:after="0" w:line="236" w:lineRule="auto"/>
        <w:rPr>
          <w:sz w:val="20"/>
          <w:szCs w:val="20"/>
          <w:color w:val="auto"/>
        </w:rPr>
      </w:pPr>
      <w:r>
        <w:rPr>
          <w:rFonts w:ascii="Arial" w:cs="Arial" w:eastAsia="Arial" w:hAnsi="Arial"/>
          <w:sz w:val="18"/>
          <w:szCs w:val="18"/>
          <w:color w:val="auto"/>
        </w:rPr>
        <w:t xml:space="preserve">Interleukin-4 receptor (IL-4R)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 REGN668 is a fully human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antibody that is designed to bind to IL-4R. REGN668, which is being developed in collaboration with sanofi-aventis, has completed a Phase 1 trial in healthy volunteers, and will be initiating a Phase 2 trial in atopic dermatitis in the second half of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REGN475 (Anti-NGF Antibody) for pain</w:t>
      </w:r>
    </w:p>
    <w:p>
      <w:pPr>
        <w:spacing w:after="0" w:line="279"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Nerve growth factor (NGF) is a member of the neurotrophin family of secreted proteins. NGF antagonists have been shown to prevent increased sensitivity to pain and abnormal pain response in animal models of neuropathic and chronic inflammatory pain. Mutations in the genes that code for the NGF receptors were identified in people suffering from a loss of deep pain perception. For these and other reasons, we believe blocking NGF could be a promising therapeutic approach to a variety of pain indications.</w:t>
      </w:r>
    </w:p>
    <w:p>
      <w:pPr>
        <w:spacing w:after="0" w:line="248" w:lineRule="exact"/>
        <w:rPr>
          <w:sz w:val="20"/>
          <w:szCs w:val="20"/>
          <w:color w:val="auto"/>
        </w:rPr>
      </w:pPr>
    </w:p>
    <w:p>
      <w:pPr>
        <w:jc w:val="both"/>
        <w:ind w:firstLine="338"/>
        <w:spacing w:after="0" w:line="241" w:lineRule="auto"/>
        <w:rPr>
          <w:sz w:val="20"/>
          <w:szCs w:val="20"/>
          <w:color w:val="auto"/>
        </w:rPr>
      </w:pPr>
      <w:r>
        <w:rPr>
          <w:rFonts w:ascii="Arial" w:cs="Arial" w:eastAsia="Arial" w:hAnsi="Arial"/>
          <w:sz w:val="17"/>
          <w:szCs w:val="17"/>
          <w:color w:val="auto"/>
        </w:rPr>
        <w:t xml:space="preserve">REGN475 is a fully human monoclonal antibody to NGF, generated using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which is designed to block pain sensitization in neurons. Preclinical experiments indicate that REGN475 specifically binds to and blocks NGF activity and does not bind to or block cell signaling for closely related neurotrophins such as NT-3, NT-4, or BDNF. REGN475 is being developed in collaboration with sanofi-aventis.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9" w:name="page20"/>
    <w:bookmarkEnd w:id="19"/>
    <w:p>
      <w:pPr>
        <w:jc w:val="both"/>
        <w:ind w:firstLine="297"/>
        <w:spacing w:after="0" w:line="291" w:lineRule="auto"/>
        <w:rPr>
          <w:sz w:val="20"/>
          <w:szCs w:val="20"/>
          <w:color w:val="auto"/>
        </w:rPr>
      </w:pPr>
      <w:r>
        <w:rPr>
          <w:rFonts w:ascii="Arial" w:cs="Arial" w:eastAsia="Arial" w:hAnsi="Arial"/>
          <w:sz w:val="16"/>
          <w:szCs w:val="16"/>
          <w:color w:val="auto"/>
        </w:rPr>
        <w:t>In May 2010, we announced an interim analysis of a randomized, double-blind, four-arm, placebo-controlled Phase 2 trial in 217 patients with osteoarthritis of the knee. In July 2010, we presented additional results from this trial through 16 weeks. The primary endpoint of this study is safety, and REGN475 was generally well tolerated. Serious treatment emergent adverse events were rare and balanced between placebo and drug arms with three events (5.5%) in the placebo group and four events (2.5%) in the combined REGN475 groups. The most frequent adverse events reported among patients receiving REGN475 included sensory abnormalities, arthralgias, hyper/hypo-reflexia, peripheral edema, and injection site reactions. The types and frequencies of adverse events reported were similar to those previously reported from other investigational studies involving an anti-NGF antibody.</w:t>
      </w:r>
    </w:p>
    <w:p>
      <w:pPr>
        <w:spacing w:after="0" w:line="2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first interim efficacy analysis, REGN475 demonstrated significant improvements at the two highest doses tested as compared to placebo in average walking pain scores over 8 weeks following a single intravenous infusion (p&lt;0.01). In July 2010, we reported that REGN475 demonstrated significant improvements at the two highest doses tested as compared to placebo in average walking pain scores over 16 weeks following a second intravenous infusion at week 8 (p&lt;0.01). Pain was measured by the Numeric Rating Scale (NRS), as well as the Western Ontario and McMaster Osteoarthritis Index (WOMAC) pain and function subscales</w:t>
      </w:r>
    </w:p>
    <w:p>
      <w:pPr>
        <w:spacing w:after="0" w:line="251"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Analysis of efficacy data from a Phase 2 trial in the acute setting of nerve root compression induced pain (acute sciatica) suggests that REGN475 therapy will not be effective in this setting.</w:t>
      </w:r>
    </w:p>
    <w:p>
      <w:pPr>
        <w:spacing w:after="0" w:line="240"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At the request of the U.S. Food and Drug Administration (FDA), another pharmaceutical company has suspended its anti-NGF antibody clinical program in osteoarthritis and certain other chronic pain indications. We have responded to FDA requests for information about patients in our REGN475 clinical trials. REGN475 is currently not on clinical hold, and our Phase 2 trials in patients with vertebral fracture pain and chronic pancreatitis pain are ongoing. Our Phase 2 trial in osteoarthritis of the knee has been completed. We will update our plans for REGN475 following feedback from the FDA.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Technologies:</w:t>
      </w:r>
    </w:p>
    <w:p>
      <w:pPr>
        <w:spacing w:after="0" w:line="285"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26"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6"/>
          <w:szCs w:val="16"/>
          <w:color w:val="auto"/>
        </w:rPr>
        <w:t>Our scientists have developed two different technologies to design protein therapeutics to block the action of specific cell surface or secreted proteins. The first technology, termed the “Trap” technology, was used to generate our first approved product,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 well as aflibercept and VEGF Trap-Eye,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6"/>
          <w:szCs w:val="16"/>
          <w:i w:val="1"/>
          <w:iCs w:val="1"/>
          <w:color w:val="auto"/>
        </w:rPr>
        <w:t>VelociSuite</w:t>
      </w:r>
      <w:r>
        <w:rPr>
          <w:rFonts w:ascii="Arial" w:cs="Arial" w:eastAsia="Arial" w:hAnsi="Arial"/>
          <w:sz w:val="22"/>
          <w:szCs w:val="22"/>
          <w:i w:val="1"/>
          <w:iCs w:val="1"/>
          <w:color w:val="auto"/>
          <w:vertAlign w:val="superscript"/>
        </w:rPr>
        <w:t>TM</w:t>
      </w:r>
      <w:r>
        <w:rPr>
          <w:rFonts w:ascii="Arial" w:cs="Arial" w:eastAsia="Arial" w:hAnsi="Arial"/>
          <w:sz w:val="16"/>
          <w:szCs w:val="16"/>
          <w:color w:val="auto"/>
        </w:rPr>
        <w:t xml:space="preserve"> is our second technology platform and it is used for discovering, developing, and producing fully human monoclonal antibodies that can address both secreted and cell-surface targets.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r>
        <w:rPr>
          <w:rFonts w:ascii="Arial" w:cs="Arial" w:eastAsia="Arial" w:hAnsi="Arial"/>
          <w:sz w:val="24"/>
          <w:szCs w:val="24"/>
          <w:b w:val="1"/>
          <w:bCs w:val="1"/>
          <w:i w:val="1"/>
          <w:iCs w:val="1"/>
          <w:color w:val="auto"/>
          <w:vertAlign w:val="superscript"/>
        </w:rPr>
        <w:t>TM</w:t>
      </w:r>
    </w:p>
    <w:p>
      <w:pPr>
        <w:spacing w:after="0" w:line="210" w:lineRule="exact"/>
        <w:rPr>
          <w:sz w:val="20"/>
          <w:szCs w:val="20"/>
          <w:color w:val="auto"/>
        </w:rPr>
      </w:pPr>
    </w:p>
    <w:p>
      <w:pPr>
        <w:jc w:val="both"/>
        <w:ind w:firstLine="365"/>
        <w:spacing w:after="0" w:line="203" w:lineRule="auto"/>
        <w:rPr>
          <w:sz w:val="20"/>
          <w:szCs w:val="20"/>
          <w:color w:val="auto"/>
        </w:rPr>
      </w:pPr>
      <w:r>
        <w:rPr>
          <w:rFonts w:ascii="Arial" w:cs="Arial" w:eastAsia="Arial" w:hAnsi="Arial"/>
          <w:sz w:val="18"/>
          <w:szCs w:val="18"/>
          <w:i w:val="1"/>
          <w:iCs w:val="1"/>
          <w:color w:val="auto"/>
        </w:rPr>
        <w:t>VelociSuite</w:t>
      </w:r>
      <w:r>
        <w:rPr>
          <w:rFonts w:ascii="Arial" w:cs="Arial" w:eastAsia="Arial" w:hAnsi="Arial"/>
          <w:sz w:val="24"/>
          <w:szCs w:val="24"/>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i w:val="1"/>
          <w:iCs w:val="1"/>
          <w:color w:val="auto"/>
        </w:rPr>
        <w:t xml:space="preserve"> VelocImmune</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VelociGene</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VelociMouse</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and VelociMab</w:t>
      </w:r>
      <w:r>
        <w:rPr>
          <w:rFonts w:ascii="Arial" w:cs="Arial" w:eastAsia="Arial" w:hAnsi="Arial"/>
          <w:sz w:val="24"/>
          <w:szCs w:val="24"/>
          <w:i w:val="1"/>
          <w:iCs w:val="1"/>
          <w:color w:val="auto"/>
          <w:vertAlign w:val="superscript"/>
        </w:rPr>
        <w:t>® ;</w:t>
      </w:r>
      <w:r>
        <w:rPr>
          <w:rFonts w:ascii="Arial" w:cs="Arial" w:eastAsia="Arial" w:hAnsi="Arial"/>
          <w:sz w:val="18"/>
          <w:szCs w:val="18"/>
          <w:i w:val="1"/>
          <w:iCs w:val="1"/>
          <w:color w:val="auto"/>
        </w:rPr>
        <w:t xml:space="preserve">. </w:t>
      </w:r>
      <w:r>
        <w:rPr>
          <w:rFonts w:ascii="Arial" w:cs="Arial" w:eastAsia="Arial" w:hAnsi="Arial"/>
          <w:sz w:val="18"/>
          <w:szCs w:val="18"/>
          <w:color w:val="auto"/>
        </w:rPr>
        <w:t>The</w:t>
      </w:r>
      <w:r>
        <w:rPr>
          <w:rFonts w:ascii="Arial" w:cs="Arial" w:eastAsia="Arial" w:hAnsi="Arial"/>
          <w:sz w:val="18"/>
          <w:szCs w:val="18"/>
          <w:i w:val="1"/>
          <w:iCs w:val="1"/>
          <w:color w:val="auto"/>
        </w:rPr>
        <w:t xml:space="preserve"> VelocImmune</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mouse platform is utilized to produce fully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human monoclonal antibodies.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24"/>
          <w:szCs w:val="24"/>
          <w:i w:val="1"/>
          <w:iCs w:val="1"/>
          <w:color w:val="auto"/>
          <w:vertAlign w:val="superscript"/>
        </w:rPr>
        <w:t>TM</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to produce our next generation of drug candidates for preclinical and clinical development.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0" w:name="page21"/>
    <w:bookmarkEnd w:id="20"/>
    <w:p>
      <w:pPr>
        <w:jc w:val="both"/>
        <w:ind w:firstLine="311"/>
        <w:spacing w:after="0" w:line="231"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allows scientists to rapidly identify the physical and biological effects of deleting or over-expressing the target gene, as well as to characterize and</w:t>
      </w:r>
      <w:r>
        <w:rPr>
          <w:rFonts w:ascii="Arial" w:cs="Arial" w:eastAsia="Arial" w:hAnsi="Arial"/>
          <w:sz w:val="17"/>
          <w:szCs w:val="17"/>
          <w:i w:val="1"/>
          <w:iCs w:val="1"/>
          <w:color w:val="auto"/>
        </w:rPr>
        <w:t xml:space="preserve"> </w:t>
      </w:r>
      <w:r>
        <w:rPr>
          <w:rFonts w:ascii="Arial" w:cs="Arial" w:eastAsia="Arial" w:hAnsi="Arial"/>
          <w:sz w:val="17"/>
          <w:szCs w:val="17"/>
          <w:color w:val="auto"/>
        </w:rPr>
        <w:t>test potential therapeutic molecules.</w:t>
      </w:r>
    </w:p>
    <w:p>
      <w:pPr>
        <w:spacing w:after="0" w:line="266" w:lineRule="exact"/>
        <w:rPr>
          <w:sz w:val="20"/>
          <w:szCs w:val="20"/>
          <w:color w:val="auto"/>
        </w:rPr>
      </w:pPr>
    </w:p>
    <w:p>
      <w:pPr>
        <w:jc w:val="both"/>
        <w:ind w:firstLine="351"/>
        <w:spacing w:after="0" w:line="210"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the VelociMice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the rapid screening of antibodies and rapid generation of expression cell lines for our Traps and our</w:t>
      </w:r>
      <w:r>
        <w:rPr>
          <w:rFonts w:ascii="Arial" w:cs="Arial" w:eastAsia="Arial" w:hAnsi="Arial"/>
          <w:sz w:val="18"/>
          <w:szCs w:val="18"/>
          <w:i w:val="1"/>
          <w:iCs w:val="1"/>
          <w:color w:val="auto"/>
        </w:rPr>
        <w:t xml:space="preserve"> VelocImmune</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human monoclonal</w:t>
      </w:r>
      <w:r>
        <w:rPr>
          <w:rFonts w:ascii="Arial" w:cs="Arial" w:eastAsia="Arial" w:hAnsi="Arial"/>
          <w:sz w:val="18"/>
          <w:szCs w:val="18"/>
          <w:i w:val="1"/>
          <w:iCs w:val="1"/>
          <w:color w:val="auto"/>
        </w:rPr>
        <w:t xml:space="preserve"> </w:t>
      </w:r>
      <w:r>
        <w:rPr>
          <w:rFonts w:ascii="Arial" w:cs="Arial" w:eastAsia="Arial" w:hAnsi="Arial"/>
          <w:sz w:val="18"/>
          <w:szCs w:val="18"/>
          <w:color w:val="auto"/>
        </w:rPr>
        <w:t>antibodies.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and License Agreements</w:t>
      </w:r>
    </w:p>
    <w:p>
      <w:pPr>
        <w:spacing w:after="0" w:line="279" w:lineRule="exact"/>
        <w:rPr>
          <w:sz w:val="20"/>
          <w:szCs w:val="20"/>
          <w:color w:val="auto"/>
        </w:rPr>
      </w:pPr>
    </w:p>
    <w:p>
      <w:pPr>
        <w:jc w:val="both"/>
        <w:ind w:firstLine="297"/>
        <w:spacing w:after="0" w:line="296" w:lineRule="auto"/>
        <w:rPr>
          <w:sz w:val="20"/>
          <w:szCs w:val="20"/>
          <w:color w:val="auto"/>
        </w:rPr>
      </w:pPr>
      <w:r>
        <w:rPr>
          <w:rFonts w:ascii="Arial" w:cs="Arial" w:eastAsia="Arial" w:hAnsi="Arial"/>
          <w:sz w:val="16"/>
          <w:szCs w:val="16"/>
          <w:b w:val="1"/>
          <w:bCs w:val="1"/>
          <w:color w:val="auto"/>
        </w:rPr>
        <w:t xml:space="preserve">Sanofi-aventis. </w:t>
      </w:r>
      <w:r>
        <w:rPr>
          <w:rFonts w:ascii="Arial" w:cs="Arial" w:eastAsia="Arial" w:hAnsi="Arial"/>
          <w:sz w:val="16"/>
          <w:szCs w:val="16"/>
          <w:color w:val="auto"/>
        </w:rPr>
        <w:t>In November 2007, we and sanofi-aventis entered into a global, strategic collaboration to discover, develop, and commercialize fully human</w:t>
      </w:r>
      <w:r>
        <w:rPr>
          <w:rFonts w:ascii="Arial" w:cs="Arial" w:eastAsia="Arial" w:hAnsi="Arial"/>
          <w:sz w:val="16"/>
          <w:szCs w:val="16"/>
          <w:b w:val="1"/>
          <w:bCs w:val="1"/>
          <w:color w:val="auto"/>
        </w:rPr>
        <w:t xml:space="preserve"> </w:t>
      </w:r>
      <w:r>
        <w:rPr>
          <w:rFonts w:ascii="Arial" w:cs="Arial" w:eastAsia="Arial" w:hAnsi="Arial"/>
          <w:sz w:val="16"/>
          <w:szCs w:val="16"/>
          <w:color w:val="auto"/>
        </w:rPr>
        <w:t>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$175 million of research from the collaboration’s inception through December 31, 2009.</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November 2009, we and sanofi-aventis amended these agreements to expand and extend our antibody collaboration. Sanofi-aventis will now fund up to $160 million per year of our antibody discovery activities over the period from 2010-2017, subject to a one-time option for sanofi-aventis to adjust the maximum reimbursement amount down to $120 million per year commencing in 2014 if over the prior two years certain specified criteria are not satisfied. In addition, sanofi-aventis will fund up to $30 million of agreed-upon costs we incur to expand our manufacturing capacity at our Rensselaer, New York facilities. In 2010, as we scale up our capacity to conduct antibody discovery activities, we will incur and seek reimbursement of only $130-$140 million of antibody discovery costs, with the balance between that amount and $160 million added to the funding otherwise available to us in 2011-2012. As under the original 2007 agreement, sanofi-aventis also has an option to extend the discovery program for up to an additional three years for further antibody development and preclinical activities. We will lead the design and conduct of research activities, including target identification and validation, antibody development, research and preclinical activities through filing of an Investigational New Drug Application, toxicology studies, and manufacture of preclinical and clinical supplies. The goal of the expanded collaboration is to advance an average of four to five new antibody product candidates into clinical development each year, for an anticipated total of 30-40 candidates over the next eight years.</w:t>
      </w:r>
    </w:p>
    <w:p>
      <w:pPr>
        <w:spacing w:after="0" w:line="23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generally funding drug candidate development costs up front, except that following receipt of the first positive Phase 3 trial results for a co-developed drug candidate, subsequent Phase 3 trial-related costs for that drug candidate will be shared 80% by sanofi-aventis and 20% by us. We are generally responsible for reimbursing sanofi-aventis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sanofi-aventis for these development costs.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21" w:name="page22"/>
    <w:bookmarkEnd w:id="21"/>
    <w:p>
      <w:pPr>
        <w:jc w:val="both"/>
        <w:ind w:firstLine="324"/>
        <w:spacing w:after="0" w:line="294" w:lineRule="auto"/>
        <w:rPr>
          <w:sz w:val="20"/>
          <w:szCs w:val="20"/>
          <w:color w:val="auto"/>
        </w:rPr>
      </w:pPr>
      <w:r>
        <w:rPr>
          <w:rFonts w:ascii="Arial" w:cs="Arial" w:eastAsia="Arial" w:hAnsi="Arial"/>
          <w:sz w:val="16"/>
          <w:szCs w:val="16"/>
          <w:color w:val="auto"/>
        </w:rPr>
        <w:t>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21" w:lineRule="exact"/>
        <w:rPr>
          <w:sz w:val="20"/>
          <w:szCs w:val="20"/>
          <w:color w:val="auto"/>
        </w:rPr>
      </w:pPr>
    </w:p>
    <w:p>
      <w:pPr>
        <w:jc w:val="both"/>
        <w:ind w:firstLine="392"/>
        <w:spacing w:after="0" w:line="233" w:lineRule="auto"/>
        <w:rPr>
          <w:sz w:val="20"/>
          <w:szCs w:val="20"/>
          <w:color w:val="auto"/>
        </w:rPr>
      </w:pPr>
      <w:r>
        <w:rPr>
          <w:rFonts w:ascii="Arial" w:cs="Arial" w:eastAsia="Arial" w:hAnsi="Arial"/>
          <w:sz w:val="18"/>
          <w:szCs w:val="18"/>
          <w:color w:val="auto"/>
        </w:rPr>
        <w:t xml:space="preserve">In August 2008, we entered into an agreement with sanofi-aventis to use our </w:t>
      </w:r>
      <w:r>
        <w:rPr>
          <w:rFonts w:ascii="Arial" w:cs="Arial" w:eastAsia="Arial" w:hAnsi="Arial"/>
          <w:sz w:val="18"/>
          <w:szCs w:val="18"/>
          <w:i w:val="1"/>
          <w:iCs w:val="1"/>
          <w:color w:val="auto"/>
        </w:rPr>
        <w:t>VelociGene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platform to supply sanofi-aventis with genetically modified mammalian models of gene function and disease. Sanofi-aventis will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pacing w:after="0" w:line="261"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b w:val="1"/>
          <w:bCs w:val="1"/>
          <w:color w:val="auto"/>
        </w:rPr>
        <w:t xml:space="preserve">AstraZeneca UK Limited. </w:t>
      </w:r>
      <w:r>
        <w:rPr>
          <w:rFonts w:ascii="Arial" w:cs="Arial" w:eastAsia="Arial" w:hAnsi="Arial"/>
          <w:sz w:val="17"/>
          <w:szCs w:val="17"/>
          <w:color w:val="auto"/>
        </w:rPr>
        <w:t>In February 2007, we entered into a non-exclusive license agreement with AstraZeneca UK Limited that allows AstraZeneca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utilize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in its internal research programs to discover human monoclonal antibodies. Under the terms of the agreement, AstraZeneca made $20.0 million annual, non-refundable payments to us in the first quarter of 2007, 2008, 2009, and 2010. AstraZeneca is required to make up to two additional annual payments of $20.0 million, subject to its ability to terminate the agreement. We are entitled to receive a mid-single-digit royalty on any future sales of antibody products discovered by AstraZeneca using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w:t>
      </w:r>
    </w:p>
    <w:p>
      <w:pPr>
        <w:spacing w:after="0" w:line="15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6"/>
          <w:szCs w:val="16"/>
          <w:b w:val="1"/>
          <w:bCs w:val="1"/>
          <w:color w:val="auto"/>
        </w:rPr>
        <w:t xml:space="preserve">Astellas Pharma Inc. </w:t>
      </w:r>
      <w:r>
        <w:rPr>
          <w:rFonts w:ascii="Arial" w:cs="Arial" w:eastAsia="Arial" w:hAnsi="Arial"/>
          <w:sz w:val="16"/>
          <w:szCs w:val="16"/>
          <w:color w:val="auto"/>
        </w:rPr>
        <w:t>In March 2007, we entered into a non-exclusive license agreement with Astellas Pharma Inc. that allows Astellas to utilize 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Under the terms of the agreement, Astellas made $20.0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annual, non-refundable payments to us in the second quarter of 2007, 2008, 2009, and 2010. In July 2010, the license agreement with Astellas was amended and extended through June 2023. Under the terms of the amended agreement, Astellas will make a $165.0 million up-front payment to us. In addition, Astellas will make a $130.0 million payment to us in June 2018 unless the license agreement has been terminated prior to that date. Astellas has the right to terminate this license agreement at any time by providing 90 days’ advance written notice. Under certain limited circumstances, such as our material breach of the agreement, Astellas may terminate the agreement and receive a refund of a portion of its payment to us under the July 2010 amendment to the agreement.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technology.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285"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Under the NIH grant, as amended, we have received $18.1 million through June 30, 2010 and are entitled to receive an additional $7.2 million through the remaining term of the grant.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240"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Regeneron plans to file an Investigational New Drug Application for REGN910, an antibody to Angiopoietin-2, a novel anti-angiogenesis target, by the end of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5" w:lineRule="exact"/>
        <w:rPr>
          <w:sz w:val="20"/>
          <w:szCs w:val="20"/>
          <w:color w:val="auto"/>
        </w:rPr>
      </w:pPr>
    </w:p>
    <w:p>
      <w:pPr>
        <w:jc w:val="both"/>
        <w:ind w:firstLine="311"/>
        <w:spacing w:after="0" w:line="269"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significant sales or profits from the commercialization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any of our other product candidates. Before significant revenues from the commercialization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365"/>
        <w:spacing w:after="0" w:line="261" w:lineRule="auto"/>
        <w:rPr>
          <w:sz w:val="20"/>
          <w:szCs w:val="20"/>
          <w:color w:val="auto"/>
        </w:rPr>
      </w:pPr>
      <w:r>
        <w:rPr>
          <w:rFonts w:ascii="Arial" w:cs="Arial" w:eastAsia="Arial" w:hAnsi="Arial"/>
          <w:sz w:val="16"/>
          <w:szCs w:val="16"/>
          <w:color w:val="auto"/>
        </w:rPr>
        <w:t>From inception on January 8, 1988 through June 30, 2010, we had a cumulative loss of $997.1 million. In the absence of significant revenues from the commercialization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our other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ARCALYST</w:t>
      </w:r>
      <w:r>
        <w:rPr>
          <w:rFonts w:ascii="Arial" w:cs="Arial" w:eastAsia="Arial" w:hAnsi="Arial"/>
          <w:sz w:val="22"/>
          <w:szCs w:val="22"/>
          <w:color w:val="auto"/>
          <w:vertAlign w:val="superscript"/>
        </w:rPr>
        <w:t>®</w:t>
      </w:r>
      <w:r>
        <w:rPr>
          <w:rFonts w:ascii="Arial" w:cs="Arial" w:eastAsia="Arial" w:hAnsi="Arial"/>
          <w:sz w:val="16"/>
          <w:szCs w:val="16"/>
          <w:color w:val="auto"/>
        </w:rPr>
        <w:t>; advance new product candidates into clinical development from our existing research programs utilizing our technology for discovering fully human monoclonal antibodies; continue our research and development programs; and commercialize additional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ind w:firstLine="405"/>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to date in 2010 and plans over the next 12 months are as follows:</w:t>
      </w:r>
    </w:p>
    <w:p>
      <w:pPr>
        <w:sectPr>
          <w:pgSz w:w="11900" w:h="16838" w:orient="portrait"/>
          <w:cols w:equalWidth="0" w:num="1">
            <w:col w:w="11420"/>
          </w:cols>
          <w:pgMar w:left="240" w:top="40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Clinical Program</w:t>
            </w:r>
          </w:p>
        </w:tc>
        <w:tc>
          <w:tcPr>
            <w:tcW w:w="4880" w:type="dxa"/>
            <w:vAlign w:val="bottom"/>
            <w:gridSpan w:val="3"/>
          </w:tcPr>
          <w:p>
            <w:pPr>
              <w:ind w:left="820"/>
              <w:spacing w:after="0"/>
              <w:rPr>
                <w:sz w:val="20"/>
                <w:szCs w:val="20"/>
                <w:color w:val="auto"/>
              </w:rPr>
            </w:pPr>
            <w:r>
              <w:rPr>
                <w:rFonts w:ascii="Arial" w:cs="Arial" w:eastAsia="Arial" w:hAnsi="Arial"/>
                <w:sz w:val="18"/>
                <w:szCs w:val="18"/>
                <w:b w:val="1"/>
                <w:bCs w:val="1"/>
                <w:color w:val="auto"/>
              </w:rPr>
              <w:t>2010 Events to Date</w:t>
            </w:r>
          </w:p>
        </w:tc>
      </w:tr>
      <w:tr>
        <w:trPr>
          <w:trHeight w:val="20"/>
        </w:trPr>
        <w:tc>
          <w:tcPr>
            <w:tcW w:w="1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2"/>
        </w:trPr>
        <w:tc>
          <w:tcPr>
            <w:tcW w:w="1300" w:type="dxa"/>
            <w:vAlign w:val="bottom"/>
          </w:tcPr>
          <w:p>
            <w:pPr>
              <w:spacing w:after="0" w:line="242" w:lineRule="exact"/>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60" w:type="dxa"/>
            <w:vAlign w:val="bottom"/>
            <w:gridSpan w:val="2"/>
          </w:tcPr>
          <w:p>
            <w:pPr>
              <w:ind w:left="760"/>
              <w:spacing w:after="0"/>
              <w:rPr>
                <w:sz w:val="20"/>
                <w:szCs w:val="20"/>
                <w:color w:val="auto"/>
              </w:rPr>
            </w:pPr>
            <w:r>
              <w:rPr>
                <w:rFonts w:ascii="Arial" w:cs="Arial" w:eastAsia="Arial" w:hAnsi="Arial"/>
                <w:sz w:val="18"/>
                <w:szCs w:val="18"/>
                <w:color w:val="auto"/>
                <w:w w:val="89"/>
              </w:rPr>
              <w:t>Reported positive results from PRE-SURGE 1</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(rilonacept)</w:t>
            </w:r>
          </w:p>
        </w:tc>
        <w:tc>
          <w:tcPr>
            <w:tcW w:w="820" w:type="dxa"/>
            <w:vAlign w:val="bottom"/>
          </w:tcPr>
          <w:p>
            <w:pPr>
              <w:spacing w:after="0"/>
              <w:rPr>
                <w:sz w:val="18"/>
                <w:szCs w:val="18"/>
                <w:color w:val="auto"/>
              </w:rPr>
            </w:pPr>
          </w:p>
        </w:tc>
        <w:tc>
          <w:tcPr>
            <w:tcW w:w="4060" w:type="dxa"/>
            <w:vAlign w:val="bottom"/>
            <w:gridSpan w:val="2"/>
          </w:tcPr>
          <w:p>
            <w:pPr>
              <w:ind w:left="760"/>
              <w:spacing w:after="0"/>
              <w:rPr>
                <w:sz w:val="20"/>
                <w:szCs w:val="20"/>
                <w:color w:val="auto"/>
              </w:rPr>
            </w:pPr>
            <w:r>
              <w:rPr>
                <w:rFonts w:ascii="Arial" w:cs="Arial" w:eastAsia="Arial" w:hAnsi="Arial"/>
                <w:sz w:val="18"/>
                <w:szCs w:val="18"/>
                <w:color w:val="auto"/>
                <w:w w:val="91"/>
              </w:rPr>
              <w:t>and  completed  patient  enrollment  of  PRE-</w:t>
            </w:r>
          </w:p>
        </w:tc>
      </w:tr>
      <w:tr>
        <w:trPr>
          <w:trHeight w:val="213"/>
        </w:trPr>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60" w:type="dxa"/>
            <w:vAlign w:val="bottom"/>
            <w:gridSpan w:val="2"/>
          </w:tcPr>
          <w:p>
            <w:pPr>
              <w:ind w:left="760"/>
              <w:spacing w:after="0"/>
              <w:rPr>
                <w:sz w:val="20"/>
                <w:szCs w:val="20"/>
                <w:color w:val="auto"/>
              </w:rPr>
            </w:pPr>
            <w:r>
              <w:rPr>
                <w:rFonts w:ascii="Arial" w:cs="Arial" w:eastAsia="Arial" w:hAnsi="Arial"/>
                <w:sz w:val="18"/>
                <w:szCs w:val="18"/>
                <w:color w:val="auto"/>
                <w:w w:val="86"/>
              </w:rPr>
              <w:t>SURGE 2. Both Phase 3 studies are evaluating</w:t>
            </w:r>
          </w:p>
        </w:tc>
      </w:tr>
      <w:tr>
        <w:trPr>
          <w:trHeight w:val="219"/>
        </w:trPr>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60" w:type="dxa"/>
            <w:vAlign w:val="bottom"/>
            <w:gridSpan w:val="2"/>
          </w:tcPr>
          <w:p>
            <w:pPr>
              <w:ind w:left="760"/>
              <w:spacing w:after="0" w:line="219" w:lineRule="exact"/>
              <w:rPr>
                <w:sz w:val="20"/>
                <w:szCs w:val="20"/>
                <w:color w:val="auto"/>
              </w:rPr>
            </w:pPr>
            <w:r>
              <w:rPr>
                <w:rFonts w:ascii="Arial" w:cs="Arial" w:eastAsia="Arial" w:hAnsi="Arial"/>
                <w:sz w:val="18"/>
                <w:szCs w:val="18"/>
                <w:color w:val="auto"/>
                <w:w w:val="92"/>
              </w:rPr>
              <w:t>ARCALYST</w:t>
            </w:r>
            <w:r>
              <w:rPr>
                <w:rFonts w:ascii="Arial" w:cs="Arial" w:eastAsia="Arial" w:hAnsi="Arial"/>
                <w:sz w:val="24"/>
                <w:szCs w:val="24"/>
                <w:color w:val="auto"/>
                <w:w w:val="92"/>
                <w:vertAlign w:val="superscript"/>
              </w:rPr>
              <w:t>®</w:t>
            </w:r>
            <w:r>
              <w:rPr>
                <w:rFonts w:ascii="Arial" w:cs="Arial" w:eastAsia="Arial" w:hAnsi="Arial"/>
                <w:sz w:val="18"/>
                <w:szCs w:val="18"/>
                <w:color w:val="auto"/>
                <w:w w:val="92"/>
              </w:rPr>
              <w:t xml:space="preserve"> in the prevention of gout flares</w:t>
            </w:r>
          </w:p>
        </w:tc>
      </w:tr>
      <w:tr>
        <w:trPr>
          <w:trHeight w:val="216"/>
        </w:trPr>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60" w:type="dxa"/>
            <w:vAlign w:val="bottom"/>
            <w:gridSpan w:val="2"/>
          </w:tcPr>
          <w:p>
            <w:pPr>
              <w:ind w:left="760"/>
              <w:spacing w:after="0"/>
              <w:rPr>
                <w:sz w:val="20"/>
                <w:szCs w:val="20"/>
                <w:color w:val="auto"/>
              </w:rPr>
            </w:pPr>
            <w:r>
              <w:rPr>
                <w:rFonts w:ascii="Arial" w:cs="Arial" w:eastAsia="Arial" w:hAnsi="Arial"/>
                <w:sz w:val="18"/>
                <w:szCs w:val="18"/>
                <w:color w:val="auto"/>
              </w:rPr>
              <w:t>associated with the initiation of uric acid-</w:t>
            </w:r>
          </w:p>
        </w:tc>
      </w:tr>
      <w:tr>
        <w:trPr>
          <w:trHeight w:val="216"/>
        </w:trPr>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60" w:type="dxa"/>
            <w:vAlign w:val="bottom"/>
            <w:gridSpan w:val="2"/>
          </w:tcPr>
          <w:p>
            <w:pPr>
              <w:ind w:left="760"/>
              <w:spacing w:after="0"/>
              <w:rPr>
                <w:sz w:val="20"/>
                <w:szCs w:val="20"/>
                <w:color w:val="auto"/>
              </w:rPr>
            </w:pPr>
            <w:r>
              <w:rPr>
                <w:rFonts w:ascii="Arial" w:cs="Arial" w:eastAsia="Arial" w:hAnsi="Arial"/>
                <w:sz w:val="18"/>
                <w:szCs w:val="18"/>
                <w:color w:val="auto"/>
              </w:rPr>
              <w:t>lowering drug therapy</w:t>
            </w:r>
          </w:p>
        </w:tc>
      </w:tr>
      <w:tr>
        <w:trPr>
          <w:trHeight w:val="216"/>
        </w:trPr>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60" w:type="dxa"/>
            <w:vAlign w:val="bottom"/>
            <w:gridSpan w:val="2"/>
          </w:tcPr>
          <w:p>
            <w:pPr>
              <w:ind w:left="760"/>
              <w:spacing w:after="0"/>
              <w:rPr>
                <w:sz w:val="20"/>
                <w:szCs w:val="20"/>
                <w:color w:val="auto"/>
              </w:rPr>
            </w:pPr>
            <w:r>
              <w:rPr>
                <w:rFonts w:ascii="Arial" w:cs="Arial" w:eastAsia="Arial" w:hAnsi="Arial"/>
                <w:sz w:val="18"/>
                <w:szCs w:val="18"/>
                <w:color w:val="auto"/>
                <w:w w:val="98"/>
              </w:rPr>
              <w:t>Reported  results  showing  no  significant</w:t>
            </w:r>
          </w:p>
        </w:tc>
      </w:tr>
      <w:tr>
        <w:trPr>
          <w:trHeight w:val="213"/>
        </w:trPr>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60" w:type="dxa"/>
            <w:vAlign w:val="bottom"/>
            <w:gridSpan w:val="2"/>
          </w:tcPr>
          <w:p>
            <w:pPr>
              <w:ind w:left="760"/>
              <w:spacing w:after="0"/>
              <w:rPr>
                <w:sz w:val="20"/>
                <w:szCs w:val="20"/>
                <w:color w:val="auto"/>
              </w:rPr>
            </w:pPr>
            <w:r>
              <w:rPr>
                <w:rFonts w:ascii="Arial" w:cs="Arial" w:eastAsia="Arial" w:hAnsi="Arial"/>
                <w:sz w:val="18"/>
                <w:szCs w:val="18"/>
                <w:color w:val="auto"/>
                <w:w w:val="98"/>
              </w:rPr>
              <w:t>improvement in pain relief from a Phase 3</w:t>
            </w:r>
          </w:p>
        </w:tc>
      </w:tr>
      <w:tr>
        <w:trPr>
          <w:trHeight w:val="219"/>
        </w:trPr>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60" w:type="dxa"/>
            <w:vAlign w:val="bottom"/>
            <w:gridSpan w:val="2"/>
          </w:tcPr>
          <w:p>
            <w:pPr>
              <w:ind w:left="760"/>
              <w:spacing w:after="0" w:line="219" w:lineRule="exact"/>
              <w:rPr>
                <w:sz w:val="20"/>
                <w:szCs w:val="20"/>
                <w:color w:val="auto"/>
              </w:rPr>
            </w:pPr>
            <w:r>
              <w:rPr>
                <w:rFonts w:ascii="Arial" w:cs="Arial" w:eastAsia="Arial" w:hAnsi="Arial"/>
                <w:sz w:val="18"/>
                <w:szCs w:val="18"/>
                <w:color w:val="auto"/>
                <w:w w:val="94"/>
              </w:rPr>
              <w:t>study (SURGE) evaluating ARCALYST</w:t>
            </w:r>
            <w:r>
              <w:rPr>
                <w:rFonts w:ascii="Arial" w:cs="Arial" w:eastAsia="Arial" w:hAnsi="Arial"/>
                <w:sz w:val="24"/>
                <w:szCs w:val="24"/>
                <w:color w:val="auto"/>
                <w:w w:val="94"/>
                <w:vertAlign w:val="superscript"/>
              </w:rPr>
              <w:t>®</w:t>
            </w:r>
            <w:r>
              <w:rPr>
                <w:rFonts w:ascii="Arial" w:cs="Arial" w:eastAsia="Arial" w:hAnsi="Arial"/>
                <w:sz w:val="18"/>
                <w:szCs w:val="18"/>
                <w:color w:val="auto"/>
                <w:w w:val="94"/>
              </w:rPr>
              <w:t xml:space="preserve">  in</w:t>
            </w:r>
          </w:p>
        </w:tc>
      </w:tr>
      <w:tr>
        <w:trPr>
          <w:trHeight w:val="222"/>
        </w:trPr>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60" w:type="dxa"/>
            <w:vAlign w:val="bottom"/>
            <w:gridSpan w:val="2"/>
          </w:tcPr>
          <w:p>
            <w:pPr>
              <w:ind w:left="760"/>
              <w:spacing w:after="0"/>
              <w:rPr>
                <w:sz w:val="20"/>
                <w:szCs w:val="20"/>
                <w:color w:val="auto"/>
              </w:rPr>
            </w:pPr>
            <w:r>
              <w:rPr>
                <w:rFonts w:ascii="Arial" w:cs="Arial" w:eastAsia="Arial" w:hAnsi="Arial"/>
                <w:sz w:val="18"/>
                <w:szCs w:val="18"/>
                <w:color w:val="auto"/>
              </w:rPr>
              <w:t>the treatment of acute gout flares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-1331595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-508000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2010-11 Plans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(next 12 months)</w:t>
      </w:r>
    </w:p>
    <w:p>
      <w:pPr>
        <w:spacing w:after="0" w:line="2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Complete patient enrollment of an additional Phase 3 study (RE-SURGE) and report data from PRE-SURGE 2 and RE-SURGE in early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-507365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760"/>
        <w:spacing w:after="0" w:line="234" w:lineRule="auto"/>
        <w:rPr>
          <w:sz w:val="20"/>
          <w:szCs w:val="20"/>
          <w:color w:val="auto"/>
        </w:rPr>
      </w:pPr>
      <w:r>
        <w:rPr>
          <w:rFonts w:ascii="Arial" w:cs="Arial" w:eastAsia="Arial" w:hAnsi="Arial"/>
          <w:sz w:val="18"/>
          <w:szCs w:val="18"/>
          <w:color w:val="auto"/>
        </w:rPr>
        <w:t>If PRE-SURGE 2 and RE-SURGE are successful, file for regulatory approval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the prevention of gout flares associated with the initiation of uric acid-lowering drug therapy by mid-2011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-642620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420" w:lineRule="exact"/>
        <w:rPr>
          <w:sz w:val="20"/>
          <w:szCs w:val="20"/>
          <w:color w:val="auto"/>
        </w:rPr>
      </w:pPr>
    </w:p>
    <w:p>
      <w:pPr>
        <w:sectPr>
          <w:pgSz w:w="11900" w:h="16838" w:orient="portrait"/>
          <w:cols w:equalWidth="0" w:num="2">
            <w:col w:w="7020" w:space="340"/>
            <w:col w:w="4060"/>
          </w:cols>
          <w:pgMar w:left="240" w:top="401"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VEGF Trap – Eye                         </w:t>
      </w:r>
      <w:r>
        <w:rPr>
          <w:sz w:val="1"/>
          <w:szCs w:val="1"/>
          <w:color w:val="auto"/>
        </w:rPr>
        <w:drawing>
          <wp:inline distT="0" distB="0" distL="0" distR="0">
            <wp:extent cx="59690" cy="5969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auto"/>
        </w:rPr>
        <w:t xml:space="preserve">  Completed patient enrollment in the first of</w:t>
      </w:r>
    </w:p>
    <w:p>
      <w:pPr>
        <w:spacing w:after="0" w:line="1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two Phase 3 CRVO trials (COPERNICUS)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Reported positive 24-week primary endpoint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-76200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results from the Phase 2 DME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Report data from VIEW 1 and VIEW 2 trials in the fourth quarter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-233680</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spacing w:after="0" w:line="250" w:lineRule="auto"/>
        <w:rPr>
          <w:sz w:val="20"/>
          <w:szCs w:val="20"/>
          <w:color w:val="auto"/>
        </w:rPr>
      </w:pPr>
      <w:r>
        <w:rPr>
          <w:rFonts w:ascii="Arial" w:cs="Arial" w:eastAsia="Arial" w:hAnsi="Arial"/>
          <w:sz w:val="18"/>
          <w:szCs w:val="18"/>
          <w:color w:val="auto"/>
        </w:rPr>
        <w:t>Complete patient enrollment in the second Phase 3 CRVO trial (GALILEO) and report initial data from both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-370205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spacing w:after="0" w:line="261" w:lineRule="auto"/>
        <w:rPr>
          <w:sz w:val="20"/>
          <w:szCs w:val="20"/>
          <w:color w:val="auto"/>
        </w:rPr>
      </w:pPr>
      <w:r>
        <w:rPr>
          <w:rFonts w:ascii="Arial" w:cs="Arial" w:eastAsia="Arial" w:hAnsi="Arial"/>
          <w:sz w:val="18"/>
          <w:szCs w:val="18"/>
          <w:color w:val="auto"/>
        </w:rPr>
        <w:t>Report one-year results from the Phase 2 DME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-245110</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401" w:right="239" w:bottom="1440" w:gutter="0" w:footer="0" w:header="0"/>
          <w:type w:val="continuous"/>
        </w:sectPr>
      </w:pPr>
    </w:p>
    <w:p>
      <w:pPr>
        <w:spacing w:after="0" w:line="5" w:lineRule="exact"/>
        <w:rPr>
          <w:sz w:val="20"/>
          <w:szCs w:val="20"/>
          <w:color w:val="auto"/>
        </w:rPr>
      </w:pPr>
    </w:p>
    <w:p>
      <w:pPr>
        <w:spacing w:after="0"/>
        <w:tabs>
          <w:tab w:leader="none" w:pos="3479" w:val="left"/>
        </w:tabs>
        <w:rPr>
          <w:sz w:val="20"/>
          <w:szCs w:val="20"/>
          <w:color w:val="auto"/>
        </w:rPr>
      </w:pPr>
      <w:r>
        <w:rPr>
          <w:rFonts w:ascii="Arial" w:cs="Arial" w:eastAsia="Arial" w:hAnsi="Arial"/>
          <w:sz w:val="16"/>
          <w:szCs w:val="16"/>
          <w:color w:val="auto"/>
        </w:rPr>
        <w:t>Aflibercept</w:t>
      </w:r>
      <w:r>
        <w:rPr>
          <w:sz w:val="20"/>
          <w:szCs w:val="20"/>
          <w:color w:val="auto"/>
        </w:rPr>
        <w:tab/>
      </w:r>
      <w:r>
        <w:rPr>
          <w:sz w:val="1"/>
          <w:szCs w:val="1"/>
          <w:color w:val="auto"/>
        </w:rPr>
        <w:drawing>
          <wp:inline distT="0" distB="0" distL="0" distR="0">
            <wp:extent cx="59690" cy="5969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6"/>
          <w:szCs w:val="16"/>
          <w:color w:val="auto"/>
        </w:rPr>
        <w:t xml:space="preserve">  Completed patient enrollment in the Phase 3</w:t>
      </w:r>
    </w:p>
    <w:p>
      <w:pPr>
        <w:spacing w:after="0" w:line="38"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(VEGF Trap –</w:t>
      </w:r>
      <w:r>
        <w:rPr>
          <w:sz w:val="20"/>
          <w:szCs w:val="20"/>
          <w:color w:val="auto"/>
        </w:rPr>
        <w:tab/>
      </w:r>
      <w:r>
        <w:rPr>
          <w:rFonts w:ascii="Arial" w:cs="Arial" w:eastAsia="Arial" w:hAnsi="Arial"/>
          <w:sz w:val="16"/>
          <w:szCs w:val="16"/>
          <w:color w:val="auto"/>
        </w:rPr>
        <w:t>studies in non-small cell lung cancer, prostate</w:t>
      </w:r>
    </w:p>
    <w:p>
      <w:pPr>
        <w:spacing w:after="0" w:line="9"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Oncology)</w:t>
      </w:r>
      <w:r>
        <w:rPr>
          <w:sz w:val="20"/>
          <w:szCs w:val="20"/>
          <w:color w:val="auto"/>
        </w:rPr>
        <w:tab/>
      </w:r>
      <w:r>
        <w:rPr>
          <w:rFonts w:ascii="Arial" w:cs="Arial" w:eastAsia="Arial" w:hAnsi="Arial"/>
          <w:sz w:val="18"/>
          <w:szCs w:val="18"/>
          <w:color w:val="auto"/>
        </w:rPr>
        <w:t>cancer, and colorectal cancer</w:t>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Completed patient enrollment in a Phase 2 1</w:t>
      </w:r>
      <w:r>
        <w:rPr>
          <w:rFonts w:ascii="Arial" w:cs="Arial" w:eastAsia="Arial" w:hAnsi="Arial"/>
          <w:sz w:val="20"/>
          <w:szCs w:val="20"/>
          <w:color w:val="auto"/>
          <w:vertAlign w:val="superscript"/>
        </w:rPr>
        <w:t>st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-101600</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6"/>
          <w:szCs w:val="16"/>
          <w:color w:val="auto"/>
        </w:rPr>
        <w:t>line study in metastatic colorectal cancer in</w:t>
      </w:r>
    </w:p>
    <w:p>
      <w:pPr>
        <w:spacing w:after="0" w:line="2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combination with chemotherapy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3" w:lineRule="auto"/>
        <w:rPr>
          <w:sz w:val="20"/>
          <w:szCs w:val="20"/>
          <w:color w:val="auto"/>
        </w:rPr>
      </w:pPr>
      <w:r>
        <w:rPr>
          <w:rFonts w:ascii="Arial" w:cs="Arial" w:eastAsia="Arial" w:hAnsi="Arial"/>
          <w:sz w:val="16"/>
          <w:szCs w:val="16"/>
          <w:color w:val="auto"/>
        </w:rPr>
        <w:t>During the second half of 2010, an Independent Data Monitoring Committee is expected to conduct an interim analysis of the Phase 3 study (VELOUR) in colorectal cancer Report data from the Phase 3 study (VITAL) in non-small cell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-781685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-233045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8"/>
          <w:szCs w:val="18"/>
          <w:color w:val="auto"/>
        </w:rPr>
        <w:t>In mid-2011, an Independent Data Monitoring Committee is expected to conduct an interim analysis of the Phase 3 study (VENICE) in prostate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-515620</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401"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Monoclonal</w:t>
            </w:r>
          </w:p>
        </w:tc>
        <w:tc>
          <w:tcPr>
            <w:tcW w:w="3700" w:type="dxa"/>
            <w:vAlign w:val="bottom"/>
          </w:tcPr>
          <w:p>
            <w:pPr>
              <w:ind w:left="400"/>
              <w:spacing w:after="0"/>
              <w:rPr>
                <w:sz w:val="20"/>
                <w:szCs w:val="20"/>
                <w:color w:val="auto"/>
              </w:rPr>
            </w:pPr>
            <w:r>
              <w:rPr>
                <w:rFonts w:ascii="Arial" w:cs="Arial" w:eastAsia="Arial" w:hAnsi="Arial"/>
                <w:sz w:val="18"/>
                <w:szCs w:val="18"/>
                <w:color w:val="auto"/>
                <w:w w:val="90"/>
              </w:rPr>
              <w:t>REGN727: Reported interim proof-of-concept</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Antibodies</w:t>
            </w:r>
          </w:p>
        </w:tc>
        <w:tc>
          <w:tcPr>
            <w:tcW w:w="3700" w:type="dxa"/>
            <w:vAlign w:val="bottom"/>
          </w:tcPr>
          <w:p>
            <w:pPr>
              <w:ind w:left="400"/>
              <w:spacing w:after="0"/>
              <w:rPr>
                <w:sz w:val="20"/>
                <w:szCs w:val="20"/>
                <w:color w:val="auto"/>
              </w:rPr>
            </w:pPr>
            <w:r>
              <w:rPr>
                <w:rFonts w:ascii="Arial" w:cs="Arial" w:eastAsia="Arial" w:hAnsi="Arial"/>
                <w:sz w:val="18"/>
                <w:szCs w:val="18"/>
                <w:color w:val="auto"/>
                <w:w w:val="89"/>
              </w:rPr>
              <w:t>data from a Phase 1 study for LDL cholesterol</w:t>
            </w:r>
          </w:p>
        </w:tc>
      </w:tr>
      <w:tr>
        <w:trPr>
          <w:trHeight w:val="216"/>
        </w:trPr>
        <w:tc>
          <w:tcPr>
            <w:tcW w:w="332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rPr>
              <w:t>reduction</w:t>
            </w:r>
          </w:p>
        </w:tc>
      </w:tr>
      <w:tr>
        <w:trPr>
          <w:trHeight w:val="216"/>
        </w:trPr>
        <w:tc>
          <w:tcPr>
            <w:tcW w:w="332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w w:val="92"/>
              </w:rPr>
              <w:t>REGN88: Initiated a Phase 2/3 dose-ranging</w:t>
            </w:r>
          </w:p>
        </w:tc>
      </w:tr>
      <w:tr>
        <w:trPr>
          <w:trHeight w:val="216"/>
        </w:trPr>
        <w:tc>
          <w:tcPr>
            <w:tcW w:w="332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w w:val="95"/>
              </w:rPr>
              <w:t>study in rheumatoid arthritis and a Phase 2</w:t>
            </w:r>
          </w:p>
        </w:tc>
      </w:tr>
      <w:tr>
        <w:trPr>
          <w:trHeight w:val="216"/>
        </w:trPr>
        <w:tc>
          <w:tcPr>
            <w:tcW w:w="332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w w:val="93"/>
              </w:rPr>
              <w:t>dose-ranging study in ankylosing spondylitis</w:t>
            </w:r>
          </w:p>
        </w:tc>
      </w:tr>
      <w:tr>
        <w:trPr>
          <w:trHeight w:val="216"/>
        </w:trPr>
        <w:tc>
          <w:tcPr>
            <w:tcW w:w="332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w w:val="96"/>
              </w:rPr>
              <w:t>REGN88: Reported data from the Phase 1</w:t>
            </w:r>
          </w:p>
        </w:tc>
      </w:tr>
      <w:tr>
        <w:trPr>
          <w:trHeight w:val="216"/>
        </w:trPr>
        <w:tc>
          <w:tcPr>
            <w:tcW w:w="332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rPr>
              <w:t>program in rheumatoid arthritis</w:t>
            </w:r>
          </w:p>
        </w:tc>
      </w:tr>
      <w:tr>
        <w:trPr>
          <w:trHeight w:val="216"/>
        </w:trPr>
        <w:tc>
          <w:tcPr>
            <w:tcW w:w="332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w w:val="97"/>
              </w:rPr>
              <w:t>REGN475: Reported interim data from the</w:t>
            </w:r>
          </w:p>
        </w:tc>
      </w:tr>
      <w:tr>
        <w:trPr>
          <w:trHeight w:val="216"/>
        </w:trPr>
        <w:tc>
          <w:tcPr>
            <w:tcW w:w="332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w w:val="93"/>
              </w:rPr>
              <w:t>Phase 2 studies in osteoarthritis of the knee</w:t>
            </w:r>
          </w:p>
        </w:tc>
      </w:tr>
      <w:tr>
        <w:trPr>
          <w:trHeight w:val="222"/>
        </w:trPr>
        <w:tc>
          <w:tcPr>
            <w:tcW w:w="3320" w:type="dxa"/>
            <w:vAlign w:val="bottom"/>
          </w:tcPr>
          <w:p>
            <w:pPr>
              <w:spacing w:after="0"/>
              <w:rPr>
                <w:sz w:val="19"/>
                <w:szCs w:val="19"/>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rPr>
              <w:t>and acute sciatica</w:t>
            </w:r>
          </w:p>
        </w:tc>
      </w:tr>
      <w:tr>
        <w:trPr>
          <w:trHeight w:val="675"/>
        </w:trPr>
        <w:tc>
          <w:tcPr>
            <w:tcW w:w="33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700" w:type="dxa"/>
            <w:vAlign w:val="bottom"/>
          </w:tcPr>
          <w:p>
            <w:pPr>
              <w:spacing w:after="0"/>
              <w:rPr>
                <w:sz w:val="24"/>
                <w:szCs w:val="24"/>
                <w:color w:val="auto"/>
              </w:rPr>
            </w:pPr>
          </w:p>
        </w:tc>
      </w:tr>
      <w:tr>
        <w:trPr>
          <w:trHeight w:val="421"/>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6"/>
              </w:rPr>
              <w:t>Three Months Ended June 30, 2010 and 2009</w:t>
            </w:r>
          </w:p>
        </w:tc>
        <w:tc>
          <w:tcPr>
            <w:tcW w:w="3700" w:type="dxa"/>
            <w:vAlign w:val="bottom"/>
          </w:tcPr>
          <w:p>
            <w:pPr>
              <w:spacing w:after="0"/>
              <w:rPr>
                <w:sz w:val="24"/>
                <w:szCs w:val="24"/>
                <w:color w:val="auto"/>
              </w:rPr>
            </w:pPr>
          </w:p>
        </w:tc>
      </w:tr>
      <w:tr>
        <w:trPr>
          <w:trHeight w:val="478"/>
        </w:trPr>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Net Loss</w:t>
            </w:r>
          </w:p>
        </w:tc>
        <w:tc>
          <w:tcPr>
            <w:tcW w:w="3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-2480310</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-2068830</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-1657350</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-1383030</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REGN727: Report additional data from the Phase 1 program and initiate a Phase 2 program for LDL cholesterol reduction REGN668: Initiate a Phase 2 program in the treatment of atopic dermatitis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-643890</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-232410</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8"/>
          <w:szCs w:val="18"/>
          <w:color w:val="auto"/>
        </w:rPr>
        <w:t>REGN475: Report additional data from the Phase 2 study in osteoarthritis of the knee REGN475: Update clinical plans following feedback from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-506730</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-232410</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16"/>
          <w:szCs w:val="16"/>
          <w:color w:val="auto"/>
        </w:rPr>
        <w:t>Advance additional antibody candidates into clinical development, including REGN910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-273685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30" w:lineRule="exact"/>
        <w:rPr>
          <w:sz w:val="20"/>
          <w:szCs w:val="20"/>
          <w:color w:val="auto"/>
        </w:rPr>
      </w:pPr>
    </w:p>
    <w:p>
      <w:pPr>
        <w:sectPr>
          <w:pgSz w:w="11900" w:h="16838" w:orient="portrait"/>
          <w:cols w:equalWidth="0" w:num="2">
            <w:col w:w="7400" w:space="720"/>
            <w:col w:w="3300"/>
          </w:cols>
          <w:pgMar w:left="240" w:top="401" w:right="239" w:bottom="1440" w:gutter="0" w:footer="0" w:header="0"/>
          <w:type w:val="continuous"/>
        </w:sectPr>
      </w:pPr>
    </w:p>
    <w:p>
      <w:pPr>
        <w:spacing w:after="0" w:line="64" w:lineRule="exact"/>
        <w:rPr>
          <w:sz w:val="20"/>
          <w:szCs w:val="20"/>
          <w:color w:val="auto"/>
        </w:rPr>
      </w:pPr>
    </w:p>
    <w:p>
      <w:pPr>
        <w:jc w:val="both"/>
        <w:ind w:right="20" w:firstLine="270"/>
        <w:spacing w:after="0" w:line="335" w:lineRule="auto"/>
        <w:rPr>
          <w:sz w:val="20"/>
          <w:szCs w:val="20"/>
          <w:color w:val="auto"/>
        </w:rPr>
      </w:pPr>
      <w:r>
        <w:rPr>
          <w:rFonts w:ascii="Arial" w:cs="Arial" w:eastAsia="Arial" w:hAnsi="Arial"/>
          <w:sz w:val="15"/>
          <w:szCs w:val="15"/>
          <w:color w:val="auto"/>
        </w:rPr>
        <w:t>Regeneron reported a net loss of $25.5 million, or $0.31 per share (basic and diluted), for the second quarter of 2010, compared to a net loss of $14.9 million, or $0.19 per share (basic and diluted) for the second quarter of 2009. The increase in our net loss was principally due to higher research and development expenses, as detailed below, partly offset by higher collaboration revenue primarily in connection with our antibody collaboration with sanofi-aventis.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8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8540" w:type="dxa"/>
            <w:vAlign w:val="bottom"/>
            <w:gridSpan w:val="2"/>
          </w:tcPr>
          <w:p>
            <w:pPr>
              <w:ind w:left="280"/>
              <w:spacing w:after="0"/>
              <w:rPr>
                <w:sz w:val="20"/>
                <w:szCs w:val="20"/>
                <w:color w:val="auto"/>
              </w:rPr>
            </w:pPr>
            <w:r>
              <w:rPr>
                <w:rFonts w:ascii="Arial" w:cs="Arial" w:eastAsia="Arial" w:hAnsi="Arial"/>
                <w:sz w:val="18"/>
                <w:szCs w:val="18"/>
                <w:color w:val="auto"/>
              </w:rPr>
              <w:t>Revenues for the three months ended June 30, 2010 and 2009 consist of the following:</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8540" w:type="dxa"/>
            <w:vAlign w:val="bottom"/>
            <w:gridSpan w:val="2"/>
          </w:tcPr>
          <w:p>
            <w:pPr>
              <w:ind w:left="17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2010</w:t>
            </w: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2009</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8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tcBorders>
            <w:shd w:val="clear" w:color="auto" w:fill="C0C0C0"/>
          </w:tcPr>
          <w:p>
            <w:pPr>
              <w:spacing w:after="0"/>
              <w:rPr>
                <w:sz w:val="19"/>
                <w:szCs w:val="19"/>
                <w:color w:val="auto"/>
              </w:rPr>
            </w:pPr>
          </w:p>
        </w:tc>
        <w:tc>
          <w:tcPr>
            <w:tcW w:w="38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40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6820" w:type="dxa"/>
            <w:vAlign w:val="bottom"/>
          </w:tcPr>
          <w:p>
            <w:pPr>
              <w:ind w:left="320"/>
              <w:spacing w:after="0"/>
              <w:rPr>
                <w:sz w:val="20"/>
                <w:szCs w:val="20"/>
                <w:color w:val="auto"/>
              </w:rPr>
            </w:pPr>
            <w:r>
              <w:rPr>
                <w:rFonts w:ascii="Arial" w:cs="Arial" w:eastAsia="Arial" w:hAnsi="Arial"/>
                <w:sz w:val="18"/>
                <w:szCs w:val="18"/>
                <w:color w:val="auto"/>
              </w:rPr>
              <w:t>Sanofi-aventis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84.9</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$60.7</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1"/>
                <w:szCs w:val="21"/>
                <w:color w:val="auto"/>
              </w:rPr>
            </w:pPr>
          </w:p>
        </w:tc>
        <w:tc>
          <w:tcPr>
            <w:tcW w:w="68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Bayer HealthCare</w:t>
            </w: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820" w:type="dxa"/>
            <w:vAlign w:val="bottom"/>
            <w:vMerge w:val="restart"/>
          </w:tcPr>
          <w:p>
            <w:pPr>
              <w:ind w:left="620"/>
              <w:spacing w:after="0"/>
              <w:rPr>
                <w:sz w:val="20"/>
                <w:szCs w:val="20"/>
                <w:color w:val="auto"/>
              </w:rPr>
            </w:pPr>
            <w:r>
              <w:rPr>
                <w:rFonts w:ascii="Arial" w:cs="Arial" w:eastAsia="Arial" w:hAnsi="Arial"/>
                <w:sz w:val="18"/>
                <w:szCs w:val="18"/>
                <w:color w:val="auto"/>
              </w:rPr>
              <w:t>Total collaboration revenue</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tcPr>
          <w:p>
            <w:pPr>
              <w:spacing w:after="0"/>
              <w:rPr>
                <w:sz w:val="19"/>
                <w:szCs w:val="19"/>
                <w:color w:val="auto"/>
              </w:rPr>
            </w:pPr>
          </w:p>
        </w:tc>
        <w:tc>
          <w:tcPr>
            <w:tcW w:w="6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98.6</w:t>
            </w:r>
          </w:p>
        </w:tc>
        <w:tc>
          <w:tcPr>
            <w:tcW w:w="40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1"/>
                <w:szCs w:val="21"/>
                <w:color w:val="auto"/>
              </w:rPr>
            </w:pPr>
          </w:p>
        </w:tc>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Technology licensing revenue</w:t>
            </w: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5"/>
        </w:trPr>
        <w:tc>
          <w:tcPr>
            <w:tcW w:w="8540" w:type="dxa"/>
            <w:vAlign w:val="bottom"/>
            <w:gridSpan w:val="2"/>
          </w:tcPr>
          <w:p>
            <w:pPr>
              <w:ind w:left="1720"/>
              <w:spacing w:after="0"/>
              <w:rPr>
                <w:sz w:val="20"/>
                <w:szCs w:val="20"/>
                <w:color w:val="auto"/>
              </w:rPr>
            </w:pPr>
            <w:r>
              <w:rPr>
                <w:rFonts w:ascii="Arial" w:cs="Arial" w:eastAsia="Arial" w:hAnsi="Arial"/>
                <w:sz w:val="18"/>
                <w:szCs w:val="18"/>
                <w:color w:val="auto"/>
              </w:rPr>
              <w:t>Net product sales</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and other revenue</w:t>
            </w: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720" w:type="dxa"/>
            <w:vAlign w:val="bottom"/>
          </w:tcPr>
          <w:p>
            <w:pPr>
              <w:spacing w:after="0"/>
              <w:rPr>
                <w:sz w:val="21"/>
                <w:szCs w:val="21"/>
                <w:color w:val="auto"/>
              </w:rPr>
            </w:pPr>
          </w:p>
        </w:tc>
        <w:tc>
          <w:tcPr>
            <w:tcW w:w="6820" w:type="dxa"/>
            <w:vAlign w:val="bottom"/>
          </w:tcPr>
          <w:p>
            <w:pPr>
              <w:ind w:left="62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115.9</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$90.0</w:t>
            </w:r>
          </w:p>
        </w:tc>
        <w:tc>
          <w:tcPr>
            <w:tcW w:w="0" w:type="dxa"/>
            <w:vAlign w:val="bottom"/>
          </w:tcPr>
          <w:p>
            <w:pPr>
              <w:spacing w:after="0"/>
              <w:rPr>
                <w:sz w:val="1"/>
                <w:szCs w:val="1"/>
                <w:color w:val="auto"/>
              </w:rPr>
            </w:pPr>
          </w:p>
        </w:tc>
      </w:tr>
      <w:tr>
        <w:trPr>
          <w:trHeight w:val="28"/>
        </w:trPr>
        <w:tc>
          <w:tcPr>
            <w:tcW w:w="17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Sanofi-aventis Collaboration Revenue</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collaboration revenue we earn from sanofi-aventis, as detailed below, consists primarily of reimbursement for research and development expenses and recognition of revenue related to non-refundable up-front payments of $105.0 million related to the aflibercept collaboration and $85.0 million related to the antibody collaboration.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Sanofi-aventis Collaboration Revenue</w:t>
            </w:r>
          </w:p>
        </w:tc>
        <w:tc>
          <w:tcPr>
            <w:tcW w:w="2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4"/>
          </w:tcPr>
          <w:p>
            <w:pPr>
              <w:jc w:val="right"/>
              <w:ind w:right="12"/>
              <w:spacing w:after="0"/>
              <w:rPr>
                <w:sz w:val="20"/>
                <w:szCs w:val="20"/>
                <w:color w:val="auto"/>
              </w:rPr>
            </w:pPr>
            <w:r>
              <w:rPr>
                <w:rFonts w:ascii="Arial" w:cs="Arial" w:eastAsia="Arial" w:hAnsi="Arial"/>
                <w:sz w:val="18"/>
                <w:szCs w:val="18"/>
                <w:b w:val="1"/>
                <w:bCs w:val="1"/>
                <w:color w:val="auto"/>
                <w:w w:val="85"/>
              </w:rPr>
              <w:t>Three months ended</w:t>
            </w:r>
          </w:p>
        </w:tc>
      </w:tr>
      <w:tr>
        <w:trPr>
          <w:trHeight w:val="237"/>
        </w:trPr>
        <w:tc>
          <w:tcPr>
            <w:tcW w:w="716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r>
      <w:tr>
        <w:trPr>
          <w:trHeight w:val="237"/>
        </w:trPr>
        <w:tc>
          <w:tcPr>
            <w:tcW w:w="7160" w:type="dxa"/>
            <w:vAlign w:val="bottom"/>
            <w:tcBorders>
              <w:bottom w:val="single" w:sz="8" w:color="C0C0C0"/>
            </w:tcBorders>
          </w:tcPr>
          <w:p>
            <w:pPr>
              <w:spacing w:after="0"/>
              <w:rPr>
                <w:sz w:val="20"/>
                <w:szCs w:val="20"/>
                <w:color w:val="auto"/>
              </w:rPr>
            </w:pPr>
          </w:p>
        </w:tc>
        <w:tc>
          <w:tcPr>
            <w:tcW w:w="254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2009</w:t>
            </w:r>
          </w:p>
        </w:tc>
      </w:tr>
      <w:tr>
        <w:trPr>
          <w:trHeight w:val="243"/>
        </w:trPr>
        <w:tc>
          <w:tcPr>
            <w:tcW w:w="716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25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r>
      <w:tr>
        <w:trPr>
          <w:trHeight w:val="235"/>
        </w:trPr>
        <w:tc>
          <w:tcPr>
            <w:tcW w:w="716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71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2540" w:type="dxa"/>
            <w:vAlign w:val="bottom"/>
            <w:shd w:val="clear" w:color="auto" w:fill="C0C0C0"/>
          </w:tcPr>
          <w:p>
            <w:pPr>
              <w:spacing w:after="0"/>
              <w:rPr>
                <w:sz w:val="22"/>
                <w:szCs w:val="22"/>
                <w:color w:val="auto"/>
              </w:rPr>
            </w:pPr>
          </w:p>
        </w:tc>
        <w:tc>
          <w:tcPr>
            <w:tcW w:w="80" w:type="dxa"/>
            <w:vAlign w:val="bottom"/>
            <w:tcBorders>
              <w:bottom w:val="single" w:sz="8" w:color="auto"/>
            </w:tcBorders>
            <w:shd w:val="clear" w:color="auto" w:fill="C0C0C0"/>
          </w:tcPr>
          <w:p>
            <w:pPr>
              <w:spacing w:after="0"/>
              <w:rPr>
                <w:sz w:val="22"/>
                <w:szCs w:val="22"/>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0C0C0"/>
          </w:tcPr>
          <w:p>
            <w:pPr>
              <w:spacing w:after="0"/>
              <w:rPr>
                <w:sz w:val="22"/>
                <w:szCs w:val="22"/>
                <w:color w:val="auto"/>
              </w:rPr>
            </w:pPr>
          </w:p>
        </w:tc>
        <w:tc>
          <w:tcPr>
            <w:tcW w:w="140" w:type="dxa"/>
            <w:vAlign w:val="bottom"/>
            <w:tcBorders>
              <w:bottom w:val="single" w:sz="8" w:color="auto"/>
            </w:tcBorders>
            <w:shd w:val="clear" w:color="auto" w:fill="C0C0C0"/>
          </w:tcPr>
          <w:p>
            <w:pPr>
              <w:spacing w:after="0"/>
              <w:rPr>
                <w:sz w:val="22"/>
                <w:szCs w:val="22"/>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16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Total aflibercept</w:t>
            </w:r>
          </w:p>
        </w:tc>
        <w:tc>
          <w:tcPr>
            <w:tcW w:w="254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160" w:type="dxa"/>
            <w:vAlign w:val="bottom"/>
            <w:shd w:val="clear" w:color="auto" w:fill="C0C0C0"/>
          </w:tcPr>
          <w:p>
            <w:pPr>
              <w:spacing w:after="0"/>
              <w:rPr>
                <w:sz w:val="20"/>
                <w:szCs w:val="20"/>
                <w:color w:val="auto"/>
              </w:rPr>
            </w:pPr>
            <w:r>
              <w:rPr>
                <w:rFonts w:ascii="Arial" w:cs="Arial" w:eastAsia="Arial" w:hAnsi="Arial"/>
                <w:sz w:val="18"/>
                <w:szCs w:val="18"/>
                <w:color w:val="auto"/>
              </w:rPr>
              <w:t>Antibody:</w:t>
            </w:r>
          </w:p>
        </w:tc>
        <w:tc>
          <w:tcPr>
            <w:tcW w:w="25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r>
      <w:tr>
        <w:trPr>
          <w:trHeight w:val="235"/>
        </w:trPr>
        <w:tc>
          <w:tcPr>
            <w:tcW w:w="716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35"/>
        </w:trPr>
        <w:tc>
          <w:tcPr>
            <w:tcW w:w="71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and other</w:t>
            </w:r>
          </w:p>
        </w:tc>
        <w:tc>
          <w:tcPr>
            <w:tcW w:w="25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r>
      <w:tr>
        <w:trPr>
          <w:trHeight w:val="259"/>
        </w:trPr>
        <w:tc>
          <w:tcPr>
            <w:tcW w:w="71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payments</w:t>
            </w:r>
          </w:p>
        </w:tc>
        <w:tc>
          <w:tcPr>
            <w:tcW w:w="254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71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2"/>
                <w:szCs w:val="12"/>
                <w:color w:val="auto"/>
              </w:rPr>
              <w:t>®</w:t>
            </w:r>
            <w:r>
              <w:rPr>
                <w:rFonts w:ascii="Arial" w:cs="Arial" w:eastAsia="Arial" w:hAnsi="Arial"/>
                <w:sz w:val="18"/>
                <w:szCs w:val="18"/>
                <w:color w:val="auto"/>
              </w:rPr>
              <w:t xml:space="preserve"> agreement</w:t>
            </w:r>
          </w:p>
        </w:tc>
        <w:tc>
          <w:tcPr>
            <w:tcW w:w="254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71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2540" w:type="dxa"/>
            <w:vAlign w:val="bottom"/>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78.6</w:t>
            </w:r>
          </w:p>
        </w:tc>
        <w:tc>
          <w:tcPr>
            <w:tcW w:w="28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49.0</w:t>
            </w:r>
          </w:p>
        </w:tc>
      </w:tr>
      <w:tr>
        <w:trPr>
          <w:trHeight w:val="242"/>
        </w:trPr>
        <w:tc>
          <w:tcPr>
            <w:tcW w:w="7160" w:type="dxa"/>
            <w:vAlign w:val="bottom"/>
          </w:tcPr>
          <w:p>
            <w:pPr>
              <w:spacing w:after="0"/>
              <w:rPr>
                <w:sz w:val="20"/>
                <w:szCs w:val="20"/>
                <w:color w:val="auto"/>
              </w:rPr>
            </w:pPr>
            <w:r>
              <w:rPr>
                <w:rFonts w:ascii="Arial" w:cs="Arial" w:eastAsia="Arial" w:hAnsi="Arial"/>
                <w:sz w:val="18"/>
                <w:szCs w:val="18"/>
                <w:color w:val="auto"/>
              </w:rPr>
              <w:t>Total sanofi-aventis collaboration revenue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84.9</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8"/>
        </w:trPr>
        <w:tc>
          <w:tcPr>
            <w:tcW w:w="7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r>
    </w:tbl>
    <w:p>
      <w:pPr>
        <w:spacing w:after="0" w:line="262"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Sanofi-aventis’ reimbursement of our aflibercept expenses decreased in the second quarter of 2010 compared to same period in 2009, primarily due to lower costs related to manufacturing aflibercept clinical supplies as well as a decrease in internal research activities. As of June 30, 2010, $37.5 million of the original $105.0 million of up-front payments related to our aflibercept collaboration with sanofi-aventis was deferred and will be recognized as revenue in future periods.</w:t>
      </w:r>
    </w:p>
    <w:p>
      <w:pPr>
        <w:spacing w:after="0" w:line="215"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In the second quarter of 2010, sanofi-aventis’ reimbursement of our antibody expenses consisted of $36.6 million under the discovery agreement and $39.8 million of development costs under the license agreement, compared to $28.3 million and $17.4 million, respectively, in the second quarter of 2009. The higher reimbursement amounts in the second quarter of 2010 compared to the same period in 2009 were due to an increase in our research activities conducted under the discovery agreement and increases in our development activities for antibody candidates under the license agreement.</w:t>
      </w:r>
    </w:p>
    <w:p>
      <w:pPr>
        <w:spacing w:after="0" w:line="221" w:lineRule="exact"/>
        <w:rPr>
          <w:sz w:val="20"/>
          <w:szCs w:val="20"/>
          <w:color w:val="auto"/>
        </w:rPr>
      </w:pPr>
    </w:p>
    <w:p>
      <w:pPr>
        <w:jc w:val="both"/>
        <w:ind w:firstLine="297"/>
        <w:spacing w:after="0" w:line="290" w:lineRule="auto"/>
        <w:rPr>
          <w:sz w:val="20"/>
          <w:szCs w:val="20"/>
          <w:color w:val="auto"/>
        </w:rPr>
      </w:pPr>
      <w:r>
        <w:rPr>
          <w:rFonts w:ascii="Arial" w:cs="Arial" w:eastAsia="Arial" w:hAnsi="Arial"/>
          <w:sz w:val="16"/>
          <w:szCs w:val="16"/>
          <w:color w:val="auto"/>
        </w:rPr>
        <w:t>Recognition of deferred revenue, related primarily to sanofi-aventis’ $85.0 million up-front payment, decreased during the second quarter of 2010 compared to the same period in 2009 due to the November 2009 amendments to expand and extend the companies’ antibody collaboration. In connection with the November 2009 amendment of the discovery agreement, sanofi-aventis is funding up to $30 million of agreed-upon costs incurred by us to expand our manufacturing capacity at our Rensselaer, New York facilities, of which $14.3 million was received or receivable from sanofi-aventis as of June 30, 2010. Payments for such funding from sanofi-aventis are deferred and recognized as collaboration revenue prospectively over the related performance period in conjunction with the original $85.0 million up-front payment. As of June 30, 2010, $74.6 million of the original up-front payment and subsequent payments to fund expansion of our Rensselaer facilities was deferred and will be recognized as revenue in future periods.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5" w:name="page26"/>
    <w:bookmarkEnd w:id="25"/>
    <w:p>
      <w:pPr>
        <w:jc w:val="both"/>
        <w:ind w:right="20" w:firstLine="311"/>
        <w:spacing w:after="0" w:line="219" w:lineRule="auto"/>
        <w:rPr>
          <w:sz w:val="20"/>
          <w:szCs w:val="20"/>
          <w:color w:val="auto"/>
        </w:rPr>
      </w:pPr>
      <w:r>
        <w:rPr>
          <w:rFonts w:ascii="Arial" w:cs="Arial" w:eastAsia="Arial" w:hAnsi="Arial"/>
          <w:sz w:val="18"/>
          <w:szCs w:val="18"/>
          <w:color w:val="auto"/>
        </w:rPr>
        <w:t xml:space="preserve">In August 2008, we entered into a separate </w:t>
      </w:r>
      <w:r>
        <w:rPr>
          <w:rFonts w:ascii="Arial" w:cs="Arial" w:eastAsia="Arial" w:hAnsi="Arial"/>
          <w:sz w:val="18"/>
          <w:szCs w:val="18"/>
          <w:i w:val="1"/>
          <w:iCs w:val="1"/>
          <w:color w:val="auto"/>
        </w:rPr>
        <w:t>VelociGene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agreement with sanofi-aventis. For the three months ended June 30, 2010 and 2009, we recognized $0.4 million and $0.7 million, respectively, in revenue related to this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collaboration revenue we earn from Bayer HealthCare, as detailed below, consists of cost sharing of Regeneron VEGF Trap-Eye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Bayer HealthCare Collaboration Revenue</w:t>
            </w:r>
          </w:p>
        </w:tc>
        <w:tc>
          <w:tcPr>
            <w:tcW w:w="164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Three months ended</w:t>
            </w:r>
          </w:p>
        </w:tc>
      </w:tr>
      <w:tr>
        <w:trPr>
          <w:trHeight w:val="237"/>
        </w:trPr>
        <w:tc>
          <w:tcPr>
            <w:tcW w:w="978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rPr>
              <w:t>June 30,</w:t>
            </w:r>
          </w:p>
        </w:tc>
      </w:tr>
      <w:tr>
        <w:trPr>
          <w:trHeight w:val="237"/>
        </w:trPr>
        <w:tc>
          <w:tcPr>
            <w:tcW w:w="97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r>
      <w:tr>
        <w:trPr>
          <w:trHeight w:val="243"/>
        </w:trPr>
        <w:tc>
          <w:tcPr>
            <w:tcW w:w="9780" w:type="dxa"/>
            <w:vAlign w:val="bottom"/>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w:t>
            </w:r>
          </w:p>
        </w:tc>
      </w:tr>
      <w:tr>
        <w:trPr>
          <w:trHeight w:val="228"/>
        </w:trPr>
        <w:tc>
          <w:tcPr>
            <w:tcW w:w="9780" w:type="dxa"/>
            <w:vAlign w:val="bottom"/>
          </w:tcPr>
          <w:p>
            <w:pPr>
              <w:spacing w:after="0"/>
              <w:rPr>
                <w:sz w:val="20"/>
                <w:szCs w:val="20"/>
                <w:color w:val="auto"/>
              </w:rPr>
            </w:pPr>
            <w:r>
              <w:rPr>
                <w:rFonts w:ascii="Arial" w:cs="Arial" w:eastAsia="Arial" w:hAnsi="Arial"/>
                <w:sz w:val="18"/>
                <w:szCs w:val="18"/>
                <w:color w:val="auto"/>
              </w:rPr>
              <w:t>Recognition of deferred revenue related to up-front and milestone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2"/>
        </w:trPr>
        <w:tc>
          <w:tcPr>
            <w:tcW w:w="97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978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Bayer HealthCare collaboration revenue</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12.8</w:t>
            </w:r>
          </w:p>
        </w:tc>
      </w:tr>
    </w:tbl>
    <w:p>
      <w:pPr>
        <w:spacing w:after="0" w:line="2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periods when we recognize VEGF Trap-Eye development expenses that we incur under our collaboration with Bayer HealthCare, we also recognize, as collaboration revenue, the portion of those VEGF Trap-Eye development expenses that is reimbursable by Bayer HealthCare. Cost-sharing of our VEGF Trap-Eye development expenses with Bayer HealthCare increased in the second quarter of 2010, compared to the same period in 2009, due to higher clinical development costs in connection with our Phase 3 trial in CRVO and Phase 2 trial in DME and higher costs related to VEGF Trap-Eye clinical drug supplies. In 2010 and 2009, development expenses incurred by Regeneron and Bayer HealthCare under the VEGF Trap-Eye global development plan were shared equally. As of June 30, 2010, $51.9 million of the $75.0 million up-front licensing and $20.0 million milestone payments was deferred and will be recognized as revenue in future periods.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79" w:lineRule="exact"/>
        <w:rPr>
          <w:sz w:val="20"/>
          <w:szCs w:val="20"/>
          <w:color w:val="auto"/>
        </w:rPr>
      </w:pPr>
    </w:p>
    <w:p>
      <w:pPr>
        <w:jc w:val="both"/>
        <w:ind w:firstLine="351"/>
        <w:spacing w:after="0" w:line="227"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license agreements with AstraZeneca and Astellas, each of the $20.0 million annual, non-refundable payments are deferred upon receipt and recognized as revenue ratably over approximately the ensuing year of each agreement. In the second quarter of both 2010 and 2009, we recognized $10.0 million of technology licensing revenue related to these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6" w:lineRule="exact"/>
        <w:rPr>
          <w:sz w:val="20"/>
          <w:szCs w:val="20"/>
          <w:color w:val="auto"/>
        </w:rPr>
      </w:pPr>
    </w:p>
    <w:p>
      <w:pPr>
        <w:jc w:val="both"/>
        <w:ind w:right="20" w:firstLine="270"/>
        <w:spacing w:after="0" w:line="319" w:lineRule="auto"/>
        <w:rPr>
          <w:sz w:val="20"/>
          <w:szCs w:val="20"/>
          <w:color w:val="auto"/>
        </w:rPr>
      </w:pPr>
      <w:r>
        <w:rPr>
          <w:rFonts w:ascii="Arial" w:cs="Arial" w:eastAsia="Arial" w:hAnsi="Arial"/>
          <w:sz w:val="15"/>
          <w:szCs w:val="15"/>
          <w:color w:val="auto"/>
        </w:rPr>
        <w:t>For the three months ended June 30, 2010,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net product sales were $5.2 million, compared to $4.5 million during the same period in 2009. There was no deferred ARCALYST</w:t>
      </w:r>
      <w:r>
        <w:rPr>
          <w:rFonts w:ascii="Arial" w:cs="Arial" w:eastAsia="Arial" w:hAnsi="Arial"/>
          <w:sz w:val="20"/>
          <w:szCs w:val="20"/>
          <w:color w:val="auto"/>
          <w:vertAlign w:val="superscript"/>
        </w:rPr>
        <w:t>®</w:t>
      </w:r>
      <w:r>
        <w:rPr>
          <w:rFonts w:ascii="Arial" w:cs="Arial" w:eastAsia="Arial" w:hAnsi="Arial"/>
          <w:sz w:val="15"/>
          <w:szCs w:val="15"/>
          <w:color w:val="auto"/>
        </w:rPr>
        <w:t>net product sales revenue at June 30, 2010. At June 30, 2009, deferred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net product sales revenue was $4.9 million.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Other Revenue</w:t>
      </w:r>
    </w:p>
    <w:p>
      <w:pPr>
        <w:spacing w:after="0" w:line="279" w:lineRule="exact"/>
        <w:rPr>
          <w:sz w:val="20"/>
          <w:szCs w:val="20"/>
          <w:color w:val="auto"/>
        </w:rPr>
      </w:pPr>
    </w:p>
    <w:p>
      <w:pPr>
        <w:jc w:val="both"/>
        <w:ind w:firstLine="311"/>
        <w:spacing w:after="0" w:line="332" w:lineRule="auto"/>
        <w:rPr>
          <w:sz w:val="20"/>
          <w:szCs w:val="20"/>
          <w:color w:val="auto"/>
        </w:rPr>
      </w:pPr>
      <w:r>
        <w:rPr>
          <w:rFonts w:ascii="Arial" w:cs="Arial" w:eastAsia="Arial" w:hAnsi="Arial"/>
          <w:sz w:val="16"/>
          <w:szCs w:val="16"/>
          <w:color w:val="auto"/>
        </w:rPr>
        <w:t>Contract research and other revenue for the three months ended June 30, 2010 and 2009 included $1.2 million and $1.5 million, respectively, recognized in connection with our five-year grant from the NIH, which we were awarded in September 2006 as part of the NIH’s Knockout Mouse Project.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Total operating expenses increased to $139.6 million in the second quarter of 2010 from $106.3 million in the second quarter of 2009. Our average headcount increased to 1,214 in the second quarter of 2010 from 966 in the same period of 2009 principally as a result of our expanding research and development activities, which are primarily attributable to our antibody collaboration with sanofi-aventis.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26" w:name="page27"/>
    <w:bookmarkEnd w:id="26"/>
    <w:p>
      <w:pPr>
        <w:ind w:firstLine="297"/>
        <w:spacing w:after="0" w:line="268" w:lineRule="auto"/>
        <w:rPr>
          <w:sz w:val="20"/>
          <w:szCs w:val="20"/>
          <w:color w:val="auto"/>
        </w:rPr>
      </w:pPr>
      <w:r>
        <w:rPr>
          <w:rFonts w:ascii="Arial" w:cs="Arial" w:eastAsia="Arial" w:hAnsi="Arial"/>
          <w:sz w:val="18"/>
          <w:szCs w:val="18"/>
          <w:color w:val="auto"/>
        </w:rPr>
        <w:t>Operating expenses in the second quarter of 2010 and 2009 include a total of $8.7 million and $7.4 million, respectively, of non-cash compensation expense related to employee stock option and restricted stock awards (Non-cash Compensation Expense), as detailed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jc w:val="right"/>
              <w:ind w:right="372"/>
              <w:spacing w:after="0"/>
              <w:rPr>
                <w:sz w:val="20"/>
                <w:szCs w:val="20"/>
                <w:color w:val="auto"/>
              </w:rPr>
            </w:pPr>
            <w:r>
              <w:rPr>
                <w:rFonts w:ascii="Arial" w:cs="Arial" w:eastAsia="Arial" w:hAnsi="Arial"/>
                <w:sz w:val="18"/>
                <w:szCs w:val="18"/>
                <w:b w:val="1"/>
                <w:bCs w:val="1"/>
                <w:color w:val="auto"/>
                <w:w w:val="94"/>
              </w:rPr>
              <w:t>For the three months ended June 30, 2010</w:t>
            </w:r>
          </w:p>
        </w:tc>
      </w:tr>
      <w:tr>
        <w:trPr>
          <w:trHeight w:val="228"/>
        </w:trPr>
        <w:tc>
          <w:tcPr>
            <w:tcW w:w="4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Expenses before</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2"/>
        </w:trPr>
        <w:tc>
          <w:tcPr>
            <w:tcW w:w="4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inclusion of Non-cash</w:t>
            </w:r>
          </w:p>
        </w:tc>
        <w:tc>
          <w:tcPr>
            <w:tcW w:w="140" w:type="dxa"/>
            <w:vAlign w:val="bottom"/>
          </w:tcPr>
          <w:p>
            <w:pPr>
              <w:spacing w:after="0"/>
              <w:rPr>
                <w:sz w:val="21"/>
                <w:szCs w:val="21"/>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Non-cash</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2"/>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1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Compensation</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0"/>
              </w:rPr>
              <w:t>Expenses as</w:t>
            </w:r>
          </w:p>
        </w:tc>
      </w:tr>
      <w:tr>
        <w:trPr>
          <w:trHeight w:val="237"/>
        </w:trPr>
        <w:tc>
          <w:tcPr>
            <w:tcW w:w="438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6"/>
              </w:rPr>
              <w:t>Expense</w:t>
            </w: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3"/>
              </w:rPr>
              <w:t>Expense</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6"/>
              </w:rPr>
              <w:t>Reported</w:t>
            </w:r>
          </w:p>
        </w:tc>
      </w:tr>
      <w:tr>
        <w:trPr>
          <w:trHeight w:val="243"/>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shd w:val="clear" w:color="auto" w:fill="C0C0C0"/>
          </w:tcPr>
          <w:p>
            <w:pPr>
              <w:ind w:left="18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124.5</w:t>
            </w: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44"/>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18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r>
      <w:tr>
        <w:trPr>
          <w:trHeight w:val="242"/>
        </w:trPr>
        <w:tc>
          <w:tcPr>
            <w:tcW w:w="43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8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8"/>
        </w:trPr>
        <w:tc>
          <w:tcPr>
            <w:tcW w:w="4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466"/>
        </w:trPr>
        <w:tc>
          <w:tcPr>
            <w:tcW w:w="4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jc w:val="right"/>
              <w:ind w:right="372"/>
              <w:spacing w:after="0"/>
              <w:rPr>
                <w:sz w:val="20"/>
                <w:szCs w:val="20"/>
                <w:color w:val="auto"/>
              </w:rPr>
            </w:pPr>
            <w:r>
              <w:rPr>
                <w:rFonts w:ascii="Arial" w:cs="Arial" w:eastAsia="Arial" w:hAnsi="Arial"/>
                <w:sz w:val="18"/>
                <w:szCs w:val="18"/>
                <w:b w:val="1"/>
                <w:bCs w:val="1"/>
                <w:color w:val="auto"/>
                <w:w w:val="94"/>
              </w:rPr>
              <w:t>For the three months ended June 30, 2009</w:t>
            </w:r>
          </w:p>
        </w:tc>
      </w:tr>
      <w:tr>
        <w:trPr>
          <w:trHeight w:val="228"/>
        </w:trPr>
        <w:tc>
          <w:tcPr>
            <w:tcW w:w="4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Expenses before</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2"/>
        </w:trPr>
        <w:tc>
          <w:tcPr>
            <w:tcW w:w="4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inclusion of Non-cash</w:t>
            </w:r>
          </w:p>
        </w:tc>
        <w:tc>
          <w:tcPr>
            <w:tcW w:w="140" w:type="dxa"/>
            <w:vAlign w:val="bottom"/>
          </w:tcPr>
          <w:p>
            <w:pPr>
              <w:spacing w:after="0"/>
              <w:rPr>
                <w:sz w:val="21"/>
                <w:szCs w:val="21"/>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Non-cash</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2"/>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1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Compensation</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0"/>
              </w:rPr>
              <w:t>Expenses as</w:t>
            </w:r>
          </w:p>
        </w:tc>
      </w:tr>
      <w:tr>
        <w:trPr>
          <w:trHeight w:val="237"/>
        </w:trPr>
        <w:tc>
          <w:tcPr>
            <w:tcW w:w="438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6"/>
              </w:rPr>
              <w:t>Expense</w:t>
            </w: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3"/>
              </w:rPr>
              <w:t>Expense</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6"/>
              </w:rPr>
              <w:t>Reported</w:t>
            </w:r>
          </w:p>
        </w:tc>
      </w:tr>
      <w:tr>
        <w:trPr>
          <w:trHeight w:val="243"/>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shd w:val="clear" w:color="auto" w:fill="C0C0C0"/>
          </w:tcPr>
          <w:p>
            <w:pPr>
              <w:ind w:left="18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89.5</w:t>
            </w: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94.2</w:t>
            </w: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44"/>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18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r>
      <w:tr>
        <w:trPr>
          <w:trHeight w:val="242"/>
        </w:trPr>
        <w:tc>
          <w:tcPr>
            <w:tcW w:w="43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8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8"/>
        </w:trPr>
        <w:tc>
          <w:tcPr>
            <w:tcW w:w="4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84"/>
        <w:spacing w:after="0" w:line="332" w:lineRule="auto"/>
        <w:rPr>
          <w:sz w:val="20"/>
          <w:szCs w:val="20"/>
          <w:color w:val="auto"/>
        </w:rPr>
      </w:pPr>
      <w:r>
        <w:rPr>
          <w:rFonts w:ascii="Arial" w:cs="Arial" w:eastAsia="Arial" w:hAnsi="Arial"/>
          <w:sz w:val="16"/>
          <w:szCs w:val="16"/>
          <w:color w:val="auto"/>
        </w:rPr>
        <w:t>Research and development expenses increased to $124.5 million in the second quarter of 2010 from $94.2 million in the same period of 2009. The following table summarizes the major categories of our research and development expenses for the three months ended June 30, 2010 and 2009: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4680" w:type="dxa"/>
            <w:vAlign w:val="bottom"/>
            <w:gridSpan w:val="8"/>
          </w:tcPr>
          <w:p>
            <w:pPr>
              <w:ind w:left="1800"/>
              <w:spacing w:after="0"/>
              <w:rPr>
                <w:sz w:val="20"/>
                <w:szCs w:val="20"/>
                <w:color w:val="auto"/>
              </w:rPr>
            </w:pPr>
            <w:r>
              <w:rPr>
                <w:rFonts w:ascii="Arial" w:cs="Arial" w:eastAsia="Arial" w:hAnsi="Arial"/>
                <w:sz w:val="18"/>
                <w:szCs w:val="18"/>
                <w:b w:val="1"/>
                <w:bCs w:val="1"/>
                <w:color w:val="auto"/>
                <w:w w:val="90"/>
              </w:rPr>
              <w:t>For the three months ended June 30,</w:t>
            </w: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Increase</w:t>
            </w:r>
          </w:p>
        </w:tc>
      </w:tr>
      <w:tr>
        <w:trPr>
          <w:trHeight w:val="237"/>
        </w:trPr>
        <w:tc>
          <w:tcPr>
            <w:tcW w:w="470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0" w:type="dxa"/>
            <w:vAlign w:val="bottom"/>
            <w:tcBorders>
              <w:top w:val="single" w:sz="8" w:color="auto"/>
              <w:bottom w:val="single" w:sz="8" w:color="C0C0C0"/>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C0C0C0"/>
            </w:tcBorders>
          </w:tcPr>
          <w:p>
            <w:pPr>
              <w:spacing w:after="0"/>
              <w:rPr>
                <w:sz w:val="20"/>
                <w:szCs w:val="20"/>
                <w:color w:val="auto"/>
              </w:rPr>
            </w:pPr>
          </w:p>
        </w:tc>
        <w:tc>
          <w:tcPr>
            <w:tcW w:w="160" w:type="dxa"/>
            <w:vAlign w:val="bottom"/>
            <w:tcBorders>
              <w:top w:val="single" w:sz="8" w:color="auto"/>
              <w:bottom w:val="single" w:sz="8" w:color="C0C0C0"/>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(Decrease)</w:t>
            </w:r>
          </w:p>
        </w:tc>
      </w:tr>
      <w:tr>
        <w:trPr>
          <w:trHeight w:val="243"/>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2060" w:type="dxa"/>
            <w:vAlign w:val="bottom"/>
            <w:gridSpan w:val="2"/>
            <w:shd w:val="clear" w:color="auto" w:fill="C0C0C0"/>
          </w:tcPr>
          <w:p>
            <w:pPr>
              <w:ind w:left="1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31.9</w:t>
            </w:r>
          </w:p>
        </w:tc>
        <w:tc>
          <w:tcPr>
            <w:tcW w:w="42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23.6</w:t>
            </w:r>
          </w:p>
        </w:tc>
        <w:tc>
          <w:tcPr>
            <w:tcW w:w="3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8.3</w:t>
            </w:r>
          </w:p>
        </w:tc>
      </w:tr>
      <w:tr>
        <w:trPr>
          <w:trHeight w:val="235"/>
        </w:trPr>
        <w:tc>
          <w:tcPr>
            <w:tcW w:w="47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1"/>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1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13.8</w:t>
            </w:r>
          </w:p>
        </w:tc>
      </w:tr>
      <w:tr>
        <w:trPr>
          <w:trHeight w:val="235"/>
        </w:trPr>
        <w:tc>
          <w:tcPr>
            <w:tcW w:w="4700" w:type="dxa"/>
            <w:vAlign w:val="bottom"/>
          </w:tcPr>
          <w:p>
            <w:pPr>
              <w:spacing w:after="0"/>
              <w:rPr>
                <w:sz w:val="20"/>
                <w:szCs w:val="20"/>
                <w:color w:val="auto"/>
              </w:rPr>
            </w:pPr>
            <w:r>
              <w:rPr>
                <w:rFonts w:ascii="Arial" w:cs="Arial" w:eastAsia="Arial" w:hAnsi="Arial"/>
                <w:sz w:val="18"/>
                <w:szCs w:val="18"/>
                <w:color w:val="auto"/>
              </w:rPr>
              <w:t>Research and other development costs</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3.9</w:t>
            </w:r>
          </w:p>
        </w:tc>
      </w:tr>
      <w:tr>
        <w:trPr>
          <w:trHeight w:val="251"/>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1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3.8</w:t>
            </w:r>
          </w:p>
        </w:tc>
      </w:tr>
      <w:tr>
        <w:trPr>
          <w:trHeight w:val="228"/>
        </w:trPr>
        <w:tc>
          <w:tcPr>
            <w:tcW w:w="4700" w:type="dxa"/>
            <w:vAlign w:val="bottom"/>
          </w:tcPr>
          <w:p>
            <w:pPr>
              <w:spacing w:after="0"/>
              <w:rPr>
                <w:sz w:val="20"/>
                <w:szCs w:val="20"/>
                <w:color w:val="auto"/>
              </w:rPr>
            </w:pPr>
            <w:r>
              <w:rPr>
                <w:rFonts w:ascii="Arial" w:cs="Arial" w:eastAsia="Arial" w:hAnsi="Arial"/>
                <w:sz w:val="18"/>
                <w:szCs w:val="18"/>
                <w:color w:val="auto"/>
              </w:rPr>
              <w:t>Cost-sharing of Bayer HealthCare VEGF</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2"/>
        </w:trPr>
        <w:tc>
          <w:tcPr>
            <w:tcW w:w="47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Trap-Eye development expenses (3)</w:t>
            </w:r>
          </w:p>
        </w:tc>
        <w:tc>
          <w:tcPr>
            <w:tcW w:w="1800" w:type="dxa"/>
            <w:vAlign w:val="bottom"/>
            <w:tcBorders>
              <w:bottom w:val="single" w:sz="8" w:color="C0C0C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r>
      <w:tr>
        <w:trPr>
          <w:trHeight w:val="242"/>
        </w:trPr>
        <w:tc>
          <w:tcPr>
            <w:tcW w:w="4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research and development</w:t>
            </w:r>
          </w:p>
        </w:tc>
        <w:tc>
          <w:tcPr>
            <w:tcW w:w="1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124.5</w:t>
            </w:r>
          </w:p>
        </w:tc>
        <w:tc>
          <w:tcPr>
            <w:tcW w:w="140" w:type="dxa"/>
            <w:vAlign w:val="bottom"/>
            <w:shd w:val="clear" w:color="auto" w:fill="C0C0C0"/>
          </w:tcPr>
          <w:p>
            <w:pPr>
              <w:spacing w:after="0"/>
              <w:rPr>
                <w:sz w:val="21"/>
                <w:szCs w:val="21"/>
                <w:color w:val="auto"/>
              </w:rPr>
            </w:pPr>
          </w:p>
        </w:tc>
        <w:tc>
          <w:tcPr>
            <w:tcW w:w="42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94.2</w:t>
            </w:r>
          </w:p>
        </w:tc>
        <w:tc>
          <w:tcPr>
            <w:tcW w:w="3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30.3</w:t>
            </w:r>
          </w:p>
        </w:tc>
      </w:tr>
      <w:tr>
        <w:trPr>
          <w:trHeight w:val="28"/>
        </w:trPr>
        <w:tc>
          <w:tcPr>
            <w:tcW w:w="4700" w:type="dxa"/>
            <w:vAlign w:val="bottom"/>
            <w:shd w:val="clear" w:color="auto" w:fill="C0C0C0"/>
          </w:tcPr>
          <w:p>
            <w:pPr>
              <w:spacing w:after="0"/>
              <w:rPr>
                <w:sz w:val="2"/>
                <w:szCs w:val="2"/>
                <w:color w:val="auto"/>
              </w:rPr>
            </w:pPr>
          </w:p>
        </w:tc>
        <w:tc>
          <w:tcPr>
            <w:tcW w:w="1800" w:type="dxa"/>
            <w:vAlign w:val="bottom"/>
            <w:shd w:val="clear" w:color="auto" w:fill="C0C0C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221" w:lineRule="exact"/>
        <w:rPr>
          <w:sz w:val="20"/>
          <w:szCs w:val="20"/>
          <w:color w:val="auto"/>
        </w:rPr>
      </w:pPr>
    </w:p>
    <w:p>
      <w:pPr>
        <w:ind w:left="760" w:hanging="482"/>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$4.2 million and $4.0 million of Non-cash Compensation Expense for the three months ended June 30, 2010 and 2009, respectively.</w:t>
      </w:r>
    </w:p>
    <w:p>
      <w:pPr>
        <w:spacing w:after="0" w:line="302" w:lineRule="exact"/>
        <w:rPr>
          <w:rFonts w:ascii="Arial" w:cs="Arial" w:eastAsia="Arial" w:hAnsi="Arial"/>
          <w:sz w:val="16"/>
          <w:szCs w:val="16"/>
          <w:color w:val="auto"/>
        </w:rPr>
      </w:pPr>
    </w:p>
    <w:p>
      <w:pPr>
        <w:jc w:val="both"/>
        <w:ind w:left="760" w:hanging="482"/>
        <w:spacing w:after="0" w:line="306"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$0.8 million and $0.7 million of Non-cash Compensation Expense for the three months ended June 30, 2010 and 2009, respectively.</w:t>
      </w:r>
    </w:p>
    <w:p>
      <w:pPr>
        <w:spacing w:after="0" w:line="187" w:lineRule="exact"/>
        <w:rPr>
          <w:rFonts w:ascii="Arial" w:cs="Arial" w:eastAsia="Arial" w:hAnsi="Arial"/>
          <w:sz w:val="16"/>
          <w:szCs w:val="16"/>
          <w:color w:val="auto"/>
        </w:rPr>
      </w:pPr>
    </w:p>
    <w:p>
      <w:pPr>
        <w:jc w:val="both"/>
        <w:ind w:left="760" w:hanging="482"/>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7" w:name="page28"/>
    <w:bookmarkEnd w:id="27"/>
    <w:p>
      <w:pPr>
        <w:jc w:val="both"/>
        <w:ind w:firstLine="348"/>
        <w:spacing w:after="0" w:line="255" w:lineRule="auto"/>
        <w:rPr>
          <w:sz w:val="20"/>
          <w:szCs w:val="20"/>
          <w:color w:val="auto"/>
        </w:rPr>
      </w:pPr>
      <w:r>
        <w:rPr>
          <w:rFonts w:ascii="Arial" w:cs="Arial" w:eastAsia="Arial" w:hAnsi="Arial"/>
          <w:sz w:val="17"/>
          <w:szCs w:val="17"/>
          <w:color w:val="auto"/>
        </w:rPr>
        <w:t>Payroll and benefits increased principally due to the increase in employee headcount, as described above. Clinical trial expenses decreased due primarily to lower costs related to our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clinical development program in gout. Clinical manufacturing costs increased primarily due to higher costs related to manufacturing clinical supplies of monoclonal antibodies. Research and other development costs increased primarily due to higher costs associated with our antibody programs. Occupancy and other operating costs increased principally in connection with our higher headcount, expanded research and development activities, and new and expanded leased laboratory and office facilities in Tarrytown, New York. Cost-sharing of Bayer HealthCare’s VEGF Trap-Eye development expenses increased primarily due to higher costs in connection with the VIEW 2 trial in wet AMD and the GALILEO trial in CRVO, both of which are being conducted by Bayer HealthCare.</w:t>
      </w:r>
    </w:p>
    <w:p>
      <w:pPr>
        <w:spacing w:after="0" w:line="256"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r>
              <w:rPr>
                <w:rFonts w:ascii="Arial" w:cs="Arial" w:eastAsia="Arial" w:hAnsi="Arial"/>
                <w:sz w:val="18"/>
                <w:szCs w:val="18"/>
                <w:b w:val="1"/>
                <w:bCs w:val="1"/>
                <w:color w:val="auto"/>
              </w:rPr>
              <w:t>Project Costs</w:t>
            </w:r>
          </w:p>
        </w:tc>
        <w:tc>
          <w:tcPr>
            <w:tcW w:w="4360" w:type="dxa"/>
            <w:vAlign w:val="bottom"/>
            <w:gridSpan w:val="8"/>
          </w:tcPr>
          <w:p>
            <w:pPr>
              <w:ind w:left="1480"/>
              <w:spacing w:after="0"/>
              <w:rPr>
                <w:sz w:val="20"/>
                <w:szCs w:val="20"/>
                <w:color w:val="auto"/>
              </w:rPr>
            </w:pPr>
            <w:r>
              <w:rPr>
                <w:rFonts w:ascii="Arial" w:cs="Arial" w:eastAsia="Arial" w:hAnsi="Arial"/>
                <w:sz w:val="18"/>
                <w:szCs w:val="18"/>
                <w:b w:val="1"/>
                <w:bCs w:val="1"/>
                <w:color w:val="auto"/>
                <w:w w:val="90"/>
              </w:rPr>
              <w:t>For the three months ended June 30,</w:t>
            </w: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Increase</w:t>
            </w:r>
          </w:p>
        </w:tc>
      </w:tr>
      <w:tr>
        <w:trPr>
          <w:trHeight w:val="237"/>
        </w:trPr>
        <w:tc>
          <w:tcPr>
            <w:tcW w:w="502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80" w:type="dxa"/>
            <w:vAlign w:val="bottom"/>
            <w:tcBorders>
              <w:top w:val="single" w:sz="8" w:color="auto"/>
              <w:bottom w:val="single" w:sz="8" w:color="C0C0C0"/>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C0C0C0"/>
            </w:tcBorders>
          </w:tcPr>
          <w:p>
            <w:pPr>
              <w:spacing w:after="0"/>
              <w:rPr>
                <w:sz w:val="20"/>
                <w:szCs w:val="20"/>
                <w:color w:val="auto"/>
              </w:rPr>
            </w:pPr>
          </w:p>
        </w:tc>
        <w:tc>
          <w:tcPr>
            <w:tcW w:w="160" w:type="dxa"/>
            <w:vAlign w:val="bottom"/>
            <w:tcBorders>
              <w:top w:val="single" w:sz="8" w:color="auto"/>
              <w:bottom w:val="single" w:sz="8" w:color="C0C0C0"/>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(Decrease)</w:t>
            </w:r>
          </w:p>
        </w:tc>
      </w:tr>
      <w:tr>
        <w:trPr>
          <w:trHeight w:val="243"/>
        </w:trPr>
        <w:tc>
          <w:tcPr>
            <w:tcW w:w="5020" w:type="dxa"/>
            <w:vAlign w:val="bottom"/>
            <w:shd w:val="clear" w:color="auto" w:fill="C0C0C0"/>
          </w:tcPr>
          <w:p>
            <w:pPr>
              <w:spacing w:after="0"/>
              <w:rPr>
                <w:sz w:val="20"/>
                <w:szCs w:val="20"/>
                <w:color w:val="auto"/>
              </w:rPr>
            </w:pPr>
            <w:r>
              <w:rPr>
                <w:rFonts w:ascii="Arial" w:cs="Arial" w:eastAsia="Arial" w:hAnsi="Arial"/>
                <w:sz w:val="18"/>
                <w:szCs w:val="18"/>
                <w:color w:val="auto"/>
              </w:rPr>
              <w:t>ARCALYST</w:t>
            </w:r>
            <w:r>
              <w:rPr>
                <w:rFonts w:ascii="Arial" w:cs="Arial" w:eastAsia="Arial" w:hAnsi="Arial"/>
                <w:sz w:val="12"/>
                <w:szCs w:val="12"/>
                <w:color w:val="auto"/>
              </w:rPr>
              <w:t>®</w:t>
            </w:r>
          </w:p>
        </w:tc>
        <w:tc>
          <w:tcPr>
            <w:tcW w:w="1740" w:type="dxa"/>
            <w:vAlign w:val="bottom"/>
            <w:gridSpan w:val="2"/>
            <w:shd w:val="clear" w:color="auto" w:fill="C0C0C0"/>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11.6</w:t>
            </w:r>
          </w:p>
        </w:tc>
        <w:tc>
          <w:tcPr>
            <w:tcW w:w="42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15.7</w:t>
            </w:r>
          </w:p>
        </w:tc>
        <w:tc>
          <w:tcPr>
            <w:tcW w:w="3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w:t>
            </w:r>
          </w:p>
        </w:tc>
      </w:tr>
      <w:tr>
        <w:trPr>
          <w:trHeight w:val="235"/>
        </w:trPr>
        <w:tc>
          <w:tcPr>
            <w:tcW w:w="5020" w:type="dxa"/>
            <w:vAlign w:val="bottom"/>
          </w:tcPr>
          <w:p>
            <w:pPr>
              <w:spacing w:after="0"/>
              <w:rPr>
                <w:sz w:val="20"/>
                <w:szCs w:val="20"/>
                <w:color w:val="auto"/>
              </w:rPr>
            </w:pPr>
            <w:r>
              <w:rPr>
                <w:rFonts w:ascii="Arial" w:cs="Arial" w:eastAsia="Arial" w:hAnsi="Arial"/>
                <w:sz w:val="18"/>
                <w:szCs w:val="18"/>
                <w:color w:val="auto"/>
              </w:rPr>
              <w:t>VEGF Trap-Eye</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4.2</w:t>
            </w:r>
          </w:p>
        </w:tc>
      </w:tr>
      <w:tr>
        <w:trPr>
          <w:trHeight w:val="251"/>
        </w:trPr>
        <w:tc>
          <w:tcPr>
            <w:tcW w:w="502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14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w:t>
            </w:r>
          </w:p>
        </w:tc>
      </w:tr>
      <w:tr>
        <w:trPr>
          <w:trHeight w:val="235"/>
        </w:trPr>
        <w:tc>
          <w:tcPr>
            <w:tcW w:w="5020" w:type="dxa"/>
            <w:vAlign w:val="bottom"/>
          </w:tcPr>
          <w:p>
            <w:pPr>
              <w:spacing w:after="0"/>
              <w:rPr>
                <w:sz w:val="20"/>
                <w:szCs w:val="20"/>
                <w:color w:val="auto"/>
              </w:rPr>
            </w:pPr>
            <w:r>
              <w:rPr>
                <w:rFonts w:ascii="Arial" w:cs="Arial" w:eastAsia="Arial" w:hAnsi="Arial"/>
                <w:sz w:val="18"/>
                <w:szCs w:val="18"/>
                <w:color w:val="auto"/>
              </w:rPr>
              <w:t>REGN88</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1.3</w:t>
            </w:r>
          </w:p>
        </w:tc>
      </w:tr>
      <w:tr>
        <w:trPr>
          <w:trHeight w:val="251"/>
        </w:trPr>
        <w:tc>
          <w:tcPr>
            <w:tcW w:w="5020" w:type="dxa"/>
            <w:vAlign w:val="bottom"/>
            <w:shd w:val="clear" w:color="auto" w:fill="C0C0C0"/>
          </w:tcPr>
          <w:p>
            <w:pPr>
              <w:spacing w:after="0"/>
              <w:rPr>
                <w:sz w:val="20"/>
                <w:szCs w:val="20"/>
                <w:color w:val="auto"/>
              </w:rPr>
            </w:pPr>
            <w:r>
              <w:rPr>
                <w:rFonts w:ascii="Arial" w:cs="Arial" w:eastAsia="Arial" w:hAnsi="Arial"/>
                <w:sz w:val="18"/>
                <w:szCs w:val="18"/>
                <w:color w:val="auto"/>
              </w:rPr>
              <w:t>Other antibody candidates in clinical development</w:t>
            </w:r>
          </w:p>
        </w:tc>
        <w:tc>
          <w:tcPr>
            <w:tcW w:w="14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21.1</w:t>
            </w:r>
          </w:p>
        </w:tc>
      </w:tr>
      <w:tr>
        <w:trPr>
          <w:trHeight w:val="237"/>
        </w:trPr>
        <w:tc>
          <w:tcPr>
            <w:tcW w:w="50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research programs &amp; unallocated costs</w:t>
            </w:r>
          </w:p>
        </w:tc>
        <w:tc>
          <w:tcPr>
            <w:tcW w:w="148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w:t>
            </w:r>
          </w:p>
        </w:tc>
      </w:tr>
      <w:tr>
        <w:trPr>
          <w:trHeight w:val="242"/>
        </w:trPr>
        <w:tc>
          <w:tcPr>
            <w:tcW w:w="50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research and development expenses</w:t>
            </w:r>
          </w:p>
        </w:tc>
        <w:tc>
          <w:tcPr>
            <w:tcW w:w="14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124.5</w:t>
            </w:r>
          </w:p>
        </w:tc>
        <w:tc>
          <w:tcPr>
            <w:tcW w:w="140" w:type="dxa"/>
            <w:vAlign w:val="bottom"/>
            <w:shd w:val="clear" w:color="auto" w:fill="C0C0C0"/>
          </w:tcPr>
          <w:p>
            <w:pPr>
              <w:spacing w:after="0"/>
              <w:rPr>
                <w:sz w:val="21"/>
                <w:szCs w:val="21"/>
                <w:color w:val="auto"/>
              </w:rPr>
            </w:pPr>
          </w:p>
        </w:tc>
        <w:tc>
          <w:tcPr>
            <w:tcW w:w="42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94.2</w:t>
            </w:r>
          </w:p>
        </w:tc>
        <w:tc>
          <w:tcPr>
            <w:tcW w:w="3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30.3</w:t>
            </w:r>
          </w:p>
        </w:tc>
      </w:tr>
      <w:tr>
        <w:trPr>
          <w:trHeight w:val="28"/>
        </w:trPr>
        <w:tc>
          <w:tcPr>
            <w:tcW w:w="5020" w:type="dxa"/>
            <w:vAlign w:val="bottom"/>
            <w:shd w:val="clear" w:color="auto" w:fill="C0C0C0"/>
          </w:tcPr>
          <w:p>
            <w:pPr>
              <w:spacing w:after="0"/>
              <w:rPr>
                <w:sz w:val="2"/>
                <w:szCs w:val="2"/>
                <w:color w:val="auto"/>
              </w:rPr>
            </w:pPr>
          </w:p>
        </w:tc>
        <w:tc>
          <w:tcPr>
            <w:tcW w:w="1480" w:type="dxa"/>
            <w:vAlign w:val="bottom"/>
            <w:shd w:val="clear" w:color="auto" w:fill="C0C0C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w:t>
      </w:r>
      <w:r>
        <w:rPr>
          <w:rFonts w:ascii="Arial" w:cs="Arial" w:eastAsia="Arial" w:hAnsi="Arial"/>
          <w:sz w:val="22"/>
          <w:szCs w:val="22"/>
          <w:color w:val="auto"/>
          <w:vertAlign w:val="superscript"/>
        </w:rPr>
        <w:t>®</w:t>
      </w:r>
      <w:r>
        <w:rPr>
          <w:rFonts w:ascii="Arial" w:cs="Arial" w:eastAsia="Arial" w:hAnsi="Arial"/>
          <w:sz w:val="16"/>
          <w:szCs w:val="16"/>
          <w:color w:val="auto"/>
        </w:rPr>
        <w:t>, aflibercept, and VEGF Trap-Eye in different disease indications.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8" w:name="page29"/>
    <w:bookmarkEnd w:id="28"/>
    <w:p>
      <w:pPr>
        <w:jc w:val="both"/>
        <w:ind w:right="20" w:firstLine="365"/>
        <w:spacing w:after="0" w:line="27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4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7"/>
          <w:szCs w:val="17"/>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 In 2008, we received FDA approval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a group of rare, inherited auto-inflammatory diseases that affect a very small group of people. We currently do not expect to generate material product revenues and net cash inflows from the sale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right="20" w:firstLine="297"/>
        <w:spacing w:after="0" w:line="259" w:lineRule="auto"/>
        <w:rPr>
          <w:sz w:val="20"/>
          <w:szCs w:val="20"/>
          <w:color w:val="auto"/>
        </w:rPr>
      </w:pPr>
      <w:r>
        <w:rPr>
          <w:rFonts w:ascii="Arial" w:cs="Arial" w:eastAsia="Arial" w:hAnsi="Arial"/>
          <w:sz w:val="18"/>
          <w:szCs w:val="18"/>
          <w:color w:val="auto"/>
        </w:rPr>
        <w:t>Selling, general, and administrative expenses increased to $14.7 million in the second quarter of 2010 from $11.7 million in the same period of 2009. In the second quarter of 2010, we incurred higher compensation expense due primarily to increases in headcount, higher Non-cash Compensation Expense, and higher recruitment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6" w:lineRule="exact"/>
        <w:rPr>
          <w:sz w:val="20"/>
          <w:szCs w:val="20"/>
          <w:color w:val="auto"/>
        </w:rPr>
      </w:pPr>
    </w:p>
    <w:p>
      <w:pPr>
        <w:jc w:val="both"/>
        <w:ind w:right="20" w:firstLine="311"/>
        <w:spacing w:after="0" w:line="227" w:lineRule="auto"/>
        <w:rPr>
          <w:sz w:val="20"/>
          <w:szCs w:val="20"/>
          <w:color w:val="auto"/>
        </w:rPr>
      </w:pPr>
      <w:r>
        <w:rPr>
          <w:rFonts w:ascii="Arial" w:cs="Arial" w:eastAsia="Arial" w:hAnsi="Arial"/>
          <w:sz w:val="17"/>
          <w:szCs w:val="17"/>
          <w:color w:val="auto"/>
        </w:rPr>
        <w:t>Cost of goods sold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sales, which consisted primarily of royalties and other period costs, totaled $0.4 million for both of the quarters ended June 30, 2010 and 2009. To date,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shipments to our customers have consisted of supplies of inventory manufactured and expensed prior to FDA approval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February 2008; therefore, the costs of these supplies were not included in costs of goods sold.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Investment income decreased to $0.6 million in the second quarter of 2010 from $1.3 million in the comparable quarter of 2009, primarily due to lower balances of, and lower yields on, cash and marketable securities and a $0.1 million other-than-temporary impairment charge. Interest expense of $2.3 million in the second quarter of 2010 was attributable to the imputed interest portion of payments to our landlord to lease newly constructed laboratory and office facilities in Tarrytown, New York. These payments commenced in the third quarter of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Six Months Ended June 30,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79" w:lineRule="exact"/>
        <w:rPr>
          <w:sz w:val="20"/>
          <w:szCs w:val="20"/>
          <w:color w:val="auto"/>
        </w:rPr>
      </w:pPr>
    </w:p>
    <w:p>
      <w:pPr>
        <w:jc w:val="both"/>
        <w:ind w:right="20" w:firstLine="311"/>
        <w:spacing w:after="0" w:line="306" w:lineRule="auto"/>
        <w:rPr>
          <w:sz w:val="20"/>
          <w:szCs w:val="20"/>
          <w:color w:val="auto"/>
        </w:rPr>
      </w:pPr>
      <w:r>
        <w:rPr>
          <w:rFonts w:ascii="Arial" w:cs="Arial" w:eastAsia="Arial" w:hAnsi="Arial"/>
          <w:sz w:val="16"/>
          <w:szCs w:val="16"/>
          <w:color w:val="auto"/>
        </w:rPr>
        <w:t>Regeneron reported a net loss of $56.0 million, or $0.69 per share (basic and diluted), for the first half of 2010, compared to a net loss of $30.3 million, or $0.38 per share (basic and diluted) for the first half of 2009. The increase in our net loss was principally due to higher research and development expenses, as detailed below, partly offset by higher collaboration revenue primarily in connection with our antibody collaboration with sanofi-aventis.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Revenues for the six months ended June 30, 2010 and 2009 consist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(In millions)</w:t>
            </w:r>
          </w:p>
        </w:tc>
        <w:tc>
          <w:tcPr>
            <w:tcW w:w="4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116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35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Collaboration revenue</w:t>
            </w:r>
          </w:p>
        </w:tc>
        <w:tc>
          <w:tcPr>
            <w:tcW w:w="4420" w:type="dxa"/>
            <w:vAlign w:val="bottom"/>
            <w:tcBorders>
              <w:top w:val="single" w:sz="8" w:color="C0C0C0"/>
            </w:tcBorders>
            <w:shd w:val="clear" w:color="auto" w:fill="C0C0C0"/>
          </w:tcPr>
          <w:p>
            <w:pPr>
              <w:spacing w:after="0"/>
              <w:rPr>
                <w:sz w:val="21"/>
                <w:szCs w:val="21"/>
                <w:color w:val="auto"/>
              </w:rPr>
            </w:pPr>
          </w:p>
        </w:tc>
        <w:tc>
          <w:tcPr>
            <w:tcW w:w="48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1160" w:type="dxa"/>
            <w:vAlign w:val="bottom"/>
          </w:tcPr>
          <w:p>
            <w:pPr>
              <w:spacing w:after="0"/>
              <w:rPr>
                <w:sz w:val="21"/>
                <w:szCs w:val="21"/>
                <w:color w:val="auto"/>
              </w:rPr>
            </w:pPr>
          </w:p>
        </w:tc>
      </w:tr>
      <w:tr>
        <w:trPr>
          <w:trHeight w:val="235"/>
        </w:trPr>
        <w:tc>
          <w:tcPr>
            <w:tcW w:w="1160" w:type="dxa"/>
            <w:vAlign w:val="bottom"/>
          </w:tcPr>
          <w:p>
            <w:pPr>
              <w:spacing w:after="0"/>
              <w:rPr>
                <w:sz w:val="20"/>
                <w:szCs w:val="20"/>
                <w:color w:val="auto"/>
              </w:rPr>
            </w:pPr>
          </w:p>
        </w:tc>
        <w:tc>
          <w:tcPr>
            <w:tcW w:w="3500" w:type="dxa"/>
            <w:vAlign w:val="bottom"/>
          </w:tcPr>
          <w:p>
            <w:pPr>
              <w:ind w:left="300"/>
              <w:spacing w:after="0"/>
              <w:rPr>
                <w:sz w:val="20"/>
                <w:szCs w:val="20"/>
                <w:color w:val="auto"/>
              </w:rPr>
            </w:pPr>
            <w:r>
              <w:rPr>
                <w:rFonts w:ascii="Arial" w:cs="Arial" w:eastAsia="Arial" w:hAnsi="Arial"/>
                <w:sz w:val="18"/>
                <w:szCs w:val="18"/>
                <w:color w:val="auto"/>
              </w:rPr>
              <w:t>Sanofi-aventis</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$153.6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$ 110.4</w:t>
            </w:r>
          </w:p>
        </w:tc>
        <w:tc>
          <w:tcPr>
            <w:tcW w:w="1160" w:type="dxa"/>
            <w:vAlign w:val="bottom"/>
          </w:tcPr>
          <w:p>
            <w:pPr>
              <w:spacing w:after="0"/>
              <w:rPr>
                <w:sz w:val="20"/>
                <w:szCs w:val="20"/>
                <w:color w:val="auto"/>
              </w:rPr>
            </w:pPr>
          </w:p>
        </w:tc>
      </w:tr>
      <w:tr>
        <w:trPr>
          <w:trHeight w:val="251"/>
        </w:trPr>
        <w:tc>
          <w:tcPr>
            <w:tcW w:w="1160" w:type="dxa"/>
            <w:vAlign w:val="bottom"/>
          </w:tcPr>
          <w:p>
            <w:pPr>
              <w:spacing w:after="0"/>
              <w:rPr>
                <w:sz w:val="21"/>
                <w:szCs w:val="21"/>
                <w:color w:val="auto"/>
              </w:rPr>
            </w:pPr>
          </w:p>
        </w:tc>
        <w:tc>
          <w:tcPr>
            <w:tcW w:w="35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Bayer HealthCare</w:t>
            </w:r>
          </w:p>
        </w:tc>
        <w:tc>
          <w:tcPr>
            <w:tcW w:w="4420" w:type="dxa"/>
            <w:vAlign w:val="bottom"/>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22.8</w:t>
            </w:r>
          </w:p>
        </w:tc>
        <w:tc>
          <w:tcPr>
            <w:tcW w:w="1160" w:type="dxa"/>
            <w:vAlign w:val="bottom"/>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3500" w:type="dxa"/>
            <w:vAlign w:val="bottom"/>
          </w:tcPr>
          <w:p>
            <w:pPr>
              <w:ind w:left="600"/>
              <w:spacing w:after="0"/>
              <w:rPr>
                <w:sz w:val="20"/>
                <w:szCs w:val="20"/>
                <w:color w:val="auto"/>
              </w:rPr>
            </w:pPr>
            <w:r>
              <w:rPr>
                <w:rFonts w:ascii="Arial" w:cs="Arial" w:eastAsia="Arial" w:hAnsi="Arial"/>
                <w:sz w:val="18"/>
                <w:szCs w:val="18"/>
                <w:color w:val="auto"/>
              </w:rPr>
              <w:t>Total collaboration revenue</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180.3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133.2</w:t>
            </w:r>
          </w:p>
        </w:tc>
        <w:tc>
          <w:tcPr>
            <w:tcW w:w="1160" w:type="dxa"/>
            <w:vAlign w:val="bottom"/>
          </w:tcPr>
          <w:p>
            <w:pPr>
              <w:spacing w:after="0"/>
              <w:rPr>
                <w:sz w:val="19"/>
                <w:szCs w:val="19"/>
                <w:color w:val="auto"/>
              </w:rPr>
            </w:pPr>
          </w:p>
        </w:tc>
      </w:tr>
      <w:tr>
        <w:trPr>
          <w:trHeight w:val="251"/>
        </w:trPr>
        <w:tc>
          <w:tcPr>
            <w:tcW w:w="1160" w:type="dxa"/>
            <w:vAlign w:val="bottom"/>
          </w:tcPr>
          <w:p>
            <w:pPr>
              <w:spacing w:after="0"/>
              <w:rPr>
                <w:sz w:val="21"/>
                <w:szCs w:val="21"/>
                <w:color w:val="auto"/>
              </w:rPr>
            </w:pPr>
          </w:p>
        </w:tc>
        <w:tc>
          <w:tcPr>
            <w:tcW w:w="3500" w:type="dxa"/>
            <w:vAlign w:val="bottom"/>
            <w:shd w:val="clear" w:color="auto" w:fill="C0C0C0"/>
          </w:tcPr>
          <w:p>
            <w:pPr>
              <w:spacing w:after="0"/>
              <w:rPr>
                <w:sz w:val="20"/>
                <w:szCs w:val="20"/>
                <w:color w:val="auto"/>
              </w:rPr>
            </w:pPr>
            <w:r>
              <w:rPr>
                <w:rFonts w:ascii="Arial" w:cs="Arial" w:eastAsia="Arial" w:hAnsi="Arial"/>
                <w:sz w:val="18"/>
                <w:szCs w:val="18"/>
                <w:color w:val="auto"/>
              </w:rPr>
              <w:t>Technology licensing revenue</w:t>
            </w:r>
          </w:p>
        </w:tc>
        <w:tc>
          <w:tcPr>
            <w:tcW w:w="4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20.1</w:t>
            </w: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20.0</w:t>
            </w:r>
          </w:p>
        </w:tc>
        <w:tc>
          <w:tcPr>
            <w:tcW w:w="1160" w:type="dxa"/>
            <w:vAlign w:val="bottom"/>
          </w:tcPr>
          <w:p>
            <w:pPr>
              <w:spacing w:after="0"/>
              <w:rPr>
                <w:sz w:val="21"/>
                <w:szCs w:val="21"/>
                <w:color w:val="auto"/>
              </w:rPr>
            </w:pPr>
          </w:p>
        </w:tc>
      </w:tr>
      <w:tr>
        <w:trPr>
          <w:trHeight w:val="235"/>
        </w:trPr>
        <w:tc>
          <w:tcPr>
            <w:tcW w:w="4660" w:type="dxa"/>
            <w:vAlign w:val="bottom"/>
            <w:gridSpan w:val="2"/>
          </w:tcPr>
          <w:p>
            <w:pPr>
              <w:ind w:left="1140"/>
              <w:spacing w:after="0"/>
              <w:rPr>
                <w:sz w:val="20"/>
                <w:szCs w:val="20"/>
                <w:color w:val="auto"/>
              </w:rPr>
            </w:pPr>
            <w:r>
              <w:rPr>
                <w:rFonts w:ascii="Arial" w:cs="Arial" w:eastAsia="Arial" w:hAnsi="Arial"/>
                <w:sz w:val="18"/>
                <w:szCs w:val="18"/>
                <w:color w:val="auto"/>
              </w:rPr>
              <w:t>Net product sales</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160" w:type="dxa"/>
            <w:vAlign w:val="bottom"/>
          </w:tcPr>
          <w:p>
            <w:pPr>
              <w:spacing w:after="0"/>
              <w:rPr>
                <w:sz w:val="20"/>
                <w:szCs w:val="20"/>
                <w:color w:val="auto"/>
              </w:rPr>
            </w:pPr>
          </w:p>
        </w:tc>
      </w:tr>
      <w:tr>
        <w:trPr>
          <w:trHeight w:val="244"/>
        </w:trPr>
        <w:tc>
          <w:tcPr>
            <w:tcW w:w="1160" w:type="dxa"/>
            <w:vAlign w:val="bottom"/>
          </w:tcPr>
          <w:p>
            <w:pPr>
              <w:spacing w:after="0"/>
              <w:rPr>
                <w:sz w:val="21"/>
                <w:szCs w:val="21"/>
                <w:color w:val="auto"/>
              </w:rPr>
            </w:pPr>
          </w:p>
        </w:tc>
        <w:tc>
          <w:tcPr>
            <w:tcW w:w="350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and other revenue</w:t>
            </w:r>
          </w:p>
        </w:tc>
        <w:tc>
          <w:tcPr>
            <w:tcW w:w="4420" w:type="dxa"/>
            <w:vAlign w:val="bottom"/>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w:t>
            </w:r>
          </w:p>
        </w:tc>
        <w:tc>
          <w:tcPr>
            <w:tcW w:w="116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350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$219.4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1160" w:type="dxa"/>
            <w:vAlign w:val="bottom"/>
          </w:tcPr>
          <w:p>
            <w:pPr>
              <w:spacing w:after="0"/>
              <w:rPr>
                <w:sz w:val="21"/>
                <w:szCs w:val="21"/>
                <w:color w:val="auto"/>
              </w:rPr>
            </w:pPr>
          </w:p>
        </w:tc>
      </w:tr>
      <w:tr>
        <w:trPr>
          <w:trHeight w:val="444"/>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20" w:type="dxa"/>
            <w:vAlign w:val="bottom"/>
          </w:tcPr>
          <w:p>
            <w:pPr>
              <w:jc w:val="right"/>
              <w:ind w:right="3192"/>
              <w:spacing w:after="0"/>
              <w:rPr>
                <w:sz w:val="20"/>
                <w:szCs w:val="20"/>
                <w:color w:val="auto"/>
              </w:rPr>
            </w:pPr>
            <w:r>
              <w:rPr>
                <w:rFonts w:ascii="Arial" w:cs="Arial" w:eastAsia="Arial" w:hAnsi="Arial"/>
                <w:sz w:val="18"/>
                <w:szCs w:val="18"/>
                <w:color w:val="auto"/>
              </w:rPr>
              <w:t>29</w:t>
            </w: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363"/>
        </w:trPr>
        <w:tc>
          <w:tcPr>
            <w:tcW w:w="116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01"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Sanofi-aventis Collaboration Revenue</w:t>
      </w:r>
    </w:p>
    <w:p>
      <w:pPr>
        <w:spacing w:after="0" w:line="27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collaboration revenue we earn from sanofi-aventis, as detailed below, consists primarily of reimbursement for research and development expenses and recognition of revenue related to non-refundable up-front payments of $105.0 million related to the aflibercept collaboration and $85.0 million related to the antibody collaboration.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Sanofi-aventis Collaboration Revenue</w:t>
            </w:r>
          </w:p>
        </w:tc>
        <w:tc>
          <w:tcPr>
            <w:tcW w:w="1400" w:type="dxa"/>
            <w:vAlign w:val="bottom"/>
            <w:gridSpan w:val="5"/>
          </w:tcPr>
          <w:p>
            <w:pPr>
              <w:jc w:val="right"/>
              <w:spacing w:after="0"/>
              <w:rPr>
                <w:sz w:val="20"/>
                <w:szCs w:val="20"/>
                <w:color w:val="auto"/>
              </w:rPr>
            </w:pPr>
            <w:r>
              <w:rPr>
                <w:rFonts w:ascii="Arial" w:cs="Arial" w:eastAsia="Arial" w:hAnsi="Arial"/>
                <w:sz w:val="18"/>
                <w:szCs w:val="18"/>
                <w:b w:val="1"/>
                <w:bCs w:val="1"/>
                <w:color w:val="auto"/>
                <w:w w:val="86"/>
              </w:rPr>
              <w:t>Six months ended</w:t>
            </w:r>
          </w:p>
        </w:tc>
      </w:tr>
      <w:tr>
        <w:trPr>
          <w:trHeight w:val="237"/>
        </w:trPr>
        <w:tc>
          <w:tcPr>
            <w:tcW w:w="1002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rPr>
              <w:t>June 30,</w:t>
            </w:r>
          </w:p>
        </w:tc>
      </w:tr>
      <w:tr>
        <w:trPr>
          <w:trHeight w:val="237"/>
        </w:trPr>
        <w:tc>
          <w:tcPr>
            <w:tcW w:w="100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2010</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2009</w:t>
            </w:r>
          </w:p>
        </w:tc>
      </w:tr>
      <w:tr>
        <w:trPr>
          <w:trHeight w:val="230"/>
        </w:trPr>
        <w:tc>
          <w:tcPr>
            <w:tcW w:w="1002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r>
      <w:tr>
        <w:trPr>
          <w:trHeight w:val="235"/>
        </w:trPr>
        <w:tc>
          <w:tcPr>
            <w:tcW w:w="1002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51"/>
        </w:trPr>
        <w:tc>
          <w:tcPr>
            <w:tcW w:w="100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10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002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Total aflibercept</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10020" w:type="dxa"/>
            <w:vAlign w:val="bottom"/>
            <w:shd w:val="clear" w:color="auto" w:fill="C0C0C0"/>
          </w:tcPr>
          <w:p>
            <w:pPr>
              <w:spacing w:after="0"/>
              <w:rPr>
                <w:sz w:val="20"/>
                <w:szCs w:val="20"/>
                <w:color w:val="auto"/>
              </w:rPr>
            </w:pPr>
            <w:r>
              <w:rPr>
                <w:rFonts w:ascii="Arial" w:cs="Arial" w:eastAsia="Arial" w:hAnsi="Arial"/>
                <w:sz w:val="18"/>
                <w:szCs w:val="18"/>
                <w:color w:val="auto"/>
              </w:rPr>
              <w:t>Antibody:</w:t>
            </w: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r>
      <w:tr>
        <w:trPr>
          <w:trHeight w:val="235"/>
        </w:trPr>
        <w:tc>
          <w:tcPr>
            <w:tcW w:w="1002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135.8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35"/>
        </w:trPr>
        <w:tc>
          <w:tcPr>
            <w:tcW w:w="100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and other</w:t>
            </w: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r>
      <w:tr>
        <w:trPr>
          <w:trHeight w:val="259"/>
        </w:trPr>
        <w:tc>
          <w:tcPr>
            <w:tcW w:w="100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0C0C0"/>
          </w:tcPr>
          <w:p>
            <w:pPr>
              <w:spacing w:after="0"/>
              <w:rPr>
                <w:sz w:val="22"/>
                <w:szCs w:val="22"/>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100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2"/>
                <w:szCs w:val="12"/>
                <w:color w:val="auto"/>
              </w:rPr>
              <w:t>®</w:t>
            </w:r>
            <w:r>
              <w:rPr>
                <w:rFonts w:ascii="Arial" w:cs="Arial" w:eastAsia="Arial" w:hAnsi="Arial"/>
                <w:sz w:val="18"/>
                <w:szCs w:val="18"/>
                <w:color w:val="auto"/>
              </w:rPr>
              <w:t xml:space="preserve"> agreement</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100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100" w:type="dxa"/>
            <w:vAlign w:val="bottom"/>
            <w:tcBorders>
              <w:bottom w:val="single" w:sz="8" w:color="auto"/>
            </w:tcBorders>
            <w:shd w:val="clear" w:color="auto" w:fill="C0C0C0"/>
          </w:tcPr>
          <w:p>
            <w:pPr>
              <w:spacing w:after="0"/>
              <w:rPr>
                <w:sz w:val="20"/>
                <w:szCs w:val="20"/>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3"/>
              </w:rPr>
              <w:t>139.9</w:t>
            </w:r>
          </w:p>
        </w:tc>
        <w:tc>
          <w:tcPr>
            <w:tcW w:w="22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90.8</w:t>
            </w:r>
          </w:p>
        </w:tc>
      </w:tr>
      <w:tr>
        <w:trPr>
          <w:trHeight w:val="250"/>
        </w:trPr>
        <w:tc>
          <w:tcPr>
            <w:tcW w:w="10020" w:type="dxa"/>
            <w:vAlign w:val="bottom"/>
          </w:tcPr>
          <w:p>
            <w:pPr>
              <w:spacing w:after="0"/>
              <w:rPr>
                <w:sz w:val="20"/>
                <w:szCs w:val="20"/>
                <w:color w:val="auto"/>
              </w:rPr>
            </w:pPr>
            <w:r>
              <w:rPr>
                <w:rFonts w:ascii="Arial" w:cs="Arial" w:eastAsia="Arial" w:hAnsi="Arial"/>
                <w:sz w:val="18"/>
                <w:szCs w:val="18"/>
                <w:color w:val="auto"/>
              </w:rPr>
              <w:t>Total sanofi-aventis collaboration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153.6</w:t>
            </w: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r>
    </w:tbl>
    <w:p>
      <w:pPr>
        <w:spacing w:after="0" w:line="248"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Sanofi-aventis’ reimbursement of our aflibercept expenses decreased in the first half of 2010 compared to the same period in 2009, primarily due to lower costs related to manufacturing aflibercept clinical supplies as well as a decrease in internal research activities.</w:t>
      </w:r>
    </w:p>
    <w:p>
      <w:pPr>
        <w:spacing w:after="0" w:line="240" w:lineRule="exact"/>
        <w:rPr>
          <w:sz w:val="20"/>
          <w:szCs w:val="20"/>
          <w:color w:val="auto"/>
        </w:rPr>
      </w:pPr>
    </w:p>
    <w:p>
      <w:pPr>
        <w:jc w:val="both"/>
        <w:ind w:right="20" w:firstLine="284"/>
        <w:spacing w:after="0" w:line="298" w:lineRule="auto"/>
        <w:rPr>
          <w:sz w:val="20"/>
          <w:szCs w:val="20"/>
          <w:color w:val="auto"/>
        </w:rPr>
      </w:pPr>
      <w:r>
        <w:rPr>
          <w:rFonts w:ascii="Arial" w:cs="Arial" w:eastAsia="Arial" w:hAnsi="Arial"/>
          <w:sz w:val="16"/>
          <w:szCs w:val="16"/>
          <w:color w:val="auto"/>
        </w:rPr>
        <w:t>In the first half of 2010, sanofi-aventis’ reimbursement of our antibody expenses consisted of $63.4 million under the discovery agreement and $72.4 million of development costs under the license agreement, compared to $51.0 million and $33.1 million, respectively, in the first half of 2009. The higher reimbursement amounts in the first half of 2010 compared to the same period in 2009 were due to an increase in our research activities conducted under the discovery agreement and increases in our development activities for antibody candidates under the license agreement.</w:t>
      </w:r>
    </w:p>
    <w:p>
      <w:pPr>
        <w:spacing w:after="0" w:line="221" w:lineRule="exact"/>
        <w:rPr>
          <w:sz w:val="20"/>
          <w:szCs w:val="20"/>
          <w:color w:val="auto"/>
        </w:rPr>
      </w:pPr>
    </w:p>
    <w:p>
      <w:pPr>
        <w:jc w:val="both"/>
        <w:ind w:right="40" w:firstLine="284"/>
        <w:spacing w:after="0" w:line="268" w:lineRule="auto"/>
        <w:rPr>
          <w:sz w:val="20"/>
          <w:szCs w:val="20"/>
          <w:color w:val="auto"/>
        </w:rPr>
      </w:pPr>
      <w:r>
        <w:rPr>
          <w:rFonts w:ascii="Arial" w:cs="Arial" w:eastAsia="Arial" w:hAnsi="Arial"/>
          <w:sz w:val="18"/>
          <w:szCs w:val="18"/>
          <w:color w:val="auto"/>
        </w:rPr>
        <w:t>Recognition of deferred revenue, related primarily to sanofi-aventis’ $85.0 million up-front payment, decreased during the first half of 2010 compared to the same period in 2009 due to the November 2009 amendments to expand and extend the companies’ antibody collaboration.</w:t>
      </w:r>
    </w:p>
    <w:p>
      <w:pPr>
        <w:spacing w:after="0" w:line="237" w:lineRule="exact"/>
        <w:rPr>
          <w:sz w:val="20"/>
          <w:szCs w:val="20"/>
          <w:color w:val="auto"/>
        </w:rPr>
      </w:pPr>
    </w:p>
    <w:p>
      <w:pPr>
        <w:jc w:val="both"/>
        <w:ind w:right="20" w:firstLine="270"/>
        <w:spacing w:after="0" w:line="219" w:lineRule="auto"/>
        <w:rPr>
          <w:sz w:val="20"/>
          <w:szCs w:val="20"/>
          <w:color w:val="auto"/>
        </w:rPr>
      </w:pPr>
      <w:r>
        <w:rPr>
          <w:rFonts w:ascii="Arial" w:cs="Arial" w:eastAsia="Arial" w:hAnsi="Arial"/>
          <w:sz w:val="18"/>
          <w:szCs w:val="18"/>
          <w:color w:val="auto"/>
        </w:rPr>
        <w:t xml:space="preserve">In August 2008, we entered into a separate </w:t>
      </w:r>
      <w:r>
        <w:rPr>
          <w:rFonts w:ascii="Arial" w:cs="Arial" w:eastAsia="Arial" w:hAnsi="Arial"/>
          <w:sz w:val="18"/>
          <w:szCs w:val="18"/>
          <w:i w:val="1"/>
          <w:iCs w:val="1"/>
          <w:color w:val="auto"/>
        </w:rPr>
        <w:t>VelociGene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agreement with sanofi-aventis. For the six months ended June 30, 2010 and 2009, we recognized $0.8 million and $1.4 million, respectively, in revenue related to this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right="20" w:firstLine="297"/>
        <w:spacing w:after="0" w:line="259" w:lineRule="auto"/>
        <w:rPr>
          <w:sz w:val="20"/>
          <w:szCs w:val="20"/>
          <w:color w:val="auto"/>
        </w:rPr>
      </w:pPr>
      <w:r>
        <w:rPr>
          <w:rFonts w:ascii="Arial" w:cs="Arial" w:eastAsia="Arial" w:hAnsi="Arial"/>
          <w:sz w:val="18"/>
          <w:szCs w:val="18"/>
          <w:color w:val="auto"/>
        </w:rPr>
        <w:t>The collaboration revenue we earn from Bayer HealthCare, as detailed below, consists of cost sharing of Regeneron VEGF Trap-Eye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Bayer HealthCare Collaboration Revenue</w:t>
            </w:r>
          </w:p>
        </w:tc>
        <w:tc>
          <w:tcPr>
            <w:tcW w:w="4860" w:type="dxa"/>
            <w:vAlign w:val="bottom"/>
            <w:tcBorders>
              <w:bottom w:val="single" w:sz="8" w:color="auto"/>
            </w:tcBorders>
          </w:tcPr>
          <w:p>
            <w:pPr>
              <w:spacing w:after="0"/>
              <w:rPr>
                <w:sz w:val="20"/>
                <w:szCs w:val="20"/>
                <w:color w:val="auto"/>
              </w:rPr>
            </w:pPr>
          </w:p>
        </w:tc>
        <w:tc>
          <w:tcPr>
            <w:tcW w:w="140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6"/>
              </w:rPr>
              <w:t>Six months ended</w:t>
            </w:r>
          </w:p>
        </w:tc>
      </w:tr>
      <w:tr>
        <w:trPr>
          <w:trHeight w:val="237"/>
        </w:trPr>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5"/>
              </w:rPr>
              <w:t>June 30,</w:t>
            </w:r>
          </w:p>
        </w:tc>
      </w:tr>
      <w:tr>
        <w:trPr>
          <w:trHeight w:val="237"/>
        </w:trPr>
        <w:tc>
          <w:tcPr>
            <w:tcW w:w="5180" w:type="dxa"/>
            <w:vAlign w:val="bottom"/>
            <w:tcBorders>
              <w:bottom w:val="single" w:sz="8" w:color="C0C0C0"/>
            </w:tcBorders>
          </w:tcPr>
          <w:p>
            <w:pPr>
              <w:spacing w:after="0"/>
              <w:rPr>
                <w:sz w:val="20"/>
                <w:szCs w:val="20"/>
                <w:color w:val="auto"/>
              </w:rPr>
            </w:pPr>
          </w:p>
        </w:tc>
        <w:tc>
          <w:tcPr>
            <w:tcW w:w="4860" w:type="dxa"/>
            <w:vAlign w:val="bottom"/>
            <w:tcBorders>
              <w:bottom w:val="single" w:sz="8" w:color="C0C0C0"/>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2009</w:t>
            </w:r>
          </w:p>
        </w:tc>
        <w:tc>
          <w:tcPr>
            <w:tcW w:w="20" w:type="dxa"/>
            <w:vAlign w:val="bottom"/>
          </w:tcPr>
          <w:p>
            <w:pPr>
              <w:spacing w:after="0"/>
              <w:rPr>
                <w:sz w:val="20"/>
                <w:szCs w:val="20"/>
                <w:color w:val="auto"/>
              </w:rPr>
            </w:pPr>
          </w:p>
        </w:tc>
      </w:tr>
      <w:tr>
        <w:trPr>
          <w:trHeight w:val="243"/>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w w:val="95"/>
              </w:rPr>
              <w:t>Cost-sharing of Regeneron VEGF Trap-Eye development expenses</w:t>
            </w:r>
          </w:p>
        </w:tc>
        <w:tc>
          <w:tcPr>
            <w:tcW w:w="5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1"/>
                <w:szCs w:val="21"/>
                <w:color w:val="auto"/>
              </w:rPr>
            </w:pPr>
          </w:p>
        </w:tc>
      </w:tr>
      <w:tr>
        <w:trPr>
          <w:trHeight w:val="228"/>
        </w:trPr>
        <w:tc>
          <w:tcPr>
            <w:tcW w:w="5180" w:type="dxa"/>
            <w:vAlign w:val="bottom"/>
          </w:tcPr>
          <w:p>
            <w:pPr>
              <w:spacing w:after="0"/>
              <w:rPr>
                <w:sz w:val="20"/>
                <w:szCs w:val="20"/>
                <w:color w:val="auto"/>
              </w:rPr>
            </w:pPr>
            <w:r>
              <w:rPr>
                <w:rFonts w:ascii="Arial" w:cs="Arial" w:eastAsia="Arial" w:hAnsi="Arial"/>
                <w:sz w:val="18"/>
                <w:szCs w:val="18"/>
                <w:color w:val="auto"/>
                <w:w w:val="98"/>
              </w:rPr>
              <w:t>Recognition of deferred revenue related to up-front and milestone</w:t>
            </w:r>
          </w:p>
        </w:tc>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1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payments</w:t>
            </w:r>
          </w:p>
        </w:tc>
        <w:tc>
          <w:tcPr>
            <w:tcW w:w="48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r>
      <w:tr>
        <w:trPr>
          <w:trHeight w:val="262"/>
        </w:trPr>
        <w:tc>
          <w:tcPr>
            <w:tcW w:w="51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Bayer HealthCare collaboration revenue</w:t>
            </w:r>
          </w:p>
        </w:tc>
        <w:tc>
          <w:tcPr>
            <w:tcW w:w="5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2"/>
                <w:szCs w:val="22"/>
                <w:color w:val="auto"/>
              </w:rPr>
            </w:pPr>
          </w:p>
        </w:tc>
      </w:tr>
      <w:tr>
        <w:trPr>
          <w:trHeight w:val="432"/>
        </w:trPr>
        <w:tc>
          <w:tcPr>
            <w:tcW w:w="5180" w:type="dxa"/>
            <w:vAlign w:val="bottom"/>
            <w:tcBorders>
              <w:top w:val="single" w:sz="8" w:color="C0C0C0"/>
            </w:tcBorders>
          </w:tcPr>
          <w:p>
            <w:pPr>
              <w:spacing w:after="0"/>
              <w:rPr>
                <w:sz w:val="24"/>
                <w:szCs w:val="24"/>
                <w:color w:val="auto"/>
              </w:rPr>
            </w:pPr>
          </w:p>
        </w:tc>
        <w:tc>
          <w:tcPr>
            <w:tcW w:w="4860" w:type="dxa"/>
            <w:vAlign w:val="bottom"/>
            <w:tcBorders>
              <w:top w:val="single" w:sz="8" w:color="C0C0C0"/>
            </w:tcBorders>
          </w:tcPr>
          <w:p>
            <w:pPr>
              <w:jc w:val="right"/>
              <w:ind w:right="4152"/>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518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30" w:name="page31"/>
    <w:bookmarkEnd w:id="30"/>
    <w:p>
      <w:pPr>
        <w:jc w:val="both"/>
        <w:ind w:right="20" w:firstLine="297"/>
        <w:spacing w:after="0" w:line="259" w:lineRule="auto"/>
        <w:rPr>
          <w:sz w:val="20"/>
          <w:szCs w:val="20"/>
          <w:color w:val="auto"/>
        </w:rPr>
      </w:pPr>
      <w:r>
        <w:rPr>
          <w:rFonts w:ascii="Arial" w:cs="Arial" w:eastAsia="Arial" w:hAnsi="Arial"/>
          <w:sz w:val="18"/>
          <w:szCs w:val="18"/>
          <w:color w:val="auto"/>
        </w:rPr>
        <w:t>Cost-sharing of our VEGF Trap-Eye development expenses with Bayer HealthCare increased in the first half of 2010, compared to the same period in 2009, due to higher clinical development costs in connection with our Phase 3 trial in CRVO and Phase 2 trial in DME and higher costs related to VEGF Trap-Eye clinical drug supplies.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76" w:lineRule="exact"/>
        <w:rPr>
          <w:sz w:val="20"/>
          <w:szCs w:val="20"/>
          <w:color w:val="auto"/>
        </w:rPr>
      </w:pPr>
    </w:p>
    <w:p>
      <w:pPr>
        <w:jc w:val="both"/>
        <w:ind w:right="20" w:firstLine="351"/>
        <w:spacing w:after="0" w:line="228"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license agreements with AstraZeneca and Astellas, each of the $20.0 million annual, non-refundable payments are deferred upon receipt and recognized as revenue ratably over approximately the ensuing year of each agreement. In the first half of both 2010 and 2009, we recognized $20.0 million of technology licensing revenue related to these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6" w:lineRule="exact"/>
        <w:rPr>
          <w:sz w:val="20"/>
          <w:szCs w:val="20"/>
          <w:color w:val="auto"/>
        </w:rPr>
      </w:pPr>
    </w:p>
    <w:p>
      <w:pPr>
        <w:jc w:val="both"/>
        <w:ind w:right="20" w:firstLine="311"/>
        <w:spacing w:after="0" w:line="231" w:lineRule="auto"/>
        <w:rPr>
          <w:sz w:val="20"/>
          <w:szCs w:val="20"/>
          <w:color w:val="auto"/>
        </w:rPr>
      </w:pPr>
      <w:r>
        <w:rPr>
          <w:rFonts w:ascii="Arial" w:cs="Arial" w:eastAsia="Arial" w:hAnsi="Arial"/>
          <w:sz w:val="16"/>
          <w:szCs w:val="16"/>
          <w:color w:val="auto"/>
        </w:rPr>
        <w:t>In February 2008, we received marketing approval from the FDA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CAPS. We had limited historical return experience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beginning with initial sales in 2008 through the end of 2009; therefore,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were deferred until the right of return no longer existed and rebates could be reasonably estimated. Effective in the first quarter of 2010, we determined that we had accumulated sufficient historical data to reasonably estimate both product returns and rebates of ARCALYST</w:t>
      </w:r>
      <w:r>
        <w:rPr>
          <w:rFonts w:ascii="Arial" w:cs="Arial" w:eastAsia="Arial" w:hAnsi="Arial"/>
          <w:sz w:val="22"/>
          <w:szCs w:val="22"/>
          <w:color w:val="auto"/>
          <w:vertAlign w:val="superscript"/>
        </w:rPr>
        <w:t>®</w:t>
      </w:r>
      <w:r>
        <w:rPr>
          <w:rFonts w:ascii="Arial" w:cs="Arial" w:eastAsia="Arial" w:hAnsi="Arial"/>
          <w:sz w:val="16"/>
          <w:szCs w:val="16"/>
          <w:color w:val="auto"/>
        </w:rPr>
        <w:t>. As a result, for the six months ended June 30, 2010, we recognized as revenue $15.0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which included $10.2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made during the period and $4.8 million of previously deferred net product sales. For the six months ended June 30, 2009, we recognized as revenue $8.4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Other Revenue</w:t>
      </w:r>
    </w:p>
    <w:p>
      <w:pPr>
        <w:spacing w:after="0" w:line="279"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Contract research and other revenue for the first half of 2010 and 2009 included $2.3 million and $3.0 million, respectively, recognized in connection with our five-year grant from the NIH, which we were awarded in September 2006 as part of the NIH’s Knockout Mouse Project.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right="20" w:firstLine="378"/>
        <w:spacing w:after="0" w:line="259" w:lineRule="auto"/>
        <w:rPr>
          <w:sz w:val="20"/>
          <w:szCs w:val="20"/>
          <w:color w:val="auto"/>
        </w:rPr>
      </w:pPr>
      <w:r>
        <w:rPr>
          <w:rFonts w:ascii="Arial" w:cs="Arial" w:eastAsia="Arial" w:hAnsi="Arial"/>
          <w:sz w:val="18"/>
          <w:szCs w:val="18"/>
          <w:color w:val="auto"/>
        </w:rPr>
        <w:t>Total operating expenses increased to $272.0 million in the first half of 2010 from $198.4 million in the same period of 2009. Our average headcount increased to 1,151 in the first half of 2010 from 952 in the same period of 2009 principally as a result of our expanding research and development activities, which are primarily attributable to our antibody collaboration with sanofi-aventis.</w:t>
      </w:r>
    </w:p>
    <w:p>
      <w:pPr>
        <w:spacing w:after="0" w:line="248"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8"/>
          <w:szCs w:val="18"/>
          <w:color w:val="auto"/>
        </w:rPr>
        <w:t>Operating expenses in the first half of 2010 and 2009 include a total of $17.5 million and $15.1 million, respectively, of Non-cash Compensation Expense, as detailed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40" w:type="dxa"/>
            <w:vAlign w:val="bottom"/>
            <w:gridSpan w:val="9"/>
          </w:tcPr>
          <w:p>
            <w:pPr>
              <w:ind w:left="380"/>
              <w:spacing w:after="0"/>
              <w:rPr>
                <w:sz w:val="20"/>
                <w:szCs w:val="20"/>
                <w:color w:val="auto"/>
              </w:rPr>
            </w:pPr>
            <w:r>
              <w:rPr>
                <w:rFonts w:ascii="Arial" w:cs="Arial" w:eastAsia="Arial" w:hAnsi="Arial"/>
                <w:sz w:val="18"/>
                <w:szCs w:val="18"/>
                <w:b w:val="1"/>
                <w:bCs w:val="1"/>
                <w:color w:val="auto"/>
              </w:rPr>
              <w:t>For the six months ended June 30, 2010</w:t>
            </w:r>
          </w:p>
        </w:tc>
      </w:tr>
      <w:tr>
        <w:trPr>
          <w:trHeight w:val="228"/>
        </w:trPr>
        <w:tc>
          <w:tcPr>
            <w:tcW w:w="40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3"/>
              </w:rPr>
              <w:t>Expenses before</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40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inclusion of Non-cash</w:t>
            </w: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Non-cash</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21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Compensation</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4"/>
              </w:rPr>
              <w:t>Compensation</w:t>
            </w:r>
          </w:p>
        </w:tc>
        <w:tc>
          <w:tcPr>
            <w:tcW w:w="2160" w:type="dxa"/>
            <w:vAlign w:val="bottom"/>
            <w:gridSpan w:val="4"/>
          </w:tcPr>
          <w:p>
            <w:pPr>
              <w:ind w:left="100"/>
              <w:spacing w:after="0"/>
              <w:rPr>
                <w:sz w:val="20"/>
                <w:szCs w:val="20"/>
                <w:color w:val="auto"/>
              </w:rPr>
            </w:pPr>
            <w:r>
              <w:rPr>
                <w:rFonts w:ascii="Arial" w:cs="Arial" w:eastAsia="Arial" w:hAnsi="Arial"/>
                <w:sz w:val="18"/>
                <w:szCs w:val="18"/>
                <w:b w:val="1"/>
                <w:bCs w:val="1"/>
                <w:color w:val="auto"/>
              </w:rPr>
              <w:t>Expenses as</w:t>
            </w:r>
          </w:p>
        </w:tc>
      </w:tr>
      <w:tr>
        <w:trPr>
          <w:trHeight w:val="237"/>
        </w:trPr>
        <w:tc>
          <w:tcPr>
            <w:tcW w:w="40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1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6"/>
              </w:rPr>
              <w:t>Expense</w:t>
            </w: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3"/>
              </w:rPr>
              <w:t>Expense</w:t>
            </w:r>
          </w:p>
        </w:tc>
        <w:tc>
          <w:tcPr>
            <w:tcW w:w="1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6"/>
              </w:rPr>
              <w:t>Reported</w:t>
            </w:r>
          </w:p>
        </w:tc>
        <w:tc>
          <w:tcPr>
            <w:tcW w:w="1160" w:type="dxa"/>
            <w:vAlign w:val="bottom"/>
          </w:tcPr>
          <w:p>
            <w:pPr>
              <w:spacing w:after="0"/>
              <w:rPr>
                <w:sz w:val="20"/>
                <w:szCs w:val="20"/>
                <w:color w:val="auto"/>
              </w:rPr>
            </w:pPr>
          </w:p>
        </w:tc>
      </w:tr>
      <w:tr>
        <w:trPr>
          <w:trHeight w:val="243"/>
        </w:trPr>
        <w:tc>
          <w:tcPr>
            <w:tcW w:w="406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232.0</w:t>
            </w: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242.0</w:t>
            </w:r>
          </w:p>
        </w:tc>
        <w:tc>
          <w:tcPr>
            <w:tcW w:w="1160" w:type="dxa"/>
            <w:vAlign w:val="bottom"/>
          </w:tcPr>
          <w:p>
            <w:pPr>
              <w:spacing w:after="0"/>
              <w:rPr>
                <w:sz w:val="21"/>
                <w:szCs w:val="21"/>
                <w:color w:val="auto"/>
              </w:rPr>
            </w:pPr>
          </w:p>
        </w:tc>
      </w:tr>
      <w:tr>
        <w:trPr>
          <w:trHeight w:val="235"/>
        </w:trPr>
        <w:tc>
          <w:tcPr>
            <w:tcW w:w="4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w:t>
            </w:r>
          </w:p>
        </w:tc>
        <w:tc>
          <w:tcPr>
            <w:tcW w:w="1160" w:type="dxa"/>
            <w:vAlign w:val="bottom"/>
          </w:tcPr>
          <w:p>
            <w:pPr>
              <w:spacing w:after="0"/>
              <w:rPr>
                <w:sz w:val="20"/>
                <w:szCs w:val="20"/>
                <w:color w:val="auto"/>
              </w:rPr>
            </w:pPr>
          </w:p>
        </w:tc>
      </w:tr>
      <w:tr>
        <w:trPr>
          <w:trHeight w:val="244"/>
        </w:trPr>
        <w:tc>
          <w:tcPr>
            <w:tcW w:w="406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21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1160" w:type="dxa"/>
            <w:vAlign w:val="bottom"/>
          </w:tcPr>
          <w:p>
            <w:pPr>
              <w:spacing w:after="0"/>
              <w:rPr>
                <w:sz w:val="21"/>
                <w:szCs w:val="21"/>
                <w:color w:val="auto"/>
              </w:rPr>
            </w:pPr>
          </w:p>
        </w:tc>
      </w:tr>
      <w:tr>
        <w:trPr>
          <w:trHeight w:val="250"/>
        </w:trPr>
        <w:tc>
          <w:tcPr>
            <w:tcW w:w="40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254.5</w:t>
            </w:r>
          </w:p>
        </w:tc>
        <w:tc>
          <w:tcPr>
            <w:tcW w:w="2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272.0</w:t>
            </w:r>
          </w:p>
        </w:tc>
        <w:tc>
          <w:tcPr>
            <w:tcW w:w="1160" w:type="dxa"/>
            <w:vAlign w:val="bottom"/>
          </w:tcPr>
          <w:p>
            <w:pPr>
              <w:spacing w:after="0"/>
              <w:rPr>
                <w:sz w:val="21"/>
                <w:szCs w:val="21"/>
                <w:color w:val="auto"/>
              </w:rPr>
            </w:pPr>
          </w:p>
        </w:tc>
      </w:tr>
      <w:tr>
        <w:trPr>
          <w:trHeight w:val="444"/>
        </w:trPr>
        <w:tc>
          <w:tcPr>
            <w:tcW w:w="4060" w:type="dxa"/>
            <w:vAlign w:val="bottom"/>
          </w:tcPr>
          <w:p>
            <w:pPr>
              <w:spacing w:after="0"/>
              <w:rPr>
                <w:sz w:val="24"/>
                <w:szCs w:val="24"/>
                <w:color w:val="auto"/>
              </w:rPr>
            </w:pPr>
          </w:p>
        </w:tc>
        <w:tc>
          <w:tcPr>
            <w:tcW w:w="2180" w:type="dxa"/>
            <w:vAlign w:val="bottom"/>
          </w:tcPr>
          <w:p>
            <w:pPr>
              <w:jc w:val="right"/>
              <w:ind w:right="352"/>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363"/>
        </w:trPr>
        <w:tc>
          <w:tcPr>
            <w:tcW w:w="40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01" w:right="2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7"/>
        </w:trPr>
        <w:tc>
          <w:tcPr>
            <w:tcW w:w="6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right"/>
              <w:ind w:right="492"/>
              <w:spacing w:after="0"/>
              <w:rPr>
                <w:sz w:val="20"/>
                <w:szCs w:val="20"/>
                <w:color w:val="auto"/>
              </w:rPr>
            </w:pPr>
            <w:r>
              <w:rPr>
                <w:rFonts w:ascii="Arial" w:cs="Arial" w:eastAsia="Arial" w:hAnsi="Arial"/>
                <w:sz w:val="18"/>
                <w:szCs w:val="18"/>
                <w:b w:val="1"/>
                <w:bCs w:val="1"/>
                <w:color w:val="auto"/>
                <w:w w:val="99"/>
              </w:rPr>
              <w:t>For the six months ended June 30, 2009</w:t>
            </w:r>
          </w:p>
        </w:tc>
      </w:tr>
      <w:tr>
        <w:trPr>
          <w:trHeight w:val="228"/>
        </w:trPr>
        <w:tc>
          <w:tcPr>
            <w:tcW w:w="6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Expenses before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2"/>
        </w:trPr>
        <w:tc>
          <w:tcPr>
            <w:tcW w:w="6160" w:type="dxa"/>
            <w:vAlign w:val="bottom"/>
          </w:tcPr>
          <w:p>
            <w:pPr>
              <w:spacing w:after="0"/>
              <w:rPr>
                <w:sz w:val="21"/>
                <w:szCs w:val="21"/>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inclusion of Non-cash</w:t>
            </w:r>
          </w:p>
        </w:tc>
        <w:tc>
          <w:tcPr>
            <w:tcW w:w="12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Non-cash</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2"/>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21"/>
                <w:szCs w:val="21"/>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Compensation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0"/>
              </w:rPr>
              <w:t>Expenses as</w:t>
            </w:r>
          </w:p>
        </w:tc>
      </w:tr>
      <w:tr>
        <w:trPr>
          <w:trHeight w:val="237"/>
        </w:trPr>
        <w:tc>
          <w:tcPr>
            <w:tcW w:w="61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3"/>
              </w:rPr>
              <w:t>Expense</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4"/>
              </w:rPr>
              <w:t>Expense</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6"/>
              </w:rPr>
              <w:t>Reported</w:t>
            </w:r>
          </w:p>
        </w:tc>
      </w:tr>
      <w:tr>
        <w:trPr>
          <w:trHeight w:val="243"/>
        </w:trPr>
        <w:tc>
          <w:tcPr>
            <w:tcW w:w="616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165.1</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174.5</w:t>
            </w:r>
          </w:p>
        </w:tc>
      </w:tr>
      <w:tr>
        <w:trPr>
          <w:trHeight w:val="235"/>
        </w:trPr>
        <w:tc>
          <w:tcPr>
            <w:tcW w:w="6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44"/>
        </w:trPr>
        <w:tc>
          <w:tcPr>
            <w:tcW w:w="616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shd w:val="clear" w:color="auto" w:fill="C0C0C0"/>
          </w:tcPr>
          <w:p>
            <w:pPr>
              <w:spacing w:after="0"/>
              <w:rPr>
                <w:sz w:val="21"/>
                <w:szCs w:val="21"/>
                <w:color w:val="auto"/>
              </w:rPr>
            </w:pPr>
          </w:p>
        </w:tc>
        <w:tc>
          <w:tcPr>
            <w:tcW w:w="1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0.8</w:t>
            </w:r>
          </w:p>
        </w:tc>
      </w:tr>
      <w:tr>
        <w:trPr>
          <w:trHeight w:val="250"/>
        </w:trPr>
        <w:tc>
          <w:tcPr>
            <w:tcW w:w="61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84"/>
        <w:spacing w:after="0" w:line="332" w:lineRule="auto"/>
        <w:rPr>
          <w:sz w:val="20"/>
          <w:szCs w:val="20"/>
          <w:color w:val="auto"/>
        </w:rPr>
      </w:pPr>
      <w:r>
        <w:rPr>
          <w:rFonts w:ascii="Arial" w:cs="Arial" w:eastAsia="Arial" w:hAnsi="Arial"/>
          <w:sz w:val="16"/>
          <w:szCs w:val="16"/>
          <w:color w:val="auto"/>
        </w:rPr>
        <w:t>Research and development expenses increased to $242.0 million in the first half of 2010 from $174.5 million in the same period of 2009. The following table summarizes the major categories of our research and development expenses for the six months ended June 30, 2010 and 2009: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840" w:type="dxa"/>
            <w:vAlign w:val="bottom"/>
            <w:gridSpan w:val="6"/>
          </w:tcPr>
          <w:p>
            <w:pPr>
              <w:spacing w:after="0"/>
              <w:rPr>
                <w:sz w:val="20"/>
                <w:szCs w:val="20"/>
                <w:color w:val="auto"/>
              </w:rPr>
            </w:pPr>
            <w:r>
              <w:rPr>
                <w:rFonts w:ascii="Arial" w:cs="Arial" w:eastAsia="Arial" w:hAnsi="Arial"/>
                <w:sz w:val="18"/>
                <w:szCs w:val="18"/>
                <w:b w:val="1"/>
                <w:bCs w:val="1"/>
                <w:color w:val="auto"/>
                <w:w w:val="95"/>
              </w:rPr>
              <w:t>For the six months ended June 30,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82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Increase</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2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59.6</w:t>
            </w:r>
          </w:p>
        </w:tc>
        <w:tc>
          <w:tcPr>
            <w:tcW w:w="5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13.1</w:t>
            </w: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51"/>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19.6</w:t>
            </w: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Research and other development costs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51"/>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w:t>
            </w:r>
          </w:p>
        </w:tc>
      </w:tr>
      <w:tr>
        <w:trPr>
          <w:trHeight w:val="228"/>
        </w:trPr>
        <w:tc>
          <w:tcPr>
            <w:tcW w:w="6820" w:type="dxa"/>
            <w:vAlign w:val="bottom"/>
          </w:tcPr>
          <w:p>
            <w:pPr>
              <w:spacing w:after="0"/>
              <w:rPr>
                <w:sz w:val="20"/>
                <w:szCs w:val="20"/>
                <w:color w:val="auto"/>
              </w:rPr>
            </w:pPr>
            <w:r>
              <w:rPr>
                <w:rFonts w:ascii="Arial" w:cs="Arial" w:eastAsia="Arial" w:hAnsi="Arial"/>
                <w:sz w:val="18"/>
                <w:szCs w:val="18"/>
                <w:color w:val="auto"/>
              </w:rPr>
              <w:t>Cost-sharing of Bayer HealthCare VEGF Trap-</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2"/>
        </w:trPr>
        <w:tc>
          <w:tcPr>
            <w:tcW w:w="68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Eye development expenses (3)</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50"/>
        </w:trPr>
        <w:tc>
          <w:tcPr>
            <w:tcW w:w="682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242.0</w:t>
            </w:r>
          </w:p>
        </w:tc>
        <w:tc>
          <w:tcPr>
            <w:tcW w:w="28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174.5</w:t>
            </w:r>
          </w:p>
        </w:tc>
        <w:tc>
          <w:tcPr>
            <w:tcW w:w="28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67.5</w:t>
            </w:r>
          </w:p>
        </w:tc>
      </w:tr>
    </w:tbl>
    <w:p>
      <w:pPr>
        <w:spacing w:after="0" w:line="235" w:lineRule="exact"/>
        <w:rPr>
          <w:sz w:val="20"/>
          <w:szCs w:val="20"/>
          <w:color w:val="auto"/>
        </w:rPr>
      </w:pPr>
    </w:p>
    <w:p>
      <w:pPr>
        <w:ind w:left="760" w:hanging="48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$8.5 million and $8.0 million of Non-cash Compensation Expense for the six months ended June 30, 2010 and 2009, respectively.</w:t>
      </w:r>
    </w:p>
    <w:p>
      <w:pPr>
        <w:spacing w:after="0" w:line="288" w:lineRule="exact"/>
        <w:rPr>
          <w:rFonts w:ascii="Arial" w:cs="Arial" w:eastAsia="Arial" w:hAnsi="Arial"/>
          <w:sz w:val="16"/>
          <w:szCs w:val="16"/>
          <w:color w:val="auto"/>
        </w:rPr>
      </w:pPr>
    </w:p>
    <w:p>
      <w:pPr>
        <w:jc w:val="both"/>
        <w:ind w:left="760" w:hanging="482"/>
        <w:spacing w:after="0" w:line="306"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$1.5 million and $1.4 million of Non-cash Compensation Expense for the six months ended June 30, 2010 and 2009, respectively.</w:t>
      </w:r>
    </w:p>
    <w:p>
      <w:pPr>
        <w:spacing w:after="0" w:line="187" w:lineRule="exact"/>
        <w:rPr>
          <w:rFonts w:ascii="Arial" w:cs="Arial" w:eastAsia="Arial" w:hAnsi="Arial"/>
          <w:sz w:val="16"/>
          <w:szCs w:val="16"/>
          <w:color w:val="auto"/>
        </w:rPr>
      </w:pPr>
    </w:p>
    <w:p>
      <w:pPr>
        <w:jc w:val="both"/>
        <w:ind w:left="760" w:hanging="482"/>
        <w:spacing w:after="0" w:line="25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251"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clinical development programs for (i) VEGF Trap-Eye, principally in connection with our COPERNICUS trial in CRVO, (ii) ARCALYST</w:t>
      </w:r>
      <w:r>
        <w:rPr>
          <w:rFonts w:ascii="Arial" w:cs="Arial" w:eastAsia="Arial" w:hAnsi="Arial"/>
          <w:sz w:val="22"/>
          <w:szCs w:val="22"/>
          <w:color w:val="auto"/>
          <w:vertAlign w:val="superscript"/>
        </w:rPr>
        <w:t>®</w:t>
      </w:r>
      <w:r>
        <w:rPr>
          <w:rFonts w:ascii="Arial" w:cs="Arial" w:eastAsia="Arial" w:hAnsi="Arial"/>
          <w:sz w:val="16"/>
          <w:szCs w:val="16"/>
          <w:color w:val="auto"/>
        </w:rPr>
        <w:t>, related to our Phase 3 clinical development program in gout, and (iii) monoclonal antibody candidates, which are in earlier stage clinical development. Clinical manufacturing costs increased primarily due to higher costs related to manufacturing clinical supplies of monoclonal antibodies. Research and other development costs increased primarily due to higher costs associated with our antibody programs. Occupancy and other operating costs increased principally in connection with our higher headcount, expanded research and development activities, and new and expanded leased laboratory and office facilities in Tarrytown, New York. Cost-sharing of Bayer HealthCare’s VEGF Trap-Eye development expenses increased primarily due to higher costs in connection with the VIEW 2 trial in wet AMD and the GALILEO trial in CRVO, both of which are being conducted by Bayer HealthCare.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2" w:name="page33"/>
    <w:bookmarkEnd w:id="32"/>
    <w:p>
      <w:pPr>
        <w:jc w:val="both"/>
        <w:ind w:firstLine="297"/>
        <w:spacing w:after="0" w:line="298" w:lineRule="auto"/>
        <w:rPr>
          <w:sz w:val="20"/>
          <w:szCs w:val="20"/>
          <w:color w:val="auto"/>
        </w:rPr>
      </w:pPr>
      <w:r>
        <w:rPr>
          <w:rFonts w:ascii="Arial" w:cs="Arial" w:eastAsia="Arial" w:hAnsi="Arial"/>
          <w:sz w:val="16"/>
          <w:szCs w:val="16"/>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r>
              <w:rPr>
                <w:rFonts w:ascii="Arial" w:cs="Arial" w:eastAsia="Arial" w:hAnsi="Arial"/>
                <w:sz w:val="18"/>
                <w:szCs w:val="18"/>
                <w:b w:val="1"/>
                <w:bCs w:val="1"/>
                <w:color w:val="auto"/>
              </w:rPr>
              <w:t>Project Costs</w:t>
            </w:r>
          </w:p>
        </w:tc>
        <w:tc>
          <w:tcPr>
            <w:tcW w:w="4420" w:type="dxa"/>
            <w:vAlign w:val="bottom"/>
            <w:gridSpan w:val="7"/>
          </w:tcPr>
          <w:p>
            <w:pPr>
              <w:ind w:left="1720"/>
              <w:spacing w:after="0"/>
              <w:rPr>
                <w:sz w:val="20"/>
                <w:szCs w:val="20"/>
                <w:color w:val="auto"/>
              </w:rPr>
            </w:pPr>
            <w:r>
              <w:rPr>
                <w:rFonts w:ascii="Arial" w:cs="Arial" w:eastAsia="Arial" w:hAnsi="Arial"/>
                <w:sz w:val="18"/>
                <w:szCs w:val="18"/>
                <w:b w:val="1"/>
                <w:bCs w:val="1"/>
                <w:color w:val="auto"/>
                <w:w w:val="90"/>
              </w:rPr>
              <w:t>For the six months ended June 30,</w:t>
            </w: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Increase</w:t>
            </w:r>
          </w:p>
        </w:tc>
      </w:tr>
      <w:tr>
        <w:trPr>
          <w:trHeight w:val="237"/>
        </w:trPr>
        <w:tc>
          <w:tcPr>
            <w:tcW w:w="496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72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(Decrease)</w:t>
            </w:r>
          </w:p>
        </w:tc>
      </w:tr>
      <w:tr>
        <w:trPr>
          <w:trHeight w:val="243"/>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ARCALYST</w:t>
            </w:r>
            <w:r>
              <w:rPr>
                <w:rFonts w:ascii="Arial" w:cs="Arial" w:eastAsia="Arial" w:hAnsi="Arial"/>
                <w:sz w:val="12"/>
                <w:szCs w:val="12"/>
                <w:color w:val="auto"/>
              </w:rPr>
              <w:t>®</w:t>
            </w:r>
          </w:p>
        </w:tc>
        <w:tc>
          <w:tcPr>
            <w:tcW w:w="1960" w:type="dxa"/>
            <w:vAlign w:val="bottom"/>
            <w:gridSpan w:val="2"/>
            <w:shd w:val="clear" w:color="auto" w:fill="C0C0C0"/>
          </w:tcPr>
          <w:p>
            <w:pPr>
              <w:ind w:left="17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31.7</w:t>
            </w:r>
          </w:p>
        </w:tc>
        <w:tc>
          <w:tcPr>
            <w:tcW w:w="5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33.6</w:t>
            </w:r>
          </w:p>
        </w:tc>
        <w:tc>
          <w:tcPr>
            <w:tcW w:w="3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w:t>
            </w:r>
          </w:p>
        </w:tc>
      </w:tr>
      <w:tr>
        <w:trPr>
          <w:trHeight w:val="235"/>
        </w:trPr>
        <w:tc>
          <w:tcPr>
            <w:tcW w:w="4960" w:type="dxa"/>
            <w:vAlign w:val="bottom"/>
          </w:tcPr>
          <w:p>
            <w:pPr>
              <w:spacing w:after="0"/>
              <w:rPr>
                <w:sz w:val="20"/>
                <w:szCs w:val="20"/>
                <w:color w:val="auto"/>
              </w:rPr>
            </w:pPr>
            <w:r>
              <w:rPr>
                <w:rFonts w:ascii="Arial" w:cs="Arial" w:eastAsia="Arial" w:hAnsi="Arial"/>
                <w:sz w:val="18"/>
                <w:szCs w:val="18"/>
                <w:color w:val="auto"/>
              </w:rPr>
              <w:t>VEGF Trap-Eye</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17.0</w:t>
            </w:r>
          </w:p>
        </w:tc>
      </w:tr>
      <w:tr>
        <w:trPr>
          <w:trHeight w:val="251"/>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17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w:t>
            </w:r>
          </w:p>
        </w:tc>
      </w:tr>
      <w:tr>
        <w:trPr>
          <w:trHeight w:val="235"/>
        </w:trPr>
        <w:tc>
          <w:tcPr>
            <w:tcW w:w="4960" w:type="dxa"/>
            <w:vAlign w:val="bottom"/>
          </w:tcPr>
          <w:p>
            <w:pPr>
              <w:spacing w:after="0"/>
              <w:rPr>
                <w:sz w:val="20"/>
                <w:szCs w:val="20"/>
                <w:color w:val="auto"/>
              </w:rPr>
            </w:pPr>
            <w:r>
              <w:rPr>
                <w:rFonts w:ascii="Arial" w:cs="Arial" w:eastAsia="Arial" w:hAnsi="Arial"/>
                <w:sz w:val="18"/>
                <w:szCs w:val="18"/>
                <w:color w:val="auto"/>
              </w:rPr>
              <w:t>REGN88</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5"/>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Other antibody candidates in clinical</w:t>
            </w:r>
          </w:p>
        </w:tc>
        <w:tc>
          <w:tcPr>
            <w:tcW w:w="17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r>
      <w:tr>
        <w:trPr>
          <w:trHeight w:val="259"/>
        </w:trPr>
        <w:tc>
          <w:tcPr>
            <w:tcW w:w="4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development</w:t>
            </w:r>
          </w:p>
        </w:tc>
        <w:tc>
          <w:tcPr>
            <w:tcW w:w="17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10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40.3</w:t>
            </w:r>
          </w:p>
        </w:tc>
      </w:tr>
      <w:tr>
        <w:trPr>
          <w:trHeight w:val="237"/>
        </w:trPr>
        <w:tc>
          <w:tcPr>
            <w:tcW w:w="49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research programs &amp; unallocated costs</w:t>
            </w:r>
          </w:p>
        </w:tc>
        <w:tc>
          <w:tcPr>
            <w:tcW w:w="17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19.7</w:t>
            </w:r>
          </w:p>
        </w:tc>
      </w:tr>
      <w:tr>
        <w:trPr>
          <w:trHeight w:val="242"/>
        </w:trPr>
        <w:tc>
          <w:tcPr>
            <w:tcW w:w="4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research and development expenses</w:t>
            </w:r>
          </w:p>
        </w:tc>
        <w:tc>
          <w:tcPr>
            <w:tcW w:w="1960" w:type="dxa"/>
            <w:vAlign w:val="bottom"/>
            <w:gridSpan w:val="2"/>
            <w:shd w:val="clear" w:color="auto" w:fill="C0C0C0"/>
          </w:tcPr>
          <w:p>
            <w:pPr>
              <w:ind w:left="17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242.0</w:t>
            </w:r>
          </w:p>
        </w:tc>
        <w:tc>
          <w:tcPr>
            <w:tcW w:w="5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174.5</w:t>
            </w:r>
          </w:p>
        </w:tc>
        <w:tc>
          <w:tcPr>
            <w:tcW w:w="3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67.5</w:t>
            </w:r>
          </w:p>
        </w:tc>
      </w:tr>
      <w:tr>
        <w:trPr>
          <w:trHeight w:val="28"/>
        </w:trPr>
        <w:tc>
          <w:tcPr>
            <w:tcW w:w="4960" w:type="dxa"/>
            <w:vAlign w:val="bottom"/>
            <w:shd w:val="clear" w:color="auto" w:fill="C0C0C0"/>
          </w:tcPr>
          <w:p>
            <w:pPr>
              <w:spacing w:after="0"/>
              <w:rPr>
                <w:sz w:val="2"/>
                <w:szCs w:val="2"/>
                <w:color w:val="auto"/>
              </w:rPr>
            </w:pPr>
          </w:p>
        </w:tc>
        <w:tc>
          <w:tcPr>
            <w:tcW w:w="172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7"/>
          <w:szCs w:val="17"/>
          <w:color w:val="auto"/>
        </w:rPr>
        <w:t>For the reasons described above under “Research and Development Expenses” for the three months ended June 30, 2010 and 2009,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 In 2008, we received FDA approval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a group of rare, inherited auto-inflammatory diseases that affect a very small group of people. We currently do not expect to generate material product revenues and net cash inflows from the sale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8"/>
          <w:szCs w:val="18"/>
          <w:color w:val="auto"/>
        </w:rPr>
        <w:t>Selling, general, and administrative expenses increased to $28.9 million in the first half of 2010 from $23.1 million in the same period of 2009. In the first half of 2010, we incurred higher compensation expense due primarily to increases in headcount, higher Non-cash Compensation Expense, and higher recruitment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6" w:lineRule="exact"/>
        <w:rPr>
          <w:sz w:val="20"/>
          <w:szCs w:val="20"/>
          <w:color w:val="auto"/>
        </w:rPr>
      </w:pPr>
    </w:p>
    <w:p>
      <w:pPr>
        <w:jc w:val="both"/>
        <w:ind w:firstLine="297"/>
        <w:spacing w:after="0" w:line="237" w:lineRule="auto"/>
        <w:rPr>
          <w:sz w:val="20"/>
          <w:szCs w:val="20"/>
          <w:color w:val="auto"/>
        </w:rPr>
      </w:pPr>
      <w:r>
        <w:rPr>
          <w:rFonts w:ascii="Arial" w:cs="Arial" w:eastAsia="Arial" w:hAnsi="Arial"/>
          <w:sz w:val="16"/>
          <w:szCs w:val="16"/>
          <w:color w:val="auto"/>
        </w:rPr>
        <w:t>Cost of goods sold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sales, which consisted primarily of royalties and other period costs, totaled $1.1 million and $0.8 million for the six months ended June 30, 2010 and 2009, respectively. To date,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shipments to our customers have consisted of supplies of inventory manufactured and expensed prior to FDA approval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February 2008; therefore, the costs of these supplies were not included in costs of goods sold.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Investment income decreased to $1.0 million in the first half of 2010 from $3.1 million in the comparable quarter of 2009, primarily due to lower balances of, and lower yields on, cash and marketable securities and a $0.1 million other-than-temporary impairment charge. Interest expense of $4.4 million in the first half of 2010 was attributable to the imputed interest portion of payments to our landlord to lease newly constructed laboratory and office facilities in Tarrytown, New York. These payments commenced in the third quarter of 2009.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5" w:lineRule="exact"/>
        <w:rPr>
          <w:sz w:val="20"/>
          <w:szCs w:val="20"/>
          <w:color w:val="auto"/>
        </w:rPr>
      </w:pPr>
    </w:p>
    <w:p>
      <w:pPr>
        <w:jc w:val="both"/>
        <w:ind w:firstLine="338"/>
        <w:spacing w:after="0" w:line="281"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a private placement of convertible debt (which was repurchased or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our technology licensing agreements,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 revenue, and investment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and 2009</w:t>
      </w:r>
    </w:p>
    <w:p>
      <w:pPr>
        <w:spacing w:after="0" w:line="279"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At June 30, 2010, we had $380.2 million in cash, cash equivalents, restricted cash, and marketable securities compared with $390.0 million at December 31, 2009. In February 2010, we received $47.5 million from our landlord in connection with tenant improvement costs for the new laboratory and office facilities that we lease in Tarrytown, New York. In addition, in February and June 2010, we received $20.0 million annual technology licensing payments from AstraZeneca and Astellas,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Operations:</w:t>
      </w:r>
    </w:p>
    <w:p>
      <w:pPr>
        <w:spacing w:after="0" w:line="2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Net cash used in operations was $22.6 million in the first six months of 2010 and $16.0 million in the first six months of 2009. Our net losses of $56.0 million in the first half of 2010 and $30.3 million in the first half of 2009 included $17.5 million and $15.1 million, respectively, of Non-cash Compensation Expense, and $8.7 million and $5.7 million, respectively, of depreciation and amortization.</w:t>
      </w:r>
    </w:p>
    <w:p>
      <w:pPr>
        <w:spacing w:after="0" w:line="248" w:lineRule="exact"/>
        <w:rPr>
          <w:sz w:val="20"/>
          <w:szCs w:val="20"/>
          <w:color w:val="auto"/>
        </w:rPr>
      </w:pPr>
    </w:p>
    <w:p>
      <w:pPr>
        <w:jc w:val="both"/>
        <w:ind w:firstLine="297"/>
        <w:spacing w:after="0" w:line="288" w:lineRule="auto"/>
        <w:rPr>
          <w:sz w:val="20"/>
          <w:szCs w:val="20"/>
          <w:color w:val="auto"/>
        </w:rPr>
      </w:pPr>
      <w:r>
        <w:rPr>
          <w:rFonts w:ascii="Arial" w:cs="Arial" w:eastAsia="Arial" w:hAnsi="Arial"/>
          <w:sz w:val="16"/>
          <w:szCs w:val="16"/>
          <w:color w:val="auto"/>
        </w:rPr>
        <w:t>At June 30, 2010, accounts receivable increased by $29.6 million, compared to end-of-year 2009, primarily due to a higher receivable balance related to our antibody collaboration with sanofi-aventis. Also, our deferred revenue balances at June 30, 2010 increased by $16.6 million, compared to end-of-year 2009, primarily due to (i) the receipt of the $20.0 million payments from AstraZeneca and Astellas, as described above, which were deferred and are being recognized ratably over the ensuing year and (ii) sanofi-aventis’ funding of $13.8 million of agreed-upon costs incurred by us during the first half of 2010 to expand our manufacturing capacity at our Rensselaer facilities, which was deferred and is being recognized as collaboration revenue prospectively over the related performance period in conjunction with the original $85.0 million up-front payment received from sanofi-aventis. These increases were partially offset by amortization of previously received deferred payments under our sanofi-aventis and Bayer HealthCare collaborations. At June 30, 2010, accounts payable, accrued expenses, and other liabilities increased by $18.1 million, compared to end-of-year 2009, primarily in connection with our expanded levels of activities and expenditures, including higher liabilities for payroll and related costs and clinical trial expenses.</w:t>
      </w:r>
    </w:p>
    <w:p>
      <w:pPr>
        <w:spacing w:after="0" w:line="228"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At June 30, 2009, accounts receivable increased by $24.8 million, compared to end-of-year 2008, primarily due to a higher receivable balance related to our antibody collaboration with sanofi-aventis. Also, our deferred revenue balances at June 30, 2009 increased by $5.9 million, compared to end-of-year 2008, primarily due to the receipt of $20.0 million annual payments from AstraZeneca and Astellas in February and June 2009, respectively, which were deferred and recognized ratably over the ensuing year. This increase was partially offset by amortization of previously received deferred payments under our sanofi-aventis and Bayer HealthCare collaborations. At June 30, 2009, accounts payable, accrued expenses, and other liabilities increased by $13.0 million compared to end-of-year 2008. The increase was due primarily to higher liabilities for clinical trial and payroll-related costs, partially offset by a $9.8 million cost-sharing payment which was due to Bayer HealthCare at December 31, 2008 in connection with the companies’ VEGF Trap-Eye collaboration; no cost-sharing payment was due to Bayer HealthCare at June 30,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279"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Net cash used in investing activities was $131.4 million in the first six months of 2010 and net cash provided by investing activities was $32.8 million in the first six months of 2009. In the first half of 2010, purchases of marketable securities exceeded sales or maturities by $84.3 million, whereas in the first half of 2009, sales or maturities of marketable securities exceeded purchases by $85.4 million. Capital expenditures in the first half of 2010 and 2009 included costs in connection with expanding our manufacturing capacity at our Rensselaer, New York facilities and tenant improvements and related costs in connection with our leased office and laboratory facilities in Tarrytown, New York.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79"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Net cash provided by financing activities was $58.9 million in the first six months of 2010 and $6.9 million in the first six months of 2009. In the first half of 2010 and 2009, we received $47.5 million and $5.2 million, respectively, from our landlord in connection with tenant improvement costs for our new Tarrytown facilities, which we recognized as additional facility lease obligations since we are deemed to own these facilities in accordance with FASB authoritative guidance. In addition, proceeds from issuances of Common Stock in connection with exercises of employee stock options were $12.1 million in the first six months of 2010 and $1.7 million in the first six months of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At June 30, 2010 and December 31, 2009, we held marketable securities whose aggregate fair value totaled $264.8 million and $181.3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portfolio of marketable securities on these dates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3"/>
              </w:rPr>
              <w:t>June 30, 2010</w:t>
            </w:r>
          </w:p>
        </w:tc>
        <w:tc>
          <w:tcPr>
            <w:tcW w:w="100" w:type="dxa"/>
            <w:vAlign w:val="bottom"/>
          </w:tcPr>
          <w:p>
            <w:pPr>
              <w:spacing w:after="0"/>
              <w:rPr>
                <w:sz w:val="20"/>
                <w:szCs w:val="20"/>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1"/>
              </w:rPr>
              <w:t>December 31, 2009</w:t>
            </w: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Investment type</w:t>
            </w:r>
          </w:p>
        </w:tc>
        <w:tc>
          <w:tcPr>
            <w:tcW w:w="2160" w:type="dxa"/>
            <w:vAlign w:val="bottom"/>
          </w:tcPr>
          <w:p>
            <w:pPr>
              <w:spacing w:after="0"/>
              <w:rPr>
                <w:sz w:val="20"/>
                <w:szCs w:val="20"/>
                <w:color w:val="auto"/>
              </w:rPr>
            </w:pPr>
          </w:p>
        </w:tc>
        <w:tc>
          <w:tcPr>
            <w:tcW w:w="10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Fair Value</w:t>
            </w:r>
          </w:p>
        </w:tc>
        <w:tc>
          <w:tcPr>
            <w:tcW w:w="7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84"/>
              </w:rPr>
              <w:t>Percent</w:t>
            </w:r>
          </w:p>
        </w:tc>
        <w:tc>
          <w:tcPr>
            <w:tcW w:w="11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Fair Value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20" w:type="dxa"/>
            <w:vAlign w:val="bottom"/>
          </w:tcPr>
          <w:p>
            <w:pPr>
              <w:spacing w:after="0"/>
              <w:rPr>
                <w:sz w:val="20"/>
                <w:szCs w:val="20"/>
                <w:color w:val="auto"/>
              </w:rPr>
            </w:pPr>
          </w:p>
        </w:tc>
      </w:tr>
      <w:tr>
        <w:trPr>
          <w:trHeight w:val="21"/>
        </w:trPr>
        <w:tc>
          <w:tcPr>
            <w:tcW w:w="5880" w:type="dxa"/>
            <w:vAlign w:val="bottom"/>
            <w:shd w:val="clear" w:color="auto" w:fill="000000"/>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5880" w:type="dxa"/>
            <w:vAlign w:val="bottom"/>
            <w:shd w:val="clear" w:color="auto" w:fill="C0C0C0"/>
          </w:tcPr>
          <w:p>
            <w:pPr>
              <w:spacing w:after="0"/>
              <w:rPr>
                <w:sz w:val="20"/>
                <w:szCs w:val="20"/>
                <w:color w:val="auto"/>
              </w:rPr>
            </w:pPr>
            <w:r>
              <w:rPr>
                <w:rFonts w:ascii="Arial" w:cs="Arial" w:eastAsia="Arial" w:hAnsi="Arial"/>
                <w:sz w:val="18"/>
                <w:szCs w:val="18"/>
                <w:color w:val="auto"/>
              </w:rPr>
              <w:t>U.S. Treasury securities</w:t>
            </w:r>
          </w:p>
        </w:tc>
        <w:tc>
          <w:tcPr>
            <w:tcW w:w="2340" w:type="dxa"/>
            <w:vAlign w:val="bottom"/>
            <w:gridSpan w:val="2"/>
            <w:shd w:val="clear" w:color="auto" w:fill="C0C0C0"/>
          </w:tcPr>
          <w:p>
            <w:pPr>
              <w:ind w:left="2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25.0</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80.4</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r>
      <w:tr>
        <w:trPr>
          <w:trHeight w:val="235"/>
        </w:trPr>
        <w:tc>
          <w:tcPr>
            <w:tcW w:w="58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161.7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51"/>
        </w:trPr>
        <w:tc>
          <w:tcPr>
            <w:tcW w:w="5880" w:type="dxa"/>
            <w:vAlign w:val="bottom"/>
            <w:shd w:val="clear" w:color="auto" w:fill="C0C0C0"/>
          </w:tcPr>
          <w:p>
            <w:pPr>
              <w:spacing w:after="0"/>
              <w:rPr>
                <w:sz w:val="20"/>
                <w:szCs w:val="20"/>
                <w:color w:val="auto"/>
              </w:rPr>
            </w:pPr>
            <w:r>
              <w:rPr>
                <w:rFonts w:ascii="Arial" w:cs="Arial" w:eastAsia="Arial" w:hAnsi="Arial"/>
                <w:sz w:val="18"/>
                <w:szCs w:val="18"/>
                <w:color w:val="auto"/>
              </w:rPr>
              <w:t>U.S. government-guaranteed corporate bonds</w:t>
            </w:r>
          </w:p>
        </w:tc>
        <w:tc>
          <w:tcPr>
            <w:tcW w:w="2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64.0</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48.7</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r>
      <w:tr>
        <w:trPr>
          <w:trHeight w:val="228"/>
        </w:trPr>
        <w:tc>
          <w:tcPr>
            <w:tcW w:w="5880" w:type="dxa"/>
            <w:vAlign w:val="bottom"/>
          </w:tcPr>
          <w:p>
            <w:pPr>
              <w:spacing w:after="0"/>
              <w:rPr>
                <w:sz w:val="20"/>
                <w:szCs w:val="20"/>
                <w:color w:val="auto"/>
              </w:rPr>
            </w:pPr>
            <w:r>
              <w:rPr>
                <w:rFonts w:ascii="Arial" w:cs="Arial" w:eastAsia="Arial" w:hAnsi="Arial"/>
                <w:sz w:val="18"/>
                <w:szCs w:val="18"/>
                <w:color w:val="auto"/>
              </w:rPr>
              <w:t>U.S. government guaranteed collateralized mortgage</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880" w:type="dxa"/>
            <w:vAlign w:val="bottom"/>
          </w:tcPr>
          <w:p>
            <w:pPr>
              <w:ind w:left="320"/>
              <w:spacing w:after="0"/>
              <w:rPr>
                <w:sz w:val="20"/>
                <w:szCs w:val="20"/>
                <w:color w:val="auto"/>
              </w:rPr>
            </w:pPr>
            <w:r>
              <w:rPr>
                <w:rFonts w:ascii="Arial" w:cs="Arial" w:eastAsia="Arial" w:hAnsi="Arial"/>
                <w:sz w:val="18"/>
                <w:szCs w:val="18"/>
                <w:color w:val="auto"/>
              </w:rPr>
              <w:t>obligations</w:t>
            </w:r>
          </w:p>
        </w:tc>
        <w:tc>
          <w:tcPr>
            <w:tcW w:w="2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1"/>
        </w:trPr>
        <w:tc>
          <w:tcPr>
            <w:tcW w:w="5880" w:type="dxa"/>
            <w:vAlign w:val="bottom"/>
            <w:shd w:val="clear" w:color="auto" w:fill="C0C0C0"/>
          </w:tcPr>
          <w:p>
            <w:pPr>
              <w:spacing w:after="0"/>
              <w:rPr>
                <w:sz w:val="20"/>
                <w:szCs w:val="20"/>
                <w:color w:val="auto"/>
              </w:rPr>
            </w:pPr>
            <w:r>
              <w:rPr>
                <w:rFonts w:ascii="Arial" w:cs="Arial" w:eastAsia="Arial" w:hAnsi="Arial"/>
                <w:sz w:val="18"/>
                <w:szCs w:val="18"/>
                <w:color w:val="auto"/>
              </w:rPr>
              <w:t>Corporate bonds</w:t>
            </w:r>
          </w:p>
        </w:tc>
        <w:tc>
          <w:tcPr>
            <w:tcW w:w="2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35"/>
        </w:trPr>
        <w:tc>
          <w:tcPr>
            <w:tcW w:w="58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1"/>
        </w:trPr>
        <w:tc>
          <w:tcPr>
            <w:tcW w:w="5880" w:type="dxa"/>
            <w:vAlign w:val="bottom"/>
            <w:shd w:val="clear" w:color="auto" w:fill="C0C0C0"/>
          </w:tcPr>
          <w:p>
            <w:pPr>
              <w:spacing w:after="0"/>
              <w:rPr>
                <w:sz w:val="20"/>
                <w:szCs w:val="20"/>
                <w:color w:val="auto"/>
              </w:rPr>
            </w:pPr>
            <w:r>
              <w:rPr>
                <w:rFonts w:ascii="Arial" w:cs="Arial" w:eastAsia="Arial" w:hAnsi="Arial"/>
                <w:sz w:val="18"/>
                <w:szCs w:val="18"/>
                <w:color w:val="auto"/>
              </w:rPr>
              <w:t>Equity security</w:t>
            </w:r>
          </w:p>
        </w:tc>
        <w:tc>
          <w:tcPr>
            <w:tcW w:w="2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3.8</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5.4</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35"/>
        </w:trPr>
        <w:tc>
          <w:tcPr>
            <w:tcW w:w="588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
        </w:trPr>
        <w:tc>
          <w:tcPr>
            <w:tcW w:w="5880" w:type="dxa"/>
            <w:vAlign w:val="bottom"/>
            <w:shd w:val="clear" w:color="auto" w:fill="C0C0C0"/>
          </w:tcPr>
          <w:p>
            <w:pPr>
              <w:spacing w:after="0" w:line="20" w:lineRule="exact"/>
              <w:rPr>
                <w:sz w:val="1"/>
                <w:szCs w:val="1"/>
                <w:color w:val="auto"/>
              </w:rPr>
            </w:pPr>
          </w:p>
        </w:tc>
        <w:tc>
          <w:tcPr>
            <w:tcW w:w="2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58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marketable securities</w:t>
            </w:r>
          </w:p>
        </w:tc>
        <w:tc>
          <w:tcPr>
            <w:tcW w:w="2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264.8</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181.3</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r>
      <w:tr>
        <w:trPr>
          <w:trHeight w:val="28"/>
        </w:trPr>
        <w:tc>
          <w:tcPr>
            <w:tcW w:w="5880" w:type="dxa"/>
            <w:vAlign w:val="bottom"/>
            <w:shd w:val="clear" w:color="auto" w:fill="C0C0C0"/>
          </w:tcPr>
          <w:p>
            <w:pPr>
              <w:spacing w:after="0"/>
              <w:rPr>
                <w:sz w:val="2"/>
                <w:szCs w:val="2"/>
                <w:color w:val="auto"/>
              </w:rPr>
            </w:pPr>
          </w:p>
        </w:tc>
        <w:tc>
          <w:tcPr>
            <w:tcW w:w="216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48"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In addition, at June 30, 2010 and December 31, 2009, we had $115.4 million and $208.7 million, respectively, of cash, cash equivalents, and restricted cash, primarily held in money market funds that invest in U.S. government securities.</w:t>
      </w:r>
    </w:p>
    <w:p>
      <w:pPr>
        <w:spacing w:after="0" w:line="240"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During 2009 and 2010 to date, as marketable securities in our portfolio matured or paid down, we purchased higher quality securities such as U.S. Treasury securities, U.S. government agency obligations, and U.S. government-guaranteed debt. This shift in our investment portfolio, which we initiated in 2008, has reduced the risk profile, as well as the overall yield, of our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of Antibody Discovery Activities under Collaboration with sanofi-aventis</w:t>
      </w:r>
    </w:p>
    <w:p>
      <w:pPr>
        <w:spacing w:after="0" w:line="27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As described above under “Antibody Collaboration and License Agreements,” in November 2009, we and sanofi-aventis amended our collaboration agreements to expand and extend our antibody collaboration. Sanofi-aventis will now fund up to $160 million per year of our antibody discovery activities over the period from 2010-2017, subject to a one-time option for sanofi-aventis to adjust the maximum reimbursement amount down to $120 million per year commencing in 2014 if over the prior two years certain specified criteria are not satisfied. In 2010, as we scale up our capacity to conduct antibody discovery activities, we will incur and seek reimbursement of only $130-$140 million of antibody discovery costs, with the balance between that amount and $160 million added to the funding otherwise available to us in 2011-2012. The discovery agreement under the antibody collaboration will expire at the end of 2017; however, sanofi-aventis has an option to extend the agreement for up to an additional three years for further antibody development and preclinical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of License Agreement with Astellas</w:t>
      </w:r>
    </w:p>
    <w:p>
      <w:pPr>
        <w:spacing w:after="0" w:line="279"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As described above under “Antibody Collaboration and License Agreements,” in July 2010, the non-exclusive license agreement with Astellas was amended and extended through June 2023. Under the terms of the amended agreement, Astellas will make a $165.0 million up-front payment to us, and will make a $130.0 million payment to us in June 2018 unless the license agreement has been terminated prior to that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97"/>
        <w:spacing w:after="0" w:line="290" w:lineRule="auto"/>
        <w:rPr>
          <w:sz w:val="20"/>
          <w:szCs w:val="20"/>
          <w:color w:val="auto"/>
        </w:rPr>
      </w:pPr>
      <w:r>
        <w:rPr>
          <w:rFonts w:ascii="Arial" w:cs="Arial" w:eastAsia="Arial" w:hAnsi="Arial"/>
          <w:sz w:val="16"/>
          <w:szCs w:val="16"/>
          <w:color w:val="auto"/>
        </w:rPr>
        <w:t>Our cash expenditures for property, plant, and equipment totaled $45.3 million and $52.7 million for the first six months of 2010 and 2009, respectively. We expect to incur capital expenditures of approximately $50 to $70 million during the remainder of 2010 and approximately $40 to $60 million in 2011, primarily in connection with expanding our Rensselaer, New York manufacturing facilities and tenant improvements at our leased Tarrytown facilities. As described above, in February 2010, we received $47.5 million from our landlord in connection with tenant improvement costs in Tarrytown. In addition, as described above, sanofi-aventis has funded $13.8 million of agreed-upon capital expenditures incurred by us during the first half of 2010 to expand our manufacturing capacity at our Rensselaer facilities, which was either received or receivable at June 30, 2010. We expect to be reimbursed for a portion of additional capital expenditures in 2010 and 2011 for our Rensselaer facilities by sanofi-aventis, with the remaining amount to be funded by our existing capital resources.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7"/>
          <w:szCs w:val="17"/>
          <w:color w:val="auto"/>
        </w:rPr>
        <w:t>We expect to continue to incur substantial funding requirements primarily for research and development activities (including preclinical and clinical testing). Before taking into account reimbursements from our collaborators, and exclusive of anticipated funding for capital expenditures as described above, we currently anticipate that approximately 65-75% of our expenditures for 2010 will be directed toward the clinical development of product candidates, including ARCALYST</w:t>
      </w:r>
      <w:r>
        <w:rPr>
          <w:rFonts w:ascii="Arial" w:cs="Arial" w:eastAsia="Arial" w:hAnsi="Arial"/>
          <w:sz w:val="23"/>
          <w:szCs w:val="23"/>
          <w:color w:val="auto"/>
          <w:vertAlign w:val="superscript"/>
        </w:rPr>
        <w:t>®</w:t>
      </w:r>
      <w:r>
        <w:rPr>
          <w:rFonts w:ascii="Arial" w:cs="Arial" w:eastAsia="Arial" w:hAnsi="Arial"/>
          <w:sz w:val="17"/>
          <w:szCs w:val="17"/>
          <w:color w:val="auto"/>
        </w:rPr>
        <w:t>, aflibercept, VEGF Trap-Eye, and clinical stage monoclonal antibodies; approximately 15-25% of our expenditures for 2010 will be applied to our basic research and preclinical activities; and the remainder of our expenditures for 2010 will be used for the continued development of our novel technology platforms and general corporate purposes. While we expect that funding requirements for our research and development activities will continue to increase in 2010, we also expect that a greater proportion of our research and development expenditures will be reimbursed by our collaborators, especially in connection with our amended and expanded antibody collaboration with sanofi-aventis.</w:t>
      </w:r>
    </w:p>
    <w:p>
      <w:pPr>
        <w:spacing w:after="0" w:line="250" w:lineRule="exact"/>
        <w:rPr>
          <w:sz w:val="20"/>
          <w:szCs w:val="20"/>
          <w:color w:val="auto"/>
        </w:rPr>
      </w:pPr>
    </w:p>
    <w:p>
      <w:pPr>
        <w:jc w:val="both"/>
        <w:ind w:firstLine="392"/>
        <w:spacing w:after="0" w:line="266"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Currently, we are required to remit royalties on product sales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CAPS. In the future, if we are able to successfully develop, market, and sell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other indications or certain of our product candidates, we may be required to pay royalties or otherwise share the profits generated on such sales in connection with our collaboration and licensing agreements.</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expect that expenses related to the filing, prosecution, defense, and enforcement of patents and other intellectual property will continue to be substantial.</w:t>
      </w:r>
    </w:p>
    <w:p>
      <w:pPr>
        <w:spacing w:after="0" w:line="302"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We believe that our existing capital resources, including funding we are entitled to receive under our collaboration agreements and our non-exclusive license agreement with Astellas, which was amended in July 2010 as described above, will enable us to meet operating needs through at least 2013. However, this is a forward-looking statement based on our current operating plan, and there may be a change in projected revenues or expenses that would lead to our capital being consumed significantly before such time. For example, if we choose to commercialize products that are not licensed to a third party, we could incur substantial pre-marketing and commercialization expenses that could lead us to consume our cash at a faster rate. If there is insufficient capital to fund all of our planned operations and activities, we would expect to prioritize available capital to fund selected preclinical and clinical development programs or license selected products.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6" w:name="page37"/>
    <w:bookmarkEnd w:id="36"/>
    <w:p>
      <w:pPr>
        <w:jc w:val="both"/>
        <w:ind w:firstLine="324"/>
        <w:spacing w:after="0" w:line="289" w:lineRule="auto"/>
        <w:rPr>
          <w:sz w:val="20"/>
          <w:szCs w:val="20"/>
          <w:color w:val="auto"/>
        </w:rPr>
      </w:pPr>
      <w:r>
        <w:rPr>
          <w:rFonts w:ascii="Arial" w:cs="Arial" w:eastAsia="Arial" w:hAnsi="Arial"/>
          <w:sz w:val="16"/>
          <w:szCs w:val="16"/>
          <w:color w:val="auto"/>
        </w:rPr>
        <w:t>Other than a $3.4 million letter of credit issued to our landlord in connection with our lease for facilities in Tarrytown, New York, we have no off-balance sheet arrangements. In addition, we do not guarantee the obligations of any other entity. As of June 30, 2010,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5"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In March 2010, the FASB amended its authoritative guidance on the milestone method of revenue recognition. The milestone method of revenue recognition has now been codified as an acceptable revenue recognition model when a milestone is deemed to be substantive. This guidance may be applied retrospectively to all arrangements or prospectively for milestones achieved after the adoption of the guidance. We are required to adopt this amended guidance for the fiscal year beginning January 1, 2011, although earlier adoption is permitted. Management does not anticipate that the adoption of this guidance will have a material impact on our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Our earnings and cash flows are subject to fluctuations due to changes in interest rates principally in connection with our investment of excess cash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$1.2 million and $0.8 million decrease in the fair value of our investment portfolio at June 30, 2010 and 2009,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79"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have recognized other-than-temporary impairment charges related to certain marketable securities of $2.5 million, $0.1 million, and $0.1 million in 2008, 2009, and the first six months of 2010, respectively.</w:t>
      </w:r>
    </w:p>
    <w:p>
      <w:pPr>
        <w:spacing w:after="0" w:line="221"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current economic environment, the deterioration in the credit quality of issuers of securities that we hold, and the continuing volatility of securities markets increase the risk of potential declines in the current market value of marketable securities in our investment portfolio. Such declines could result in charges against income in future periods for other-than-temporary impairments and the amounts could be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7" w:name="page38"/>
    <w:bookmarkEnd w:id="37"/>
    <w:p>
      <w:pPr>
        <w:jc w:val="both"/>
        <w:ind w:right="20" w:firstLine="297"/>
        <w:spacing w:after="0" w:line="332"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June 30, 2010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5"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58" w:lineRule="exact"/>
        <w:rPr>
          <w:sz w:val="20"/>
          <w:szCs w:val="20"/>
          <w:color w:val="auto"/>
        </w:rPr>
      </w:pPr>
    </w:p>
    <w:p>
      <w:pPr>
        <w:ind w:left="160"/>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240"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From inception on January 8, 1988 through June 30, 2010, we had a cumulative loss of $997.1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88" w:lineRule="exact"/>
        <w:rPr>
          <w:sz w:val="20"/>
          <w:szCs w:val="20"/>
          <w:color w:val="auto"/>
        </w:rPr>
      </w:pPr>
    </w:p>
    <w:p>
      <w:pPr>
        <w:ind w:left="160"/>
        <w:spacing w:after="0" w:line="268"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40"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6"/>
          <w:szCs w:val="16"/>
          <w:color w:val="auto"/>
        </w:rPr>
        <w:t xml:space="preserve">We will need to expend substantial resources for research and development, including costs associated with clinical testing of our product candidates. We believe our existing capital resources, including funding we are entitled to receive under our collaboration agreements and our non-exclusive license agreement with Astellas, will enable us to meet operating needs through at least 2013; however, one or more of our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licenses or collaboration agreements may terminate, our projected revenue may decrease, or our expenses may increase and that would lead to our capital being consumed significantly before such time. Our expenses may increase for many reasons, including for expenses in connection with the commercial launch of our products, for expenses related to new clinical trials testing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VEGF Trap-Eye, or for the potential requirement for us to fund 20% of Phase 3 clinical trial costs for any of our antibody product candidates pursuant to the terms of our collaboration with sanofi-aventis.</w:t>
      </w:r>
    </w:p>
    <w:p>
      <w:pPr>
        <w:spacing w:after="0" w:line="244"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8" w:name="page39"/>
    <w:bookmarkEnd w:id="38"/>
    <w:p>
      <w:pPr>
        <w:jc w:val="both"/>
        <w:ind w:left="160"/>
        <w:spacing w:after="0" w:line="259" w:lineRule="auto"/>
        <w:rPr>
          <w:sz w:val="20"/>
          <w:szCs w:val="20"/>
          <w:color w:val="auto"/>
        </w:rPr>
      </w:pPr>
      <w:r>
        <w:rPr>
          <w:rFonts w:ascii="Arial" w:cs="Arial" w:eastAsia="Arial" w:hAnsi="Arial"/>
          <w:sz w:val="18"/>
          <w:szCs w:val="18"/>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24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As of June 30, 2010, cash, cash equivalents, restricted cash, and marketable securities totaled $380.2 million and represented 48% of our total assets. We have invested our excess cash primarily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We consider assets classified as marketable securities to be “available-for-sale,” as defined by FASB authoritative guidance. Marketable securities totaled $264.8 million at June 30, 2010,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For example, we recognized other-than-temporary impairment charges related to certain marketable securities of $2.5 million, $0.1 million, and $0.1 million in 2008, 2009, and the first six months of 2010, respectively. The current economic environment, the deterioration in the credit quality of some of the issuers of securities that we hold, and the recent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(rilonacept) and the Development of Our Product Candidates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79"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225" w:lineRule="exact"/>
        <w:rPr>
          <w:sz w:val="20"/>
          <w:szCs w:val="20"/>
          <w:color w:val="auto"/>
        </w:rPr>
      </w:pPr>
    </w:p>
    <w:p>
      <w:pPr>
        <w:jc w:val="both"/>
        <w:ind w:firstLine="378"/>
        <w:spacing w:after="0" w:line="228" w:lineRule="auto"/>
        <w:rPr>
          <w:sz w:val="20"/>
          <w:szCs w:val="20"/>
          <w:color w:val="auto"/>
        </w:rPr>
      </w:pPr>
      <w:r>
        <w:rPr>
          <w:rFonts w:ascii="Arial" w:cs="Arial" w:eastAsia="Arial" w:hAnsi="Arial"/>
          <w:sz w:val="18"/>
          <w:szCs w:val="18"/>
          <w:color w:val="auto"/>
        </w:rPr>
        <w:t>We are testing aflibercept, VEGF Trap-Eye, and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a number of late-stage clinical trials. Clinical trials may not demonstrate statistically sufficient effectiveness and safety to obtain the requisite regulatory approvals for these product candidates. In a number of instances, we have terminated the development of product candidates due to a lack of or only modest effectiveness.</w:t>
      </w:r>
    </w:p>
    <w:p>
      <w:pPr>
        <w:spacing w:after="0" w:line="263" w:lineRule="exact"/>
        <w:rPr>
          <w:sz w:val="20"/>
          <w:szCs w:val="20"/>
          <w:color w:val="auto"/>
        </w:rPr>
      </w:pPr>
    </w:p>
    <w:p>
      <w:pPr>
        <w:jc w:val="both"/>
        <w:ind w:firstLine="284"/>
        <w:spacing w:after="0" w:line="227" w:lineRule="auto"/>
        <w:rPr>
          <w:sz w:val="20"/>
          <w:szCs w:val="20"/>
          <w:color w:val="auto"/>
        </w:rPr>
      </w:pPr>
      <w:r>
        <w:rPr>
          <w:rFonts w:ascii="Arial" w:cs="Arial" w:eastAsia="Arial" w:hAnsi="Arial"/>
          <w:sz w:val="17"/>
          <w:szCs w:val="17"/>
          <w:color w:val="auto"/>
        </w:rPr>
        <w:t>Aflibercept is in Phase 3 clinical trials in combination with standard chemotherapy regimens for the treatment of 2</w:t>
      </w:r>
      <w:r>
        <w:rPr>
          <w:rFonts w:ascii="Arial" w:cs="Arial" w:eastAsia="Arial" w:hAnsi="Arial"/>
          <w:sz w:val="23"/>
          <w:szCs w:val="23"/>
          <w:color w:val="auto"/>
          <w:vertAlign w:val="superscript"/>
        </w:rPr>
        <w:t>nd</w:t>
      </w:r>
      <w:r>
        <w:rPr>
          <w:rFonts w:ascii="Arial" w:cs="Arial" w:eastAsia="Arial" w:hAnsi="Arial"/>
          <w:sz w:val="17"/>
          <w:szCs w:val="17"/>
          <w:color w:val="auto"/>
        </w:rPr>
        <w:t>-line metastatic colorectal cancer, 1</w:t>
      </w:r>
      <w:r>
        <w:rPr>
          <w:rFonts w:ascii="Arial" w:cs="Arial" w:eastAsia="Arial" w:hAnsi="Arial"/>
          <w:sz w:val="23"/>
          <w:szCs w:val="23"/>
          <w:color w:val="auto"/>
          <w:vertAlign w:val="superscript"/>
        </w:rPr>
        <w:t>st</w:t>
      </w:r>
      <w:r>
        <w:rPr>
          <w:rFonts w:ascii="Arial" w:cs="Arial" w:eastAsia="Arial" w:hAnsi="Arial"/>
          <w:sz w:val="17"/>
          <w:szCs w:val="17"/>
          <w:color w:val="auto"/>
        </w:rPr>
        <w:t>-line androgen independent prostate cancer, and 2</w:t>
      </w:r>
      <w:r>
        <w:rPr>
          <w:rFonts w:ascii="Arial" w:cs="Arial" w:eastAsia="Arial" w:hAnsi="Arial"/>
          <w:sz w:val="23"/>
          <w:szCs w:val="23"/>
          <w:color w:val="auto"/>
          <w:vertAlign w:val="superscript"/>
        </w:rPr>
        <w:t>nd</w:t>
      </w:r>
      <w:r>
        <w:rPr>
          <w:rFonts w:ascii="Arial" w:cs="Arial" w:eastAsia="Arial" w:hAnsi="Arial"/>
          <w:sz w:val="17"/>
          <w:szCs w:val="17"/>
          <w:color w:val="auto"/>
        </w:rPr>
        <w:t>-line metastatic non-small cell lung cancer. Aflibercept may not demonstrate the required safety or efficacy to support an application for approval in any of these indications. We do not have proof of concept data from early-stage, double-blind, controlled clinical trials that aflibercept will be safe or effective in any of these cancer settings. In March 2010, Genentech announced that a Phase 3 trial of its VEGF antagonist, Avastin</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(bevacizumab), in combination with chemotherapy in men with prostate cancer, did not meet its primary endpoint. This trial had a very similar design to our ongoing Phase 3 trial of aflibercept in prostate cancer.</w:t>
      </w:r>
    </w:p>
    <w:p>
      <w:pPr>
        <w:spacing w:after="0" w:line="26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We are testing VEGF Trap-Eye in Phase 3 trials for the treatment of wet AMD and the treatment of CRVO. Although we reported positive Phase 2 trial results with VEGF Trap-Eye in wet AMD, based on a limited number of patients, the results from the larger Phase 3 trials may not demonstrate that VEGF Trap-Eye is safe and effective or compares favorably to Lucentis (Genentech). A number of other potential new drugs and biologics which showed promising results in initial clinical trials subsequently failed to establish sufficient safety and efficacy data to obtain necessary regulatory approvals. VEGF Trap-Eye has not been previously studied in CRVO.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9" w:name="page40"/>
    <w:bookmarkEnd w:id="39"/>
    <w:p>
      <w:pPr>
        <w:jc w:val="both"/>
        <w:ind w:firstLine="270"/>
        <w:spacing w:after="0" w:line="223"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in Phase 3 clinical trials for the prevention of gout flares in patients initiating uric acid-lowering drug therapy. Although we reported positive Phase 3 data from one trial in patients with gout initiating uric acid-lowering drug therapy, there is a risk that the results of the other ongoing trials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patients initiating uric acid-lowering drug therapy will differ from the previously reported Phase 3 trial. A number of potential new drugs and biologics which showed promising results in initial clinical trials subsequently failed to establish sufficient safety and efficacy data to obtain necessary regulatory approvals.</w:t>
      </w:r>
    </w:p>
    <w:p>
      <w:pPr>
        <w:spacing w:after="0" w:line="264"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We are studying our antibody candidates in a wide variety of indications in early stage clinical trials. Many of these trials are exploratory studies designed to evaluate the safety profile of these compounds and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w:t>
      </w:r>
    </w:p>
    <w:p>
      <w:pPr>
        <w:spacing w:after="0" w:line="224" w:lineRule="exact"/>
        <w:rPr>
          <w:sz w:val="20"/>
          <w:szCs w:val="20"/>
          <w:color w:val="auto"/>
        </w:rPr>
      </w:pPr>
    </w:p>
    <w:p>
      <w:pPr>
        <w:ind w:left="160"/>
        <w:spacing w:after="0" w:line="33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93"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6" w:lineRule="exact"/>
        <w:rPr>
          <w:sz w:val="20"/>
          <w:szCs w:val="20"/>
          <w:color w:val="auto"/>
        </w:rPr>
      </w:pPr>
    </w:p>
    <w:p>
      <w:pPr>
        <w:jc w:val="both"/>
        <w:ind w:firstLine="297"/>
        <w:spacing w:after="0" w:line="258" w:lineRule="auto"/>
        <w:rPr>
          <w:sz w:val="20"/>
          <w:szCs w:val="20"/>
          <w:color w:val="auto"/>
        </w:rPr>
      </w:pPr>
      <w:r>
        <w:rPr>
          <w:rFonts w:ascii="Arial" w:cs="Arial" w:eastAsia="Arial" w:hAnsi="Arial"/>
          <w:sz w:val="16"/>
          <w:szCs w:val="16"/>
          <w:color w:val="auto"/>
        </w:rPr>
        <w:t>Many of our clinical trials are conducted under the oversight of Independent Data Monitoring Committees (or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aflibercept as a 1</w:t>
      </w:r>
      <w:r>
        <w:rPr>
          <w:rFonts w:ascii="Arial" w:cs="Arial" w:eastAsia="Arial" w:hAnsi="Arial"/>
          <w:sz w:val="27"/>
          <w:szCs w:val="27"/>
          <w:color w:val="auto"/>
          <w:vertAlign w:val="superscript"/>
        </w:rPr>
        <w:t>st</w:t>
      </w:r>
      <w:r>
        <w:rPr>
          <w:rFonts w:ascii="Arial" w:cs="Arial" w:eastAsia="Arial" w:hAnsi="Arial"/>
          <w:sz w:val="19"/>
          <w:szCs w:val="19"/>
          <w:color w:val="auto"/>
        </w:rPr>
        <w:t>-</w:t>
      </w:r>
      <w:r>
        <w:rPr>
          <w:rFonts w:ascii="Arial" w:cs="Arial" w:eastAsia="Arial" w:hAnsi="Arial"/>
          <w:sz w:val="16"/>
          <w:szCs w:val="16"/>
          <w:color w:val="auto"/>
        </w:rPr>
        <w:t>line treatment for metastic pancreatic cancer in combination with gemcitabine was discontinued at the recommendation of an IDMC after a planned analysis of interim efficacy data determined that the trial would not meet its efficacy endpoint. The IDMC for the VELOUR trial, which is studying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-line treatment for metastatic colorectal cancer in combination with chemotherapy, is expected to conduct an interim analysis of the data from this trial in the second half of 2010. The recommended termination of any of our ongoing late-stage clinical trials by an IDMC could negatively impact the future development of our product candidate(s) and our business may be materially harmed.</w:t>
      </w:r>
    </w:p>
    <w:p>
      <w:pPr>
        <w:spacing w:after="0" w:line="252"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Regeneron,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197" w:lineRule="exact"/>
        <w:rPr>
          <w:sz w:val="20"/>
          <w:szCs w:val="20"/>
          <w:color w:val="auto"/>
        </w:rPr>
      </w:pPr>
    </w:p>
    <w:p>
      <w:pPr>
        <w:jc w:val="both"/>
        <w:ind w:left="160"/>
        <w:spacing w:after="0" w:line="306" w:lineRule="auto"/>
        <w:rPr>
          <w:sz w:val="20"/>
          <w:szCs w:val="20"/>
          <w:color w:val="auto"/>
        </w:rPr>
      </w:pPr>
      <w:r>
        <w:rPr>
          <w:rFonts w:ascii="Arial" w:cs="Arial" w:eastAsia="Arial" w:hAnsi="Arial"/>
          <w:sz w:val="16"/>
          <w:szCs w:val="16"/>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40" w:name="page41"/>
    <w:bookmarkEnd w:id="40"/>
    <w:p>
      <w:pPr>
        <w:jc w:val="both"/>
        <w:ind w:firstLine="284"/>
        <w:spacing w:after="0" w:line="253"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that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253"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that may limit our ability to successfully develop aflibercept and VEGF Trap-Eye.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These and other complications or side effects could harm the development of aflibercept for the treatment of cancer or VEGF Trap-Eye for the treatment of diseases of the eye.</w:t>
      </w:r>
    </w:p>
    <w:p>
      <w:pPr>
        <w:spacing w:after="0" w:line="223"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6"/>
          <w:szCs w:val="16"/>
          <w:color w:val="auto"/>
        </w:rPr>
        <w:t>We have tested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only a small number of patients. As more patients begin to use our product and as we test it in new disease settings, new risks and side effects associated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may be discovered, and risks previously viewed as inconsequential could be determined to be significant. Like cytokine antagonists such as Kineret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(anakinra), marketed by Biovitrum, Enbrel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(etanercept), marketed by Amgen Inc. and Wyeth Pharmaceuticals, Inc., and Remicade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(infliximab) marketed by Centocor Ortho Biotech, Inc.,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affects the immune defense system of the body by blocking some of its functions. Therefore,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may interfere with the body’s ability to fight infections. Treatment with Kineret (Biovitrum), a medication that works through the inhibition of IL-1, has been associated with an increased risk of serious infections, and serious, life threatening infections have been reported in patients taking ARCALYST</w:t>
      </w:r>
      <w:r>
        <w:rPr>
          <w:rFonts w:ascii="Arial" w:cs="Arial" w:eastAsia="Arial" w:hAnsi="Arial"/>
          <w:sz w:val="22"/>
          <w:szCs w:val="22"/>
          <w:color w:val="auto"/>
          <w:vertAlign w:val="superscript"/>
        </w:rPr>
        <w:t>®</w:t>
      </w:r>
      <w:r>
        <w:rPr>
          <w:rFonts w:ascii="Arial" w:cs="Arial" w:eastAsia="Arial" w:hAnsi="Arial"/>
          <w:sz w:val="16"/>
          <w:szCs w:val="16"/>
          <w:color w:val="auto"/>
        </w:rPr>
        <w:t>. These or other complications or side effects could cause regulatory authorities to revoke approvals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CAPS or deny the approval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gout or other disease settings. Alternatively, we may be required to conduct additional clinical trials, make changes in the labeling of our product, or limit or abandon our efforts to develop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new disease settings. Any such side effects may also result in a reduction, or even the elimination, of sales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approved indications.</w:t>
      </w:r>
    </w:p>
    <w:p>
      <w:pPr>
        <w:spacing w:after="0" w:line="178" w:lineRule="exact"/>
        <w:rPr>
          <w:sz w:val="20"/>
          <w:szCs w:val="20"/>
          <w:color w:val="auto"/>
        </w:rPr>
      </w:pPr>
    </w:p>
    <w:p>
      <w:pPr>
        <w:jc w:val="both"/>
        <w:ind w:firstLine="365"/>
        <w:spacing w:after="0" w:line="253" w:lineRule="auto"/>
        <w:rPr>
          <w:sz w:val="20"/>
          <w:szCs w:val="20"/>
          <w:color w:val="auto"/>
        </w:rPr>
      </w:pPr>
      <w:r>
        <w:rPr>
          <w:rFonts w:ascii="Arial" w:cs="Arial" w:eastAsia="Arial" w:hAnsi="Arial"/>
          <w:sz w:val="18"/>
          <w:szCs w:val="18"/>
          <w:color w:val="auto"/>
        </w:rPr>
        <w:t>We are studying REGN475, a fully human monoclonal antibody to NGF, in a variety of pain indications, including osteoarthritis of the knee. Recently, another pharmaceutical company that is developing an antibody to NGF announced that it has suspended clinical programs for its agent in patients with osteoarthritis and other chronic use indications at the request of the FDA following a small number of reports of patients experiencing a worsening of osteoarthritis or osteonecrosis leading to joint replacement. Although REGN475 has some differences from this third party antibody, the safety risks reported in clinical trials with this other agent could be risks associated with all antibodies to NGF, including our product candidate. This risk or other complications or side effects could result in the discontinuation or limitation of the further development of REGN475 in osteoarthritis and other pain indications, including as a result of being placed on clinical hold by the FDA.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41" w:name="page42"/>
    <w:bookmarkEnd w:id="41"/>
    <w:p>
      <w:pPr>
        <w:ind w:left="160"/>
        <w:spacing w:after="0" w:line="219" w:lineRule="auto"/>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and our product candidates in development are recombinant proteins that could cause an immune response, resulting in the creation of harmful or neutralizing antibodies against the therapeutic protein.</w:t>
      </w:r>
    </w:p>
    <w:p>
      <w:pPr>
        <w:spacing w:after="0" w:line="265"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were detected in patients with CAPS after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Nineteen of 55 subjects (35%) who received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79"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8" w:lineRule="exact"/>
        <w:rPr>
          <w:sz w:val="20"/>
          <w:szCs w:val="20"/>
          <w:color w:val="auto"/>
        </w:rPr>
      </w:pPr>
    </w:p>
    <w:p>
      <w:pPr>
        <w:ind w:left="160" w:right="20"/>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4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 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04" w:lineRule="exact"/>
        <w:rPr>
          <w:sz w:val="20"/>
          <w:szCs w:val="20"/>
          <w:color w:val="auto"/>
        </w:rPr>
      </w:pPr>
    </w:p>
    <w:p>
      <w:pPr>
        <w:ind w:left="160"/>
        <w:spacing w:after="0" w:line="268"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240" w:lineRule="exact"/>
        <w:rPr>
          <w:sz w:val="20"/>
          <w:szCs w:val="20"/>
          <w:color w:val="auto"/>
        </w:rPr>
      </w:pPr>
    </w:p>
    <w:p>
      <w:pPr>
        <w:jc w:val="both"/>
        <w:ind w:firstLine="365"/>
        <w:spacing w:after="0" w:line="236"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either because of the way the antibodies are discovered or produced or because of a proprietary position covering an antibody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antibody’s target.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42" w:name="page43"/>
    <w:bookmarkEnd w:id="42"/>
    <w:p>
      <w:pPr>
        <w:jc w:val="both"/>
        <w:ind w:firstLine="392"/>
        <w:spacing w:after="0" w:line="253"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receptors. Although we do not believe that aflibercept or VEGF Trap-Eye infringes any valid claim in these patents or patent applications, Genentech could initiate a lawsuit for patent infringement and assert that its patents are valid and cover aflibercept or VEGF Trap-Eye or uses thereof. Genentech may be motivated to initiate such a lawsuit at some point in an effort to impair our ability to develop and sell aflibercept or VEGF Trap-Eye, which represent potential competitive threats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255"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251"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7"/>
          <w:szCs w:val="17"/>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w:t>
      </w:r>
      <w:r>
        <w:rPr>
          <w:rFonts w:ascii="Arial" w:cs="Arial" w:eastAsia="Arial" w:hAnsi="Arial"/>
          <w:sz w:val="23"/>
          <w:szCs w:val="23"/>
          <w:color w:val="auto"/>
          <w:vertAlign w:val="superscript"/>
        </w:rPr>
        <w:t>®</w:t>
      </w:r>
      <w:r>
        <w:rPr>
          <w:rFonts w:ascii="Arial" w:cs="Arial" w:eastAsia="Arial" w:hAnsi="Arial"/>
          <w:sz w:val="17"/>
          <w:szCs w:val="17"/>
          <w:color w:val="auto"/>
        </w:rPr>
        <w:t>, aflibercept, nor VEGF Trap-Eye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56"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9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5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including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FDA approval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the Europeans Medicines Agency approval of rilonacept for the treatment of CAPS, none of our product candidates has ever received regulatory approval to be marketed and sold in the United States or any other country. We may never receive regulatory approval for any of our product candidates.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43" w:name="page44"/>
    <w:bookmarkEnd w:id="43"/>
    <w:p>
      <w:pPr>
        <w:jc w:val="both"/>
        <w:ind w:firstLine="392"/>
        <w:spacing w:after="0" w:line="294" w:lineRule="auto"/>
        <w:rPr>
          <w:sz w:val="20"/>
          <w:szCs w:val="20"/>
          <w:color w:val="auto"/>
        </w:rPr>
      </w:pPr>
      <w:r>
        <w:rPr>
          <w:rFonts w:ascii="Arial" w:cs="Arial" w:eastAsia="Arial" w:hAnsi="Arial"/>
          <w:sz w:val="16"/>
          <w:szCs w:val="16"/>
          <w:color w:val="auto"/>
        </w:rPr>
        <w:t>The FDA enforces good clinical practices and other regulations through periodic inspections of trial sponsors, clinical research organizations (CROs), principal investigators, and trial sites. If we or any of the third parties conducting our clinical studies are determined to have failed to fully comply with Good Clinical Practice regulations (GCPs), the study protocol or applicable regulations, the clinical data generated in our studies may be deemed unreliable. This could result in non-approval of our product candidates by the FDA, or we or the FDA may decide to conduct additional audits or require additional clinical studies, which would delay our development programs and substantially harm our business.</w:t>
      </w:r>
    </w:p>
    <w:p>
      <w:pPr>
        <w:spacing w:after="0" w:line="224"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255" w:lineRule="exact"/>
        <w:rPr>
          <w:sz w:val="20"/>
          <w:szCs w:val="20"/>
          <w:color w:val="auto"/>
        </w:rPr>
      </w:pPr>
    </w:p>
    <w:p>
      <w:pPr>
        <w:jc w:val="both"/>
        <w:ind w:firstLine="284"/>
        <w:spacing w:after="0" w:line="277"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 any of our product candidates in those countries.</w:t>
      </w:r>
    </w:p>
    <w:p>
      <w:pPr>
        <w:spacing w:after="0" w:line="116" w:lineRule="exact"/>
        <w:rPr>
          <w:sz w:val="20"/>
          <w:szCs w:val="20"/>
          <w:color w:val="auto"/>
        </w:rPr>
      </w:pPr>
    </w:p>
    <w:p>
      <w:pPr>
        <w:ind w:left="160"/>
        <w:spacing w:after="0" w:line="332" w:lineRule="auto"/>
        <w:rPr>
          <w:sz w:val="20"/>
          <w:szCs w:val="20"/>
          <w:color w:val="auto"/>
        </w:rPr>
      </w:pPr>
      <w:r>
        <w:rPr>
          <w:rFonts w:ascii="Arial" w:cs="Arial" w:eastAsia="Arial" w:hAnsi="Arial"/>
          <w:sz w:val="16"/>
          <w:szCs w:val="16"/>
          <w:b w:val="1"/>
          <w:bCs w:val="1"/>
          <w:i w:val="1"/>
          <w:iCs w:val="1"/>
          <w:color w:val="auto"/>
        </w:rPr>
        <w:t>If we fail to meet the stringent requirements of governmental regulation in the manufacture of our marketed product and clinical candidates, we could incur substantial remedial costs, delays in the development of our clinical candidates, and a reduction in sales.</w:t>
      </w:r>
    </w:p>
    <w:p>
      <w:pPr>
        <w:spacing w:after="0" w:line="193" w:lineRule="exact"/>
        <w:rPr>
          <w:sz w:val="20"/>
          <w:szCs w:val="20"/>
          <w:color w:val="auto"/>
        </w:rPr>
      </w:pPr>
    </w:p>
    <w:p>
      <w:pPr>
        <w:jc w:val="both"/>
        <w:ind w:firstLine="284"/>
        <w:spacing w:after="0" w:line="288" w:lineRule="auto"/>
        <w:rPr>
          <w:sz w:val="20"/>
          <w:szCs w:val="20"/>
          <w:color w:val="auto"/>
        </w:rPr>
      </w:pPr>
      <w:r>
        <w:rPr>
          <w:rFonts w:ascii="Arial" w:cs="Arial" w:eastAsia="Arial" w:hAnsi="Arial"/>
          <w:sz w:val="16"/>
          <w:szCs w:val="16"/>
          <w:color w:val="auto"/>
        </w:rPr>
        <w:t>We and our third party providers are required to maintain compliance with cGMP, and are subject to inspections by the FDA or comparable agencies in other jurisdictions to confirm such compliance. Changes of suppliers or modifications of methods of manufacturing may require amending our application to the FDA and acceptance of the change by the FDA prior to release of product. Because we produce multiple product candidates at our facility in Rensselaer, New York, there are increased risks associated with cGMP compliance. Our inability, or the inability of our third party service providers, to demonstrate ongoing cGMP compliance could require us to engage in lengthy and expensive remediation efforts, withdraw or recall product, halt or interrupt clinical trials, and/or interrupt commercial supply of our marketed product. Any delay, interruption or other issues that arise in the manufacture, fill-finish, packaging, or storage of our product candidates as a result of a failure of our facilities or the facilities or operations of third parties to pass any regulatory agency inspection or maintain cGMP compliance could significantly impair our ability to develop and commercialize our products. Any finding of non-compliance could increase our costs, cause us to delay the development of our product candidates, and cause us to lose revenue from our marketed product.</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279"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that they have been injured by a side effect associated with the drug.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44" w:name="page45"/>
    <w:bookmarkEnd w:id="44"/>
    <w:p>
      <w:pPr>
        <w:ind w:left="160"/>
        <w:spacing w:after="0"/>
        <w:rPr>
          <w:sz w:val="20"/>
          <w:szCs w:val="20"/>
          <w:color w:val="auto"/>
        </w:rPr>
      </w:pPr>
      <w:r>
        <w:rPr>
          <w:rFonts w:ascii="Arial" w:cs="Arial" w:eastAsia="Arial" w:hAnsi="Arial"/>
          <w:sz w:val="16"/>
          <w:szCs w:val="16"/>
          <w:b w:val="1"/>
          <w:bCs w:val="1"/>
          <w:i w:val="1"/>
          <w:iCs w:val="1"/>
          <w:color w:val="auto"/>
        </w:rPr>
        <w:t>If we market and sell ARCALYST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in a way that violates federal or state fraud and abuse laws, we may be subject to civil or criminal penalties.</w:t>
      </w:r>
    </w:p>
    <w:p>
      <w:pPr>
        <w:spacing w:after="0" w:line="236"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251"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228"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215"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2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and were included in health care reform legislation recently enacted by the federal government.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pacing w:after="0" w:line="201" w:lineRule="exact"/>
        <w:rPr>
          <w:sz w:val="20"/>
          <w:szCs w:val="20"/>
          <w:color w:val="auto"/>
        </w:rPr>
      </w:pPr>
    </w:p>
    <w:p>
      <w:pPr>
        <w:ind w:left="160"/>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4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24" w:lineRule="exact"/>
        <w:rPr>
          <w:sz w:val="20"/>
          <w:szCs w:val="20"/>
          <w:color w:val="auto"/>
        </w:rPr>
      </w:pPr>
    </w:p>
    <w:p>
      <w:pPr>
        <w:ind w:left="160"/>
        <w:spacing w:after="0" w:line="268"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240"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2009, which report is included in our Annual Report on Form 10-K.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45" w:name="page46"/>
    <w:bookmarkEnd w:id="45"/>
    <w:p>
      <w:pPr>
        <w:ind w:left="16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 adverse effect on our business. These include:</w:t>
      </w:r>
    </w:p>
    <w:p>
      <w:pPr>
        <w:spacing w:after="0" w:line="154"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81" w:lineRule="auto"/>
        <w:rPr>
          <w:sz w:val="20"/>
          <w:szCs w:val="20"/>
          <w:color w:val="auto"/>
        </w:rPr>
      </w:pPr>
      <w:r>
        <w:rPr>
          <w:rFonts w:ascii="Arial" w:cs="Arial" w:eastAsia="Arial" w:hAnsi="Arial"/>
          <w:sz w:val="16"/>
          <w:szCs w:val="16"/>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50" w:lineRule="auto"/>
        <w:rPr>
          <w:sz w:val="20"/>
          <w:szCs w:val="20"/>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1" w:lineRule="auto"/>
        <w:rPr>
          <w:sz w:val="20"/>
          <w:szCs w:val="20"/>
          <w:color w:val="auto"/>
        </w:rPr>
      </w:pPr>
      <w:r>
        <w:rPr>
          <w:rFonts w:ascii="Arial" w:cs="Arial" w:eastAsia="Arial" w:hAnsi="Arial"/>
          <w:sz w:val="18"/>
          <w:szCs w:val="18"/>
          <w:color w:val="auto"/>
        </w:rPr>
        <w:t>changes in FDA and foreign current Good Manufacturing Practice, or cGMPs, that make it more difficult for us to manufacture our marketed product and clinical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2"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The enactment in the U.S. of the Patient Protection and Affordable Care Act, or PPCA, potential regulations easing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8" w:lineRule="exact"/>
        <w:rPr>
          <w:sz w:val="20"/>
          <w:szCs w:val="20"/>
          <w:color w:val="auto"/>
        </w:rPr>
      </w:pPr>
    </w:p>
    <w:p>
      <w:pPr>
        <w:ind w:left="160" w:right="20"/>
        <w:spacing w:after="0" w:line="268" w:lineRule="auto"/>
        <w:rPr>
          <w:sz w:val="20"/>
          <w:szCs w:val="20"/>
          <w:color w:val="auto"/>
        </w:rPr>
      </w:pPr>
      <w:r>
        <w:rPr>
          <w:rFonts w:ascii="Arial" w:cs="Arial" w:eastAsia="Arial" w:hAnsi="Arial"/>
          <w:sz w:val="18"/>
          <w:szCs w:val="18"/>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240"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rely heavily on funding from sanofi-aventis to support our target discovery and antibody research and development programs. Sanofi-aventis has committed to pay up to $1.28 billion between 2010 and 2017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REGN421, REGN475, REGN727, and REGN668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6" w:name="page47"/>
    <w:bookmarkEnd w:id="46"/>
    <w:p>
      <w:pPr>
        <w:jc w:val="both"/>
        <w:ind w:left="160"/>
        <w:spacing w:after="0" w:line="259"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248"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20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248"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202" w:lineRule="exact"/>
        <w:rPr>
          <w:sz w:val="20"/>
          <w:szCs w:val="20"/>
          <w:color w:val="auto"/>
        </w:rPr>
      </w:pPr>
    </w:p>
    <w:p>
      <w:pPr>
        <w:ind w:left="160"/>
        <w:spacing w:after="0" w:line="283"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and our drug candidates.</w:t>
      </w:r>
    </w:p>
    <w:p>
      <w:pPr>
        <w:spacing w:after="0" w:line="133"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preclinical and clinical development of our product candidates. If any of our existing collaborators or service providers breaches or terminates its agreement with us or does not perform its development or manufacturing services under an agreement in a timely manner or in compliance with applicable Good Manufacturing Practices (GMPs), Good Laboratory Practices (GLPs), or Good Clinical Practice (GCP) Standards, we could experience additional costs, delays, and difficulties in the manufacture or development or in obtaining approval by regulatory authorities for our product candidates.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7" w:name="page48"/>
    <w:bookmarkEnd w:id="47"/>
    <w:p>
      <w:pPr>
        <w:jc w:val="both"/>
        <w:ind w:firstLine="513"/>
        <w:spacing w:after="0" w:line="227" w:lineRule="auto"/>
        <w:rPr>
          <w:sz w:val="20"/>
          <w:szCs w:val="20"/>
          <w:color w:val="auto"/>
        </w:rPr>
      </w:pPr>
      <w:r>
        <w:rPr>
          <w:rFonts w:ascii="Arial" w:cs="Arial" w:eastAsia="Arial" w:hAnsi="Arial"/>
          <w:sz w:val="17"/>
          <w:szCs w:val="17"/>
          <w:color w:val="auto"/>
        </w:rPr>
        <w:t>We rely on third party service providers to support the distribution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many other related activities in connection with the commercialization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We cannot be certain that these third parties will perform adequately. If these service providers do not perform their services adequately, our efforts to market and sell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will not be successful.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79"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224"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223" w:lineRule="exact"/>
        <w:rPr>
          <w:sz w:val="20"/>
          <w:szCs w:val="20"/>
          <w:color w:val="auto"/>
        </w:rPr>
      </w:pPr>
    </w:p>
    <w:p>
      <w:pPr>
        <w:jc w:val="both"/>
        <w:ind w:right="20" w:firstLine="351"/>
        <w:spacing w:after="0" w:line="260" w:lineRule="auto"/>
        <w:rPr>
          <w:sz w:val="20"/>
          <w:szCs w:val="20"/>
          <w:color w:val="auto"/>
        </w:rPr>
      </w:pPr>
      <w:r>
        <w:rPr>
          <w:rFonts w:ascii="Arial" w:cs="Arial" w:eastAsia="Arial" w:hAnsi="Arial"/>
          <w:sz w:val="16"/>
          <w:szCs w:val="16"/>
          <w:color w:val="auto"/>
        </w:rPr>
        <w:t>We may be unable to obtain key raw materials and supplies for the manufacture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27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221" w:lineRule="exact"/>
        <w:rPr>
          <w:sz w:val="20"/>
          <w:szCs w:val="20"/>
          <w:color w:val="auto"/>
        </w:rPr>
      </w:pPr>
    </w:p>
    <w:p>
      <w:pPr>
        <w:ind w:left="160"/>
        <w:spacing w:after="0" w:line="268" w:lineRule="auto"/>
        <w:rPr>
          <w:sz w:val="20"/>
          <w:szCs w:val="20"/>
          <w:color w:val="auto"/>
        </w:rPr>
      </w:pPr>
      <w:r>
        <w:rPr>
          <w:rFonts w:ascii="Arial" w:cs="Arial" w:eastAsia="Arial" w:hAnsi="Arial"/>
          <w:sz w:val="18"/>
          <w:szCs w:val="18"/>
          <w:b w:val="1"/>
          <w:bCs w:val="1"/>
          <w:i w:val="1"/>
          <w:iCs w:val="1"/>
          <w:color w:val="auto"/>
        </w:rPr>
        <w:t>Third-party supply failures, business interruptions, or natural disasters affecting our manufacturing facilities in Rensselaer, New York could adversely affect our ability to supply our products.</w:t>
      </w:r>
    </w:p>
    <w:p>
      <w:pPr>
        <w:spacing w:after="0" w:line="237" w:lineRule="exact"/>
        <w:rPr>
          <w:sz w:val="20"/>
          <w:szCs w:val="20"/>
          <w:color w:val="auto"/>
        </w:rPr>
      </w:pPr>
    </w:p>
    <w:p>
      <w:pPr>
        <w:jc w:val="both"/>
        <w:ind w:firstLine="338"/>
        <w:spacing w:after="0" w:line="228" w:lineRule="auto"/>
        <w:rPr>
          <w:sz w:val="20"/>
          <w:szCs w:val="20"/>
          <w:color w:val="auto"/>
        </w:rPr>
      </w:pPr>
      <w:r>
        <w:rPr>
          <w:rFonts w:ascii="Arial" w:cs="Arial" w:eastAsia="Arial" w:hAnsi="Arial"/>
          <w:sz w:val="18"/>
          <w:szCs w:val="18"/>
          <w:color w:val="auto"/>
        </w:rPr>
        <w:t>We manufacture all of our bulk drug materials for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our product candidates at our manufacturing facilities in Rensselaer, New York. We would be unable to supply our product requirements if we were to cease production due to regulatory requirements or action, business interruptions, labor shortages or disputes, contaminations, fire, natural disasters, or other problems at the facilities.</w:t>
      </w:r>
    </w:p>
    <w:p>
      <w:pPr>
        <w:spacing w:after="0" w:line="26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7"/>
          <w:szCs w:val="17"/>
          <w:color w:val="auto"/>
        </w:rPr>
        <w:t>Certain raw materials necessary for manufacturing and formulation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GMPs, business interruptions, or labor shortages or disputes. This, in turn, could materially and adversely affect our ability to manufacture or supply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 our product candidates for use in clinical trials, which could materially and adversely affect our business and future prospects.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48" w:name="page49"/>
    <w:bookmarkEnd w:id="48"/>
    <w:p>
      <w:pPr>
        <w:jc w:val="both"/>
        <w:ind w:firstLine="365"/>
        <w:spacing w:after="0" w:line="256"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58" w:lineRule="exact"/>
        <w:rPr>
          <w:sz w:val="20"/>
          <w:szCs w:val="20"/>
          <w:color w:val="auto"/>
        </w:rPr>
      </w:pPr>
    </w:p>
    <w:p>
      <w:pPr>
        <w:ind w:left="16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23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We are marketing and selling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ourselves in the United States, primarily through third party service providers. We have no sales or distribution personnel in the United States and have only a small staff with commercial capabilities. We currently have no sales, marketing, commercial, or distribution capabilities outside the United States.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will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patients with gout initiating uric acid-lowering drug therapy, and we may be unsuccessful in developing our own sales, marketing, and distribution organization.</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in this indication.</w:t>
      </w:r>
    </w:p>
    <w:p>
      <w:pPr>
        <w:spacing w:after="0" w:line="21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Our only approved product is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In October 2009, we received European marketing authorization for rilonacept for CAPS. In 2009, Novartis received regulatory approval in the U.S. and Europe for its IL-1 antibody product for the treatment of CAPS. Given the very rare nature of the disease and the competition from Novartis’ IL-1 antibody product, we may be unable to profitably commercialize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this indication.</w:t>
      </w:r>
    </w:p>
    <w:p>
      <w:pPr>
        <w:spacing w:after="0" w:line="119" w:lineRule="exact"/>
        <w:rPr>
          <w:sz w:val="20"/>
          <w:szCs w:val="20"/>
          <w:color w:val="auto"/>
        </w:rPr>
      </w:pPr>
    </w:p>
    <w:p>
      <w:pPr>
        <w:ind w:left="160"/>
        <w:spacing w:after="0" w:line="33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a similar mechanism of action, and competitors may get to the marketplace with better or lower cost drugs.</w:t>
      </w:r>
    </w:p>
    <w:p>
      <w:pPr>
        <w:spacing w:after="0" w:line="193"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49" w:name="page50"/>
    <w:bookmarkEnd w:id="49"/>
    <w:p>
      <w:pPr>
        <w:jc w:val="both"/>
        <w:ind w:firstLine="365"/>
        <w:spacing w:after="0" w:line="286" w:lineRule="auto"/>
        <w:rPr>
          <w:sz w:val="20"/>
          <w:szCs w:val="20"/>
          <w:color w:val="auto"/>
        </w:rPr>
      </w:pPr>
      <w:r>
        <w:rPr>
          <w:rFonts w:ascii="Arial" w:cs="Arial" w:eastAsia="Arial" w:hAnsi="Arial"/>
          <w:sz w:val="16"/>
          <w:szCs w:val="16"/>
          <w:color w:val="auto"/>
        </w:rPr>
        <w:t>Genentech has an approved VEGF antagonist, Avastin, on the market for treating certain cancers and many different pharmaceutical and biotechnology companies are working to develop competing VEGF antagonists, including Novartis, Amgen, Imclone LLC/Eli Lilly and Company, Pfizer, AstraZeneca, and GlaxoSmithKline. Many of these molecules are farther along in development than aflibercept and may offer competitive advantages over our molecule. Each of Pfizer and Onyx Pharmaceuticals, (together with its partner Bayer HealthCare) has received approval from the FDA to market and sell an oral medication that targets tumor cell growth and new vasculature formation that fuels the growth of tumors. The marketing approvals for Genentech’s VEGF antagonist, Avastin, and their extensive, ongoing clinical development plan for Avastin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35" w:lineRule="exact"/>
        <w:rPr>
          <w:sz w:val="20"/>
          <w:szCs w:val="20"/>
          <w:color w:val="auto"/>
        </w:rPr>
      </w:pPr>
    </w:p>
    <w:p>
      <w:pPr>
        <w:jc w:val="both"/>
        <w:ind w:firstLine="284"/>
        <w:spacing w:after="0" w:line="282"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 (Genentech), for the treatment of age-related macular degeneration (wet AMD), DME, and other eye indications. Lucentis (Genentech) was approved by the FDA in June 2006 for the treatment of wet AMD. In addition, in June 2010, Lucentis (Genentech) was approved by the FDA for the treatment of macular edema because of a blockage in a retinal vein. Many other companies are working on the development of product candidates for the potential treatment of wet AMD and DME that act by blocking VEGF and VEGF receptors, and through the use of small interfering ribonucleic acids (siRNAs) that modulate gene expression. In addition, ophthalmologists are using off-label, with success for the treatment of wet AMD, a third-party repackaged version of Genentech’s approved VEGF antagonist, Avastin. The National Eye Institute and others are conducting long-term, controlled clinical trials comparing Lucentis (Genentech) to Avastin (Genentech) in the treatment of wet AMD. The marketing approval of Lucentis (Genentech) and the potential off-label use of Avastin</w:t>
      </w:r>
    </w:p>
    <w:p>
      <w:pPr>
        <w:spacing w:after="0" w:line="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(Genentech) make it more difficult for us to enroll patients in our clinical trials and successfully develop VEGF Trap-Eye. Even if VEGF Trap-Eye is ever approved for sale for the treatment of eye diseases, it may be difficult for our drug to compete against Lucentis (Genentech), because doctors and patients will have significant experience using this medicine. Moreover, the relatively low cost of therapy with Avastin (Genentech) in patients with wet AMD presents a further competitive challenge in this indication. While we believe that aflibercept would not be well tolerated if administered directly to the eye, if aflibercept is ever approved for the treatment of certain cancers, there is a risk that third parties will attempt to repackage aflibercept for use and sale for the treatment of wet AMD and other diseases of the eye, which would present a potential low-cost competitive threat to the VEGF Trap-Eye if it is ever approved for sale.</w:t>
      </w:r>
    </w:p>
    <w:p>
      <w:pPr>
        <w:spacing w:after="0" w:line="223" w:lineRule="exact"/>
        <w:rPr>
          <w:sz w:val="20"/>
          <w:szCs w:val="20"/>
          <w:color w:val="auto"/>
        </w:rPr>
      </w:pPr>
    </w:p>
    <w:p>
      <w:pPr>
        <w:jc w:val="both"/>
        <w:ind w:firstLine="365"/>
        <w:spacing w:after="0" w:line="203" w:lineRule="auto"/>
        <w:rPr>
          <w:sz w:val="20"/>
          <w:szCs w:val="20"/>
          <w:color w:val="auto"/>
        </w:rPr>
      </w:pPr>
      <w:r>
        <w:rPr>
          <w:rFonts w:ascii="Arial" w:cs="Arial" w:eastAsia="Arial" w:hAnsi="Arial"/>
          <w:sz w:val="18"/>
          <w:szCs w:val="18"/>
          <w:color w:val="auto"/>
        </w:rPr>
        <w:t>The availability of highly effective FDA approved TNF-antagonists such as Enbrel (Amgen and Wyeth), Remicade (Centocor), Humira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(adalimumab), marketed by Abbott, and Simponi</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(golimumab), marketed by Centocor, and the IL-1 receptor antagonist Kineret (Biovitrum), and other marketed therapies makes it more difficult to successfully develop and commercialize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other indications, and this is one of the reasons we discontinued the development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adult rheumatoid arthritis. In addition, even if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ARCALYST</w:t>
      </w:r>
      <w:r>
        <w:rPr>
          <w:rFonts w:ascii="Arial" w:cs="Arial" w:eastAsia="Arial" w:hAnsi="Arial"/>
          <w:sz w:val="24"/>
          <w:szCs w:val="24"/>
          <w:color w:val="auto"/>
          <w:vertAlign w:val="superscript"/>
        </w:rPr>
        <w:t>®</w:t>
      </w:r>
      <w:r>
        <w:rPr>
          <w:rFonts w:ascii="Arial" w:cs="Arial" w:eastAsia="Arial" w:hAnsi="Arial"/>
          <w:sz w:val="18"/>
          <w:szCs w:val="18"/>
          <w:color w:val="auto"/>
        </w:rPr>
        <w:t>, such as requiring fewer injections.</w:t>
      </w:r>
    </w:p>
    <w:p>
      <w:pPr>
        <w:spacing w:after="0" w:line="268" w:lineRule="exact"/>
        <w:rPr>
          <w:sz w:val="20"/>
          <w:szCs w:val="20"/>
          <w:color w:val="auto"/>
        </w:rPr>
      </w:pPr>
    </w:p>
    <w:p>
      <w:pPr>
        <w:jc w:val="both"/>
        <w:ind w:firstLine="338"/>
        <w:spacing w:after="0" w:line="246" w:lineRule="auto"/>
        <w:rPr>
          <w:sz w:val="20"/>
          <w:szCs w:val="20"/>
          <w:color w:val="auto"/>
        </w:rPr>
      </w:pPr>
      <w:r>
        <w:rPr>
          <w:rFonts w:ascii="Arial" w:cs="Arial" w:eastAsia="Arial" w:hAnsi="Arial"/>
          <w:sz w:val="17"/>
          <w:szCs w:val="17"/>
          <w:color w:val="auto"/>
        </w:rPr>
        <w:t>There are both small molecules and antibodies in development by other companies that are designed to block the synthesis of interleukin-1 or inhibit the signaling of interleukin-1. For example, Eli Lilly, Xoma Ltd., and Novartis are each developing antibodies to interleukin-1 and Amgen is developing an antibody to the interleukin-1 receptor. Novartis received marketing approval for its IL-1 antibody for the treatment of CAPS from the FDA in June 2009 and from the European Medicines Agency in October 2009. Novartis is also developing this IL-1 antibody in gout and other inflammatory diseases. Novartis’ IL-1 antibody and these other drug candidates could offer competitive advantages over ARCALYST</w:t>
      </w:r>
      <w:r>
        <w:rPr>
          <w:rFonts w:ascii="Arial" w:cs="Arial" w:eastAsia="Arial" w:hAnsi="Arial"/>
          <w:sz w:val="23"/>
          <w:szCs w:val="23"/>
          <w:color w:val="auto"/>
          <w:vertAlign w:val="superscript"/>
        </w:rPr>
        <w:t>®</w:t>
      </w:r>
      <w:r>
        <w:rPr>
          <w:rFonts w:ascii="Arial" w:cs="Arial" w:eastAsia="Arial" w:hAnsi="Arial"/>
          <w:sz w:val="17"/>
          <w:szCs w:val="17"/>
          <w:color w:val="auto"/>
        </w:rPr>
        <w:t>. For example, Novartis’ IL-1 antibody is dosed once every eight weeks compared to the once-weekly dosing regimen for ARCALYST</w:t>
      </w:r>
      <w:r>
        <w:rPr>
          <w:rFonts w:ascii="Arial" w:cs="Arial" w:eastAsia="Arial" w:hAnsi="Arial"/>
          <w:sz w:val="23"/>
          <w:szCs w:val="23"/>
          <w:color w:val="auto"/>
          <w:vertAlign w:val="superscript"/>
        </w:rPr>
        <w:t>®</w:t>
      </w:r>
      <w:r>
        <w:rPr>
          <w:rFonts w:ascii="Arial" w:cs="Arial" w:eastAsia="Arial" w:hAnsi="Arial"/>
          <w:sz w:val="17"/>
          <w:szCs w:val="17"/>
          <w:color w:val="auto"/>
        </w:rPr>
        <w:t>. The successful development and/or commercialization of these competing molecules could impair our ability to successfully commercialize ARCALYST</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50" w:name="page51"/>
    <w:bookmarkEnd w:id="50"/>
    <w:p>
      <w:pPr>
        <w:jc w:val="both"/>
        <w:ind w:firstLine="351"/>
        <w:spacing w:after="0" w:line="272" w:lineRule="auto"/>
        <w:rPr>
          <w:sz w:val="20"/>
          <w:szCs w:val="20"/>
          <w:color w:val="auto"/>
        </w:rPr>
      </w:pPr>
      <w:r>
        <w:rPr>
          <w:rFonts w:ascii="Arial" w:cs="Arial" w:eastAsia="Arial" w:hAnsi="Arial"/>
          <w:sz w:val="16"/>
          <w:szCs w:val="16"/>
          <w:color w:val="auto"/>
        </w:rPr>
        <w:t>We are developing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prevention of gout flares in patients initiating uric acid-lowering therapy. In October 2009, Novartis announced positive Phase 2 results showing that canakinumab is more effective than an injectable corticosteroid at reducing pain and preventing recurrent attacks or “flares” in patients with hard-to-treat gout. Novartis’ IL-1 antibody is dosed less frequently for the treatment of CAPS and may be perceived as offering competitive advantages over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gout by some physicians, which would make it difficult for us to successfully commercialize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that disease.</w:t>
      </w:r>
    </w:p>
    <w:p>
      <w:pPr>
        <w:spacing w:after="0" w:line="147"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Currently, inexpensive, oral therapies such as analgesics and other non-steroidal anti-inflammatory drugs are used as the standard of care to treat the symptoms of gout diseases. These established, inexpensive, orally delivered drugs may make it difficult for us to successfully commercialize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these diseases.</w:t>
      </w:r>
    </w:p>
    <w:p>
      <w:pPr>
        <w:spacing w:after="0" w:line="236" w:lineRule="exact"/>
        <w:rPr>
          <w:sz w:val="20"/>
          <w:szCs w:val="20"/>
          <w:color w:val="auto"/>
        </w:rPr>
      </w:pPr>
    </w:p>
    <w:p>
      <w:pPr>
        <w:ind w:left="160" w:right="20"/>
        <w:spacing w:after="0" w:line="230" w:lineRule="auto"/>
        <w:rPr>
          <w:sz w:val="20"/>
          <w:szCs w:val="20"/>
          <w:color w:val="auto"/>
        </w:rPr>
      </w:pPr>
      <w:r>
        <w:rPr>
          <w:rFonts w:ascii="Arial" w:cs="Arial" w:eastAsia="Arial" w:hAnsi="Arial"/>
          <w:sz w:val="17"/>
          <w:szCs w:val="17"/>
          <w:b w:val="1"/>
          <w:bCs w:val="1"/>
          <w:i w:val="1"/>
          <w:iCs w:val="1"/>
          <w:color w:val="auto"/>
        </w:rPr>
        <w:t>The successful commercialization of ARCALYST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and our product candidates will depend on obtaining coverage and reimbursement for use of these products from third-party payers and these payers may not agree to cover or reimburse for use of our products.</w:t>
      </w:r>
    </w:p>
    <w:p>
      <w:pPr>
        <w:spacing w:after="0" w:line="265" w:lineRule="exact"/>
        <w:rPr>
          <w:sz w:val="20"/>
          <w:szCs w:val="20"/>
          <w:color w:val="auto"/>
        </w:rPr>
      </w:pPr>
    </w:p>
    <w:p>
      <w:pPr>
        <w:jc w:val="both"/>
        <w:ind w:firstLine="459"/>
        <w:spacing w:after="0" w:line="258" w:lineRule="auto"/>
        <w:rPr>
          <w:sz w:val="20"/>
          <w:szCs w:val="20"/>
          <w:color w:val="auto"/>
        </w:rPr>
      </w:pPr>
      <w:r>
        <w:rPr>
          <w:rFonts w:ascii="Arial" w:cs="Arial" w:eastAsia="Arial" w:hAnsi="Arial"/>
          <w:sz w:val="17"/>
          <w:szCs w:val="17"/>
          <w:color w:val="auto"/>
        </w:rPr>
        <w:t>Our product candidates, if commercialized, may be significantly more expensive than traditional drug treatments. For example, we are developing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prevention of gout flares in patients initiating uric acid-lowering drug therapy. Patients suffering from this gout indication are currently treated with inexpensive therapies, including non-steroidal anti-inflammatory drugs. These existing treatment options are likely to be considerably less expensive and may be preferable to a biologic medication for some patients.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252"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7"/>
          <w:szCs w:val="17"/>
          <w:color w:val="auto"/>
        </w:rPr>
        <w:t>We market and sell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United States for the treatment of a group of rare genetic disorders called CAPS. We have received European Union marketing authorization for rilonacept for the treatment of CAPS. There may be too few patients with CAPS to profitably commercialize ARCALYST</w:t>
      </w:r>
      <w:r>
        <w:rPr>
          <w:rFonts w:ascii="Arial" w:cs="Arial" w:eastAsia="Arial" w:hAnsi="Arial"/>
          <w:sz w:val="23"/>
          <w:szCs w:val="23"/>
          <w:color w:val="auto"/>
          <w:vertAlign w:val="superscript"/>
        </w:rPr>
        <w:t>®</w:t>
      </w:r>
      <w:r>
        <w:rPr>
          <w:rFonts w:ascii="Arial" w:cs="Arial" w:eastAsia="Arial" w:hAnsi="Arial"/>
          <w:sz w:val="17"/>
          <w:szCs w:val="17"/>
          <w:color w:val="auto"/>
        </w:rPr>
        <w:t>. Physicians may not prescribe ARCALYST</w:t>
      </w:r>
      <w:r>
        <w:rPr>
          <w:rFonts w:ascii="Arial" w:cs="Arial" w:eastAsia="Arial" w:hAnsi="Arial"/>
          <w:sz w:val="23"/>
          <w:szCs w:val="23"/>
          <w:color w:val="auto"/>
          <w:vertAlign w:val="superscript"/>
        </w:rPr>
        <w:t>®</w:t>
      </w:r>
      <w:r>
        <w:rPr>
          <w:rFonts w:ascii="Arial" w:cs="Arial" w:eastAsia="Arial" w:hAnsi="Arial"/>
          <w:sz w:val="17"/>
          <w:szCs w:val="17"/>
          <w:color w:val="auto"/>
        </w:rPr>
        <w:t>, and CAPS patients may not be able to afford ARCALYST</w:t>
      </w:r>
      <w:r>
        <w:rPr>
          <w:rFonts w:ascii="Arial" w:cs="Arial" w:eastAsia="Arial" w:hAnsi="Arial"/>
          <w:sz w:val="23"/>
          <w:szCs w:val="23"/>
          <w:color w:val="auto"/>
          <w:vertAlign w:val="superscript"/>
        </w:rPr>
        <w:t>®</w:t>
      </w:r>
      <w:r>
        <w:rPr>
          <w:rFonts w:ascii="Arial" w:cs="Arial" w:eastAsia="Arial" w:hAnsi="Arial"/>
          <w:sz w:val="17"/>
          <w:szCs w:val="17"/>
          <w:color w:val="auto"/>
        </w:rPr>
        <w:t>, if third party payers do not agree to reimburse the cost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therapy and this would adversely affect our ability to commercialize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profitably.</w:t>
      </w:r>
    </w:p>
    <w:p>
      <w:pPr>
        <w:spacing w:after="0" w:line="173"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In addition to potential restrictions on coverage, the amount of reimbursement for our products may also reduce our profitability. Government and other third-party payers are challenging the prices charged for healthcare products and increasingly limiting, and attempting to limit, both coverage and level of reimbursement for prescription drugs. In March 2010, the Patient Protection and Affordable Care Act or PPCA and a related reconciliation bill were signed into law. This legislation imposes cost containment measures that are likely to adversely affect the amount of reimbursement for our future products. The full effects of this legislation are unknown at this time and will not be known until regulations and guidance are issued by the Centers for Medicare and Medicaid Services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5" w:lineRule="exact"/>
        <w:rPr>
          <w:sz w:val="20"/>
          <w:szCs w:val="20"/>
          <w:color w:val="auto"/>
        </w:rPr>
      </w:pPr>
    </w:p>
    <w:p>
      <w:pPr>
        <w:jc w:val="both"/>
        <w:ind w:firstLine="351"/>
        <w:spacing w:after="0" w:line="233" w:lineRule="auto"/>
        <w:rPr>
          <w:sz w:val="20"/>
          <w:szCs w:val="20"/>
          <w:color w:val="auto"/>
        </w:rPr>
      </w:pPr>
      <w:r>
        <w:rPr>
          <w:rFonts w:ascii="Arial" w:cs="Arial" w:eastAsia="Arial" w:hAnsi="Arial"/>
          <w:sz w:val="18"/>
          <w:szCs w:val="18"/>
          <w:color w:val="auto"/>
        </w:rPr>
        <w:t>Since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51" w:name="page52"/>
    <w:bookmarkEnd w:id="51"/>
    <w:p>
      <w:pPr>
        <w:jc w:val="both"/>
        <w:ind w:firstLine="270"/>
        <w:spacing w:after="0" w:line="290" w:lineRule="auto"/>
        <w:rPr>
          <w:sz w:val="20"/>
          <w:szCs w:val="20"/>
          <w:color w:val="auto"/>
        </w:rPr>
      </w:pPr>
      <w:r>
        <w:rPr>
          <w:rFonts w:ascii="Arial" w:cs="Arial" w:eastAsia="Arial" w:hAnsi="Arial"/>
          <w:sz w:val="16"/>
          <w:szCs w:val="16"/>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 or delayed.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58" w:lineRule="exact"/>
        <w:rPr>
          <w:sz w:val="20"/>
          <w:szCs w:val="20"/>
          <w:color w:val="auto"/>
        </w:rPr>
      </w:pPr>
    </w:p>
    <w:p>
      <w:pPr>
        <w:ind w:left="160"/>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40"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 w:lineRule="exact"/>
        <w:rPr>
          <w:sz w:val="20"/>
          <w:szCs w:val="20"/>
          <w:color w:val="auto"/>
        </w:rPr>
      </w:pPr>
    </w:p>
    <w:p>
      <w:pPr>
        <w:ind w:left="540" w:right="4720"/>
        <w:spacing w:after="0" w:line="281" w:lineRule="auto"/>
        <w:rPr>
          <w:sz w:val="20"/>
          <w:szCs w:val="20"/>
          <w:color w:val="auto"/>
        </w:rPr>
      </w:pPr>
      <w:r>
        <w:rPr>
          <w:rFonts w:ascii="Arial" w:cs="Arial" w:eastAsia="Arial" w:hAnsi="Arial"/>
          <w:sz w:val="18"/>
          <w:szCs w:val="18"/>
          <w:color w:val="auto"/>
        </w:rPr>
        <w:t>announcement of technological innovations or product candidates by us or competitors; 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-262890</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-108585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third party claims that our products or technologies infringe their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 w:lineRule="exact"/>
        <w:rPr>
          <w:sz w:val="20"/>
          <w:szCs w:val="20"/>
          <w:color w:val="auto"/>
        </w:rPr>
      </w:pPr>
    </w:p>
    <w:p>
      <w:pPr>
        <w:ind w:left="540" w:right="3980"/>
        <w:spacing w:after="0" w:line="289" w:lineRule="auto"/>
        <w:rPr>
          <w:sz w:val="20"/>
          <w:szCs w:val="20"/>
          <w:color w:val="auto"/>
        </w:rPr>
      </w:pPr>
      <w:r>
        <w:rPr>
          <w:rFonts w:ascii="Arial" w:cs="Arial" w:eastAsia="Arial" w:hAnsi="Arial"/>
          <w:sz w:val="18"/>
          <w:szCs w:val="18"/>
          <w:color w:val="auto"/>
        </w:rPr>
        <w:t>public concern as to the safety or effectiveness of ARCALYST</w:t>
      </w:r>
      <w:r>
        <w:rPr>
          <w:rFonts w:ascii="Arial" w:cs="Arial" w:eastAsia="Arial" w:hAnsi="Arial"/>
          <w:sz w:val="12"/>
          <w:szCs w:val="12"/>
          <w:color w:val="auto"/>
        </w:rPr>
        <w:t>®</w:t>
      </w:r>
      <w:r>
        <w:rPr>
          <w:rFonts w:ascii="Arial" w:cs="Arial" w:eastAsia="Arial" w:hAnsi="Arial"/>
          <w:sz w:val="18"/>
          <w:szCs w:val="18"/>
          <w:color w:val="auto"/>
        </w:rPr>
        <w:t xml:space="preserve"> or any of our product candidates; 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-271780</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-108585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221" w:lineRule="exact"/>
        <w:rPr>
          <w:sz w:val="20"/>
          <w:szCs w:val="20"/>
          <w:color w:val="auto"/>
        </w:rPr>
      </w:pPr>
    </w:p>
    <w:p>
      <w:pPr>
        <w:ind w:left="160"/>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40"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April 14, 2010, our six largest shareholders plus Leonard Schleifer, M.D, Ph.D., our Chief Executive Officer, beneficially owned 51.1% of our outstanding shares of Common Stock, assuming, in the case of our Chief Executive Officer, the conversion of his Class A Stock into Common Stock and the exercise of all options held by him which are exercisable within 60 days of April 14, 2010. As of April 14, 2010, sanofi-aventis beneficially owned 14,799,552 shares of Common Stock, representing approximately 18.6% of the shares of Common Stock then outstanding. Under our investor agreement, as amended, with sanofi-aventis, sanofi-aventis may not sell these shares until December 20, 2017 except under limited circumstances and subject to earlier termination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52" w:name="page53"/>
    <w:bookmarkEnd w:id="52"/>
    <w:p>
      <w:pPr>
        <w:ind w:left="160"/>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7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Holders of Class A Stock, who are generally the shareholders who purchased their stock from us before our initial public offering, are entitled to ten votes per share, while holders of Common Stock are entitled to one vote per share. As of April 14, 2010, holders of Class A Stock held 21.5% of the combined voting power of all shares of Common Stock and Class A Stock then outstanding, including any voting power associated with any shares of Common Stock beneficially owned by such Class A Stock holders.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14, 2010:</w:t>
      </w:r>
    </w:p>
    <w:p>
      <w:pPr>
        <w:spacing w:after="0" w:line="132" w:lineRule="exact"/>
        <w:rPr>
          <w:sz w:val="20"/>
          <w:szCs w:val="20"/>
          <w:color w:val="auto"/>
        </w:rPr>
      </w:pPr>
    </w:p>
    <w:p>
      <w:pPr>
        <w:jc w:val="both"/>
        <w:ind w:left="540"/>
        <w:spacing w:after="0" w:line="252" w:lineRule="auto"/>
        <w:rPr>
          <w:sz w:val="20"/>
          <w:szCs w:val="20"/>
          <w:color w:val="auto"/>
        </w:rPr>
      </w:pPr>
      <w:r>
        <w:rPr>
          <w:rFonts w:ascii="Arial" w:cs="Arial" w:eastAsia="Arial" w:hAnsi="Arial"/>
          <w:sz w:val="18"/>
          <w:szCs w:val="18"/>
          <w:color w:val="auto"/>
        </w:rPr>
        <w:t>our current executive officers and directors beneficially owned 13.7% of our outstanding shares of Common Stock, assuming conversion of their Class A Stock into Common Stock and the exercise of all options held by such persons which are exercisable within 60 days of April 14, 2010, and 28.1% of the combined voting power of our outstanding shares of Common Stock and Class A Stock, assuming the exercise of all options held by such persons which are exercisable within 60 days of April 14, 2010;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-507365</wp:posOffset>
            </wp:positionV>
            <wp:extent cx="5969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3" w:lineRule="auto"/>
        <w:rPr>
          <w:sz w:val="20"/>
          <w:szCs w:val="20"/>
          <w:color w:val="auto"/>
        </w:rPr>
      </w:pPr>
      <w:r>
        <w:rPr>
          <w:rFonts w:ascii="Arial" w:cs="Arial" w:eastAsia="Arial" w:hAnsi="Arial"/>
          <w:sz w:val="18"/>
          <w:szCs w:val="18"/>
          <w:color w:val="auto"/>
        </w:rPr>
        <w:t>our six largest shareholders plus Leonard S. Schleifer, M.D., Ph.D. our Chief Executive Officer, beneficially owned 51.1% of our outstanding shares of Common Stock, assuming, in the case of our Chief Executive Officer, the conversion of his Class A Stock into Common Stock and the exercise of all options held by him which are exercisable within 60 days of April 14, 2010. In addition, these seven shareholders held 56.3% of the combined voting power of our outstanding shares of Common Stock and Class A Stock, assuming the exercise of all options held by our Chief Executive Officer which are exercisable within 60 days of April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-652145</wp:posOffset>
            </wp:positionV>
            <wp:extent cx="5969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9"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Pursuant to an investor agreement, as amended,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94"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248"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26"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3" w:name="page54"/>
    <w:bookmarkEnd w:id="53"/>
    <w:p>
      <w:pPr>
        <w:jc w:val="both"/>
        <w:ind w:left="540" w:right="40"/>
        <w:spacing w:after="0" w:line="253" w:lineRule="auto"/>
        <w:rPr>
          <w:sz w:val="20"/>
          <w:szCs w:val="20"/>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-370840</wp:posOffset>
            </wp:positionV>
            <wp:extent cx="596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
        <w:spacing w:after="0" w:line="250" w:lineRule="auto"/>
        <w:rPr>
          <w:sz w:val="20"/>
          <w:szCs w:val="20"/>
          <w:color w:val="auto"/>
        </w:rPr>
      </w:pPr>
      <w:r>
        <w:rPr>
          <w:rFonts w:ascii="Arial" w:cs="Arial" w:eastAsia="Arial" w:hAnsi="Arial"/>
          <w:sz w:val="18"/>
          <w:szCs w:val="18"/>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40"/>
        <w:spacing w:after="0" w:line="250" w:lineRule="auto"/>
        <w:rPr>
          <w:sz w:val="20"/>
          <w:szCs w:val="20"/>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
        <w:spacing w:after="0" w:line="254" w:lineRule="auto"/>
        <w:rPr>
          <w:sz w:val="20"/>
          <w:szCs w:val="20"/>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 significant influence over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-515620</wp:posOffset>
            </wp:positionV>
            <wp:extent cx="596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8" w:lineRule="exact"/>
        <w:rPr>
          <w:sz w:val="20"/>
          <w:szCs w:val="20"/>
          <w:color w:val="auto"/>
        </w:rPr>
      </w:pPr>
    </w:p>
    <w:p>
      <w:pPr>
        <w:jc w:val="both"/>
        <w:ind w:right="20" w:firstLine="284"/>
        <w:spacing w:after="0" w:line="256" w:lineRule="auto"/>
        <w:rPr>
          <w:sz w:val="20"/>
          <w:szCs w:val="20"/>
          <w:color w:val="auto"/>
        </w:rPr>
      </w:pPr>
      <w:r>
        <w:rPr>
          <w:rFonts w:ascii="Arial" w:cs="Arial" w:eastAsia="Arial" w:hAnsi="Arial"/>
          <w:sz w:val="18"/>
          <w:szCs w:val="18"/>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as amended, which contractually prohibit sanofi-aventis from acquiring more than certain specified percentages of our Class A Stock and Common Stock (taken together) or otherwise seeking to obtain control of the Company.</w:t>
      </w:r>
    </w:p>
    <w:p>
      <w:pPr>
        <w:spacing w:after="0" w:line="251" w:lineRule="exact"/>
        <w:rPr>
          <w:sz w:val="20"/>
          <w:szCs w:val="20"/>
          <w:color w:val="auto"/>
        </w:rPr>
      </w:pPr>
    </w:p>
    <w:p>
      <w:pPr>
        <w:jc w:val="both"/>
        <w:ind w:right="20" w:firstLine="297"/>
        <w:spacing w:after="0" w:line="298"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 These contractual provisions may also have the effect of deterring, delaying, or preventing an acquisition or other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gridSpan w:val="3"/>
          </w:tcPr>
          <w:p>
            <w:pPr>
              <w:ind w:left="280"/>
              <w:spacing w:after="0"/>
              <w:rPr>
                <w:sz w:val="20"/>
                <w:szCs w:val="20"/>
                <w:color w:val="auto"/>
              </w:rPr>
            </w:pPr>
            <w:r>
              <w:rPr>
                <w:rFonts w:ascii="Arial" w:cs="Arial" w:eastAsia="Arial" w:hAnsi="Arial"/>
                <w:sz w:val="18"/>
                <w:szCs w:val="18"/>
                <w:color w:val="auto"/>
              </w:rPr>
              <w:t>(a) Exhibits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60" w:type="dxa"/>
            <w:vAlign w:val="bottom"/>
          </w:tcPr>
          <w:p>
            <w:pPr>
              <w:spacing w:after="0"/>
              <w:rPr>
                <w:sz w:val="19"/>
                <w:szCs w:val="19"/>
                <w:color w:val="auto"/>
              </w:rPr>
            </w:pPr>
          </w:p>
        </w:tc>
      </w:tr>
      <w:tr>
        <w:trPr>
          <w:trHeight w:val="447"/>
        </w:trPr>
        <w:tc>
          <w:tcPr>
            <w:tcW w:w="3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190"/>
        </w:trPr>
        <w:tc>
          <w:tcPr>
            <w:tcW w:w="340" w:type="dxa"/>
            <w:vAlign w:val="bottom"/>
          </w:tcPr>
          <w:p>
            <w:pPr>
              <w:spacing w:after="0"/>
              <w:rPr>
                <w:sz w:val="16"/>
                <w:szCs w:val="16"/>
                <w:color w:val="auto"/>
              </w:rPr>
            </w:pPr>
          </w:p>
        </w:tc>
        <w:tc>
          <w:tcPr>
            <w:tcW w:w="620" w:type="dxa"/>
            <w:vAlign w:val="bottom"/>
          </w:tcPr>
          <w:p>
            <w:pPr>
              <w:spacing w:after="0" w:line="190" w:lineRule="exact"/>
              <w:rPr>
                <w:sz w:val="20"/>
                <w:szCs w:val="20"/>
                <w:color w:val="auto"/>
              </w:rPr>
            </w:pPr>
            <w:r>
              <w:rPr>
                <w:rFonts w:ascii="Arial" w:cs="Arial" w:eastAsia="Arial" w:hAnsi="Arial"/>
                <w:sz w:val="18"/>
                <w:szCs w:val="18"/>
                <w:b w:val="1"/>
                <w:bCs w:val="1"/>
                <w:color w:val="auto"/>
                <w:w w:val="88"/>
              </w:rPr>
              <w:t>Number</w:t>
            </w:r>
          </w:p>
        </w:tc>
        <w:tc>
          <w:tcPr>
            <w:tcW w:w="280" w:type="dxa"/>
            <w:vAlign w:val="bottom"/>
          </w:tcPr>
          <w:p>
            <w:pPr>
              <w:spacing w:after="0"/>
              <w:rPr>
                <w:sz w:val="16"/>
                <w:szCs w:val="16"/>
                <w:color w:val="auto"/>
              </w:rPr>
            </w:pPr>
          </w:p>
        </w:tc>
        <w:tc>
          <w:tcPr>
            <w:tcW w:w="10200" w:type="dxa"/>
            <w:vAlign w:val="bottom"/>
            <w:gridSpan w:val="4"/>
          </w:tcPr>
          <w:p>
            <w:pPr>
              <w:ind w:left="80"/>
              <w:spacing w:after="0" w:line="190"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262"/>
        </w:trPr>
        <w:tc>
          <w:tcPr>
            <w:tcW w:w="960" w:type="dxa"/>
            <w:vAlign w:val="bottom"/>
            <w:gridSpan w:val="2"/>
          </w:tcPr>
          <w:p>
            <w:pPr>
              <w:ind w:left="3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2"/>
                <w:szCs w:val="22"/>
                <w:color w:val="auto"/>
              </w:rPr>
            </w:pPr>
          </w:p>
        </w:tc>
        <w:tc>
          <w:tcPr>
            <w:tcW w:w="10200" w:type="dxa"/>
            <w:vAlign w:val="bottom"/>
            <w:gridSpan w:val="4"/>
          </w:tcPr>
          <w:p>
            <w:pPr>
              <w:ind w:left="80"/>
              <w:spacing w:after="0"/>
              <w:rPr>
                <w:sz w:val="20"/>
                <w:szCs w:val="20"/>
                <w:color w:val="auto"/>
              </w:rPr>
            </w:pPr>
            <w:r>
              <w:rPr>
                <w:rFonts w:ascii="Arial" w:cs="Arial" w:eastAsia="Arial" w:hAnsi="Arial"/>
                <w:sz w:val="18"/>
                <w:szCs w:val="18"/>
                <w:color w:val="auto"/>
                <w:w w:val="96"/>
              </w:rPr>
              <w:t>-  Sixth Amendment to Lease, by and between BMR-Landmark at Eastview LLC and the Registrant, entered into as of June 4, 2010.</w:t>
            </w:r>
          </w:p>
        </w:tc>
      </w:tr>
      <w:tr>
        <w:trPr>
          <w:trHeight w:val="243"/>
        </w:trPr>
        <w:tc>
          <w:tcPr>
            <w:tcW w:w="960" w:type="dxa"/>
            <w:vAlign w:val="bottom"/>
            <w:gridSpan w:val="2"/>
          </w:tcPr>
          <w:p>
            <w:pPr>
              <w:ind w:left="34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1"/>
                <w:szCs w:val="21"/>
                <w:color w:val="auto"/>
              </w:rPr>
            </w:pPr>
          </w:p>
        </w:tc>
        <w:tc>
          <w:tcPr>
            <w:tcW w:w="10200" w:type="dxa"/>
            <w:vAlign w:val="bottom"/>
            <w:gridSpan w:val="4"/>
          </w:tcPr>
          <w:p>
            <w:pPr>
              <w:ind w:left="80"/>
              <w:spacing w:after="0"/>
              <w:rPr>
                <w:sz w:val="20"/>
                <w:szCs w:val="20"/>
                <w:color w:val="auto"/>
              </w:rPr>
            </w:pPr>
            <w:r>
              <w:rPr>
                <w:rFonts w:ascii="Arial" w:cs="Arial" w:eastAsia="Arial" w:hAnsi="Arial"/>
                <w:sz w:val="18"/>
                <w:szCs w:val="18"/>
                <w:color w:val="auto"/>
              </w:rPr>
              <w:t>-  Certification of CEO pursuant to Rule 13a-14(a) under the Securities Exchange Act of 1934.</w:t>
            </w:r>
          </w:p>
        </w:tc>
      </w:tr>
      <w:tr>
        <w:trPr>
          <w:trHeight w:val="243"/>
        </w:trPr>
        <w:tc>
          <w:tcPr>
            <w:tcW w:w="960" w:type="dxa"/>
            <w:vAlign w:val="bottom"/>
            <w:gridSpan w:val="2"/>
          </w:tcPr>
          <w:p>
            <w:pPr>
              <w:ind w:left="34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1"/>
                <w:szCs w:val="21"/>
                <w:color w:val="auto"/>
              </w:rPr>
            </w:pPr>
          </w:p>
        </w:tc>
        <w:tc>
          <w:tcPr>
            <w:tcW w:w="10200" w:type="dxa"/>
            <w:vAlign w:val="bottom"/>
            <w:gridSpan w:val="4"/>
          </w:tcPr>
          <w:p>
            <w:pPr>
              <w:ind w:left="80"/>
              <w:spacing w:after="0"/>
              <w:rPr>
                <w:sz w:val="20"/>
                <w:szCs w:val="20"/>
                <w:color w:val="auto"/>
              </w:rPr>
            </w:pPr>
            <w:r>
              <w:rPr>
                <w:rFonts w:ascii="Arial" w:cs="Arial" w:eastAsia="Arial" w:hAnsi="Arial"/>
                <w:sz w:val="18"/>
                <w:szCs w:val="18"/>
                <w:color w:val="auto"/>
              </w:rPr>
              <w:t>-  Certification of CFO pursuant to Rule 13a-14(a) under the Securities Exchange Act of 1934.</w:t>
            </w:r>
          </w:p>
        </w:tc>
      </w:tr>
      <w:tr>
        <w:trPr>
          <w:trHeight w:val="243"/>
        </w:trPr>
        <w:tc>
          <w:tcPr>
            <w:tcW w:w="960" w:type="dxa"/>
            <w:vAlign w:val="bottom"/>
            <w:gridSpan w:val="2"/>
          </w:tcPr>
          <w:p>
            <w:pPr>
              <w:ind w:left="34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1"/>
                <w:szCs w:val="21"/>
                <w:color w:val="auto"/>
              </w:rPr>
            </w:pPr>
          </w:p>
        </w:tc>
        <w:tc>
          <w:tcPr>
            <w:tcW w:w="10200" w:type="dxa"/>
            <w:vAlign w:val="bottom"/>
            <w:gridSpan w:val="4"/>
          </w:tcPr>
          <w:p>
            <w:pPr>
              <w:ind w:left="80"/>
              <w:spacing w:after="0"/>
              <w:rPr>
                <w:sz w:val="20"/>
                <w:szCs w:val="20"/>
                <w:color w:val="auto"/>
              </w:rPr>
            </w:pPr>
            <w:r>
              <w:rPr>
                <w:rFonts w:ascii="Arial" w:cs="Arial" w:eastAsia="Arial" w:hAnsi="Arial"/>
                <w:sz w:val="18"/>
                <w:szCs w:val="18"/>
                <w:color w:val="auto"/>
              </w:rPr>
              <w:t>-  Certification of CEO and CFO pursuant to 18 U.S.C. Section 1350.</w:t>
            </w:r>
          </w:p>
        </w:tc>
      </w:tr>
      <w:tr>
        <w:trPr>
          <w:trHeight w:val="243"/>
        </w:trPr>
        <w:tc>
          <w:tcPr>
            <w:tcW w:w="960" w:type="dxa"/>
            <w:vAlign w:val="bottom"/>
            <w:gridSpan w:val="2"/>
          </w:tcPr>
          <w:p>
            <w:pPr>
              <w:ind w:left="3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0" w:type="dxa"/>
            <w:vAlign w:val="bottom"/>
            <w:gridSpan w:val="2"/>
          </w:tcPr>
          <w:p>
            <w:pPr>
              <w:ind w:left="80"/>
              <w:spacing w:after="0"/>
              <w:rPr>
                <w:sz w:val="20"/>
                <w:szCs w:val="20"/>
                <w:color w:val="auto"/>
              </w:rPr>
            </w:pPr>
            <w:r>
              <w:rPr>
                <w:rFonts w:ascii="Arial" w:cs="Arial" w:eastAsia="Arial" w:hAnsi="Arial"/>
                <w:sz w:val="18"/>
                <w:szCs w:val="18"/>
                <w:color w:val="auto"/>
              </w:rPr>
              <w:t>Interactive Data File</w:t>
            </w:r>
          </w:p>
        </w:tc>
      </w:tr>
      <w:tr>
        <w:trPr>
          <w:trHeight w:val="243"/>
        </w:trPr>
        <w:tc>
          <w:tcPr>
            <w:tcW w:w="34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0" w:type="dxa"/>
            <w:vAlign w:val="bottom"/>
            <w:gridSpan w:val="2"/>
          </w:tcPr>
          <w:p>
            <w:pPr>
              <w:ind w:left="80"/>
              <w:spacing w:after="0"/>
              <w:rPr>
                <w:sz w:val="20"/>
                <w:szCs w:val="20"/>
                <w:color w:val="auto"/>
              </w:rPr>
            </w:pPr>
            <w:r>
              <w:rPr>
                <w:rFonts w:ascii="Arial" w:cs="Arial" w:eastAsia="Arial" w:hAnsi="Arial"/>
                <w:sz w:val="18"/>
                <w:szCs w:val="18"/>
                <w:color w:val="auto"/>
              </w:rPr>
              <w:t>XBRL Instance Document</w:t>
            </w:r>
          </w:p>
        </w:tc>
      </w:tr>
      <w:tr>
        <w:trPr>
          <w:trHeight w:val="243"/>
        </w:trPr>
        <w:tc>
          <w:tcPr>
            <w:tcW w:w="34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4"/>
          </w:tcPr>
          <w:p>
            <w:pPr>
              <w:ind w:left="80"/>
              <w:spacing w:after="0"/>
              <w:rPr>
                <w:sz w:val="20"/>
                <w:szCs w:val="20"/>
                <w:color w:val="auto"/>
              </w:rPr>
            </w:pPr>
            <w:r>
              <w:rPr>
                <w:rFonts w:ascii="Arial" w:cs="Arial" w:eastAsia="Arial" w:hAnsi="Arial"/>
                <w:sz w:val="18"/>
                <w:szCs w:val="18"/>
                <w:color w:val="auto"/>
              </w:rPr>
              <w:t>-  XBRL Taxonomy Extension Schema</w:t>
            </w:r>
          </w:p>
        </w:tc>
      </w:tr>
      <w:tr>
        <w:trPr>
          <w:trHeight w:val="243"/>
        </w:trPr>
        <w:tc>
          <w:tcPr>
            <w:tcW w:w="34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4"/>
          </w:tcPr>
          <w:p>
            <w:pPr>
              <w:ind w:left="80"/>
              <w:spacing w:after="0"/>
              <w:rPr>
                <w:sz w:val="20"/>
                <w:szCs w:val="20"/>
                <w:color w:val="auto"/>
              </w:rPr>
            </w:pPr>
            <w:r>
              <w:rPr>
                <w:rFonts w:ascii="Arial" w:cs="Arial" w:eastAsia="Arial" w:hAnsi="Arial"/>
                <w:sz w:val="18"/>
                <w:szCs w:val="18"/>
                <w:color w:val="auto"/>
              </w:rPr>
              <w:t>-  XBRL Taxonomy Extension Calculation Linkbase</w:t>
            </w:r>
          </w:p>
        </w:tc>
      </w:tr>
      <w:tr>
        <w:trPr>
          <w:trHeight w:val="243"/>
        </w:trPr>
        <w:tc>
          <w:tcPr>
            <w:tcW w:w="34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4"/>
          </w:tcPr>
          <w:p>
            <w:pPr>
              <w:ind w:left="80"/>
              <w:spacing w:after="0"/>
              <w:rPr>
                <w:sz w:val="20"/>
                <w:szCs w:val="20"/>
                <w:color w:val="auto"/>
              </w:rPr>
            </w:pPr>
            <w:r>
              <w:rPr>
                <w:rFonts w:ascii="Arial" w:cs="Arial" w:eastAsia="Arial" w:hAnsi="Arial"/>
                <w:sz w:val="18"/>
                <w:szCs w:val="18"/>
                <w:color w:val="auto"/>
              </w:rPr>
              <w:t>-  XBRL Taxonomy Extension Label Linkbase</w:t>
            </w:r>
          </w:p>
        </w:tc>
      </w:tr>
      <w:tr>
        <w:trPr>
          <w:trHeight w:val="243"/>
        </w:trPr>
        <w:tc>
          <w:tcPr>
            <w:tcW w:w="34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4"/>
          </w:tcPr>
          <w:p>
            <w:pPr>
              <w:ind w:left="80"/>
              <w:spacing w:after="0"/>
              <w:rPr>
                <w:sz w:val="20"/>
                <w:szCs w:val="20"/>
                <w:color w:val="auto"/>
              </w:rPr>
            </w:pPr>
            <w:r>
              <w:rPr>
                <w:rFonts w:ascii="Arial" w:cs="Arial" w:eastAsia="Arial" w:hAnsi="Arial"/>
                <w:sz w:val="18"/>
                <w:szCs w:val="18"/>
                <w:color w:val="auto"/>
              </w:rPr>
              <w:t>-  XBRL Taxonomy Extension Presentation Linkbase</w:t>
            </w:r>
          </w:p>
        </w:tc>
      </w:tr>
      <w:tr>
        <w:trPr>
          <w:trHeight w:val="243"/>
        </w:trPr>
        <w:tc>
          <w:tcPr>
            <w:tcW w:w="34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4"/>
          </w:tcPr>
          <w:p>
            <w:pPr>
              <w:ind w:left="80"/>
              <w:spacing w:after="0"/>
              <w:rPr>
                <w:sz w:val="20"/>
                <w:szCs w:val="20"/>
                <w:color w:val="auto"/>
              </w:rPr>
            </w:pPr>
            <w:r>
              <w:rPr>
                <w:rFonts w:ascii="Arial" w:cs="Arial" w:eastAsia="Arial" w:hAnsi="Arial"/>
                <w:sz w:val="18"/>
                <w:szCs w:val="18"/>
                <w:color w:val="auto"/>
              </w:rPr>
              <w:t>-  XBRL Taxonomy Extension Definition Document</w:t>
            </w:r>
          </w:p>
        </w:tc>
      </w:tr>
      <w:tr>
        <w:trPr>
          <w:trHeight w:val="486"/>
        </w:trPr>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2"/>
          </w:tcPr>
          <w:p>
            <w:pPr>
              <w:jc w:val="right"/>
              <w:ind w:right="5640"/>
              <w:spacing w:after="0"/>
              <w:rPr>
                <w:sz w:val="20"/>
                <w:szCs w:val="20"/>
                <w:color w:val="auto"/>
              </w:rPr>
            </w:pPr>
            <w:r>
              <w:rPr>
                <w:rFonts w:ascii="Arial" w:cs="Arial" w:eastAsia="Arial" w:hAnsi="Arial"/>
                <w:sz w:val="18"/>
                <w:szCs w:val="18"/>
                <w:color w:val="auto"/>
              </w:rPr>
              <w:t>54</w:t>
            </w:r>
          </w:p>
        </w:tc>
      </w:tr>
      <w:tr>
        <w:trPr>
          <w:trHeight w:val="363"/>
        </w:trPr>
        <w:tc>
          <w:tcPr>
            <w:tcW w:w="3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Regeneron Pharmaceuticals, Inc.</w:t>
      </w:r>
    </w:p>
    <w:p>
      <w:pPr>
        <w:spacing w:after="0" w:line="279"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auto"/>
        </w:rPr>
        <w:t>Date: July 28, 2010</w:t>
      </w:r>
      <w:r>
        <w:rPr>
          <w:sz w:val="20"/>
          <w:szCs w:val="20"/>
          <w:color w:val="auto"/>
        </w:rPr>
        <w:tab/>
      </w:r>
      <w:r>
        <w:rPr>
          <w:rFonts w:ascii="Arial" w:cs="Arial" w:eastAsia="Arial" w:hAnsi="Arial"/>
          <w:sz w:val="16"/>
          <w:szCs w:val="16"/>
          <w:color w:val="auto"/>
        </w:rPr>
        <w:t>By: /s/ M</w:t>
      </w:r>
      <w:r>
        <w:rPr>
          <w:rFonts w:ascii="Arial" w:cs="Arial" w:eastAsia="Arial" w:hAnsi="Arial"/>
          <w:sz w:val="12"/>
          <w:szCs w:val="12"/>
          <w:color w:val="auto"/>
        </w:rPr>
        <w:t>URRAY</w:t>
      </w:r>
      <w:r>
        <w:rPr>
          <w:rFonts w:ascii="Arial" w:cs="Arial" w:eastAsia="Arial" w:hAnsi="Arial"/>
          <w:sz w:val="16"/>
          <w:szCs w:val="16"/>
          <w:color w:val="auto"/>
        </w:rPr>
        <w:t xml:space="preserve"> A. G</w:t>
      </w:r>
      <w:r>
        <w:rPr>
          <w:rFonts w:ascii="Arial" w:cs="Arial" w:eastAsia="Arial" w:hAnsi="Arial"/>
          <w:sz w:val="12"/>
          <w:szCs w:val="12"/>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27940</wp:posOffset>
            </wp:positionV>
            <wp:extent cx="11747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7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Vice President, Finance &amp; Administration,</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 Treasurer, and</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Assistant Secretary</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 and</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Duly Authorized Officer)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SIXTH AMENDMENT TO LEASE</w:t>
      </w:r>
    </w:p>
    <w:p>
      <w:pPr>
        <w:spacing w:after="0" w:line="282" w:lineRule="exact"/>
        <w:rPr>
          <w:sz w:val="20"/>
          <w:szCs w:val="20"/>
          <w:color w:val="auto"/>
        </w:rPr>
      </w:pPr>
    </w:p>
    <w:p>
      <w:pPr>
        <w:jc w:val="both"/>
        <w:ind w:firstLine="338"/>
        <w:spacing w:after="0" w:line="228" w:lineRule="auto"/>
        <w:rPr>
          <w:sz w:val="20"/>
          <w:szCs w:val="20"/>
          <w:color w:val="auto"/>
        </w:rPr>
      </w:pPr>
      <w:r>
        <w:rPr>
          <w:rFonts w:ascii="Arial" w:cs="Arial" w:eastAsia="Arial" w:hAnsi="Arial"/>
          <w:sz w:val="18"/>
          <w:szCs w:val="18"/>
          <w:color w:val="auto"/>
        </w:rPr>
        <w:t>THIS SIXTH AMENDMENT TO LEASE (this “</w:t>
      </w:r>
      <w:r>
        <w:rPr>
          <w:rFonts w:ascii="Arial" w:cs="Arial" w:eastAsia="Arial" w:hAnsi="Arial"/>
          <w:sz w:val="18"/>
          <w:szCs w:val="18"/>
          <w:u w:val="single" w:color="auto"/>
          <w:color w:val="auto"/>
        </w:rPr>
        <w:t>Sixth Amendment</w:t>
      </w:r>
      <w:r>
        <w:rPr>
          <w:rFonts w:ascii="Arial" w:cs="Arial" w:eastAsia="Arial" w:hAnsi="Arial"/>
          <w:sz w:val="18"/>
          <w:szCs w:val="18"/>
          <w:color w:val="auto"/>
        </w:rPr>
        <w:t>”) is entered into as of this 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June, 2010 (“</w:t>
      </w:r>
      <w:r>
        <w:rPr>
          <w:rFonts w:ascii="Arial" w:cs="Arial" w:eastAsia="Arial" w:hAnsi="Arial"/>
          <w:sz w:val="18"/>
          <w:szCs w:val="18"/>
          <w:u w:val="single" w:color="auto"/>
          <w:color w:val="auto"/>
        </w:rPr>
        <w:t>Execution Date</w:t>
      </w:r>
      <w:r>
        <w:rPr>
          <w:rFonts w:ascii="Arial" w:cs="Arial" w:eastAsia="Arial" w:hAnsi="Arial"/>
          <w:sz w:val="18"/>
          <w:szCs w:val="18"/>
          <w:color w:val="auto"/>
        </w:rPr>
        <w:t>”), by and between BMR-LANDMARK AT EASTVIEW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REGENERON PHARMACEUTICALS, INC., a New York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85" w:lineRule="exact"/>
        <w:rPr>
          <w:sz w:val="20"/>
          <w:szCs w:val="20"/>
          <w:color w:val="auto"/>
        </w:rPr>
      </w:pPr>
    </w:p>
    <w:p>
      <w:pPr>
        <w:jc w:val="both"/>
        <w:ind w:firstLine="297"/>
        <w:spacing w:after="0" w:line="290" w:lineRule="auto"/>
        <w:rPr>
          <w:sz w:val="20"/>
          <w:szCs w:val="20"/>
          <w:color w:val="auto"/>
        </w:rPr>
      </w:pPr>
      <w:r>
        <w:rPr>
          <w:rFonts w:ascii="Arial" w:cs="Arial" w:eastAsia="Arial" w:hAnsi="Arial"/>
          <w:sz w:val="16"/>
          <w:szCs w:val="16"/>
          <w:color w:val="auto"/>
        </w:rPr>
        <w:t>A. WHEREAS, Landlord and Tenant entered into that certain Lease dated as of December 21, 2006 (the “</w:t>
      </w:r>
      <w:r>
        <w:rPr>
          <w:rFonts w:ascii="Arial" w:cs="Arial" w:eastAsia="Arial" w:hAnsi="Arial"/>
          <w:sz w:val="16"/>
          <w:szCs w:val="16"/>
          <w:u w:val="single" w:color="auto"/>
          <w:color w:val="auto"/>
        </w:rPr>
        <w:t>Original Lease</w:t>
      </w:r>
      <w:r>
        <w:rPr>
          <w:rFonts w:ascii="Arial" w:cs="Arial" w:eastAsia="Arial" w:hAnsi="Arial"/>
          <w:sz w:val="16"/>
          <w:szCs w:val="16"/>
          <w:color w:val="auto"/>
        </w:rPr>
        <w:t>”), as amended by that certain First Amendment to Lease dated as of October 24, 2007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that certain Second Amendment to Lease dated as of September 30, 2008 (the “</w:t>
      </w:r>
      <w:r>
        <w:rPr>
          <w:rFonts w:ascii="Arial" w:cs="Arial" w:eastAsia="Arial" w:hAnsi="Arial"/>
          <w:sz w:val="16"/>
          <w:szCs w:val="16"/>
          <w:u w:val="single" w:color="auto"/>
          <w:color w:val="auto"/>
        </w:rPr>
        <w:t>Second Amendment</w:t>
      </w:r>
      <w:r>
        <w:rPr>
          <w:rFonts w:ascii="Arial" w:cs="Arial" w:eastAsia="Arial" w:hAnsi="Arial"/>
          <w:sz w:val="16"/>
          <w:szCs w:val="16"/>
          <w:color w:val="auto"/>
        </w:rPr>
        <w:t>”), that certain Third Amendment to Lease dated as of April 29, 2009 (the “</w:t>
      </w:r>
      <w:r>
        <w:rPr>
          <w:rFonts w:ascii="Arial" w:cs="Arial" w:eastAsia="Arial" w:hAnsi="Arial"/>
          <w:sz w:val="16"/>
          <w:szCs w:val="16"/>
          <w:u w:val="single" w:color="auto"/>
          <w:color w:val="auto"/>
        </w:rPr>
        <w:t>Third Amendment</w:t>
      </w:r>
      <w:r>
        <w:rPr>
          <w:rFonts w:ascii="Arial" w:cs="Arial" w:eastAsia="Arial" w:hAnsi="Arial"/>
          <w:sz w:val="16"/>
          <w:szCs w:val="16"/>
          <w:color w:val="auto"/>
        </w:rPr>
        <w:t>”), that certain Fourth Amendment to Lease dated as of December 3, 2009 (the “</w:t>
      </w:r>
      <w:r>
        <w:rPr>
          <w:rFonts w:ascii="Arial" w:cs="Arial" w:eastAsia="Arial" w:hAnsi="Arial"/>
          <w:sz w:val="16"/>
          <w:szCs w:val="16"/>
          <w:u w:val="single" w:color="auto"/>
          <w:color w:val="auto"/>
        </w:rPr>
        <w:t>Fourth Amendment</w:t>
      </w:r>
      <w:r>
        <w:rPr>
          <w:rFonts w:ascii="Arial" w:cs="Arial" w:eastAsia="Arial" w:hAnsi="Arial"/>
          <w:sz w:val="16"/>
          <w:szCs w:val="16"/>
          <w:color w:val="auto"/>
        </w:rPr>
        <w:t>”), and that certain Fifth Amendment to Lease dated as of February 11, 2010 (the “</w:t>
      </w:r>
      <w:r>
        <w:rPr>
          <w:rFonts w:ascii="Arial" w:cs="Arial" w:eastAsia="Arial" w:hAnsi="Arial"/>
          <w:sz w:val="16"/>
          <w:szCs w:val="16"/>
          <w:u w:val="single" w:color="auto"/>
          <w:color w:val="auto"/>
        </w:rPr>
        <w:t>Fifth Amendment</w:t>
      </w:r>
      <w:r>
        <w:rPr>
          <w:rFonts w:ascii="Arial" w:cs="Arial" w:eastAsia="Arial" w:hAnsi="Arial"/>
          <w:sz w:val="16"/>
          <w:szCs w:val="16"/>
          <w:color w:val="auto"/>
        </w:rPr>
        <w:t>” and, collectively with the Original Lease and the First Amendment, Second Amendment, Third Amendment, Fourth Amendment and as the same may have been further amended, supplemented or otherwise modified from time to time, the “</w:t>
      </w:r>
      <w:r>
        <w:rPr>
          <w:rFonts w:ascii="Arial" w:cs="Arial" w:eastAsia="Arial" w:hAnsi="Arial"/>
          <w:sz w:val="16"/>
          <w:szCs w:val="16"/>
          <w:u w:val="single" w:color="auto"/>
          <w:color w:val="auto"/>
        </w:rPr>
        <w:t>Lease</w:t>
      </w:r>
      <w:r>
        <w:rPr>
          <w:rFonts w:ascii="Arial" w:cs="Arial" w:eastAsia="Arial" w:hAnsi="Arial"/>
          <w:sz w:val="16"/>
          <w:szCs w:val="16"/>
          <w:color w:val="auto"/>
        </w:rPr>
        <w:t>”), whereby Tenant leases certain premises (the “</w:t>
      </w:r>
      <w:r>
        <w:rPr>
          <w:rFonts w:ascii="Arial" w:cs="Arial" w:eastAsia="Arial" w:hAnsi="Arial"/>
          <w:sz w:val="16"/>
          <w:szCs w:val="16"/>
          <w:u w:val="single" w:color="auto"/>
          <w:color w:val="auto"/>
        </w:rPr>
        <w:t>Premises</w:t>
      </w:r>
      <w:r>
        <w:rPr>
          <w:rFonts w:ascii="Arial" w:cs="Arial" w:eastAsia="Arial" w:hAnsi="Arial"/>
          <w:sz w:val="16"/>
          <w:szCs w:val="16"/>
          <w:color w:val="auto"/>
        </w:rPr>
        <w:t>”) from Landlord at 735, 745, 755, 765 and 777 Old Saw Mill River Road in Tarrytown, New York (collectively, the “</w:t>
      </w:r>
      <w:r>
        <w:rPr>
          <w:rFonts w:ascii="Arial" w:cs="Arial" w:eastAsia="Arial" w:hAnsi="Arial"/>
          <w:sz w:val="16"/>
          <w:szCs w:val="16"/>
          <w:u w:val="single" w:color="auto"/>
          <w:color w:val="auto"/>
        </w:rPr>
        <w:t>Buildings</w:t>
      </w:r>
      <w:r>
        <w:rPr>
          <w:rFonts w:ascii="Arial" w:cs="Arial" w:eastAsia="Arial" w:hAnsi="Arial"/>
          <w:sz w:val="16"/>
          <w:szCs w:val="16"/>
          <w:color w:val="auto"/>
        </w:rPr>
        <w:t>”, and each a “</w:t>
      </w:r>
      <w:r>
        <w:rPr>
          <w:rFonts w:ascii="Arial" w:cs="Arial" w:eastAsia="Arial" w:hAnsi="Arial"/>
          <w:sz w:val="16"/>
          <w:szCs w:val="16"/>
          <w:u w:val="single" w:color="auto"/>
          <w:color w:val="auto"/>
        </w:rPr>
        <w:t>Building</w:t>
      </w:r>
      <w:r>
        <w:rPr>
          <w:rFonts w:ascii="Arial" w:cs="Arial" w:eastAsia="Arial" w:hAnsi="Arial"/>
          <w:sz w:val="16"/>
          <w:szCs w:val="16"/>
          <w:color w:val="auto"/>
        </w:rPr>
        <w:t>”);</w:t>
      </w:r>
    </w:p>
    <w:p>
      <w:pPr>
        <w:spacing w:after="0" w:line="226"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B. WHEREAS, Tenant desires to lease from Landlord and Landlord desires to lease to Tenant approximately six thousand eight hundred thirty-eight (6,838) rentable square feet of additional space in the 765 Building, consisting of approximately two thousand six hundred ninety-one (2,691) rentable square feet (“</w:t>
      </w:r>
      <w:r>
        <w:rPr>
          <w:rFonts w:ascii="Arial" w:cs="Arial" w:eastAsia="Arial" w:hAnsi="Arial"/>
          <w:sz w:val="16"/>
          <w:szCs w:val="16"/>
          <w:u w:val="single" w:color="auto"/>
          <w:color w:val="auto"/>
        </w:rPr>
        <w:t>Phase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1</w:t>
      </w:r>
      <w:r>
        <w:rPr>
          <w:rFonts w:ascii="Arial" w:cs="Arial" w:eastAsia="Arial" w:hAnsi="Arial"/>
          <w:sz w:val="16"/>
          <w:szCs w:val="16"/>
          <w:color w:val="auto"/>
        </w:rPr>
        <w:t>”, and generally a “</w:t>
      </w:r>
      <w:r>
        <w:rPr>
          <w:rFonts w:ascii="Arial" w:cs="Arial" w:eastAsia="Arial" w:hAnsi="Arial"/>
          <w:sz w:val="16"/>
          <w:szCs w:val="16"/>
          <w:u w:val="single" w:color="auto"/>
          <w:color w:val="auto"/>
        </w:rPr>
        <w:t>Phase</w:t>
      </w:r>
      <w:r>
        <w:rPr>
          <w:rFonts w:ascii="Arial" w:cs="Arial" w:eastAsia="Arial" w:hAnsi="Arial"/>
          <w:sz w:val="16"/>
          <w:szCs w:val="16"/>
          <w:color w:val="auto"/>
        </w:rPr>
        <w:t>”) and approximately four thousand one hundred forty-seven (4,147) rentable square feet (“</w:t>
      </w:r>
      <w:r>
        <w:rPr>
          <w:rFonts w:ascii="Arial" w:cs="Arial" w:eastAsia="Arial" w:hAnsi="Arial"/>
          <w:sz w:val="16"/>
          <w:szCs w:val="16"/>
          <w:u w:val="single" w:color="auto"/>
          <w:color w:val="auto"/>
        </w:rPr>
        <w:t>Phase 2</w:t>
      </w:r>
      <w:r>
        <w:rPr>
          <w:rFonts w:ascii="Arial" w:cs="Arial" w:eastAsia="Arial" w:hAnsi="Arial"/>
          <w:sz w:val="16"/>
          <w:szCs w:val="16"/>
          <w:color w:val="auto"/>
        </w:rPr>
        <w:t>”, and generally a “</w:t>
      </w:r>
      <w:r>
        <w:rPr>
          <w:rFonts w:ascii="Arial" w:cs="Arial" w:eastAsia="Arial" w:hAnsi="Arial"/>
          <w:sz w:val="16"/>
          <w:szCs w:val="16"/>
          <w:u w:val="single" w:color="auto"/>
          <w:color w:val="auto"/>
        </w:rPr>
        <w:t>Phase</w:t>
      </w:r>
      <w:r>
        <w:rPr>
          <w:rFonts w:ascii="Arial" w:cs="Arial" w:eastAsia="Arial" w:hAnsi="Arial"/>
          <w:sz w:val="16"/>
          <w:szCs w:val="16"/>
          <w:color w:val="auto"/>
        </w:rPr>
        <w:t xml:space="preserve">”), all as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(Phase 1 and Phase 2 are collectively referred to herein as the “</w:t>
      </w:r>
      <w:r>
        <w:rPr>
          <w:rFonts w:ascii="Arial" w:cs="Arial" w:eastAsia="Arial" w:hAnsi="Arial"/>
          <w:sz w:val="16"/>
          <w:szCs w:val="16"/>
          <w:u w:val="single" w:color="auto"/>
          <w:color w:val="auto"/>
        </w:rPr>
        <w:t>765 Expansion Premises</w:t>
      </w:r>
      <w:r>
        <w:rPr>
          <w:rFonts w:ascii="Arial" w:cs="Arial" w:eastAsia="Arial" w:hAnsi="Arial"/>
          <w:sz w:val="16"/>
          <w:szCs w:val="16"/>
          <w:color w:val="auto"/>
        </w:rPr>
        <w:t>”); and</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 WHEREAS, Landlord and Tenant desire to modify and amend the Lease only in the respects and on the conditions hereinafter stated.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8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240" w:lineRule="exact"/>
        <w:rPr>
          <w:sz w:val="20"/>
          <w:szCs w:val="20"/>
          <w:color w:val="auto"/>
        </w:rPr>
      </w:pPr>
    </w:p>
    <w:p>
      <w:pPr>
        <w:ind w:firstLine="359"/>
        <w:spacing w:after="0" w:line="268" w:lineRule="auto"/>
        <w:tabs>
          <w:tab w:leader="none" w:pos="54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Sixth Amendment, capitalized terms shall have the meanings ascribed to them in the Lease unless otherwise defined herein. The Lease, as amended by this Sixth Amendment, is referred to herein as the “</w:t>
      </w:r>
      <w:r>
        <w:rPr>
          <w:rFonts w:ascii="Arial" w:cs="Arial" w:eastAsia="Arial" w:hAnsi="Arial"/>
          <w:sz w:val="18"/>
          <w:szCs w:val="18"/>
          <w:u w:val="single" w:color="auto"/>
          <w:color w:val="auto"/>
        </w:rPr>
        <w:t>Amended Lease</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firstLine="427"/>
        <w:spacing w:after="0" w:line="289" w:lineRule="auto"/>
        <w:tabs>
          <w:tab w:leader="none" w:pos="626"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765 Expansion Premises</w:t>
      </w:r>
      <w:r>
        <w:rPr>
          <w:rFonts w:ascii="Arial" w:cs="Arial" w:eastAsia="Arial" w:hAnsi="Arial"/>
          <w:sz w:val="16"/>
          <w:szCs w:val="16"/>
          <w:color w:val="auto"/>
        </w:rPr>
        <w:t xml:space="preserve">. Landlord hereby leases to Tenant, and Tenant hereby leases from Landlord the 765 Expansion Premises, effective as of Landlord’s delivery to Tenant of the applicable Phase thereof. Landlord shall use commercially reasonable efforts to deliver Phase 1 to Tenant on the Execution Date, or as soon as reasonably practicable thereafter, and Phase 2 on or before November 30, 2010. Landlord shall provide Tenant with sixty (60) days prior notice of delivery of Phase 2. The Term for the 765 Expansion Premises shall expire on the Term Expiration Date for the New Premises, subject to (a) Tenant’s option to extend the Term of the Lease as provided in </w:t>
      </w:r>
      <w:r>
        <w:rPr>
          <w:rFonts w:ascii="Arial" w:cs="Arial" w:eastAsia="Arial" w:hAnsi="Arial"/>
          <w:sz w:val="16"/>
          <w:szCs w:val="16"/>
          <w:u w:val="single" w:color="auto"/>
          <w:color w:val="auto"/>
        </w:rPr>
        <w:t>Article 44</w:t>
      </w:r>
      <w:r>
        <w:rPr>
          <w:rFonts w:ascii="Arial" w:cs="Arial" w:eastAsia="Arial" w:hAnsi="Arial"/>
          <w:sz w:val="16"/>
          <w:szCs w:val="16"/>
          <w:color w:val="auto"/>
        </w:rPr>
        <w:t xml:space="preserve"> of the Amended Lease, and (b) Tenant’s termination option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below. Upon delivery of Phase 1 to Tenant, the total rentable square feet of space of the Premises located within Building 765 shall be one hundred six thousand eight hundred ninety (106,890) rentable square feet of space and upon delivery of Phase 2 to Tenant the total rentable square feet of space of the Premises located within Building 765 shall be one hundred eleven thousand thirty-seven (111,037) rentable square feet of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6" w:name="page57"/>
    <w:bookmarkEnd w:id="56"/>
    <w:p>
      <w:pPr>
        <w:jc w:val="both"/>
        <w:ind w:right="20" w:firstLine="305"/>
        <w:spacing w:after="0" w:line="290" w:lineRule="auto"/>
        <w:tabs>
          <w:tab w:leader="none" w:pos="47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Tenant’s Pro Rata Shares</w:t>
      </w:r>
      <w:r>
        <w:rPr>
          <w:rFonts w:ascii="Arial" w:cs="Arial" w:eastAsia="Arial" w:hAnsi="Arial"/>
          <w:sz w:val="16"/>
          <w:szCs w:val="16"/>
          <w:color w:val="auto"/>
        </w:rPr>
        <w:t xml:space="preserve">. From and after the delivery of Phase 1, (a) the Premises shall be deemed to include Phase 1, (b) Tenant’s Pro Rata Share of the 765 Building shall increase from 58.80% to 60.23%, (c) Tenant’s Pro Rata Share of the Existing Project shall increase from 23.50% to 23.83%, (d) Tenant’s Pro Rata Share of the New Project shall remain at 100%, and (e) Tenant’s Pro Rata Share of the Entire Project shall increase from 48.30% to 48.52%. From and after the delivery of Phase 2, (v) the Premises shall be deemed to include the entire 765 Expansion Premises, (w) Tenant’s Pro Rata Share of the 765 Building shall increase from 60.32% to 62.48%, (x) Tenant’s Pro Rata Share of the Existing Project shall increase from 23.85% to 24.36%, (y) Tenant’s Pro Rata Share of the New Project shall remain at 100%, and (z) Tenant’s Pro Rata Share of the Entire Project shall increase from 48.54% to 48.88%. Effective as of the delivery of Phase 1,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Lease is hereby deleted in its entirety and replaced with the following:</w:t>
      </w:r>
    </w:p>
    <w:p>
      <w:pPr>
        <w:spacing w:after="0" w:line="199" w:lineRule="exact"/>
        <w:rPr>
          <w:sz w:val="20"/>
          <w:szCs w:val="20"/>
          <w:color w:val="auto"/>
        </w:rPr>
      </w:pPr>
    </w:p>
    <w:p>
      <w:pPr>
        <w:ind w:left="540" w:right="20"/>
        <w:spacing w:after="0" w:line="332" w:lineRule="auto"/>
        <w:rPr>
          <w:sz w:val="20"/>
          <w:szCs w:val="20"/>
          <w:color w:val="auto"/>
        </w:rPr>
      </w:pPr>
      <w:r>
        <w:rPr>
          <w:rFonts w:ascii="Arial" w:cs="Arial" w:eastAsia="Arial" w:hAnsi="Arial"/>
          <w:sz w:val="16"/>
          <w:szCs w:val="16"/>
          <w:color w:val="auto"/>
        </w:rPr>
        <w:t xml:space="preserve">2.2 The Premises, the Buildings, and certain related terms are defined as follows. In these definitions, each Rentable Area is expressed in rentable square footage. Rentable Area and Tenant’s Pro Rata Shares are all subject to adjustment under this Lease, including under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Definition or Provision</w:t>
            </w:r>
          </w:p>
        </w:tc>
        <w:tc>
          <w:tcPr>
            <w:tcW w:w="5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Means the Following:</w:t>
            </w:r>
          </w:p>
        </w:tc>
        <w:tc>
          <w:tcPr>
            <w:tcW w:w="20" w:type="dxa"/>
            <w:vAlign w:val="bottom"/>
          </w:tcPr>
          <w:p>
            <w:pPr>
              <w:spacing w:after="0"/>
              <w:rPr>
                <w:sz w:val="19"/>
                <w:szCs w:val="19"/>
                <w:color w:val="auto"/>
              </w:rPr>
            </w:pPr>
          </w:p>
        </w:tc>
      </w:tr>
      <w:tr>
        <w:trPr>
          <w:trHeight w:val="169"/>
        </w:trPr>
        <w:tc>
          <w:tcPr>
            <w:tcW w:w="5620" w:type="dxa"/>
            <w:vAlign w:val="bottom"/>
            <w:tcBorders>
              <w:left w:val="single" w:sz="8" w:color="auto"/>
              <w:right w:val="single" w:sz="8" w:color="auto"/>
            </w:tcBorders>
            <w:gridSpan w:val="4"/>
          </w:tcPr>
          <w:p>
            <w:pPr>
              <w:ind w:left="20"/>
              <w:spacing w:after="0" w:line="170" w:lineRule="exact"/>
              <w:rPr>
                <w:sz w:val="20"/>
                <w:szCs w:val="20"/>
                <w:color w:val="auto"/>
              </w:rPr>
            </w:pPr>
            <w:r>
              <w:rPr>
                <w:rFonts w:ascii="Arial" w:cs="Arial" w:eastAsia="Arial" w:hAnsi="Arial"/>
                <w:sz w:val="18"/>
                <w:szCs w:val="18"/>
                <w:color w:val="auto"/>
              </w:rPr>
              <w:t>“Premises”</w:t>
            </w:r>
          </w:p>
        </w:tc>
        <w:tc>
          <w:tcPr>
            <w:tcW w:w="58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Retained Premises, New Premises, Modified Additional Premises, Swap</w:t>
            </w:r>
          </w:p>
        </w:tc>
        <w:tc>
          <w:tcPr>
            <w:tcW w:w="20" w:type="dxa"/>
            <w:vAlign w:val="bottom"/>
          </w:tcPr>
          <w:p>
            <w:pPr>
              <w:spacing w:after="0"/>
              <w:rPr>
                <w:sz w:val="14"/>
                <w:szCs w:val="14"/>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840" w:type="dxa"/>
            <w:vAlign w:val="bottom"/>
            <w:tcBorders>
              <w:right w:val="single" w:sz="8" w:color="auto"/>
            </w:tcBorders>
          </w:tcPr>
          <w:p>
            <w:pPr>
              <w:spacing w:after="0"/>
              <w:rPr>
                <w:sz w:val="19"/>
                <w:szCs w:val="19"/>
                <w:color w:val="auto"/>
              </w:rPr>
            </w:pPr>
          </w:p>
        </w:tc>
        <w:tc>
          <w:tcPr>
            <w:tcW w:w="58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Premises, 755 Premises, Swing Premises, and Phase 1 (of the 765 Expansion</w:t>
            </w:r>
          </w:p>
        </w:tc>
        <w:tc>
          <w:tcPr>
            <w:tcW w:w="20" w:type="dxa"/>
            <w:vAlign w:val="bottom"/>
          </w:tcPr>
          <w:p>
            <w:pPr>
              <w:spacing w:after="0"/>
              <w:rPr>
                <w:sz w:val="19"/>
                <w:szCs w:val="19"/>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Premises)</w:t>
            </w:r>
          </w:p>
        </w:tc>
        <w:tc>
          <w:tcPr>
            <w:tcW w:w="20" w:type="dxa"/>
            <w:vAlign w:val="bottom"/>
          </w:tcPr>
          <w:p>
            <w:pPr>
              <w:spacing w:after="0"/>
              <w:rPr>
                <w:sz w:val="19"/>
                <w:szCs w:val="19"/>
                <w:color w:val="auto"/>
              </w:rPr>
            </w:pPr>
          </w:p>
        </w:tc>
      </w:tr>
      <w:tr>
        <w:trPr>
          <w:trHeight w:val="170"/>
        </w:trPr>
        <w:tc>
          <w:tcPr>
            <w:tcW w:w="5620" w:type="dxa"/>
            <w:vAlign w:val="bottom"/>
            <w:tcBorders>
              <w:left w:val="single" w:sz="8" w:color="auto"/>
              <w:right w:val="single" w:sz="8" w:color="auto"/>
            </w:tcBorders>
            <w:gridSpan w:val="4"/>
          </w:tcPr>
          <w:p>
            <w:pPr>
              <w:ind w:left="20"/>
              <w:spacing w:after="0" w:line="170" w:lineRule="exact"/>
              <w:rPr>
                <w:sz w:val="20"/>
                <w:szCs w:val="20"/>
                <w:color w:val="auto"/>
              </w:rPr>
            </w:pPr>
            <w:r>
              <w:rPr>
                <w:rFonts w:ascii="Arial" w:cs="Arial" w:eastAsia="Arial" w:hAnsi="Arial"/>
                <w:sz w:val="18"/>
                <w:szCs w:val="18"/>
                <w:color w:val="auto"/>
              </w:rPr>
              <w:t>“Buildings”</w:t>
            </w:r>
          </w:p>
        </w:tc>
        <w:tc>
          <w:tcPr>
            <w:tcW w:w="58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735 Building, 745 Building, 755 Building, 765 Building and 777 Building</w:t>
            </w:r>
          </w:p>
        </w:tc>
        <w:tc>
          <w:tcPr>
            <w:tcW w:w="20" w:type="dxa"/>
            <w:vAlign w:val="bottom"/>
          </w:tcPr>
          <w:p>
            <w:pPr>
              <w:spacing w:after="0"/>
              <w:rPr>
                <w:sz w:val="14"/>
                <w:szCs w:val="14"/>
                <w:color w:val="auto"/>
              </w:rPr>
            </w:pP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58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62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Premises</w:t>
            </w: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539,822 square feet</w:t>
            </w:r>
          </w:p>
        </w:tc>
        <w:tc>
          <w:tcPr>
            <w:tcW w:w="20" w:type="dxa"/>
            <w:vAlign w:val="bottom"/>
          </w:tcPr>
          <w:p>
            <w:pPr>
              <w:spacing w:after="0"/>
              <w:rPr>
                <w:sz w:val="18"/>
                <w:szCs w:val="18"/>
                <w:color w:val="auto"/>
              </w:rPr>
            </w:pPr>
          </w:p>
        </w:tc>
      </w:tr>
      <w:tr>
        <w:trPr>
          <w:trHeight w:val="201"/>
        </w:trPr>
        <w:tc>
          <w:tcPr>
            <w:tcW w:w="5620" w:type="dxa"/>
            <w:vAlign w:val="bottom"/>
            <w:tcBorders>
              <w:left w:val="single" w:sz="8" w:color="auto"/>
              <w:right w:val="single" w:sz="8" w:color="auto"/>
            </w:tcBorders>
            <w:gridSpan w:val="4"/>
          </w:tcPr>
          <w:p>
            <w:pPr>
              <w:ind w:left="20"/>
              <w:spacing w:after="0" w:line="201" w:lineRule="exact"/>
              <w:rPr>
                <w:sz w:val="20"/>
                <w:szCs w:val="20"/>
                <w:color w:val="auto"/>
              </w:rPr>
            </w:pPr>
            <w:r>
              <w:rPr>
                <w:rFonts w:ascii="Arial" w:cs="Arial" w:eastAsia="Arial" w:hAnsi="Arial"/>
                <w:sz w:val="18"/>
                <w:szCs w:val="18"/>
                <w:color w:val="auto"/>
              </w:rPr>
              <w:t>Rentable Area of Buildings</w:t>
            </w:r>
          </w:p>
        </w:tc>
        <w:tc>
          <w:tcPr>
            <w:tcW w:w="58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117,935 for 735 Building</w:t>
            </w:r>
          </w:p>
        </w:tc>
        <w:tc>
          <w:tcPr>
            <w:tcW w:w="20" w:type="dxa"/>
            <w:vAlign w:val="bottom"/>
          </w:tcPr>
          <w:p>
            <w:pPr>
              <w:spacing w:after="0"/>
              <w:rPr>
                <w:sz w:val="17"/>
                <w:szCs w:val="17"/>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111,708 for 745 Building</w:t>
            </w:r>
          </w:p>
        </w:tc>
        <w:tc>
          <w:tcPr>
            <w:tcW w:w="20" w:type="dxa"/>
            <w:vAlign w:val="bottom"/>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130,877 for 755 Building</w:t>
            </w:r>
          </w:p>
        </w:tc>
        <w:tc>
          <w:tcPr>
            <w:tcW w:w="20" w:type="dxa"/>
            <w:vAlign w:val="bottom"/>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177,203 for 765 Building</w:t>
            </w:r>
          </w:p>
        </w:tc>
        <w:tc>
          <w:tcPr>
            <w:tcW w:w="20" w:type="dxa"/>
            <w:vAlign w:val="bottom"/>
          </w:tcPr>
          <w:p>
            <w:pPr>
              <w:spacing w:after="0"/>
              <w:rPr>
                <w:sz w:val="18"/>
                <w:szCs w:val="18"/>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311,104 for 777 Building</w:t>
            </w:r>
          </w:p>
        </w:tc>
        <w:tc>
          <w:tcPr>
            <w:tcW w:w="20" w:type="dxa"/>
            <w:vAlign w:val="bottom"/>
          </w:tcPr>
          <w:p>
            <w:pPr>
              <w:spacing w:after="0"/>
              <w:rPr>
                <w:sz w:val="19"/>
                <w:szCs w:val="19"/>
                <w:color w:val="auto"/>
              </w:rPr>
            </w:pPr>
          </w:p>
        </w:tc>
      </w:tr>
      <w:tr>
        <w:trPr>
          <w:trHeight w:val="211"/>
        </w:trPr>
        <w:tc>
          <w:tcPr>
            <w:tcW w:w="562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Existing Project</w:t>
            </w: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751,648</w:t>
            </w:r>
          </w:p>
        </w:tc>
        <w:tc>
          <w:tcPr>
            <w:tcW w:w="20" w:type="dxa"/>
            <w:vAlign w:val="bottom"/>
          </w:tcPr>
          <w:p>
            <w:pPr>
              <w:spacing w:after="0"/>
              <w:rPr>
                <w:sz w:val="18"/>
                <w:szCs w:val="18"/>
                <w:color w:val="auto"/>
              </w:rPr>
            </w:pPr>
          </w:p>
        </w:tc>
      </w:tr>
      <w:tr>
        <w:trPr>
          <w:trHeight w:val="210"/>
        </w:trPr>
        <w:tc>
          <w:tcPr>
            <w:tcW w:w="562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New Project</w:t>
            </w:r>
          </w:p>
        </w:tc>
        <w:tc>
          <w:tcPr>
            <w:tcW w:w="5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360,520</w:t>
            </w:r>
          </w:p>
        </w:tc>
        <w:tc>
          <w:tcPr>
            <w:tcW w:w="20" w:type="dxa"/>
            <w:vAlign w:val="bottom"/>
          </w:tcPr>
          <w:p>
            <w:pPr>
              <w:spacing w:after="0"/>
              <w:rPr>
                <w:sz w:val="18"/>
                <w:szCs w:val="18"/>
                <w:color w:val="auto"/>
              </w:rPr>
            </w:pPr>
          </w:p>
        </w:tc>
      </w:tr>
      <w:tr>
        <w:trPr>
          <w:trHeight w:val="451"/>
        </w:trPr>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800" w:type="dxa"/>
            <w:vAlign w:val="bottom"/>
          </w:tcPr>
          <w:p>
            <w:pPr>
              <w:ind w:lef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363"/>
        </w:trPr>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01" w:right="21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30"/>
        </w:trPr>
        <w:tc>
          <w:tcPr>
            <w:tcW w:w="56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Definition or Provision</w:t>
            </w:r>
          </w:p>
        </w:tc>
        <w:tc>
          <w:tcPr>
            <w:tcW w:w="5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Means the Following:</w:t>
            </w:r>
          </w:p>
        </w:tc>
      </w:tr>
      <w:tr>
        <w:trPr>
          <w:trHeight w:val="210"/>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Rentable Area of Entire Project</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1,112,168</w:t>
            </w: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Tenant’s Pro Rata Share of Buildings</w:t>
            </w:r>
          </w:p>
        </w:tc>
        <w:tc>
          <w:tcPr>
            <w:tcW w:w="57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100% of 735 Building</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 of 745 Building</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 of 755 Building</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60.23% of 765 Building</w:t>
            </w:r>
          </w:p>
        </w:tc>
      </w:tr>
      <w:tr>
        <w:trPr>
          <w:trHeight w:val="223"/>
        </w:trPr>
        <w:tc>
          <w:tcPr>
            <w:tcW w:w="5660" w:type="dxa"/>
            <w:vAlign w:val="bottom"/>
            <w:tcBorders>
              <w:left w:val="single" w:sz="8" w:color="auto"/>
              <w:bottom w:val="single" w:sz="8" w:color="auto"/>
              <w:right w:val="single" w:sz="8" w:color="auto"/>
            </w:tcBorders>
          </w:tcPr>
          <w:p>
            <w:pPr>
              <w:spacing w:after="0"/>
              <w:rPr>
                <w:sz w:val="19"/>
                <w:szCs w:val="19"/>
                <w:color w:val="auto"/>
              </w:rPr>
            </w:pP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23.28% of 777 Building</w:t>
            </w:r>
          </w:p>
        </w:tc>
      </w:tr>
      <w:tr>
        <w:trPr>
          <w:trHeight w:val="202"/>
        </w:trPr>
        <w:tc>
          <w:tcPr>
            <w:tcW w:w="566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89"/>
              </w:rPr>
              <w:t>Tenant’s Pro Rata Share of the Existing Project (Based on Retained Premises,</w:t>
            </w:r>
          </w:p>
        </w:tc>
        <w:tc>
          <w:tcPr>
            <w:tcW w:w="57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23.83%</w:t>
            </w:r>
          </w:p>
        </w:tc>
      </w:tr>
      <w:tr>
        <w:trPr>
          <w:trHeight w:val="216"/>
        </w:trPr>
        <w:tc>
          <w:tcPr>
            <w:tcW w:w="5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Modified Additional Premises, Swap Premises, Swing Premises and Phase 1</w:t>
            </w:r>
          </w:p>
        </w:tc>
        <w:tc>
          <w:tcPr>
            <w:tcW w:w="5760" w:type="dxa"/>
            <w:vAlign w:val="bottom"/>
            <w:tcBorders>
              <w:right w:val="single" w:sz="8" w:color="auto"/>
            </w:tcBorders>
          </w:tcPr>
          <w:p>
            <w:pPr>
              <w:spacing w:after="0"/>
              <w:rPr>
                <w:sz w:val="18"/>
                <w:szCs w:val="18"/>
                <w:color w:val="auto"/>
              </w:rPr>
            </w:pPr>
          </w:p>
        </w:tc>
      </w:tr>
      <w:tr>
        <w:trPr>
          <w:trHeight w:val="223"/>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Premises only)</w:t>
            </w:r>
          </w:p>
        </w:tc>
        <w:tc>
          <w:tcPr>
            <w:tcW w:w="5760" w:type="dxa"/>
            <w:vAlign w:val="bottom"/>
            <w:tcBorders>
              <w:bottom w:val="single" w:sz="8" w:color="auto"/>
              <w:right w:val="single" w:sz="8" w:color="auto"/>
            </w:tcBorders>
          </w:tcPr>
          <w:p>
            <w:pPr>
              <w:spacing w:after="0"/>
              <w:rPr>
                <w:sz w:val="19"/>
                <w:szCs w:val="19"/>
                <w:color w:val="auto"/>
              </w:rPr>
            </w:pPr>
          </w:p>
        </w:tc>
      </w:tr>
      <w:tr>
        <w:trPr>
          <w:trHeight w:val="202"/>
        </w:trPr>
        <w:tc>
          <w:tcPr>
            <w:tcW w:w="566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89"/>
              </w:rPr>
              <w:t>Tenant’s Pro Rata Share of the New Project (Based on the New Premises and</w:t>
            </w:r>
          </w:p>
        </w:tc>
        <w:tc>
          <w:tcPr>
            <w:tcW w:w="57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100%</w:t>
            </w:r>
          </w:p>
        </w:tc>
      </w:tr>
      <w:tr>
        <w:trPr>
          <w:trHeight w:val="223"/>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755 Premises)</w:t>
            </w:r>
          </w:p>
        </w:tc>
        <w:tc>
          <w:tcPr>
            <w:tcW w:w="5760" w:type="dxa"/>
            <w:vAlign w:val="bottom"/>
            <w:tcBorders>
              <w:bottom w:val="single" w:sz="8" w:color="auto"/>
              <w:right w:val="single" w:sz="8" w:color="auto"/>
            </w:tcBorders>
          </w:tcPr>
          <w:p>
            <w:pPr>
              <w:spacing w:after="0"/>
              <w:rPr>
                <w:sz w:val="19"/>
                <w:szCs w:val="19"/>
                <w:color w:val="auto"/>
              </w:rPr>
            </w:pPr>
          </w:p>
        </w:tc>
      </w:tr>
      <w:tr>
        <w:trPr>
          <w:trHeight w:val="211"/>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Tenant’s Pro Rata Share of Entire Project</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48.52%</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Effective as of the delivery of Phase 2,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Lease is hereby deleted in its entirety and replaced with the following:</w:t>
      </w:r>
    </w:p>
    <w:p>
      <w:pPr>
        <w:spacing w:after="0" w:line="252" w:lineRule="exact"/>
        <w:rPr>
          <w:sz w:val="20"/>
          <w:szCs w:val="20"/>
          <w:color w:val="auto"/>
        </w:rPr>
      </w:pPr>
    </w:p>
    <w:p>
      <w:pPr>
        <w:ind w:left="540" w:right="560"/>
        <w:spacing w:after="0" w:line="332" w:lineRule="auto"/>
        <w:rPr>
          <w:sz w:val="20"/>
          <w:szCs w:val="20"/>
          <w:color w:val="auto"/>
        </w:rPr>
      </w:pPr>
      <w:r>
        <w:rPr>
          <w:rFonts w:ascii="Arial" w:cs="Arial" w:eastAsia="Arial" w:hAnsi="Arial"/>
          <w:sz w:val="16"/>
          <w:szCs w:val="16"/>
          <w:color w:val="auto"/>
        </w:rPr>
        <w:t xml:space="preserve">2.2 The Premises, the Buildings, and certain related terms are defined as follows. In these definitions, each Rentable Area is expressed in rentable square footage. Rentable Area and Tenant’s Pro Rata Shares are all subject to adjustment under this Lease, including under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60" w:type="dxa"/>
            <w:vAlign w:val="bottom"/>
            <w:tcBorders>
              <w:top w:val="single" w:sz="8" w:color="auto"/>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Definition or Provision</w:t>
            </w:r>
          </w:p>
        </w:tc>
        <w:tc>
          <w:tcPr>
            <w:tcW w:w="5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Means the Following:</w:t>
            </w:r>
          </w:p>
        </w:tc>
        <w:tc>
          <w:tcPr>
            <w:tcW w:w="20" w:type="dxa"/>
            <w:vAlign w:val="bottom"/>
          </w:tcPr>
          <w:p>
            <w:pPr>
              <w:spacing w:after="0"/>
              <w:rPr>
                <w:sz w:val="19"/>
                <w:szCs w:val="19"/>
                <w:color w:val="auto"/>
              </w:rPr>
            </w:pPr>
          </w:p>
        </w:tc>
      </w:tr>
      <w:tr>
        <w:trPr>
          <w:trHeight w:val="169"/>
        </w:trPr>
        <w:tc>
          <w:tcPr>
            <w:tcW w:w="5660" w:type="dxa"/>
            <w:vAlign w:val="bottom"/>
            <w:tcBorders>
              <w:left w:val="single" w:sz="8" w:color="auto"/>
              <w:right w:val="single" w:sz="8" w:color="auto"/>
            </w:tcBorders>
            <w:gridSpan w:val="4"/>
          </w:tcPr>
          <w:p>
            <w:pPr>
              <w:ind w:left="20"/>
              <w:spacing w:after="0" w:line="170" w:lineRule="exact"/>
              <w:rPr>
                <w:sz w:val="20"/>
                <w:szCs w:val="20"/>
                <w:color w:val="auto"/>
              </w:rPr>
            </w:pPr>
            <w:r>
              <w:rPr>
                <w:rFonts w:ascii="Arial" w:cs="Arial" w:eastAsia="Arial" w:hAnsi="Arial"/>
                <w:sz w:val="18"/>
                <w:szCs w:val="18"/>
                <w:color w:val="auto"/>
              </w:rPr>
              <w:t>“Premises”</w:t>
            </w:r>
          </w:p>
        </w:tc>
        <w:tc>
          <w:tcPr>
            <w:tcW w:w="5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9"/>
              </w:rPr>
              <w:t>Retained Premises, New Premises, Modified Additional Premises, Swap</w:t>
            </w:r>
          </w:p>
        </w:tc>
        <w:tc>
          <w:tcPr>
            <w:tcW w:w="20" w:type="dxa"/>
            <w:vAlign w:val="bottom"/>
          </w:tcPr>
          <w:p>
            <w:pPr>
              <w:spacing w:after="0"/>
              <w:rPr>
                <w:sz w:val="14"/>
                <w:szCs w:val="14"/>
                <w:color w:val="auto"/>
              </w:rPr>
            </w:pPr>
          </w:p>
        </w:tc>
      </w:tr>
      <w:tr>
        <w:trPr>
          <w:trHeight w:val="236"/>
        </w:trPr>
        <w:tc>
          <w:tcPr>
            <w:tcW w:w="100" w:type="dxa"/>
            <w:vAlign w:val="bottom"/>
            <w:tcBorders>
              <w:left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Premises, 755 Premises, Swing Premises, and 765 Expansion Premises</w:t>
            </w:r>
          </w:p>
        </w:tc>
        <w:tc>
          <w:tcPr>
            <w:tcW w:w="20" w:type="dxa"/>
            <w:vAlign w:val="bottom"/>
          </w:tcPr>
          <w:p>
            <w:pPr>
              <w:spacing w:after="0"/>
              <w:rPr>
                <w:sz w:val="20"/>
                <w:szCs w:val="20"/>
                <w:color w:val="auto"/>
              </w:rPr>
            </w:pPr>
          </w:p>
        </w:tc>
      </w:tr>
      <w:tr>
        <w:trPr>
          <w:trHeight w:val="170"/>
        </w:trPr>
        <w:tc>
          <w:tcPr>
            <w:tcW w:w="5660" w:type="dxa"/>
            <w:vAlign w:val="bottom"/>
            <w:tcBorders>
              <w:left w:val="single" w:sz="8" w:color="auto"/>
              <w:right w:val="single" w:sz="8" w:color="auto"/>
            </w:tcBorders>
            <w:gridSpan w:val="4"/>
          </w:tcPr>
          <w:p>
            <w:pPr>
              <w:ind w:left="20"/>
              <w:spacing w:after="0" w:line="170" w:lineRule="exact"/>
              <w:rPr>
                <w:sz w:val="20"/>
                <w:szCs w:val="20"/>
                <w:color w:val="auto"/>
              </w:rPr>
            </w:pPr>
            <w:r>
              <w:rPr>
                <w:rFonts w:ascii="Arial" w:cs="Arial" w:eastAsia="Arial" w:hAnsi="Arial"/>
                <w:sz w:val="18"/>
                <w:szCs w:val="18"/>
                <w:color w:val="auto"/>
              </w:rPr>
              <w:t>“Buildings”</w:t>
            </w:r>
          </w:p>
        </w:tc>
        <w:tc>
          <w:tcPr>
            <w:tcW w:w="5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735 Building, 745 Building, 755 Building, 765 Building and 777 Building</w:t>
            </w:r>
          </w:p>
        </w:tc>
        <w:tc>
          <w:tcPr>
            <w:tcW w:w="20" w:type="dxa"/>
            <w:vAlign w:val="bottom"/>
          </w:tcPr>
          <w:p>
            <w:pPr>
              <w:spacing w:after="0"/>
              <w:rPr>
                <w:sz w:val="14"/>
                <w:szCs w:val="14"/>
                <w:color w:val="auto"/>
              </w:rPr>
            </w:pP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c>
          <w:tcPr>
            <w:tcW w:w="57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66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Premises</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543,969 square feet</w:t>
            </w:r>
          </w:p>
        </w:tc>
        <w:tc>
          <w:tcPr>
            <w:tcW w:w="20" w:type="dxa"/>
            <w:vAlign w:val="bottom"/>
          </w:tcPr>
          <w:p>
            <w:pPr>
              <w:spacing w:after="0"/>
              <w:rPr>
                <w:sz w:val="18"/>
                <w:szCs w:val="18"/>
                <w:color w:val="auto"/>
              </w:rPr>
            </w:pPr>
          </w:p>
        </w:tc>
      </w:tr>
      <w:tr>
        <w:trPr>
          <w:trHeight w:val="201"/>
        </w:trPr>
        <w:tc>
          <w:tcPr>
            <w:tcW w:w="5660" w:type="dxa"/>
            <w:vAlign w:val="bottom"/>
            <w:tcBorders>
              <w:left w:val="single" w:sz="8" w:color="auto"/>
              <w:right w:val="single" w:sz="8" w:color="auto"/>
            </w:tcBorders>
            <w:gridSpan w:val="4"/>
          </w:tcPr>
          <w:p>
            <w:pPr>
              <w:ind w:left="20"/>
              <w:spacing w:after="0" w:line="201" w:lineRule="exact"/>
              <w:rPr>
                <w:sz w:val="20"/>
                <w:szCs w:val="20"/>
                <w:color w:val="auto"/>
              </w:rPr>
            </w:pPr>
            <w:r>
              <w:rPr>
                <w:rFonts w:ascii="Arial" w:cs="Arial" w:eastAsia="Arial" w:hAnsi="Arial"/>
                <w:sz w:val="18"/>
                <w:szCs w:val="18"/>
                <w:color w:val="auto"/>
              </w:rPr>
              <w:t>Rentable Area of Buildings</w:t>
            </w:r>
          </w:p>
        </w:tc>
        <w:tc>
          <w:tcPr>
            <w:tcW w:w="57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117,935 for 735 Building</w:t>
            </w:r>
          </w:p>
        </w:tc>
        <w:tc>
          <w:tcPr>
            <w:tcW w:w="20" w:type="dxa"/>
            <w:vAlign w:val="bottom"/>
          </w:tcPr>
          <w:p>
            <w:pPr>
              <w:spacing w:after="0"/>
              <w:rPr>
                <w:sz w:val="17"/>
                <w:szCs w:val="17"/>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5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111,708 for 745 Building</w:t>
            </w:r>
          </w:p>
        </w:tc>
        <w:tc>
          <w:tcPr>
            <w:tcW w:w="20" w:type="dxa"/>
            <w:vAlign w:val="bottom"/>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5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130,877 for 755 Building</w:t>
            </w:r>
          </w:p>
        </w:tc>
        <w:tc>
          <w:tcPr>
            <w:tcW w:w="20" w:type="dxa"/>
            <w:vAlign w:val="bottom"/>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5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177,203 for 765 Building</w:t>
            </w:r>
          </w:p>
        </w:tc>
        <w:tc>
          <w:tcPr>
            <w:tcW w:w="20" w:type="dxa"/>
            <w:vAlign w:val="bottom"/>
          </w:tcPr>
          <w:p>
            <w:pPr>
              <w:spacing w:after="0"/>
              <w:rPr>
                <w:sz w:val="18"/>
                <w:szCs w:val="18"/>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311,104 for 777 Building</w:t>
            </w:r>
          </w:p>
        </w:tc>
        <w:tc>
          <w:tcPr>
            <w:tcW w:w="20" w:type="dxa"/>
            <w:vAlign w:val="bottom"/>
          </w:tcPr>
          <w:p>
            <w:pPr>
              <w:spacing w:after="0"/>
              <w:rPr>
                <w:sz w:val="19"/>
                <w:szCs w:val="19"/>
                <w:color w:val="auto"/>
              </w:rPr>
            </w:pPr>
          </w:p>
        </w:tc>
      </w:tr>
      <w:tr>
        <w:trPr>
          <w:trHeight w:val="211"/>
        </w:trPr>
        <w:tc>
          <w:tcPr>
            <w:tcW w:w="566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Existing Project</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751,648</w:t>
            </w:r>
          </w:p>
        </w:tc>
        <w:tc>
          <w:tcPr>
            <w:tcW w:w="20" w:type="dxa"/>
            <w:vAlign w:val="bottom"/>
          </w:tcPr>
          <w:p>
            <w:pPr>
              <w:spacing w:after="0"/>
              <w:rPr>
                <w:sz w:val="18"/>
                <w:szCs w:val="18"/>
                <w:color w:val="auto"/>
              </w:rPr>
            </w:pPr>
          </w:p>
        </w:tc>
      </w:tr>
      <w:tr>
        <w:trPr>
          <w:trHeight w:val="210"/>
        </w:trPr>
        <w:tc>
          <w:tcPr>
            <w:tcW w:w="566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New Project</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360,520</w:t>
            </w:r>
          </w:p>
        </w:tc>
        <w:tc>
          <w:tcPr>
            <w:tcW w:w="20" w:type="dxa"/>
            <w:vAlign w:val="bottom"/>
          </w:tcPr>
          <w:p>
            <w:pPr>
              <w:spacing w:after="0"/>
              <w:rPr>
                <w:sz w:val="18"/>
                <w:szCs w:val="18"/>
                <w:color w:val="auto"/>
              </w:rPr>
            </w:pPr>
          </w:p>
        </w:tc>
      </w:tr>
      <w:tr>
        <w:trPr>
          <w:trHeight w:val="451"/>
        </w:trPr>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363"/>
        </w:trPr>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3" w:right="21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30"/>
        </w:trPr>
        <w:tc>
          <w:tcPr>
            <w:tcW w:w="56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Definition or Provision</w:t>
            </w:r>
          </w:p>
        </w:tc>
        <w:tc>
          <w:tcPr>
            <w:tcW w:w="5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Means the Following:</w:t>
            </w:r>
          </w:p>
        </w:tc>
      </w:tr>
      <w:tr>
        <w:trPr>
          <w:trHeight w:val="210"/>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Rentable Area of Entire Project</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1,112,168</w:t>
            </w: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Tenant’s Pro Rata Share of Buildings</w:t>
            </w:r>
          </w:p>
        </w:tc>
        <w:tc>
          <w:tcPr>
            <w:tcW w:w="57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100% of 735 Building</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 of 745 Building</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 of 755 Building</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62.48% of 765 Building</w:t>
            </w:r>
          </w:p>
        </w:tc>
      </w:tr>
      <w:tr>
        <w:trPr>
          <w:trHeight w:val="223"/>
        </w:trPr>
        <w:tc>
          <w:tcPr>
            <w:tcW w:w="5660" w:type="dxa"/>
            <w:vAlign w:val="bottom"/>
            <w:tcBorders>
              <w:left w:val="single" w:sz="8" w:color="auto"/>
              <w:bottom w:val="single" w:sz="8" w:color="auto"/>
              <w:right w:val="single" w:sz="8" w:color="auto"/>
            </w:tcBorders>
          </w:tcPr>
          <w:p>
            <w:pPr>
              <w:spacing w:after="0"/>
              <w:rPr>
                <w:sz w:val="19"/>
                <w:szCs w:val="19"/>
                <w:color w:val="auto"/>
              </w:rPr>
            </w:pP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23.28% of 777 Building</w:t>
            </w:r>
          </w:p>
        </w:tc>
      </w:tr>
      <w:tr>
        <w:trPr>
          <w:trHeight w:val="202"/>
        </w:trPr>
        <w:tc>
          <w:tcPr>
            <w:tcW w:w="566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89"/>
              </w:rPr>
              <w:t>Tenant’s Pro Rata Share of the Existing Project (Based on Retained Premises,</w:t>
            </w:r>
          </w:p>
        </w:tc>
        <w:tc>
          <w:tcPr>
            <w:tcW w:w="57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24.36%</w:t>
            </w:r>
          </w:p>
        </w:tc>
      </w:tr>
      <w:tr>
        <w:trPr>
          <w:trHeight w:val="216"/>
        </w:trPr>
        <w:tc>
          <w:tcPr>
            <w:tcW w:w="5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Modified Additional Premises, Swap Premises, Swing Premises and 765</w:t>
            </w:r>
          </w:p>
        </w:tc>
        <w:tc>
          <w:tcPr>
            <w:tcW w:w="5760" w:type="dxa"/>
            <w:vAlign w:val="bottom"/>
            <w:tcBorders>
              <w:right w:val="single" w:sz="8" w:color="auto"/>
            </w:tcBorders>
          </w:tcPr>
          <w:p>
            <w:pPr>
              <w:spacing w:after="0"/>
              <w:rPr>
                <w:sz w:val="18"/>
                <w:szCs w:val="18"/>
                <w:color w:val="auto"/>
              </w:rPr>
            </w:pPr>
          </w:p>
        </w:tc>
      </w:tr>
      <w:tr>
        <w:trPr>
          <w:trHeight w:val="223"/>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Expansion Premises only)</w:t>
            </w:r>
          </w:p>
        </w:tc>
        <w:tc>
          <w:tcPr>
            <w:tcW w:w="5760" w:type="dxa"/>
            <w:vAlign w:val="bottom"/>
            <w:tcBorders>
              <w:bottom w:val="single" w:sz="8" w:color="auto"/>
              <w:right w:val="single" w:sz="8" w:color="auto"/>
            </w:tcBorders>
          </w:tcPr>
          <w:p>
            <w:pPr>
              <w:spacing w:after="0"/>
              <w:rPr>
                <w:sz w:val="19"/>
                <w:szCs w:val="19"/>
                <w:color w:val="auto"/>
              </w:rPr>
            </w:pPr>
          </w:p>
        </w:tc>
      </w:tr>
      <w:tr>
        <w:trPr>
          <w:trHeight w:val="211"/>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Tenant’s Pro Rata Share of the New Project (Based on the New Premises)</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r>
      <w:tr>
        <w:trPr>
          <w:trHeight w:val="210"/>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Tenant’s Pro Rata Share of Entire Project</w:t>
            </w: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48.88%</w:t>
            </w:r>
          </w:p>
        </w:tc>
      </w:tr>
    </w:tbl>
    <w:p>
      <w:pPr>
        <w:spacing w:after="0" w:line="262" w:lineRule="exact"/>
        <w:rPr>
          <w:sz w:val="20"/>
          <w:szCs w:val="20"/>
          <w:color w:val="auto"/>
        </w:rPr>
      </w:pPr>
    </w:p>
    <w:p>
      <w:pPr>
        <w:ind w:left="460" w:hanging="18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621"/>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Basic Annual Rent</w:t>
      </w:r>
      <w:r>
        <w:rPr>
          <w:rFonts w:ascii="Arial" w:cs="Arial" w:eastAsia="Arial" w:hAnsi="Arial"/>
          <w:sz w:val="16"/>
          <w:szCs w:val="16"/>
          <w:color w:val="auto"/>
        </w:rPr>
        <w:t xml:space="preserve">. Commencing as of the dates set forth below and continuing through the Term, and subject to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Tenant shall pay Landlord Basic Annual Rent for the 765 Expansion Premises in accordance with the following schedule (in addition to Rent otherwise due under the Lease) and in accordance with the terms for payment of Basic Annual Rent set forth in the Lease. Basic Annual Rent for the 765 Expansion Premises shall increase annually every July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by two and one-half percent (2.5%) of the then-current applicable Basic Annual Rent, commencing as of July 1, 2011.</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Portion of</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Applicable Basic Annual</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Rentable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Initial Basic</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Total Annual Basic</w:t>
            </w:r>
          </w:p>
        </w:tc>
        <w:tc>
          <w:tcPr>
            <w:tcW w:w="18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Total Monthly</w:t>
            </w:r>
          </w:p>
        </w:tc>
      </w:tr>
      <w:tr>
        <w:trPr>
          <w:trHeight w:val="243"/>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Premises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Rent Commencement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s.f. of 765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Annual Rent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Annual Rent</w:t>
            </w:r>
          </w:p>
        </w:tc>
        <w:tc>
          <w:tcPr>
            <w:tcW w:w="1820" w:type="dxa"/>
            <w:vAlign w:val="bottom"/>
            <w:tcBorders>
              <w:right w:val="single" w:sz="8" w:color="auto"/>
            </w:tcBorders>
          </w:tcPr>
          <w:p>
            <w:pPr>
              <w:spacing w:after="0"/>
              <w:rPr>
                <w:sz w:val="21"/>
                <w:szCs w:val="21"/>
                <w:color w:val="auto"/>
              </w:rPr>
            </w:pPr>
          </w:p>
        </w:tc>
      </w:tr>
      <w:tr>
        <w:trPr>
          <w:trHeight w:val="243"/>
        </w:trPr>
        <w:tc>
          <w:tcPr>
            <w:tcW w:w="186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Expansion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Per Rentable</w:t>
            </w:r>
          </w:p>
        </w:tc>
        <w:tc>
          <w:tcPr>
            <w:tcW w:w="22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43"/>
        </w:trPr>
        <w:tc>
          <w:tcPr>
            <w:tcW w:w="186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Premises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s.f.</w:t>
            </w:r>
          </w:p>
        </w:tc>
        <w:tc>
          <w:tcPr>
            <w:tcW w:w="22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52"/>
        </w:trPr>
        <w:tc>
          <w:tcPr>
            <w:tcW w:w="18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Annually</w:t>
            </w:r>
          </w:p>
        </w:tc>
        <w:tc>
          <w:tcPr>
            <w:tcW w:w="226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r>
      <w:tr>
        <w:trPr>
          <w:trHeight w:val="228"/>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Phase 1</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Upon delivery of</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2,691</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$27.00</w:t>
            </w:r>
          </w:p>
        </w:tc>
        <w:tc>
          <w:tcPr>
            <w:tcW w:w="2260" w:type="dxa"/>
            <w:vAlign w:val="bottom"/>
            <w:tcBorders>
              <w:right w:val="single" w:sz="8" w:color="auto"/>
            </w:tcBorders>
          </w:tcPr>
          <w:p>
            <w:pPr>
              <w:jc w:val="right"/>
              <w:ind w:right="772"/>
              <w:spacing w:after="0"/>
              <w:rPr>
                <w:sz w:val="20"/>
                <w:szCs w:val="20"/>
                <w:color w:val="auto"/>
              </w:rPr>
            </w:pPr>
            <w:r>
              <w:rPr>
                <w:rFonts w:ascii="Arial" w:cs="Arial" w:eastAsia="Arial" w:hAnsi="Arial"/>
                <w:sz w:val="18"/>
                <w:szCs w:val="18"/>
                <w:color w:val="auto"/>
              </w:rPr>
              <w:t>$72,657</w:t>
            </w:r>
          </w:p>
        </w:tc>
        <w:tc>
          <w:tcPr>
            <w:tcW w:w="1820" w:type="dxa"/>
            <w:vAlign w:val="bottom"/>
            <w:tcBorders>
              <w:right w:val="single" w:sz="8" w:color="auto"/>
            </w:tcBorders>
          </w:tcPr>
          <w:p>
            <w:pPr>
              <w:jc w:val="right"/>
              <w:ind w:right="472"/>
              <w:spacing w:after="0"/>
              <w:rPr>
                <w:sz w:val="20"/>
                <w:szCs w:val="20"/>
                <w:color w:val="auto"/>
              </w:rPr>
            </w:pPr>
            <w:r>
              <w:rPr>
                <w:rFonts w:ascii="Arial" w:cs="Arial" w:eastAsia="Arial" w:hAnsi="Arial"/>
                <w:sz w:val="18"/>
                <w:szCs w:val="18"/>
                <w:color w:val="auto"/>
              </w:rPr>
              <w:t>$6,054.75</w:t>
            </w:r>
          </w:p>
        </w:tc>
      </w:tr>
      <w:tr>
        <w:trPr>
          <w:trHeight w:val="252"/>
        </w:trPr>
        <w:tc>
          <w:tcPr>
            <w:tcW w:w="18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Phase 1</w:t>
            </w:r>
          </w:p>
        </w:tc>
        <w:tc>
          <w:tcPr>
            <w:tcW w:w="138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(to be prorated)</w:t>
            </w:r>
          </w:p>
        </w:tc>
        <w:tc>
          <w:tcPr>
            <w:tcW w:w="1820" w:type="dxa"/>
            <w:vAlign w:val="bottom"/>
            <w:tcBorders>
              <w:bottom w:val="single" w:sz="8" w:color="auto"/>
              <w:right w:val="single" w:sz="8" w:color="auto"/>
            </w:tcBorders>
          </w:tcPr>
          <w:p>
            <w:pPr>
              <w:spacing w:after="0"/>
              <w:rPr>
                <w:sz w:val="21"/>
                <w:szCs w:val="21"/>
                <w:color w:val="auto"/>
              </w:rPr>
            </w:pPr>
          </w:p>
        </w:tc>
      </w:tr>
      <w:tr>
        <w:trPr>
          <w:trHeight w:val="228"/>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Phase 1 and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Upon delivery of</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6,838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$27.00</w:t>
            </w:r>
          </w:p>
        </w:tc>
        <w:tc>
          <w:tcPr>
            <w:tcW w:w="2260" w:type="dxa"/>
            <w:vAlign w:val="bottom"/>
            <w:tcBorders>
              <w:right w:val="single" w:sz="8" w:color="auto"/>
            </w:tcBorders>
          </w:tcPr>
          <w:p>
            <w:pPr>
              <w:jc w:val="right"/>
              <w:ind w:right="732"/>
              <w:spacing w:after="0"/>
              <w:rPr>
                <w:sz w:val="20"/>
                <w:szCs w:val="20"/>
                <w:color w:val="auto"/>
              </w:rPr>
            </w:pPr>
            <w:r>
              <w:rPr>
                <w:rFonts w:ascii="Arial" w:cs="Arial" w:eastAsia="Arial" w:hAnsi="Arial"/>
                <w:sz w:val="18"/>
                <w:szCs w:val="18"/>
                <w:color w:val="auto"/>
              </w:rPr>
              <w:t>$184,626</w:t>
            </w:r>
          </w:p>
        </w:tc>
        <w:tc>
          <w:tcPr>
            <w:tcW w:w="1820" w:type="dxa"/>
            <w:vAlign w:val="bottom"/>
            <w:tcBorders>
              <w:right w:val="single" w:sz="8" w:color="auto"/>
            </w:tcBorders>
          </w:tcPr>
          <w:p>
            <w:pPr>
              <w:jc w:val="right"/>
              <w:ind w:right="432"/>
              <w:spacing w:after="0"/>
              <w:rPr>
                <w:sz w:val="20"/>
                <w:szCs w:val="20"/>
                <w:color w:val="auto"/>
              </w:rPr>
            </w:pPr>
            <w:r>
              <w:rPr>
                <w:rFonts w:ascii="Arial" w:cs="Arial" w:eastAsia="Arial" w:hAnsi="Arial"/>
                <w:sz w:val="18"/>
                <w:szCs w:val="18"/>
                <w:color w:val="auto"/>
              </w:rPr>
              <w:t>$15,385.50</w:t>
            </w:r>
          </w:p>
        </w:tc>
      </w:tr>
      <w:tr>
        <w:trPr>
          <w:trHeight w:val="252"/>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Phase 2</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Phase 2</w:t>
            </w:r>
          </w:p>
        </w:tc>
        <w:tc>
          <w:tcPr>
            <w:tcW w:w="138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(to be prorated)</w:t>
            </w:r>
          </w:p>
        </w:tc>
        <w:tc>
          <w:tcPr>
            <w:tcW w:w="1820" w:type="dxa"/>
            <w:vAlign w:val="bottom"/>
            <w:tcBorders>
              <w:bottom w:val="single" w:sz="8" w:color="auto"/>
              <w:right w:val="single" w:sz="8" w:color="auto"/>
            </w:tcBorders>
          </w:tcPr>
          <w:p>
            <w:pPr>
              <w:spacing w:after="0"/>
              <w:rPr>
                <w:sz w:val="21"/>
                <w:szCs w:val="21"/>
                <w:color w:val="auto"/>
              </w:rPr>
            </w:pPr>
          </w:p>
        </w:tc>
      </w:tr>
    </w:tbl>
    <w:p>
      <w:pPr>
        <w:spacing w:after="0" w:line="2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279" w:lineRule="exact"/>
        <w:rPr>
          <w:sz w:val="20"/>
          <w:szCs w:val="20"/>
          <w:color w:val="auto"/>
        </w:rPr>
      </w:pPr>
    </w:p>
    <w:p>
      <w:pPr>
        <w:jc w:val="both"/>
        <w:ind w:right="20" w:firstLine="554"/>
        <w:spacing w:after="0" w:line="259" w:lineRule="auto"/>
        <w:rPr>
          <w:sz w:val="20"/>
          <w:szCs w:val="20"/>
          <w:color w:val="auto"/>
        </w:rPr>
      </w:pPr>
      <w:r>
        <w:rPr>
          <w:rFonts w:ascii="Arial" w:cs="Arial" w:eastAsia="Arial" w:hAnsi="Arial"/>
          <w:sz w:val="18"/>
          <w:szCs w:val="18"/>
          <w:color w:val="auto"/>
        </w:rPr>
        <w:t>i. In addition to Basic Annual Rent, commencing as of the delivery date of the applicable Phase, Tenant shall pay to Landlord as Additional Rent, at times specified in the Amended Lease, Tenant’s Pro Rata Share of Operating Expenses with respect to the 765 Expansion Premises, or Phase thereof, delivered to Tenant.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59" w:name="page60"/>
    <w:bookmarkEnd w:id="59"/>
    <w:p>
      <w:pPr>
        <w:jc w:val="both"/>
        <w:ind w:firstLine="548"/>
        <w:spacing w:after="0" w:line="256" w:lineRule="auto"/>
        <w:tabs>
          <w:tab w:leader="none" w:pos="730" w:val="left"/>
        </w:tabs>
        <w:numPr>
          <w:ilvl w:val="4"/>
          <w:numId w:val="8"/>
        </w:numPr>
        <w:rPr>
          <w:rFonts w:ascii="Arial" w:cs="Arial" w:eastAsia="Arial" w:hAnsi="Arial"/>
          <w:sz w:val="18"/>
          <w:szCs w:val="18"/>
          <w:color w:val="auto"/>
        </w:rPr>
      </w:pPr>
      <w:r>
        <w:rPr>
          <w:rFonts w:ascii="Arial" w:cs="Arial" w:eastAsia="Arial" w:hAnsi="Arial"/>
          <w:sz w:val="18"/>
          <w:szCs w:val="18"/>
          <w:color w:val="auto"/>
        </w:rPr>
        <w:t xml:space="preserve">For the avoidance of doubt (i) HVAC for the 765 Expansion Premises, or either Phase thereof, shall be calculated in the same manner as provided in the Amended Lease with respect to the Retained Premises, and (ii) the 765 Expansion Premises, or either Phase thereof, shall be treated as Retained Premises for the purposes of allocation of the CAM Pool Charges in accordance with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of the Amended Lease (in each case, as of the applicable commencement date for each such portion of the Premises).</w:t>
      </w:r>
    </w:p>
    <w:p>
      <w:pPr>
        <w:spacing w:after="0" w:line="251" w:lineRule="exact"/>
        <w:rPr>
          <w:rFonts w:ascii="Arial" w:cs="Arial" w:eastAsia="Arial" w:hAnsi="Arial"/>
          <w:sz w:val="18"/>
          <w:szCs w:val="18"/>
          <w:color w:val="auto"/>
        </w:rPr>
      </w:pPr>
    </w:p>
    <w:p>
      <w:pPr>
        <w:jc w:val="both"/>
        <w:ind w:firstLine="305"/>
        <w:spacing w:after="0" w:line="289" w:lineRule="auto"/>
        <w:tabs>
          <w:tab w:leader="none" w:pos="478"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Tenant Improvements</w:t>
      </w:r>
      <w:r>
        <w:rPr>
          <w:rFonts w:ascii="Arial" w:cs="Arial" w:eastAsia="Arial" w:hAnsi="Arial"/>
          <w:sz w:val="16"/>
          <w:szCs w:val="16"/>
          <w:color w:val="auto"/>
        </w:rPr>
        <w:t>. Landlord shall make available to Tenant a tenant improvement allowance equal to One Hundred Seventy Thousand Nine Hundred Fifty Dollars (($170,950), based on Twenty-Five Dollars ($25) per rentable square foot of the 765 Expansion Premises) (the “</w:t>
      </w:r>
      <w:r>
        <w:rPr>
          <w:rFonts w:ascii="Arial" w:cs="Arial" w:eastAsia="Arial" w:hAnsi="Arial"/>
          <w:sz w:val="16"/>
          <w:szCs w:val="16"/>
          <w:u w:val="single" w:color="auto"/>
          <w:color w:val="auto"/>
        </w:rPr>
        <w:t>765 Expansion Allowance</w:t>
      </w:r>
      <w:r>
        <w:rPr>
          <w:rFonts w:ascii="Arial" w:cs="Arial" w:eastAsia="Arial" w:hAnsi="Arial"/>
          <w:sz w:val="16"/>
          <w:szCs w:val="16"/>
          <w:color w:val="auto"/>
        </w:rPr>
        <w:t xml:space="preserve">”). The 765 Expansion Allowance shall be disbursed in the same manner as the Base TI Allowance under the applicable provisions of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the Lease, including, without limitation, the Disbursement Conditions, in order to finance improvements to the 765 Expansion Premises consistent with the provisions of the Lease and the Permitted Use (such improvements, the “</w:t>
      </w:r>
      <w:r>
        <w:rPr>
          <w:rFonts w:ascii="Arial" w:cs="Arial" w:eastAsia="Arial" w:hAnsi="Arial"/>
          <w:sz w:val="16"/>
          <w:szCs w:val="16"/>
          <w:u w:val="single" w:color="auto"/>
          <w:color w:val="auto"/>
        </w:rPr>
        <w:t>765 Expansion Improvements</w:t>
      </w:r>
      <w:r>
        <w:rPr>
          <w:rFonts w:ascii="Arial" w:cs="Arial" w:eastAsia="Arial" w:hAnsi="Arial"/>
          <w:sz w:val="16"/>
          <w:szCs w:val="16"/>
          <w:color w:val="auto"/>
        </w:rPr>
        <w:t>”). Tenant shall be responsible for performing and completing the 765 Expansion Improvements. Tenant shall pay Landlord a construction oversight fee of two and one-half percent (2.5%) of the total cost of the Tenant Improvements, including, without limitation, the 765 Expansion Allowance to the extent disbursed to Tenant, which construction oversight fee may be paid out of the 765 Expansion Allowance.</w:t>
      </w:r>
    </w:p>
    <w:p>
      <w:pPr>
        <w:spacing w:after="0" w:line="226" w:lineRule="exact"/>
        <w:rPr>
          <w:rFonts w:ascii="Arial" w:cs="Arial" w:eastAsia="Arial" w:hAnsi="Arial"/>
          <w:sz w:val="16"/>
          <w:szCs w:val="16"/>
          <w:color w:val="auto"/>
        </w:rPr>
      </w:pPr>
    </w:p>
    <w:p>
      <w:pPr>
        <w:ind w:firstLine="278"/>
        <w:spacing w:after="0" w:line="268" w:lineRule="auto"/>
        <w:tabs>
          <w:tab w:leader="none" w:pos="45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The parties acknowledge that, in accordance with the Lease, Tenant shall be entitled to its pro rata share of unreserved parking spaces with respect to the 765 Expansion Premises.</w:t>
      </w:r>
    </w:p>
    <w:p>
      <w:pPr>
        <w:spacing w:after="0" w:line="240" w:lineRule="exact"/>
        <w:rPr>
          <w:rFonts w:ascii="Arial" w:cs="Arial" w:eastAsia="Arial" w:hAnsi="Arial"/>
          <w:sz w:val="18"/>
          <w:szCs w:val="18"/>
          <w:color w:val="auto"/>
        </w:rPr>
      </w:pPr>
    </w:p>
    <w:p>
      <w:pPr>
        <w:jc w:val="both"/>
        <w:ind w:firstLine="346"/>
        <w:spacing w:after="0" w:line="291" w:lineRule="auto"/>
        <w:tabs>
          <w:tab w:leader="none" w:pos="532" w:val="left"/>
        </w:tabs>
        <w:numPr>
          <w:ilvl w:val="2"/>
          <w:numId w:val="10"/>
        </w:numPr>
        <w:rPr>
          <w:rFonts w:ascii="Arial" w:cs="Arial" w:eastAsia="Arial" w:hAnsi="Arial"/>
          <w:sz w:val="16"/>
          <w:szCs w:val="16"/>
          <w:color w:val="auto"/>
        </w:rPr>
      </w:pPr>
      <w:r>
        <w:rPr>
          <w:rFonts w:ascii="Arial" w:cs="Arial" w:eastAsia="Arial" w:hAnsi="Arial"/>
          <w:sz w:val="16"/>
          <w:szCs w:val="16"/>
          <w:u w:val="single" w:color="auto"/>
          <w:color w:val="auto"/>
        </w:rPr>
        <w:t>Termination Option</w:t>
      </w:r>
      <w:r>
        <w:rPr>
          <w:rFonts w:ascii="Arial" w:cs="Arial" w:eastAsia="Arial" w:hAnsi="Arial"/>
          <w:sz w:val="16"/>
          <w:szCs w:val="16"/>
          <w:color w:val="auto"/>
        </w:rPr>
        <w:t>. Tenant shall be entitled to terminate the Lease with respect to the entire 765 Expansion Premises effective as of January 1, 2017; provided that (a) Tenant provides Landlord with no less than nine (9) months’ prior written notice and (b) concurrently with such notice, Tenant pays to Landlord an amount equal to One Hundred Twenty-Nine Thousand, Nine Hundred Forty-Two Dollars (($129,942) based on Nineteen Dollars ($19) per rentable square foot of the 765 Expansion Premises). If Tenant timely exercises its option to terminate the Lease with respect to the 765 Expansion Premises, then Tenant shall surrender the applicable Premises to Landlord on the applicable surrender date in the condition required by the Amended Lease for surrendering Premises upon the expiration. Time is of the essence with respect to the exercise of the termination option granted in this Section.</w:t>
      </w:r>
    </w:p>
    <w:p>
      <w:pPr>
        <w:spacing w:after="0" w:line="228" w:lineRule="exact"/>
        <w:rPr>
          <w:rFonts w:ascii="Arial" w:cs="Arial" w:eastAsia="Arial" w:hAnsi="Arial"/>
          <w:sz w:val="16"/>
          <w:szCs w:val="16"/>
          <w:color w:val="auto"/>
        </w:rPr>
      </w:pPr>
    </w:p>
    <w:p>
      <w:pPr>
        <w:ind w:firstLine="386"/>
        <w:spacing w:after="0" w:line="268" w:lineRule="auto"/>
        <w:tabs>
          <w:tab w:leader="none" w:pos="572" w:val="left"/>
        </w:tabs>
        <w:numPr>
          <w:ilvl w:val="3"/>
          <w:numId w:val="10"/>
        </w:numPr>
        <w:rPr>
          <w:rFonts w:ascii="Arial" w:cs="Arial" w:eastAsia="Arial" w:hAnsi="Arial"/>
          <w:sz w:val="18"/>
          <w:szCs w:val="18"/>
          <w:color w:val="auto"/>
        </w:rPr>
      </w:pPr>
      <w:r>
        <w:rPr>
          <w:rFonts w:ascii="Arial" w:cs="Arial" w:eastAsia="Arial" w:hAnsi="Arial"/>
          <w:sz w:val="18"/>
          <w:szCs w:val="18"/>
          <w:u w:val="single" w:color="auto"/>
          <w:color w:val="auto"/>
        </w:rPr>
        <w:t>Lease Extension Options</w:t>
      </w:r>
      <w:r>
        <w:rPr>
          <w:rFonts w:ascii="Arial" w:cs="Arial" w:eastAsia="Arial" w:hAnsi="Arial"/>
          <w:sz w:val="18"/>
          <w:szCs w:val="18"/>
          <w:color w:val="auto"/>
        </w:rPr>
        <w:t xml:space="preserve">. From and after the Execution Date, the first paragraph of </w:t>
      </w:r>
      <w:r>
        <w:rPr>
          <w:rFonts w:ascii="Arial" w:cs="Arial" w:eastAsia="Arial" w:hAnsi="Arial"/>
          <w:sz w:val="18"/>
          <w:szCs w:val="18"/>
          <w:u w:val="single" w:color="auto"/>
          <w:color w:val="auto"/>
        </w:rPr>
        <w:t>Article 44</w:t>
      </w:r>
      <w:r>
        <w:rPr>
          <w:rFonts w:ascii="Arial" w:cs="Arial" w:eastAsia="Arial" w:hAnsi="Arial"/>
          <w:sz w:val="18"/>
          <w:szCs w:val="18"/>
          <w:color w:val="auto"/>
        </w:rPr>
        <w:t xml:space="preserve"> of the Lease is hereby deleted and replaced with the following:</w:t>
      </w:r>
    </w:p>
    <w:p>
      <w:pPr>
        <w:spacing w:after="0" w:line="213" w:lineRule="exact"/>
        <w:rPr>
          <w:sz w:val="20"/>
          <w:szCs w:val="20"/>
          <w:color w:val="auto"/>
        </w:rPr>
      </w:pPr>
    </w:p>
    <w:p>
      <w:pPr>
        <w:jc w:val="both"/>
        <w:ind w:left="540" w:right="540" w:firstLine="8"/>
        <w:spacing w:after="0" w:line="288" w:lineRule="auto"/>
        <w:tabs>
          <w:tab w:leader="none" w:pos="80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Option to Extend Term</w:t>
      </w:r>
      <w:r>
        <w:rPr>
          <w:rFonts w:ascii="Arial" w:cs="Arial" w:eastAsia="Arial" w:hAnsi="Arial"/>
          <w:sz w:val="16"/>
          <w:szCs w:val="16"/>
          <w:color w:val="auto"/>
        </w:rPr>
        <w:t>. Tenant shall have three (3) options (each, an “</w:t>
      </w:r>
      <w:r>
        <w:rPr>
          <w:rFonts w:ascii="Arial" w:cs="Arial" w:eastAsia="Arial" w:hAnsi="Arial"/>
          <w:sz w:val="16"/>
          <w:szCs w:val="16"/>
          <w:u w:val="single" w:color="auto"/>
          <w:color w:val="auto"/>
        </w:rPr>
        <w:t>Option</w:t>
      </w:r>
      <w:r>
        <w:rPr>
          <w:rFonts w:ascii="Arial" w:cs="Arial" w:eastAsia="Arial" w:hAnsi="Arial"/>
          <w:sz w:val="16"/>
          <w:szCs w:val="16"/>
          <w:color w:val="auto"/>
        </w:rPr>
        <w:t>”) to extend the Term of this Lease (and, in each case, the Term Expiration Date)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(b) the entire New Whole Building Premises, (c) the entire New Multiple Tenant Building Premises, (d) the Modified Additional Premises, (e) the Swap Premises, (f) the Swing Premises, (g) each full floor of the 755 Premises, and (h) the 765 Expansion Premises. If Tenant fails to exercise an Option with respect to less than all of the Premises and the time to do so has lapsed (or if a Retained Premises Early Termination or a termination pursuant to a Swap Premises Termination Option has occurred), then Tenant shall no longer have an Option with respect to those portions of the Premises for which it failed to exercise an Option. Tenant’s Options for the remaining Premises shall remain in full force and effect.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60" w:name="page61"/>
    <w:bookmarkEnd w:id="60"/>
    <w:p>
      <w:pPr>
        <w:jc w:val="both"/>
        <w:ind w:firstLine="413"/>
        <w:spacing w:after="0" w:line="289" w:lineRule="auto"/>
        <w:tabs>
          <w:tab w:leader="none" w:pos="613"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Condition of Premises</w:t>
      </w:r>
      <w:r>
        <w:rPr>
          <w:rFonts w:ascii="Arial" w:cs="Arial" w:eastAsia="Arial" w:hAnsi="Arial"/>
          <w:sz w:val="16"/>
          <w:szCs w:val="16"/>
          <w:color w:val="auto"/>
        </w:rPr>
        <w:t>. Except as otherwise provided herein, Tenant acknowledges that neither Landlord nor any agent of Landlord has made any representation or warranty with respect to the condition of the 765 Expansion Premises with respect to the suitability of the same for the conduct of Tenant’s business. Tenant acknowledges that (a) it is generally familiar with the condition of the 765 Expansion Premises, notwithstanding anything contained in the Amended Lease to the contrary, agrees to take the 765 Expansion Premises in its condition “as is” as of the applicable delivery date. Tenant’s taking of possession of the 765 Expansion Premises shall, except as otherwise agreed to in writing by Landlord and Tenant, conclusively establish that the same were at such time in good, sanitary and satisfactory condition and repair. Notwithstanding the foregoing, Landlord represents and warrants that the Building Systems in the 765 Expansion Premises (and each Phase thereof) are, and will be, as of the applicable commencement date for each Phase thereof, in good working condition and that the 765 Expansion Premises (and each Phase thereof) are adequately serviced by Utilities and other base building services.</w:t>
      </w:r>
    </w:p>
    <w:p>
      <w:pPr>
        <w:spacing w:after="0" w:line="226" w:lineRule="exact"/>
        <w:rPr>
          <w:rFonts w:ascii="Arial" w:cs="Arial" w:eastAsia="Arial" w:hAnsi="Arial"/>
          <w:sz w:val="16"/>
          <w:szCs w:val="16"/>
          <w:color w:val="auto"/>
        </w:rPr>
      </w:pPr>
    </w:p>
    <w:p>
      <w:pPr>
        <w:ind w:firstLine="305"/>
        <w:spacing w:after="0" w:line="268" w:lineRule="auto"/>
        <w:tabs>
          <w:tab w:leader="none" w:pos="56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From and after the Execution Date, the provisions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Lease shall apply to all Buildings in which the Premises are located at any time during the Term.</w:t>
      </w:r>
    </w:p>
    <w:p>
      <w:pPr>
        <w:spacing w:after="0" w:line="240" w:lineRule="exact"/>
        <w:rPr>
          <w:sz w:val="20"/>
          <w:szCs w:val="20"/>
          <w:color w:val="auto"/>
        </w:rPr>
      </w:pPr>
    </w:p>
    <w:p>
      <w:pPr>
        <w:ind w:firstLine="346"/>
        <w:spacing w:after="0" w:line="268" w:lineRule="auto"/>
        <w:tabs>
          <w:tab w:leader="none" w:pos="61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xml:space="preserve">. From and after the Execution Date, the second to last sentence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of the Lease shall be deleted and replaced in its entirety with the following:</w:t>
      </w:r>
    </w:p>
    <w:p>
      <w:pPr>
        <w:spacing w:after="0" w:line="213" w:lineRule="exact"/>
        <w:rPr>
          <w:sz w:val="20"/>
          <w:szCs w:val="20"/>
          <w:color w:val="auto"/>
        </w:rPr>
      </w:pPr>
    </w:p>
    <w:p>
      <w:pPr>
        <w:jc w:val="both"/>
        <w:ind w:left="540" w:right="540"/>
        <w:spacing w:after="0" w:line="291" w:lineRule="auto"/>
        <w:rPr>
          <w:sz w:val="20"/>
          <w:szCs w:val="20"/>
          <w:color w:val="auto"/>
        </w:rPr>
      </w:pPr>
      <w:r>
        <w:rPr>
          <w:rFonts w:ascii="Arial" w:cs="Arial" w:eastAsia="Arial" w:hAnsi="Arial"/>
          <w:sz w:val="16"/>
          <w:szCs w:val="16"/>
          <w:color w:val="auto"/>
        </w:rPr>
        <w:t>Landlord acknowledges that Tenant shall not be responsible for environmental conditions or contamination now or hereafter existing on, under or in the Entire Project, in the New Whole Building, in the New Multiple Tenant Building, in the Retained Premises, in the Modified Additional Premises, in the Swap Premises, in the 755 Premises, in the Swing Premises, or in the 765 Expansion Premises caused by Landlord or tenants other than Tenant or by third parties in the Entire Project prior to the Execution Date or after such date, or for environmental conditions or contamination coming from off-site so long as Tenant, Tenant’s Affiliates, its permitted sublessees or its agents did not cause or contribute to such environmental conditions or contamination.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61" w:name="page62"/>
    <w:bookmarkEnd w:id="61"/>
    <w:p>
      <w:pPr>
        <w:jc w:val="both"/>
        <w:ind w:firstLine="359"/>
        <w:spacing w:after="0" w:line="254" w:lineRule="auto"/>
        <w:tabs>
          <w:tab w:leader="none" w:pos="633"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Each of Landlord and Tenant represents and warrants to the other that it has not dealt with any broker or agent in the negotiation for or the obtaining of this Sixth Amendment, other than Studley (“</w:t>
      </w:r>
      <w:r>
        <w:rPr>
          <w:rFonts w:ascii="Arial" w:cs="Arial" w:eastAsia="Arial" w:hAnsi="Arial"/>
          <w:sz w:val="18"/>
          <w:szCs w:val="18"/>
          <w:u w:val="single" w:color="auto"/>
          <w:color w:val="auto"/>
        </w:rPr>
        <w:t>Broker</w:t>
      </w:r>
      <w:r>
        <w:rPr>
          <w:rFonts w:ascii="Arial" w:cs="Arial" w:eastAsia="Arial" w:hAnsi="Arial"/>
          <w:sz w:val="18"/>
          <w:szCs w:val="18"/>
          <w:color w:val="auto"/>
        </w:rPr>
        <w:t>”) on behalf of Tenant, and each agrees to indemnify, defend and hold the other harmless from any and all cost or liability for compensation claimed by any such broker or agent, other than Broker, employed or engaged by it or claiming to have been employed or engaged by it. Broker is entitled to a leasing commission in connection with this Sixth Amendment, and Landlord shall pay such commission to Broker pursuant to a separate agreement between Landlord and Broker, which commission shall be calculated on the rentable square footage of the 765 Expansion Premises only.</w:t>
      </w:r>
    </w:p>
    <w:p>
      <w:pPr>
        <w:spacing w:after="0" w:line="252" w:lineRule="exact"/>
        <w:rPr>
          <w:rFonts w:ascii="Arial" w:cs="Arial" w:eastAsia="Arial" w:hAnsi="Arial"/>
          <w:sz w:val="18"/>
          <w:szCs w:val="18"/>
          <w:color w:val="auto"/>
        </w:rPr>
      </w:pPr>
    </w:p>
    <w:p>
      <w:pPr>
        <w:jc w:val="both"/>
        <w:ind w:firstLine="292"/>
        <w:spacing w:after="0" w:line="294" w:lineRule="auto"/>
        <w:tabs>
          <w:tab w:leader="none" w:pos="552"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No Default; Authority; Non-Contravention</w:t>
      </w:r>
      <w:r>
        <w:rPr>
          <w:rFonts w:ascii="Arial" w:cs="Arial" w:eastAsia="Arial" w:hAnsi="Arial"/>
          <w:sz w:val="16"/>
          <w:szCs w:val="16"/>
          <w:color w:val="auto"/>
        </w:rPr>
        <w:t>. Each of Landlord and Tenant represents, warrants and covenants that, to the best of its respective knowledge, neither Landlord nor Tenant is in default of any of its respective obligations under the Lease and no event has occurred that, with the passage of time or the giving of notice (or both), would constitute a default by either Landlord or Tenant thereunder. Each of Landlord and Tenant further represents, warrants and covenants that it has the full power and authority to execute, deliver and comply with the terms of this Sixth Amendment, and doing so will not conflict with or result in the violation of or default under any provision of any agreement or other instrument to which it is a party.</w:t>
      </w:r>
    </w:p>
    <w:p>
      <w:pPr>
        <w:spacing w:after="0" w:line="223" w:lineRule="exact"/>
        <w:rPr>
          <w:rFonts w:ascii="Arial" w:cs="Arial" w:eastAsia="Arial" w:hAnsi="Arial"/>
          <w:sz w:val="16"/>
          <w:szCs w:val="16"/>
          <w:color w:val="auto"/>
        </w:rPr>
      </w:pPr>
    </w:p>
    <w:p>
      <w:pPr>
        <w:jc w:val="both"/>
        <w:ind w:firstLine="373"/>
        <w:spacing w:after="0" w:line="254" w:lineRule="auto"/>
        <w:tabs>
          <w:tab w:leader="none" w:pos="646" w:val="left"/>
        </w:tabs>
        <w:numPr>
          <w:ilvl w:val="3"/>
          <w:numId w:val="16"/>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modified by this Sixth Amendment, the Lease and all the covenants, agreements, terms, provisions and conditions thereof shall remain in full force and effect and are hereby ratified and affirmed. The covenants, agreements, terms, provisions and conditions contained in this Sixth Amendment shall bind and inure to the benefit of the parties hereto and their respective successors and, except as otherwise provided in the Lease, their respective assigns. In the event of any conflict between the terms contained in this Sixth Amendment and the Lease, the terms herein contained shall supersede and control the obligations and liabilities of the parties. From and after the date hereof, the term “Lease” as used in the Lease shall mean the Lease, as modified by this Sixth Amendment.</w:t>
      </w:r>
    </w:p>
    <w:p>
      <w:pPr>
        <w:spacing w:after="0" w:line="252" w:lineRule="exact"/>
        <w:rPr>
          <w:rFonts w:ascii="Arial" w:cs="Arial" w:eastAsia="Arial" w:hAnsi="Arial"/>
          <w:sz w:val="18"/>
          <w:szCs w:val="18"/>
          <w:color w:val="auto"/>
        </w:rPr>
      </w:pPr>
    </w:p>
    <w:p>
      <w:pPr>
        <w:jc w:val="both"/>
        <w:ind w:firstLine="427"/>
        <w:spacing w:after="0" w:line="259" w:lineRule="auto"/>
        <w:tabs>
          <w:tab w:leader="none" w:pos="714" w:val="left"/>
        </w:tabs>
        <w:numPr>
          <w:ilvl w:val="4"/>
          <w:numId w:val="1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Sixth Amendment becomes effective only upon execution and delivery hereof by Landlord and Tenant. The captions of the paragraphs and subparagraphs in this Sixth Amendment are included solely for convenience and shall not be considered or given any effect in construing the provisions hereof. All exhibits hereto are incorporated herein by reference.</w:t>
      </w:r>
    </w:p>
    <w:p>
      <w:pPr>
        <w:spacing w:after="0" w:line="248" w:lineRule="exact"/>
        <w:rPr>
          <w:rFonts w:ascii="Arial" w:cs="Arial" w:eastAsia="Arial" w:hAnsi="Arial"/>
          <w:sz w:val="18"/>
          <w:szCs w:val="18"/>
          <w:color w:val="auto"/>
        </w:rPr>
      </w:pPr>
    </w:p>
    <w:p>
      <w:pPr>
        <w:ind w:left="540" w:hanging="262"/>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Sixth Amendment may be executed in one or more counterparts that, when taken together, shall constitute one original.</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62" w:name="page63"/>
    <w:bookmarkEnd w:id="62"/>
    <w:p>
      <w:pPr>
        <w:ind w:firstLine="284"/>
        <w:spacing w:after="0" w:line="268" w:lineRule="auto"/>
        <w:rPr>
          <w:sz w:val="20"/>
          <w:szCs w:val="20"/>
          <w:color w:val="auto"/>
        </w:rPr>
      </w:pPr>
      <w:r>
        <w:rPr>
          <w:rFonts w:ascii="Arial" w:cs="Arial" w:eastAsia="Arial" w:hAnsi="Arial"/>
          <w:sz w:val="18"/>
          <w:szCs w:val="18"/>
          <w:color w:val="auto"/>
        </w:rPr>
        <w:t>IN WITNESS WHEREOF, Landlord and Tenant have hereunto set their hands as of the date and year first above written, and acknowledge that they possess the requisite authority to enter into this transaction and to execute this Sixth Amendment to 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BMR-LANDMARK AT EASTVIEW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3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McDevitt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25215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Matthew G. McDevitt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25215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EVP,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25215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 New York corporation</w:t>
      </w:r>
    </w:p>
    <w:p>
      <w:pPr>
        <w:spacing w:after="0" w:line="200" w:lineRule="exact"/>
        <w:rPr>
          <w:sz w:val="20"/>
          <w:szCs w:val="20"/>
          <w:color w:val="auto"/>
        </w:rPr>
      </w:pPr>
    </w:p>
    <w:p>
      <w:pPr>
        <w:spacing w:after="0" w:line="3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Murray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25215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36791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Senior Vice President, Finance &amp; 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36791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791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765 Expansion Premises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3164840</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5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52" w:lineRule="exact"/>
        <w:rPr>
          <w:rFonts w:ascii="Arial" w:cs="Arial" w:eastAsia="Arial" w:hAnsi="Arial"/>
          <w:sz w:val="18"/>
          <w:szCs w:val="18"/>
          <w:color w:val="auto"/>
        </w:rPr>
      </w:pPr>
    </w:p>
    <w:p>
      <w:pPr>
        <w:ind w:left="360" w:right="60" w:hanging="352"/>
        <w:spacing w:after="0" w:line="332"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60" w:right="160" w:hanging="352"/>
        <w:spacing w:after="0" w:line="268"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360" w:hanging="352"/>
        <w:spacing w:after="0" w:line="259"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940" w:right="20" w:hanging="365"/>
        <w:spacing w:after="0" w:line="259" w:lineRule="auto"/>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940" w:hanging="365"/>
        <w:spacing w:after="0" w:line="259" w:lineRule="auto"/>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940" w:right="60" w:hanging="365"/>
        <w:spacing w:after="0" w:line="332" w:lineRule="auto"/>
        <w:tabs>
          <w:tab w:leader="none" w:pos="9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940" w:right="100" w:hanging="365"/>
        <w:spacing w:after="0" w:line="259" w:lineRule="auto"/>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360" w:right="740" w:hanging="352"/>
        <w:spacing w:after="0" w:line="332"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940" w:right="420" w:hanging="365"/>
        <w:spacing w:after="0" w:line="332" w:lineRule="auto"/>
        <w:tabs>
          <w:tab w:leader="none" w:pos="9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940" w:right="20" w:hanging="365"/>
        <w:spacing w:after="0" w:line="268" w:lineRule="auto"/>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July 28, 2010</w:t>
      </w:r>
      <w:r>
        <w:rPr>
          <w:sz w:val="20"/>
          <w:szCs w:val="20"/>
          <w:color w:val="auto"/>
        </w:rPr>
        <w:tab/>
      </w:r>
      <w:r>
        <w:rPr>
          <w:rFonts w:ascii="Arial" w:cs="Arial" w:eastAsia="Arial" w:hAnsi="Arial"/>
          <w:sz w:val="16"/>
          <w:szCs w:val="16"/>
          <w:color w:val="auto"/>
        </w:rPr>
        <w:t>/s/ L</w:t>
      </w:r>
      <w:r>
        <w:rPr>
          <w:rFonts w:ascii="Arial" w:cs="Arial" w:eastAsia="Arial" w:hAnsi="Arial"/>
          <w:sz w:val="12"/>
          <w:szCs w:val="12"/>
          <w:color w:val="auto"/>
        </w:rPr>
        <w:t>EONARD</w:t>
      </w:r>
      <w:r>
        <w:rPr>
          <w:rFonts w:ascii="Arial" w:cs="Arial" w:eastAsia="Arial" w:hAnsi="Arial"/>
          <w:sz w:val="16"/>
          <w:szCs w:val="16"/>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27940</wp:posOffset>
            </wp:positionV>
            <wp:extent cx="36620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52"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52" w:lineRule="exact"/>
        <w:rPr>
          <w:rFonts w:ascii="Arial" w:cs="Arial" w:eastAsia="Arial" w:hAnsi="Arial"/>
          <w:sz w:val="18"/>
          <w:szCs w:val="18"/>
          <w:color w:val="auto"/>
        </w:rPr>
      </w:pPr>
    </w:p>
    <w:p>
      <w:pPr>
        <w:ind w:left="360" w:right="60" w:hanging="352"/>
        <w:spacing w:after="0" w:line="33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60" w:right="160" w:hanging="352"/>
        <w:spacing w:after="0" w:line="268"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360" w:hanging="352"/>
        <w:spacing w:after="0" w:line="259"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940" w:right="20" w:hanging="365"/>
        <w:spacing w:after="0" w:line="259" w:lineRule="auto"/>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940" w:hanging="365"/>
        <w:spacing w:after="0" w:line="259" w:lineRule="auto"/>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940" w:right="60" w:hanging="365"/>
        <w:spacing w:after="0" w:line="332" w:lineRule="auto"/>
        <w:tabs>
          <w:tab w:leader="none" w:pos="9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940" w:right="100" w:hanging="365"/>
        <w:spacing w:after="0" w:line="259" w:lineRule="auto"/>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360" w:right="740" w:hanging="352"/>
        <w:spacing w:after="0" w:line="33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940" w:right="420" w:hanging="365"/>
        <w:spacing w:after="0" w:line="332" w:lineRule="auto"/>
        <w:tabs>
          <w:tab w:leader="none" w:pos="9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940" w:right="20" w:hanging="365"/>
        <w:spacing w:after="0" w:line="268" w:lineRule="auto"/>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July 28, 2010</w:t>
      </w:r>
      <w:r>
        <w:rPr>
          <w:sz w:val="20"/>
          <w:szCs w:val="20"/>
          <w:color w:val="auto"/>
        </w:rPr>
        <w:tab/>
      </w:r>
      <w:r>
        <w:rPr>
          <w:rFonts w:ascii="Arial" w:cs="Arial" w:eastAsia="Arial" w:hAnsi="Arial"/>
          <w:sz w:val="16"/>
          <w:szCs w:val="16"/>
          <w:color w:val="auto"/>
        </w:rPr>
        <w:t>/s/ M</w:t>
      </w:r>
      <w:r>
        <w:rPr>
          <w:rFonts w:ascii="Arial" w:cs="Arial" w:eastAsia="Arial" w:hAnsi="Arial"/>
          <w:sz w:val="12"/>
          <w:szCs w:val="12"/>
          <w:color w:val="auto"/>
        </w:rPr>
        <w:t>URRAY</w:t>
      </w:r>
      <w:r>
        <w:rPr>
          <w:rFonts w:ascii="Arial" w:cs="Arial" w:eastAsia="Arial" w:hAnsi="Arial"/>
          <w:sz w:val="16"/>
          <w:szCs w:val="16"/>
          <w:color w:val="auto"/>
        </w:rPr>
        <w:t xml:space="preserve"> A. G</w:t>
      </w:r>
      <w:r>
        <w:rPr>
          <w:rFonts w:ascii="Arial" w:cs="Arial" w:eastAsia="Arial" w:hAnsi="Arial"/>
          <w:sz w:val="12"/>
          <w:szCs w:val="12"/>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27940</wp:posOffset>
            </wp:positionV>
            <wp:extent cx="36620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Finance &amp; Administration,</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 Treasurer, and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2010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251" w:lineRule="exact"/>
        <w:rPr>
          <w:sz w:val="20"/>
          <w:szCs w:val="20"/>
          <w:color w:val="auto"/>
        </w:rPr>
      </w:pPr>
    </w:p>
    <w:p>
      <w:pPr>
        <w:ind w:left="520" w:hanging="24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520" w:hanging="24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3"/>
          <w:szCs w:val="13"/>
          <w:color w:val="auto"/>
        </w:rPr>
        <w:t>EONARD</w:t>
      </w:r>
      <w:r>
        <w:rPr>
          <w:rFonts w:ascii="Arial" w:cs="Arial" w:eastAsia="Arial" w:hAnsi="Arial"/>
          <w:sz w:val="18"/>
          <w:szCs w:val="18"/>
          <w:color w:val="auto"/>
        </w:rPr>
        <w:t xml:space="preserve"> S. S</w:t>
      </w:r>
      <w:r>
        <w:rPr>
          <w:rFonts w:ascii="Arial" w:cs="Arial" w:eastAsia="Arial" w:hAnsi="Arial"/>
          <w:sz w:val="13"/>
          <w:szCs w:val="13"/>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618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July 28, 2010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URRAY</w:t>
      </w:r>
      <w:r>
        <w:rPr>
          <w:rFonts w:ascii="Arial" w:cs="Arial" w:eastAsia="Arial" w:hAnsi="Arial"/>
          <w:sz w:val="18"/>
          <w:szCs w:val="18"/>
          <w:color w:val="auto"/>
        </w:rPr>
        <w:t xml:space="preserve"> A. G</w:t>
      </w:r>
      <w:r>
        <w:rPr>
          <w:rFonts w:ascii="Arial" w:cs="Arial" w:eastAsia="Arial" w:hAnsi="Arial"/>
          <w:sz w:val="13"/>
          <w:szCs w:val="13"/>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618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July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lvl w:ilvl="1">
      <w:lvlJc w:val="left"/>
      <w:lvlText w:val="%2."/>
      <w:numFmt w:val="decimal"/>
      <w:start w:val="2"/>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lvl w:ilvl="1">
      <w:lvlJc w:val="left"/>
      <w:lvlText w:val="%2"/>
      <w:numFmt w:val="lowerLetter"/>
      <w:start w:val="1"/>
    </w:lvl>
  </w:abstractNum>
  <w:abstractNum w:abstractNumId="7">
    <w:nsid w:val="DED726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Roman"/>
      <w:start w:val="2"/>
    </w:lvl>
  </w:abstractNum>
  <w:abstractNum w:abstractNumId="8">
    <w:nsid w:val="7FDCC233"/>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lowerRoman"/>
      <w:start w:val="1"/>
    </w:lvl>
  </w:abstractNum>
  <w:abstractNum w:abstractNumId="9">
    <w:nsid w:val="1BEFD79F"/>
    <w:multiLevelType w:val="hybridMultilevel"/>
    <w:lvl w:ilvl="0">
      <w:lvlJc w:val="left"/>
      <w:lvlText w:val="%1."/>
      <w:numFmt w:val="decimal"/>
      <w:start w:val="6"/>
    </w:lvl>
    <w:lvl w:ilvl="1">
      <w:lvlJc w:val="left"/>
      <w:lvlText w:val="%2"/>
      <w:numFmt w:val="decimal"/>
      <w:start w:val="1"/>
    </w:lvl>
    <w:lvl w:ilvl="2">
      <w:lvlJc w:val="left"/>
      <w:lvlText w:val="%3."/>
      <w:numFmt w:val="decimal"/>
      <w:start w:val="7"/>
    </w:lvl>
    <w:lvl w:ilvl="3">
      <w:lvlJc w:val="left"/>
      <w:lvlText w:val="%4."/>
      <w:numFmt w:val="decimal"/>
      <w:start w:val="8"/>
    </w:lvl>
    <w:lvl w:ilvl="4">
      <w:lvlJc w:val="left"/>
      <w:lvlText w:val="%5"/>
      <w:numFmt w:val="lowerRoman"/>
      <w:start w:val="1"/>
    </w:lvl>
  </w:abstractNum>
  <w:abstractNum w:abstractNumId="10">
    <w:nsid w:val="41A7C4C9"/>
    <w:multiLevelType w:val="hybridMultilevel"/>
    <w:lvl w:ilvl="0">
      <w:lvlJc w:val="left"/>
      <w:lvlText w:val="%1."/>
      <w:numFmt w:val="decimal"/>
      <w:start w:val="44"/>
    </w:lvl>
  </w:abstractNum>
  <w:abstractNum w:abstractNumId="11">
    <w:nsid w:val="6B68079A"/>
    <w:multiLevelType w:val="hybridMultilevel"/>
    <w:lvl w:ilvl="0">
      <w:lvlJc w:val="left"/>
      <w:lvlText w:val="%1"/>
      <w:numFmt w:val="decimal"/>
      <w:start w:val="1"/>
    </w:lvl>
    <w:lvl w:ilvl="1">
      <w:lvlJc w:val="left"/>
      <w:lvlText w:val="%2."/>
      <w:numFmt w:val="decimal"/>
      <w:start w:val="9"/>
    </w:lvl>
  </w:abstractNum>
  <w:abstractNum w:abstractNumId="12">
    <w:nsid w:val="4E6AFB66"/>
    <w:multiLevelType w:val="hybridMultilevel"/>
    <w:lvl w:ilvl="0">
      <w:lvlJc w:val="left"/>
      <w:lvlText w:val="%1."/>
      <w:numFmt w:val="decimal"/>
      <w:start w:val="10"/>
    </w:lvl>
    <w:lvl w:ilvl="1">
      <w:lvlJc w:val="left"/>
      <w:lvlText w:val="%2"/>
      <w:numFmt w:val="decimal"/>
      <w:start w:val="1"/>
    </w:lvl>
  </w:abstractNum>
  <w:abstractNum w:abstractNumId="13">
    <w:nsid w:val="25E45D32"/>
    <w:multiLevelType w:val="hybridMultilevel"/>
    <w:lvl w:ilvl="0">
      <w:lvlJc w:val="left"/>
      <w:lvlText w:val="%1."/>
      <w:numFmt w:val="decimal"/>
      <w:start w:val="11"/>
    </w:lvl>
  </w:abstractNum>
  <w:abstractNum w:abstractNumId="14">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2"/>
    </w:lvl>
    <w:lvl w:ilvl="3">
      <w:lvlJc w:val="left"/>
      <w:lvlText w:val="%4"/>
      <w:numFmt w:val="decimal"/>
      <w:start w:val="1"/>
    </w:lvl>
    <w:lvl w:ilvl="4">
      <w:lvlJc w:val="left"/>
      <w:lvlText w:val="%5"/>
      <w:numFmt w:val="decimal"/>
      <w:start w:val="1"/>
    </w:lvl>
  </w:abstractNum>
  <w:abstractNum w:abstractNumId="15">
    <w:nsid w:val="431BD7B7"/>
    <w:multiLevelType w:val="hybridMultilevel"/>
    <w:lvl w:ilvl="0">
      <w:lvlJc w:val="left"/>
      <w:lvlText w:val="%1"/>
      <w:numFmt w:val="decimal"/>
      <w:start w:val="1"/>
    </w:lvl>
    <w:lvl w:ilvl="1">
      <w:lvlJc w:val="left"/>
      <w:lvlText w:val="%2."/>
      <w:numFmt w:val="decimal"/>
      <w:start w:val="13"/>
    </w:lvl>
    <w:lvl w:ilvl="2">
      <w:lvlJc w:val="left"/>
      <w:lvlText w:val="%3"/>
      <w:numFmt w:val="decimal"/>
      <w:start w:val="1"/>
    </w:lvl>
    <w:lvl w:ilvl="3">
      <w:lvlJc w:val="left"/>
      <w:lvlText w:val="%4."/>
      <w:numFmt w:val="decimal"/>
      <w:start w:val="14"/>
    </w:lvl>
    <w:lvl w:ilvl="4">
      <w:lvlJc w:val="left"/>
      <w:lvlText w:val="%5."/>
      <w:numFmt w:val="decimal"/>
      <w:start w:val="15"/>
    </w:lvl>
  </w:abstractNum>
  <w:abstractNum w:abstractNumId="16">
    <w:nsid w:val="3F2DBA31"/>
    <w:multiLevelType w:val="hybridMultilevel"/>
    <w:lvl w:ilvl="0">
      <w:lvlJc w:val="left"/>
      <w:lvlText w:val="%1."/>
      <w:numFmt w:val="decimal"/>
      <w:start w:val="16"/>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2019-12-10T09:28:15Z</dcterms:created>
  <dcterms:modified xsi:type="dcterms:W3CDTF">2019-12-10T09:28:15Z</dcterms:modified>
</cp:coreProperties>
</file>