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09/23/2015</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2,600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523.4327</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22,872,383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3,211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524.4477</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22,875,594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1,200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525.8842</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22,876,794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3,472</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526.9029</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22,880,266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2,573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527.8528</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22,882,839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4,694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529.041</w:t>
            </w:r>
            <w:r>
              <w:rPr>
                <w:rFonts w:ascii="Arial" w:cs="Arial" w:eastAsia="Arial" w:hAnsi="Arial"/>
                <w:sz w:val="22"/>
                <w:szCs w:val="22"/>
                <w:color w:val="008000"/>
                <w:w w:val="82"/>
                <w:vertAlign w:val="superscript"/>
              </w:rPr>
              <w:t>(1)(9)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22,887,533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8,689</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530.0952</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22,896,222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6,043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530.6769</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22,902,265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2,544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531.9284</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22,904,809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5,945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533.233</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22,910,754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12,828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534.4185</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22,923,582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19,042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535.2162</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22,942,624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23,423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536.2586</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22,966,047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20,730</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537.2133</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22,986,777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15,274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538.3122</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23,002,051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11,212</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539.1918</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23,013,263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09/23/2015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3,729</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539.9825</w:t>
            </w:r>
            <w:r>
              <w:rPr>
                <w:rFonts w:ascii="Arial" w:cs="Arial" w:eastAsia="Arial" w:hAnsi="Arial"/>
                <w:sz w:val="22"/>
                <w:szCs w:val="22"/>
                <w:color w:val="008000"/>
                <w:w w:val="83"/>
                <w:vertAlign w:val="superscript"/>
              </w:rPr>
              <w:t>(1)(20)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23,016,992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1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2"/>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9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0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9"/>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78"/>
              </w:rPr>
              <w:t>of5. Number(D)</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w w:val="72"/>
              </w:rPr>
              <w:t>Transaction(s)9.Numberof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80"/>
              </w:rPr>
              <w:t>(Instr.of</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rPr>
              <w:t>3, 4</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89"/>
              </w:rPr>
              <w:t>(Instr.derivative4)</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76"/>
              </w:rPr>
              <w:t>andDerivative5)</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DerivativeAmount</w:t>
            </w:r>
          </w:p>
        </w:tc>
        <w:tc>
          <w:tcPr>
            <w:tcW w:w="760" w:type="dxa"/>
            <w:vAlign w:val="bottom"/>
          </w:tcPr>
          <w:p>
            <w:pPr>
              <w:spacing w:after="0"/>
              <w:rPr>
                <w:sz w:val="11"/>
                <w:szCs w:val="11"/>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Securityor(Instr.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82"/>
              </w:rPr>
              <w:t>(A)Instr. 3,(D)4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0" w:type="dxa"/>
            <w:vAlign w:val="bottom"/>
            <w:gridSpan w:val="19"/>
          </w:tcPr>
          <w:p>
            <w:pPr>
              <w:ind w:left="20"/>
              <w:spacing w:after="0" w:line="81" w:lineRule="exact"/>
              <w:rPr>
                <w:sz w:val="20"/>
                <w:szCs w:val="20"/>
                <w:color w:val="auto"/>
              </w:rPr>
            </w:pPr>
            <w:r>
              <w:rPr>
                <w:rFonts w:ascii="Arial" w:cs="Arial" w:eastAsia="Arial" w:hAnsi="Arial"/>
                <w:sz w:val="9"/>
                <w:szCs w:val="9"/>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ind w:left="40"/>
              <w:spacing w:after="0" w:line="54" w:lineRule="exact"/>
              <w:rPr>
                <w:sz w:val="20"/>
                <w:szCs w:val="20"/>
                <w:color w:val="auto"/>
              </w:rPr>
            </w:pPr>
            <w:r>
              <w:rPr>
                <w:rFonts w:ascii="Arial" w:cs="Arial" w:eastAsia="Arial" w:hAnsi="Arial"/>
                <w:sz w:val="6"/>
                <w:szCs w:val="6"/>
                <w:b w:val="1"/>
                <w:bCs w:val="1"/>
                <w:color w:val="auto"/>
              </w:rPr>
              <w:t>or</w:t>
            </w: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0" w:type="dxa"/>
            <w:vAlign w:val="bottom"/>
            <w:gridSpan w:val="19"/>
          </w:tcPr>
          <w:p>
            <w:pPr>
              <w:ind w:left="20"/>
              <w:spacing w:after="0" w:line="95" w:lineRule="exact"/>
              <w:rPr>
                <w:sz w:val="20"/>
                <w:szCs w:val="20"/>
                <w:color w:val="auto"/>
              </w:rPr>
            </w:pPr>
            <w:r>
              <w:rPr>
                <w:rFonts w:ascii="Arial" w:cs="Arial" w:eastAsia="Arial" w:hAnsi="Arial"/>
                <w:sz w:val="10"/>
                <w:szCs w:val="10"/>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color w:val="008000"/>
              </w:rPr>
              <w:t>separate price within the range.</w:t>
            </w: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ind w:left="40"/>
              <w:spacing w:after="0" w:line="52" w:lineRule="exact"/>
              <w:rPr>
                <w:sz w:val="20"/>
                <w:szCs w:val="20"/>
                <w:color w:val="auto"/>
              </w:rPr>
            </w:pPr>
            <w:r>
              <w:rPr>
                <w:rFonts w:ascii="Arial" w:cs="Arial" w:eastAsia="Arial" w:hAnsi="Arial"/>
                <w:sz w:val="5"/>
                <w:szCs w:val="5"/>
                <w:b w:val="1"/>
                <w:bCs w:val="1"/>
                <w:color w:val="auto"/>
              </w:rPr>
              <w:t>Number</w:t>
            </w: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Code</w:t>
            </w: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line="124" w:lineRule="exact"/>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740" w:type="dxa"/>
            <w:vAlign w:val="bottom"/>
            <w:tcBorders>
              <w:bottom w:val="single" w:sz="8" w:color="808080"/>
            </w:tcBorders>
            <w:gridSpan w:val="8"/>
          </w:tcPr>
          <w:p>
            <w:pPr>
              <w:ind w:left="20"/>
              <w:spacing w:after="0" w:line="81" w:lineRule="exact"/>
              <w:rPr>
                <w:sz w:val="20"/>
                <w:szCs w:val="20"/>
                <w:color w:val="auto"/>
              </w:rPr>
            </w:pPr>
            <w:r>
              <w:rPr>
                <w:rFonts w:ascii="Arial" w:cs="Arial" w:eastAsia="Arial" w:hAnsi="Arial"/>
                <w:sz w:val="9"/>
                <w:szCs w:val="9"/>
                <w:color w:val="008000"/>
              </w:rPr>
              <w:t>2. Represents shares acquired directly by sanofi-aventis Amerique du Nord ("SAAN").</w:t>
            </w:r>
          </w:p>
        </w:tc>
        <w:tc>
          <w:tcPr>
            <w:tcW w:w="4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69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1697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008000"/>
        </w:rPr>
        <w:t>3. Purchase prices range from $523.04 to $523.90 per share, inclusive.</w:t>
      </w:r>
    </w:p>
    <w:p>
      <w:pPr>
        <w:spacing w:after="0" w:line="42" w:lineRule="exact"/>
        <w:rPr>
          <w:sz w:val="20"/>
          <w:szCs w:val="20"/>
          <w:color w:val="auto"/>
        </w:rPr>
      </w:pPr>
    </w:p>
    <w:p>
      <w:pPr>
        <w:jc w:val="both"/>
        <w:ind w:left="40" w:right="140"/>
        <w:spacing w:after="0" w:line="278" w:lineRule="auto"/>
        <w:rPr>
          <w:sz w:val="20"/>
          <w:szCs w:val="20"/>
          <w:color w:val="auto"/>
        </w:rPr>
      </w:pPr>
      <w:r>
        <w:rPr>
          <w:rFonts w:ascii="Arial" w:cs="Arial" w:eastAsia="Arial" w:hAnsi="Arial"/>
          <w:sz w:val="12"/>
          <w:szCs w:val="12"/>
          <w:color w:val="008000"/>
        </w:rPr>
        <w:t>4. 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20,217,440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5. Purchase prices range from $524.14 to $525.09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6. Purchase prices range from $525.21 to $526.17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7. Purchase prices range from $526.26 to $527.22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8. Purchase prices range from $527.42 to $528.33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9. Purchase prices range from $528.46 to $529.44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10. Purchase prices range from $529.49 to $530.46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11. Purchase prices range from $530.48 to $531.18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12. Purchase prices range from $531.48 to $532.46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13. Purchase prices range from $532.78 to $533.77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14. Purchase prices range from $533.79 to $534.75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15. Purchase prices range from $534.78 to $535.77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16. Purchase prices range from $535.78 to $536.75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17. Purchase prices range from $536.78 to $537.75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18. Purchase prices range from $537.79 to $538.78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19. Purchase prices range from $538.81 to $539.79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20. Purchase prices range from $539.81 to $540.00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09/25/2015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2019-12-23T21:39:16Z</dcterms:created>
  <dcterms:modified xsi:type="dcterms:W3CDTF">2019-12-23T21:39:16Z</dcterms:modified>
</cp:coreProperties>
</file>