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 (d) of the</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2008 (June 13,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208915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REGENERON PHARMACEUTICALS,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3" w:lineRule="exact"/>
        <w:rPr>
          <w:sz w:val="24"/>
          <w:szCs w:val="24"/>
          <w:color w:val="auto"/>
        </w:rPr>
      </w:pPr>
    </w:p>
    <w:tbl>
      <w:tblPr>
        <w:tblLayout w:type="fixed"/>
        <w:tblInd w:w="700" w:type="dxa"/>
        <w:tblCellMar>
          <w:top w:w="0" w:type="dxa"/>
          <w:left w:w="0" w:type="dxa"/>
          <w:bottom w:w="0" w:type="dxa"/>
          <w:right w:w="0" w:type="dxa"/>
        </w:tblCellMar>
      </w:tblPr>
      <w:tr>
        <w:trPr>
          <w:trHeight w:val="220"/>
        </w:trPr>
        <w:tc>
          <w:tcPr>
            <w:tcW w:w="5400" w:type="dxa"/>
            <w:vAlign w:val="bottom"/>
          </w:tcPr>
          <w:p>
            <w:pPr>
              <w:jc w:val="center"/>
              <w:ind w:right="1290"/>
              <w:spacing w:after="0"/>
              <w:rPr>
                <w:sz w:val="20"/>
                <w:szCs w:val="20"/>
                <w:color w:val="auto"/>
              </w:rPr>
            </w:pPr>
            <w:r>
              <w:rPr>
                <w:rFonts w:ascii="Times New Roman" w:cs="Times New Roman" w:eastAsia="Times New Roman" w:hAnsi="Times New Roman"/>
                <w:sz w:val="18"/>
                <w:szCs w:val="18"/>
                <w:b w:val="1"/>
                <w:bCs w:val="1"/>
                <w:color w:val="auto"/>
                <w:w w:val="99"/>
              </w:rPr>
              <w:t>000-19034</w:t>
            </w:r>
          </w:p>
        </w:tc>
        <w:tc>
          <w:tcPr>
            <w:tcW w:w="384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13-3444607</w:t>
            </w:r>
          </w:p>
        </w:tc>
      </w:tr>
      <w:tr>
        <w:trPr>
          <w:trHeight w:val="234"/>
        </w:trPr>
        <w:tc>
          <w:tcPr>
            <w:tcW w:w="540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rPr>
              <w:t>(Commission File Number)</w:t>
            </w:r>
          </w:p>
        </w:tc>
        <w:tc>
          <w:tcPr>
            <w:tcW w:w="384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540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w:t>
            </w:r>
          </w:p>
        </w:tc>
        <w:tc>
          <w:tcPr>
            <w:tcW w:w="384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10591-6707</w:t>
            </w:r>
          </w:p>
        </w:tc>
      </w:tr>
      <w:tr>
        <w:trPr>
          <w:trHeight w:val="234"/>
        </w:trPr>
        <w:tc>
          <w:tcPr>
            <w:tcW w:w="5400" w:type="dxa"/>
            <w:vAlign w:val="bottom"/>
          </w:tcPr>
          <w:p>
            <w:pPr>
              <w:jc w:val="center"/>
              <w:ind w:right="12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84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(914) 347-7000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54" w:lineRule="exact"/>
        <w:rPr>
          <w:sz w:val="24"/>
          <w:szCs w:val="24"/>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 (b))</w:t>
      </w:r>
    </w:p>
    <w:p>
      <w:pPr>
        <w:spacing w:after="0" w:line="13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564515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6" w:right="359" w:bottom="1440" w:gutter="0" w:footer="0" w:header="0"/>
        </w:sectPr>
      </w:pPr>
    </w:p>
    <w:bookmarkStart w:id="1" w:name="page2"/>
    <w:bookmarkEnd w:id="1"/>
    <w:p>
      <w:pPr>
        <w:ind w:left="880" w:right="380" w:hanging="877"/>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Restatement of 2000 Long-Term Incentive Plan</w:t>
      </w:r>
    </w:p>
    <w:p>
      <w:pPr>
        <w:spacing w:after="0" w:line="119" w:lineRule="exact"/>
        <w:rPr>
          <w:sz w:val="20"/>
          <w:szCs w:val="20"/>
          <w:color w:val="auto"/>
        </w:rPr>
      </w:pPr>
    </w:p>
    <w:p>
      <w:pPr>
        <w:ind w:right="40" w:firstLine="215"/>
        <w:spacing w:after="0" w:line="256" w:lineRule="auto"/>
        <w:rPr>
          <w:sz w:val="20"/>
          <w:szCs w:val="20"/>
          <w:color w:val="auto"/>
        </w:rPr>
      </w:pPr>
      <w:r>
        <w:rPr>
          <w:rFonts w:ascii="Times New Roman" w:cs="Times New Roman" w:eastAsia="Times New Roman" w:hAnsi="Times New Roman"/>
          <w:sz w:val="18"/>
          <w:szCs w:val="18"/>
          <w:color w:val="auto"/>
        </w:rPr>
        <w:t>At the 2008 Annual Meeting of Shareholders of Regeneron Pharmaceuticals, Inc. (the “Company”) held on June 13, 2008, the Company’s shareholders approved the amendment and restatement of the Company’s 2000 Long-Term Incentive Plan (the “Plan”), which (1) increased the maximum number of shares of common stock reserved for and available for issuance under the Plan to 28,500,000, representing an increase of 10,000,000 shares; (2) extended the term of the Plan until December 31, 2013; and (3) added to the Plan certain “best practices” in stock plan design. Shareholder approval of the amendment and restatement of the Plan also constituted re-approval for purposes of Section 162(m) under the Internal Revenue Code of 1986, as amended, of certain performance goals in the Plan that may be applied to awards thereunder.</w:t>
      </w:r>
    </w:p>
    <w:p>
      <w:pPr>
        <w:spacing w:after="0" w:line="80" w:lineRule="exact"/>
        <w:rPr>
          <w:sz w:val="20"/>
          <w:szCs w:val="20"/>
          <w:color w:val="auto"/>
        </w:rPr>
      </w:pPr>
    </w:p>
    <w:p>
      <w:pPr>
        <w:ind w:right="60" w:firstLine="222"/>
        <w:spacing w:after="0" w:line="261" w:lineRule="auto"/>
        <w:rPr>
          <w:sz w:val="20"/>
          <w:szCs w:val="20"/>
          <w:color w:val="auto"/>
        </w:rPr>
      </w:pPr>
      <w:r>
        <w:rPr>
          <w:rFonts w:ascii="Times New Roman" w:cs="Times New Roman" w:eastAsia="Times New Roman" w:hAnsi="Times New Roman"/>
          <w:sz w:val="18"/>
          <w:szCs w:val="18"/>
          <w:color w:val="auto"/>
        </w:rPr>
        <w:t>The Plan was included as Appendix A to the Company’s proxy statement filed with the Securities and Exchange Commission on April 28, 2008. The amendments effected by the amendment and restatement of the Plan, the terms and conditions of the Plan and information pertaining to certain participants in the Plan are described in detail in the proxy statement. The foregoing description of the amendment and restatement of the Plan is qualified in its entirety by the Plan, which is attached to this report as Exhibit 10.1 and incorporated by reference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4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Document</w:t>
            </w:r>
          </w:p>
        </w:tc>
      </w:tr>
      <w:tr>
        <w:trPr>
          <w:trHeight w:val="41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Regeneron Pharmaceuticals, Inc. Amended and Restated 2000 Long-Term Incentive Plan</w:t>
            </w:r>
          </w:p>
        </w:tc>
      </w:tr>
      <w:tr>
        <w:trPr>
          <w:trHeight w:val="632"/>
        </w:trPr>
        <w:tc>
          <w:tcPr>
            <w:tcW w:w="1000" w:type="dxa"/>
            <w:vAlign w:val="bottom"/>
            <w:tcBorders>
              <w:bottom w:val="single" w:sz="8" w:color="808080"/>
            </w:tcBorders>
          </w:tcPr>
          <w:p>
            <w:pPr>
              <w:spacing w:after="0"/>
              <w:rPr>
                <w:sz w:val="24"/>
                <w:szCs w:val="24"/>
                <w:color w:val="auto"/>
              </w:rPr>
            </w:pPr>
          </w:p>
        </w:tc>
        <w:tc>
          <w:tcPr>
            <w:tcW w:w="10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right="90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65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REGENERON PHARMACEUTICALS, INC.</w:t>
            </w:r>
          </w:p>
        </w:tc>
        <w:tc>
          <w:tcPr>
            <w:tcW w:w="1580" w:type="dxa"/>
            <w:vAlign w:val="bottom"/>
          </w:tcPr>
          <w:p>
            <w:pPr>
              <w:spacing w:after="0"/>
              <w:rPr>
                <w:sz w:val="20"/>
                <w:szCs w:val="20"/>
                <w:color w:val="auto"/>
              </w:rPr>
            </w:pP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June 17, 2008</w:t>
            </w:r>
          </w:p>
        </w:tc>
        <w:tc>
          <w:tcPr>
            <w:tcW w:w="658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Stuart Kolinski</w:t>
            </w:r>
          </w:p>
        </w:tc>
        <w:tc>
          <w:tcPr>
            <w:tcW w:w="1580" w:type="dxa"/>
            <w:vAlign w:val="bottom"/>
          </w:tcPr>
          <w:p>
            <w:pPr>
              <w:spacing w:after="0"/>
              <w:rPr>
                <w:sz w:val="24"/>
                <w:szCs w:val="24"/>
                <w:color w:val="auto"/>
              </w:rPr>
            </w:pPr>
          </w:p>
        </w:tc>
      </w:tr>
      <w:tr>
        <w:trPr>
          <w:trHeight w:val="187"/>
        </w:trPr>
        <w:tc>
          <w:tcPr>
            <w:tcW w:w="32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42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Stuart Kolinski</w:t>
            </w:r>
          </w:p>
        </w:tc>
        <w:tc>
          <w:tcPr>
            <w:tcW w:w="1580" w:type="dxa"/>
            <w:vAlign w:val="bottom"/>
          </w:tcPr>
          <w:p>
            <w:pPr>
              <w:spacing w:after="0"/>
              <w:rPr>
                <w:sz w:val="16"/>
                <w:szCs w:val="16"/>
                <w:color w:val="auto"/>
              </w:rPr>
            </w:pPr>
          </w:p>
        </w:tc>
      </w:tr>
      <w:tr>
        <w:trPr>
          <w:trHeight w:val="238"/>
        </w:trPr>
        <w:tc>
          <w:tcPr>
            <w:tcW w:w="32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Senior Vice President and General Counsel</w:t>
            </w:r>
          </w:p>
        </w:tc>
        <w:tc>
          <w:tcPr>
            <w:tcW w:w="1580" w:type="dxa"/>
            <w:vAlign w:val="bottom"/>
          </w:tcPr>
          <w:p>
            <w:pPr>
              <w:spacing w:after="0"/>
              <w:rPr>
                <w:sz w:val="20"/>
                <w:szCs w:val="20"/>
                <w:color w:val="auto"/>
              </w:rPr>
            </w:pPr>
          </w:p>
        </w:tc>
      </w:tr>
      <w:tr>
        <w:trPr>
          <w:trHeight w:val="632"/>
        </w:trPr>
        <w:tc>
          <w:tcPr>
            <w:tcW w:w="326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3" w:name="page4"/>
    <w:bookmarkEnd w:id="3"/>
    <w:p>
      <w:pPr>
        <w:spacing w:after="0" w:line="3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Exhibit Index</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4"/>
          <w:szCs w:val="14"/>
          <w:color w:val="auto"/>
        </w:rPr>
        <w:t>Number</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Regeneron Pharmaceuticals, Inc. Amended and Restated 2000 Long- Term Incentive Plan</w:t>
      </w:r>
    </w:p>
    <w:p>
      <w:pPr>
        <w:sectPr>
          <w:pgSz w:w="11900" w:h="16838" w:orient="portrait"/>
          <w:cols w:equalWidth="0" w:num="1">
            <w:col w:w="10219"/>
          </w:cols>
          <w:pgMar w:left="240" w:top="1440"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2000 LONG-TERM INCENTIVE PLAN</w:t>
      </w:r>
    </w:p>
    <w:p>
      <w:pPr>
        <w:spacing w:after="0" w:line="207" w:lineRule="exact"/>
        <w:rPr>
          <w:sz w:val="20"/>
          <w:szCs w:val="20"/>
          <w:color w:val="auto"/>
        </w:rPr>
      </w:pPr>
    </w:p>
    <w:p>
      <w:pPr>
        <w:ind w:left="180" w:hanging="172"/>
        <w:spacing w:after="0"/>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 Establishment</w:t>
      </w:r>
    </w:p>
    <w:p>
      <w:pPr>
        <w:spacing w:after="0" w:line="117" w:lineRule="exact"/>
        <w:rPr>
          <w:sz w:val="20"/>
          <w:szCs w:val="20"/>
          <w:color w:val="auto"/>
        </w:rPr>
      </w:pPr>
    </w:p>
    <w:p>
      <w:pPr>
        <w:ind w:right="80" w:firstLine="222"/>
        <w:spacing w:after="0" w:line="256" w:lineRule="auto"/>
        <w:rPr>
          <w:sz w:val="20"/>
          <w:szCs w:val="20"/>
          <w:color w:val="auto"/>
        </w:rPr>
      </w:pPr>
      <w:r>
        <w:rPr>
          <w:rFonts w:ascii="Times New Roman" w:cs="Times New Roman" w:eastAsia="Times New Roman" w:hAnsi="Times New Roman"/>
          <w:sz w:val="18"/>
          <w:szCs w:val="18"/>
          <w:color w:val="auto"/>
        </w:rPr>
        <w:t>The Regeneron Pharmaceuticals, Inc. 2000 Long-Term Incentive Plan (the “Plan”) is intended to promote the interests of the Company (as defined below) and its shareholders by providing officers and other employees of the Company (including directors who are also employees of the Company) with appropriate incentives and rewards to encourage them to enter into and continue in the employ of the Company and to acquire a proprietary interest in the Long-Term success of the Company; to compensate the Company’s nonemployee directors and provide incentives to such nonemployee directors that are directly linked to increases in stock value; and to reward the performance of individual officers, other employees, consultants and nonemployee directors in fulfilling their personal responsibilities for long-range achievements.</w:t>
      </w:r>
    </w:p>
    <w:p>
      <w:pPr>
        <w:spacing w:after="0" w:line="80" w:lineRule="exact"/>
        <w:rPr>
          <w:sz w:val="20"/>
          <w:szCs w:val="20"/>
          <w:color w:val="auto"/>
        </w:rPr>
      </w:pPr>
    </w:p>
    <w:p>
      <w:pPr>
        <w:ind w:right="320" w:firstLine="222"/>
        <w:spacing w:after="0" w:line="261" w:lineRule="auto"/>
        <w:rPr>
          <w:sz w:val="20"/>
          <w:szCs w:val="20"/>
          <w:color w:val="auto"/>
        </w:rPr>
      </w:pPr>
      <w:r>
        <w:rPr>
          <w:rFonts w:ascii="Times New Roman" w:cs="Times New Roman" w:eastAsia="Times New Roman" w:hAnsi="Times New Roman"/>
          <w:sz w:val="18"/>
          <w:szCs w:val="18"/>
          <w:color w:val="auto"/>
        </w:rPr>
        <w:t>The Plan was adopted and approved by the Board of Directors (defined below) on April 25, 2000 and became effective as of such date, subject to the approval of the shareholders of the Company which occurred on June 9, 2000. Thereafter, and prior to the adoption and approval of this Amended and Restated 2000 Long-Term Incentive Plan, the Plan was amended from time to time by the Board of Directors and such amendments were approved by the shareholders of the Company.</w:t>
      </w:r>
    </w:p>
    <w:p>
      <w:pPr>
        <w:spacing w:after="0" w:line="180"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used in the Plan, the following definitions apply to the terms indicated below:</w:t>
      </w:r>
    </w:p>
    <w:p>
      <w:pPr>
        <w:spacing w:after="0" w:line="117" w:lineRule="exact"/>
        <w:rPr>
          <w:sz w:val="20"/>
          <w:szCs w:val="20"/>
          <w:color w:val="auto"/>
        </w:rPr>
      </w:pPr>
    </w:p>
    <w:p>
      <w:pPr>
        <w:ind w:left="660" w:right="260" w:hanging="436"/>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any entity if, at the time of granting of an Award (A) the Company, directly or indirectly, owns at least 50% of the combined voting power of all classes of stock of such entity or at least 50% of the ownership interests in such entity or (B) such entity, directly or indirectly, owns at least 50% of the combined voting power of all classes of stock of the Company.</w:t>
      </w:r>
    </w:p>
    <w:p>
      <w:pPr>
        <w:spacing w:after="0" w:line="8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shall mean the written agreement between the Company and a Participant evidencing an Award.</w:t>
      </w:r>
    </w:p>
    <w:p>
      <w:pPr>
        <w:spacing w:after="0" w:line="13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shall mean any Option, Restricted Stock, Phantom Stock, Stock Bonus or Other Award granted pursuant to the terms of the Plan.</w:t>
      </w:r>
    </w:p>
    <w:p>
      <w:pPr>
        <w:spacing w:after="0" w:line="13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shall mean the Board of Directors of Regeneron Pharmaceuticals, Inc.</w:t>
      </w:r>
    </w:p>
    <w:p>
      <w:pPr>
        <w:spacing w:after="0" w:line="13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shall be deemed to have occurred if the event set forth in any one of the following paragraphs shall have occurred:</w:t>
      </w:r>
    </w:p>
    <w:p>
      <w:pPr>
        <w:spacing w:after="0" w:line="117" w:lineRule="exact"/>
        <w:rPr>
          <w:rFonts w:ascii="Times New Roman" w:cs="Times New Roman" w:eastAsia="Times New Roman" w:hAnsi="Times New Roman"/>
          <w:sz w:val="18"/>
          <w:szCs w:val="18"/>
          <w:color w:val="auto"/>
        </w:rPr>
      </w:pPr>
    </w:p>
    <w:p>
      <w:pPr>
        <w:ind w:left="1120" w:right="20" w:hanging="437"/>
        <w:spacing w:after="0" w:line="261" w:lineRule="auto"/>
        <w:tabs>
          <w:tab w:leader="none" w:pos="11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is or becomes the “Beneficial Owner” (as defined in Rule 13d-3 under the Exchange Act), directly or indirectly, of securities of the Company (not including in the securities Beneficially Owned by such Person any securities acquired directly from the Company) representing 20% or more of the Company’s then outstanding securities, excluding any Person who is an officer or director of the Company or who becomes such a Beneficial Owner in connection with a transaction described in clause (A) of paragraph (3) below; or</w:t>
      </w:r>
    </w:p>
    <w:p>
      <w:pPr>
        <w:spacing w:after="0" w:line="85" w:lineRule="exact"/>
        <w:rPr>
          <w:rFonts w:ascii="Times New Roman" w:cs="Times New Roman" w:eastAsia="Times New Roman" w:hAnsi="Times New Roman"/>
          <w:sz w:val="18"/>
          <w:szCs w:val="18"/>
          <w:color w:val="auto"/>
        </w:rPr>
      </w:pPr>
    </w:p>
    <w:p>
      <w:pPr>
        <w:ind w:left="1120" w:hanging="437"/>
        <w:spacing w:after="0" w:line="266" w:lineRule="auto"/>
        <w:tabs>
          <w:tab w:leader="none" w:pos="11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individuals cease for any reason to constitute a majority of the number of directors then serving: individuals who, on the Effective Date, constitute the Board of Directors and any new director (other than a director whose initial assumption of office is in connection with an actual or threatened election contest, including but not limited to a consent solicitation, relating to the election of 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ind w:left="896" w:right="140"/>
        <w:spacing w:after="0" w:line="266" w:lineRule="auto"/>
        <w:rPr>
          <w:sz w:val="20"/>
          <w:szCs w:val="20"/>
          <w:color w:val="auto"/>
        </w:rPr>
      </w:pPr>
      <w:r>
        <w:rPr>
          <w:rFonts w:ascii="Times New Roman" w:cs="Times New Roman" w:eastAsia="Times New Roman" w:hAnsi="Times New Roman"/>
          <w:sz w:val="18"/>
          <w:szCs w:val="18"/>
          <w:color w:val="auto"/>
        </w:rPr>
        <w:t>rectors of the Company) whose appointment or election by the Board of Directors or nomination for election by the Company’s shareholders was approved or recommended by a vote of at least two-thirds (2/3) of the directors then still in office who either were directors on the Effective Date or whose appointment, election or nomination for election was previously so approved or recommended; or</w:t>
      </w:r>
    </w:p>
    <w:p>
      <w:pPr>
        <w:spacing w:after="0" w:line="68" w:lineRule="exact"/>
        <w:rPr>
          <w:sz w:val="20"/>
          <w:szCs w:val="20"/>
          <w:color w:val="auto"/>
        </w:rPr>
      </w:pPr>
    </w:p>
    <w:p>
      <w:pPr>
        <w:ind w:left="896" w:right="80" w:hanging="437"/>
        <w:spacing w:after="0" w:line="255" w:lineRule="auto"/>
        <w:tabs>
          <w:tab w:leader="none" w:pos="89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 merger or consolidation of the Company with any other corporation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at least 60% of the combined voting power of the voting securities of the Company or such surviving entity or any 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representing 20% or more of the combined voting power of the Company’s then outstanding securities; or</w:t>
      </w:r>
    </w:p>
    <w:p>
      <w:pPr>
        <w:spacing w:after="0" w:line="90" w:lineRule="exact"/>
        <w:rPr>
          <w:rFonts w:ascii="Times New Roman" w:cs="Times New Roman" w:eastAsia="Times New Roman" w:hAnsi="Times New Roman"/>
          <w:sz w:val="18"/>
          <w:szCs w:val="18"/>
          <w:color w:val="auto"/>
        </w:rPr>
      </w:pPr>
    </w:p>
    <w:p>
      <w:pPr>
        <w:ind w:left="896" w:hanging="437"/>
        <w:spacing w:after="0" w:line="261" w:lineRule="auto"/>
        <w:tabs>
          <w:tab w:leader="none" w:pos="89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at least 75% of the combined voting power of the voting securities of which are owned by Persons in substantially the same proportions as their ownership of the Company immediately prior to such sale.</w:t>
      </w:r>
    </w:p>
    <w:p>
      <w:pPr>
        <w:spacing w:after="0" w:line="71"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shall mean the Internal Revenue Code of 1986, as amended from time to time, and any regulations promulgated thereunder.</w:t>
      </w:r>
    </w:p>
    <w:p>
      <w:pPr>
        <w:spacing w:after="0" w:line="130" w:lineRule="exact"/>
        <w:rPr>
          <w:rFonts w:ascii="Times New Roman" w:cs="Times New Roman" w:eastAsia="Times New Roman" w:hAnsi="Times New Roman"/>
          <w:sz w:val="18"/>
          <w:szCs w:val="18"/>
          <w:color w:val="auto"/>
        </w:rPr>
      </w:pPr>
    </w:p>
    <w:p>
      <w:pPr>
        <w:ind w:left="436" w:right="340" w:hanging="436"/>
        <w:spacing w:after="0" w:line="266" w:lineRule="auto"/>
        <w:tabs>
          <w:tab w:leader="none" w:pos="4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shall mean, at the discretion of the Board of Directors, the full Board of Directors or a committee of the Board of Directors, which shall consist of two or more persons, each of whom, unless otherwise determined by the Board of Directors, is an “outside director” within the meaning of Section 162(m) of the Code and a “nonemployee director” within the meaning of Rule 16b-3.</w:t>
      </w:r>
    </w:p>
    <w:p>
      <w:pPr>
        <w:spacing w:after="0" w:line="81"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mean Regeneron Pharmaceuticals, Inc., a New York corporation, and, where appropriate, each of its Affiliates.</w:t>
      </w:r>
    </w:p>
    <w:p>
      <w:pPr>
        <w:spacing w:after="0" w:line="130"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Stock” shall mean the common stock of the Company, par value $.001 per share.</w:t>
      </w:r>
    </w:p>
    <w:p>
      <w:pPr>
        <w:spacing w:after="0" w:line="130"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Employee” shall have the meaning set forth in Section 162(m) of the Code.</w:t>
      </w:r>
    </w:p>
    <w:p>
      <w:pPr>
        <w:spacing w:after="0" w:line="130"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shall mean April 25, 2000.</w:t>
      </w:r>
    </w:p>
    <w:p>
      <w:pPr>
        <w:spacing w:after="0" w:line="130"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shall mean the Securities Exchange Act of 1934, as amended from time to time.</w:t>
      </w:r>
    </w:p>
    <w:p>
      <w:pPr>
        <w:spacing w:after="0" w:line="130" w:lineRule="exact"/>
        <w:rPr>
          <w:rFonts w:ascii="Times New Roman" w:cs="Times New Roman" w:eastAsia="Times New Roman" w:hAnsi="Times New Roman"/>
          <w:sz w:val="18"/>
          <w:szCs w:val="18"/>
          <w:color w:val="auto"/>
        </w:rPr>
      </w:pPr>
    </w:p>
    <w:p>
      <w:pPr>
        <w:ind w:left="436" w:right="60" w:hanging="436"/>
        <w:spacing w:after="0" w:line="258" w:lineRule="auto"/>
        <w:tabs>
          <w:tab w:leader="none" w:pos="4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a share of Company Stock, as of a date of determination, shall mean (1) the average of the high and low sales price per share of Company Stock on the national securities exchange or national market system on which such stock is principally traded on such date or, if such date is not a trading day, on the last preceding date on which there was a sale of such stock on such exchange, or (2) if the shares of Company Stock are not then listed on a national securities exchange or national market system, or the value of such shares is not otherwise determinable, such value as determined by the Committee in good faith.</w:t>
      </w:r>
    </w:p>
    <w:p>
      <w:pPr>
        <w:spacing w:after="0" w:line="89"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 shall mean an Option that is an “incentive stock option” within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409575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76"/>
          </w:cols>
          <w:pgMar w:left="464" w:top="931" w:right="259" w:bottom="1440" w:gutter="0" w:footer="0" w:header="0"/>
        </w:sectPr>
      </w:pPr>
    </w:p>
    <w:bookmarkStart w:id="6" w:name="page7"/>
    <w:bookmarkEnd w:id="6"/>
    <w:p>
      <w:pPr>
        <w:ind w:left="652"/>
        <w:spacing w:after="0"/>
        <w:rPr>
          <w:sz w:val="20"/>
          <w:szCs w:val="20"/>
          <w:color w:val="auto"/>
        </w:rPr>
      </w:pPr>
      <w:r>
        <w:rPr>
          <w:rFonts w:ascii="Times New Roman" w:cs="Times New Roman" w:eastAsia="Times New Roman" w:hAnsi="Times New Roman"/>
          <w:sz w:val="18"/>
          <w:szCs w:val="18"/>
          <w:color w:val="auto"/>
        </w:rPr>
        <w:t>meaning of Section 422 of the Code, or any successor provision, and that is designated by the Committee as an Incentive Stock Option.</w:t>
      </w:r>
    </w:p>
    <w:p>
      <w:pPr>
        <w:spacing w:after="0" w:line="117" w:lineRule="exact"/>
        <w:rPr>
          <w:sz w:val="20"/>
          <w:szCs w:val="20"/>
          <w:color w:val="auto"/>
        </w:rPr>
      </w:pPr>
    </w:p>
    <w:p>
      <w:pPr>
        <w:ind w:left="652" w:hanging="436"/>
        <w:spacing w:after="0"/>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 shall mean a member of the Board of Directors who is not an employee of the Company.</w:t>
      </w:r>
    </w:p>
    <w:p>
      <w:pPr>
        <w:spacing w:after="0" w:line="130" w:lineRule="exact"/>
        <w:rPr>
          <w:rFonts w:ascii="Times New Roman" w:cs="Times New Roman" w:eastAsia="Times New Roman" w:hAnsi="Times New Roman"/>
          <w:sz w:val="18"/>
          <w:szCs w:val="18"/>
          <w:color w:val="auto"/>
        </w:rPr>
      </w:pPr>
    </w:p>
    <w:p>
      <w:pPr>
        <w:ind w:left="652" w:hanging="436"/>
        <w:spacing w:after="0"/>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 shall mean an Option other than an Incentive Stock Option.</w:t>
      </w:r>
    </w:p>
    <w:p>
      <w:pPr>
        <w:spacing w:after="0" w:line="130" w:lineRule="exact"/>
        <w:rPr>
          <w:rFonts w:ascii="Times New Roman" w:cs="Times New Roman" w:eastAsia="Times New Roman" w:hAnsi="Times New Roman"/>
          <w:sz w:val="18"/>
          <w:szCs w:val="18"/>
          <w:color w:val="auto"/>
        </w:rPr>
      </w:pPr>
    </w:p>
    <w:p>
      <w:pPr>
        <w:ind w:left="652" w:right="340" w:hanging="436"/>
        <w:spacing w:after="0" w:line="282"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shall mean an option to purchase shares of Company Stock granted pursuant to Section 7 (or, with respect to a Nonemployee Director, pursuant to Section 12 hereof).</w:t>
      </w:r>
    </w:p>
    <w:p>
      <w:pPr>
        <w:spacing w:after="0" w:line="67" w:lineRule="exact"/>
        <w:rPr>
          <w:rFonts w:ascii="Times New Roman" w:cs="Times New Roman" w:eastAsia="Times New Roman" w:hAnsi="Times New Roman"/>
          <w:sz w:val="18"/>
          <w:szCs w:val="18"/>
          <w:color w:val="auto"/>
        </w:rPr>
      </w:pPr>
    </w:p>
    <w:p>
      <w:pPr>
        <w:ind w:left="652" w:hanging="436"/>
        <w:spacing w:after="0"/>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Award” shall mean an award granted pursuant to Section 11 hereof.</w:t>
      </w:r>
    </w:p>
    <w:p>
      <w:pPr>
        <w:spacing w:after="0" w:line="130" w:lineRule="exact"/>
        <w:rPr>
          <w:rFonts w:ascii="Times New Roman" w:cs="Times New Roman" w:eastAsia="Times New Roman" w:hAnsi="Times New Roman"/>
          <w:sz w:val="18"/>
          <w:szCs w:val="18"/>
          <w:color w:val="auto"/>
        </w:rPr>
      </w:pPr>
    </w:p>
    <w:p>
      <w:pPr>
        <w:ind w:left="652" w:right="360" w:hanging="436"/>
        <w:spacing w:after="0" w:line="282"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shall mean an employee or consultant of the Company to whom an Award is granted pursuant to the Plan, or upon the death of the employee or consultant, his or her successors, heirs, executors and administrators, as the case may be.</w:t>
      </w:r>
    </w:p>
    <w:p>
      <w:pPr>
        <w:spacing w:after="0" w:line="67" w:lineRule="exact"/>
        <w:rPr>
          <w:rFonts w:ascii="Times New Roman" w:cs="Times New Roman" w:eastAsia="Times New Roman" w:hAnsi="Times New Roman"/>
          <w:sz w:val="18"/>
          <w:szCs w:val="18"/>
          <w:color w:val="auto"/>
        </w:rPr>
      </w:pPr>
    </w:p>
    <w:p>
      <w:pPr>
        <w:ind w:left="652" w:right="80" w:hanging="436"/>
        <w:spacing w:after="0" w:line="276"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w:t>
      </w:r>
    </w:p>
    <w:p>
      <w:pPr>
        <w:ind w:left="652" w:right="10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an underwriter temporarily holding securities pursuant to an offering of such securities, or (4) a corporation owned, directly or indirectly, by the shareholders of the Company in substantially the same proportions as their ownership of stock of the Company.</w:t>
      </w:r>
    </w:p>
    <w:p>
      <w:pPr>
        <w:spacing w:after="0" w:line="85" w:lineRule="exact"/>
        <w:rPr>
          <w:rFonts w:ascii="Times New Roman" w:cs="Times New Roman" w:eastAsia="Times New Roman" w:hAnsi="Times New Roman"/>
          <w:sz w:val="17"/>
          <w:szCs w:val="17"/>
          <w:color w:val="auto"/>
        </w:rPr>
      </w:pPr>
    </w:p>
    <w:p>
      <w:pPr>
        <w:ind w:left="652" w:right="440" w:hanging="436"/>
        <w:spacing w:after="0" w:line="282"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“Phantom Stock” shall mean the right, granted pursuant to Section 9, to receive in cash or shares the Fair Market Value of a share of Company Stock.</w:t>
      </w:r>
    </w:p>
    <w:p>
      <w:pPr>
        <w:spacing w:after="0" w:line="67" w:lineRule="exact"/>
        <w:rPr>
          <w:rFonts w:ascii="Times New Roman" w:cs="Times New Roman" w:eastAsia="Times New Roman" w:hAnsi="Times New Roman"/>
          <w:sz w:val="18"/>
          <w:szCs w:val="18"/>
          <w:color w:val="auto"/>
        </w:rPr>
      </w:pPr>
    </w:p>
    <w:p>
      <w:pPr>
        <w:ind w:left="652" w:right="420" w:hanging="436"/>
        <w:spacing w:after="0" w:line="282" w:lineRule="auto"/>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shall mean a share of Company Stock which is granted pursuant to the terms of Section 8 hereof and which is subject to the restrictions set forth in Section 8(d).</w:t>
      </w:r>
    </w:p>
    <w:p>
      <w:pPr>
        <w:spacing w:after="0" w:line="67" w:lineRule="exact"/>
        <w:rPr>
          <w:rFonts w:ascii="Times New Roman" w:cs="Times New Roman" w:eastAsia="Times New Roman" w:hAnsi="Times New Roman"/>
          <w:sz w:val="18"/>
          <w:szCs w:val="18"/>
          <w:color w:val="auto"/>
        </w:rPr>
      </w:pPr>
    </w:p>
    <w:p>
      <w:pPr>
        <w:ind w:left="652" w:hanging="436"/>
        <w:spacing w:after="0"/>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16b-3” shall mean the Rule 16b-3 promulgated under the Exchange Act, as amended from time to time.</w:t>
      </w:r>
    </w:p>
    <w:p>
      <w:pPr>
        <w:spacing w:after="0" w:line="130" w:lineRule="exact"/>
        <w:rPr>
          <w:rFonts w:ascii="Times New Roman" w:cs="Times New Roman" w:eastAsia="Times New Roman" w:hAnsi="Times New Roman"/>
          <w:sz w:val="18"/>
          <w:szCs w:val="18"/>
          <w:color w:val="auto"/>
        </w:rPr>
      </w:pPr>
    </w:p>
    <w:p>
      <w:pPr>
        <w:ind w:left="652" w:hanging="436"/>
        <w:spacing w:after="0"/>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shall mean the Securities Act of 1933, as amended from time to time.</w:t>
      </w:r>
    </w:p>
    <w:p>
      <w:pPr>
        <w:spacing w:after="0" w:line="130" w:lineRule="exact"/>
        <w:rPr>
          <w:rFonts w:ascii="Times New Roman" w:cs="Times New Roman" w:eastAsia="Times New Roman" w:hAnsi="Times New Roman"/>
          <w:sz w:val="18"/>
          <w:szCs w:val="18"/>
          <w:color w:val="auto"/>
        </w:rPr>
      </w:pPr>
    </w:p>
    <w:p>
      <w:pPr>
        <w:ind w:left="652" w:hanging="436"/>
        <w:spacing w:after="0"/>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Bonus” shall mean a bonus payable in shares of Company Stock granted pursuant to Section 10.</w:t>
      </w:r>
    </w:p>
    <w:p>
      <w:pPr>
        <w:spacing w:after="0" w:line="130" w:lineRule="exact"/>
        <w:rPr>
          <w:rFonts w:ascii="Times New Roman" w:cs="Times New Roman" w:eastAsia="Times New Roman" w:hAnsi="Times New Roman"/>
          <w:sz w:val="18"/>
          <w:szCs w:val="18"/>
          <w:color w:val="auto"/>
        </w:rPr>
      </w:pPr>
    </w:p>
    <w:p>
      <w:pPr>
        <w:ind w:left="652" w:hanging="436"/>
        <w:spacing w:after="0"/>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shall mean a “subsidiary corporation” within the meaning of Section 424(f) of the Code.</w:t>
      </w:r>
    </w:p>
    <w:p>
      <w:pPr>
        <w:spacing w:after="0" w:line="131" w:lineRule="exact"/>
        <w:rPr>
          <w:sz w:val="20"/>
          <w:szCs w:val="20"/>
          <w:color w:val="auto"/>
        </w:rPr>
      </w:pPr>
    </w:p>
    <w:p>
      <w:pPr>
        <w:ind w:left="652" w:hanging="436"/>
        <w:spacing w:after="0"/>
        <w:tabs>
          <w:tab w:leader="none" w:pos="65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Date” shall mean the date established by the Committee on which a share of Restricted Stock or Phantom Stock may vest.</w:t>
      </w:r>
    </w:p>
    <w:p>
      <w:pPr>
        <w:spacing w:after="0" w:line="225"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p>
    <w:p>
      <w:pPr>
        <w:spacing w:after="0" w:line="115" w:lineRule="exact"/>
        <w:rPr>
          <w:rFonts w:ascii="Times New Roman" w:cs="Times New Roman" w:eastAsia="Times New Roman" w:hAnsi="Times New Roman"/>
          <w:sz w:val="18"/>
          <w:szCs w:val="18"/>
          <w:color w:val="auto"/>
        </w:rPr>
      </w:pPr>
    </w:p>
    <w:p>
      <w:pPr>
        <w:ind w:left="652" w:hanging="436"/>
        <w:spacing w:after="0"/>
        <w:tabs>
          <w:tab w:leader="none" w:pos="65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Shares Available for Awards</w:t>
      </w:r>
    </w:p>
    <w:p>
      <w:pPr>
        <w:spacing w:after="0" w:line="132" w:lineRule="exact"/>
        <w:rPr>
          <w:rFonts w:ascii="Times New Roman" w:cs="Times New Roman" w:eastAsia="Times New Roman" w:hAnsi="Times New Roman"/>
          <w:sz w:val="18"/>
          <w:szCs w:val="18"/>
          <w:color w:val="auto"/>
        </w:rPr>
      </w:pPr>
    </w:p>
    <w:p>
      <w:pPr>
        <w:ind w:left="65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Company Stock that may be issued with respect to Awards made under the Plan may be authorized but unissued Company Stock or authorized and issued Company Stock held in the Company treasury (including authorized and issued shares of Company Stock acquired or purchased by the Company and held by the Company as treasury shares). Subject to the subsequent provisions of this Section 3, including the adjustment provisions contained herein, the maximum number of shares of Company Stock that may be delivered pursuant to Awards made under the Plan shall equal the sum of: (i) 28,500,000 shares of Company Stock; (ii) any shares of Company Stock previously reserved for issuance under the Company’s 1990 Long-Term Incentive Plan (the “Prior Plan”), but which remain unissued as of June 14, 2002 and any shares of Company Stock that are represented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1" w:right="279" w:bottom="1440" w:gutter="0" w:footer="0" w:header="0"/>
        </w:sectPr>
      </w:pPr>
    </w:p>
    <w:bookmarkStart w:id="7" w:name="page8"/>
    <w:bookmarkEnd w:id="7"/>
    <w:p>
      <w:pPr>
        <w:ind w:left="436"/>
        <w:spacing w:after="0" w:line="266" w:lineRule="auto"/>
        <w:rPr>
          <w:sz w:val="20"/>
          <w:szCs w:val="20"/>
          <w:color w:val="auto"/>
        </w:rPr>
      </w:pPr>
      <w:r>
        <w:rPr>
          <w:rFonts w:ascii="Times New Roman" w:cs="Times New Roman" w:eastAsia="Times New Roman" w:hAnsi="Times New Roman"/>
          <w:sz w:val="18"/>
          <w:szCs w:val="18"/>
          <w:color w:val="auto"/>
        </w:rPr>
        <w:t>awards granted under the Prior Plan which are forfeited, expire, or are cancelled without delivery of shares of Company Stock; and (iii) any shares of Company Stock that again become available for Awards pursuant to Section 3(e) below. Notwithstanding the foregoing, the maximum number of shares of Company Stock that may be issued pursuant to Incentive Stock Options shall be 28,500,000 shares.</w:t>
      </w:r>
    </w:p>
    <w:p>
      <w:pPr>
        <w:spacing w:after="0" w:line="66" w:lineRule="exact"/>
        <w:rPr>
          <w:sz w:val="20"/>
          <w:szCs w:val="20"/>
          <w:color w:val="auto"/>
        </w:rPr>
      </w:pPr>
    </w:p>
    <w:p>
      <w:pPr>
        <w:ind w:left="436" w:hanging="436"/>
        <w:spacing w:after="0"/>
        <w:tabs>
          <w:tab w:leader="none" w:pos="4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Individual Limitation</w:t>
      </w:r>
    </w:p>
    <w:p>
      <w:pPr>
        <w:spacing w:after="0" w:line="132" w:lineRule="exact"/>
        <w:rPr>
          <w:rFonts w:ascii="Times New Roman" w:cs="Times New Roman" w:eastAsia="Times New Roman" w:hAnsi="Times New Roman"/>
          <w:sz w:val="18"/>
          <w:szCs w:val="18"/>
          <w:color w:val="auto"/>
        </w:rPr>
      </w:pPr>
    </w:p>
    <w:p>
      <w:pPr>
        <w:ind w:left="436"/>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Section 162(m) of the Code, the total number of shares of Company Stock subject to Awards (including Awards which may be payable in cash but denominated as shares of Company Stock, i.e., Phantom Stock), awarded to any employee shall not exceed 1,500,000 shares during any tax year of the Company in which the employee first becomes employed by the Company or a Subsidiary, or 1,000,000 shares in any other tax year of the Company (in each case subject to adjustment as provided herein). In addition, for any tax year of the Company, the maximum number of shares of Restricted Stock that may be granted to a Covered Employee for which the lapse of the restrictions of Section 8(d) is subject to the attainment of preestablished performance goals in accordance with Section 8(j) shall not exceed 200,000 (subject to adjustment as provided herein).</w:t>
      </w:r>
    </w:p>
    <w:p>
      <w:pPr>
        <w:spacing w:after="0" w:line="92"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 for Change in Capitalization</w:t>
      </w:r>
    </w:p>
    <w:p>
      <w:pPr>
        <w:spacing w:after="0" w:line="132" w:lineRule="exact"/>
        <w:rPr>
          <w:rFonts w:ascii="Times New Roman" w:cs="Times New Roman" w:eastAsia="Times New Roman" w:hAnsi="Times New Roman"/>
          <w:sz w:val="18"/>
          <w:szCs w:val="18"/>
          <w:color w:val="auto"/>
        </w:rPr>
      </w:pPr>
    </w:p>
    <w:p>
      <w:pPr>
        <w:ind w:left="436"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dividend or other distribution is declared (whether in the form of cash, Company Stock, or other property), or there occurs any recapitalization, Company Stock split, reverse Company Stock split, reorganization, merger, consolidation, spin-off, combination, repurchase, or share exchange, or other similar corporate transaction or event, unless the Committee determines that it is otherwise inappropriate, (1) the number and kind of shares of Company Stock which may thereafter be issued in connection with Awards, (2) the number and kind of shares of Company Stock issued or issuable in respect of outstanding Awards, (3) the exercise price, grant price or purchase price relating to any Award, and (4) the maximum number of shares subject to Awards which may be awarded to any employee during any tax year of the Company shall be equitably adjusted as necessary to prevent the dilution or enlargement of the rights of Participants and Nonemployee Directors without change in the aggregate purchase price; provided that, with respect to Incentive Stock Options, such adjustment shall be made in accordance with Section 424 of the Code.</w:t>
      </w:r>
    </w:p>
    <w:p>
      <w:pPr>
        <w:spacing w:after="0" w:line="88"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 for Change or Exchange of Shares for Other Consideration</w:t>
      </w:r>
    </w:p>
    <w:p>
      <w:pPr>
        <w:spacing w:after="0" w:line="132" w:lineRule="exact"/>
        <w:rPr>
          <w:rFonts w:ascii="Times New Roman" w:cs="Times New Roman" w:eastAsia="Times New Roman" w:hAnsi="Times New Roman"/>
          <w:sz w:val="18"/>
          <w:szCs w:val="18"/>
          <w:color w:val="auto"/>
        </w:rPr>
      </w:pPr>
    </w:p>
    <w:p>
      <w:pPr>
        <w:ind w:left="436"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outstanding shares of Company Stock shall be changed into or exchanged for any other class or series of capital stock or cash, securities or other property pursuant to a recapitalization, reclassification, merger, consolidation, combination or similar transaction (“Transaction”), then, unless otherwise determined by the Committee in its sole and absolute discretion, (1) each Option shall thereafter become exercisable for the number and/or kind of capital stock, and/or the amount of cash, securities or other property so distributed, into which the shares of Company Stock subject to the Option would have been changed or exchanged had the Option been exercised in full prior to such transaction, provided that, if the kind or amount of capital stock or cash, securities or other property received in such transaction is not the same for each outstanding share, then the kind or amount of capital stock or cash, securities or other property for which the Option shall thereafter become exercisable (or the other Award shall thereafter represent) shall be the kind and amount so receivable per share by a plurality of the shares of Company Stock, and provided further that, if necessary, the provisions of the Option shall be appropriately adjusted so as to be applicable, as nearly as may reasonably be, to any shares of capital stock, cash, securities or other property thereafter issuable or deliverable upon exercise of the Option, and (2) each Award that is not an Option and that is not automatically changed in connection with the Transaction shall represent the number and/or kind of shares of capital stock, and/or the amount of cash, securities or other property so distributed, into which the number of shares of Company Stock covered by the Award would have been changed or exchanged had they been held by a shareholder of the Company.</w:t>
      </w:r>
    </w:p>
    <w:p>
      <w:pPr>
        <w:spacing w:after="0" w:line="92"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Reuse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410845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96"/>
          </w:cols>
          <w:pgMar w:left="464" w:top="931" w:right="239" w:bottom="1440" w:gutter="0" w:footer="0" w:header="0"/>
        </w:sectPr>
      </w:pPr>
    </w:p>
    <w:bookmarkStart w:id="8" w:name="page9"/>
    <w:bookmarkEnd w:id="8"/>
    <w:p>
      <w:pPr>
        <w:ind w:left="660" w:right="100"/>
        <w:spacing w:after="0" w:line="270" w:lineRule="auto"/>
        <w:rPr>
          <w:sz w:val="20"/>
          <w:szCs w:val="20"/>
          <w:color w:val="auto"/>
        </w:rPr>
      </w:pPr>
      <w:r>
        <w:rPr>
          <w:rFonts w:ascii="Times New Roman" w:cs="Times New Roman" w:eastAsia="Times New Roman" w:hAnsi="Times New Roman"/>
          <w:sz w:val="17"/>
          <w:szCs w:val="17"/>
          <w:color w:val="auto"/>
        </w:rPr>
        <w:t>The following shares of Company Stock shall again become available for Awards: (1) any shares subject to an Award that remain unissued upon the cancellation, surrender, exchange or termination of such award for any reason whatsoever and any shares of Restricted Stock forfeited, and (2) any previously owned or withheld shares of Company Stock obtained by the Participant pursuant to an Option exercise and received by the Company (whether by actual delivery or attestation) in exchange for Option shares upon a Participant’s exercise of an Option, as permitted under Section 7(c)</w:t>
      </w:r>
    </w:p>
    <w:p>
      <w:pPr>
        <w:spacing w:after="0" w:line="3" w:lineRule="exact"/>
        <w:rPr>
          <w:sz w:val="20"/>
          <w:szCs w:val="20"/>
          <w:color w:val="auto"/>
        </w:rPr>
      </w:pPr>
    </w:p>
    <w:p>
      <w:pPr>
        <w:ind w:left="920" w:hanging="250"/>
        <w:spacing w:after="0"/>
        <w:tabs>
          <w:tab w:leader="none" w:pos="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206"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p>
    <w:p>
      <w:pPr>
        <w:spacing w:after="0" w:line="117" w:lineRule="exact"/>
        <w:rPr>
          <w:sz w:val="20"/>
          <w:szCs w:val="20"/>
          <w:color w:val="auto"/>
        </w:rPr>
      </w:pPr>
    </w:p>
    <w:p>
      <w:pPr>
        <w:ind w:right="40" w:firstLine="222"/>
        <w:spacing w:after="0" w:line="254" w:lineRule="auto"/>
        <w:rPr>
          <w:sz w:val="20"/>
          <w:szCs w:val="20"/>
          <w:color w:val="auto"/>
        </w:rPr>
      </w:pPr>
      <w:r>
        <w:rPr>
          <w:rFonts w:ascii="Times New Roman" w:cs="Times New Roman" w:eastAsia="Times New Roman" w:hAnsi="Times New Roman"/>
          <w:sz w:val="18"/>
          <w:szCs w:val="18"/>
          <w:color w:val="auto"/>
        </w:rPr>
        <w:t>The Plan shall be administered by the Committee. The Committee shall have the authority in its sole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determine the persons to whom and the time or times at which Awards shall be granted; to determine the type and number of Awards to be granted, the number of shares of Stock to which an Award may relate and the terms, conditions, restrictions and performance criteria relating to any Award; to determine whether, to what extent, and under what circumstances an Award may be settled, canceled, forfeited, exchanged, or surrendered; to make adjustments in the performance goals in recognition of unusual or nonrecurring events affecting the Company or the financial statements of the Company (to the extent not inconsistent with Section 162(m) of the Code, if applicable), or in response to changes in applicable laws, regulations, or accounting principles; to construe and interpret the Plan and any Award; to prescribe, amend and rescind rules and regulations relating to the Plan; to determine the terms and provisions of Agreements; and to make all other determinations deemed necessary or advisable for the administration of the Plan.</w:t>
      </w:r>
    </w:p>
    <w:p>
      <w:pPr>
        <w:spacing w:after="0" w:line="78" w:lineRule="exact"/>
        <w:rPr>
          <w:sz w:val="20"/>
          <w:szCs w:val="20"/>
          <w:color w:val="auto"/>
        </w:rPr>
      </w:pPr>
    </w:p>
    <w:p>
      <w:pPr>
        <w:ind w:firstLine="222"/>
        <w:spacing w:after="0" w:line="258" w:lineRule="auto"/>
        <w:rPr>
          <w:sz w:val="20"/>
          <w:szCs w:val="20"/>
          <w:color w:val="auto"/>
        </w:rPr>
      </w:pPr>
      <w:r>
        <w:rPr>
          <w:rFonts w:ascii="Times New Roman" w:cs="Times New Roman" w:eastAsia="Times New Roman" w:hAnsi="Times New Roman"/>
          <w:sz w:val="18"/>
          <w:szCs w:val="18"/>
          <w:color w:val="auto"/>
        </w:rPr>
        <w:t>The Committee may, in its sole and absolute discretion, without amendment to the Plan, (a) accelerate the date on which any Option granted under the Plan becomes exercisable, waive or amend the operation of Plan provisions respecting exercise after termination of employment or otherwise adjust any of the terms of such Option, and (b) subject to Section (b) hereof, accelerate the Vesting Date, or waive any condition imposed hereunder, with respect to any share of Restricted Stock, Phantom Stock or other Award or otherwise adjust any of the terms applicable to any such Award. Except pursuant to the operation of Section 3(c) or 3(d), the Committee shall not have the authority to decrease the exercise price of Options granted under the Plan.</w:t>
      </w:r>
    </w:p>
    <w:p>
      <w:pPr>
        <w:spacing w:after="0" w:line="184"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p>
    <w:p>
      <w:pPr>
        <w:spacing w:after="0" w:line="117" w:lineRule="exact"/>
        <w:rPr>
          <w:sz w:val="20"/>
          <w:szCs w:val="20"/>
          <w:color w:val="auto"/>
        </w:rPr>
      </w:pPr>
    </w:p>
    <w:p>
      <w:pPr>
        <w:ind w:right="340" w:firstLine="222"/>
        <w:spacing w:after="0" w:line="258" w:lineRule="auto"/>
        <w:rPr>
          <w:sz w:val="20"/>
          <w:szCs w:val="20"/>
          <w:color w:val="auto"/>
        </w:rPr>
      </w:pPr>
      <w:r>
        <w:rPr>
          <w:rFonts w:ascii="Times New Roman" w:cs="Times New Roman" w:eastAsia="Times New Roman" w:hAnsi="Times New Roman"/>
          <w:sz w:val="18"/>
          <w:szCs w:val="18"/>
          <w:color w:val="auto"/>
        </w:rPr>
        <w:t>The persons who shall be eligible to receive Awards pursuant to the Plan shall be such employees of the Company (including officers of the Company, whether or not they are directors of the Company), Nonemployee Directors and nonemployee service providers and consultants, in each case as the Committee shall select from time to time. Nonqualified Stock Options shall be granted to Nonemployee Directors in accordance with the provisions of Section 12 hereof and as otherwise determined by the Committee. The grant of any Award hereunder at any time to any employee, service provider or consultant shall not entitle such person to a grant of an Award at any future time.</w:t>
      </w:r>
    </w:p>
    <w:p>
      <w:pPr>
        <w:spacing w:after="0" w:line="184"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 Under the Plan; Agreement</w:t>
      </w:r>
    </w:p>
    <w:p>
      <w:pPr>
        <w:spacing w:after="0" w:line="117" w:lineRule="exact"/>
        <w:rPr>
          <w:sz w:val="20"/>
          <w:szCs w:val="20"/>
          <w:color w:val="auto"/>
        </w:rPr>
      </w:pPr>
    </w:p>
    <w:p>
      <w:pPr>
        <w:ind w:right="80" w:firstLine="222"/>
        <w:spacing w:after="0" w:line="266" w:lineRule="auto"/>
        <w:rPr>
          <w:sz w:val="20"/>
          <w:szCs w:val="20"/>
          <w:color w:val="auto"/>
        </w:rPr>
      </w:pPr>
      <w:r>
        <w:rPr>
          <w:rFonts w:ascii="Times New Roman" w:cs="Times New Roman" w:eastAsia="Times New Roman" w:hAnsi="Times New Roman"/>
          <w:sz w:val="18"/>
          <w:szCs w:val="18"/>
          <w:color w:val="auto"/>
        </w:rPr>
        <w:t>The Committee may grant Options, shares of Restricted Stock, shares of Phantom Stock, Stock Bonuses and Other Awards in such amounts and with such terms and conditions as the Committee shall determine, subject to the provisions of the Plan. Nonqualified Stock Options shall be granted to Nonemployee Directors in accordance with Section 12 hereof.</w:t>
      </w:r>
    </w:p>
    <w:p>
      <w:pPr>
        <w:spacing w:after="0" w:line="68" w:lineRule="exact"/>
        <w:rPr>
          <w:sz w:val="20"/>
          <w:szCs w:val="20"/>
          <w:color w:val="auto"/>
        </w:rPr>
      </w:pPr>
    </w:p>
    <w:p>
      <w:pPr>
        <w:ind w:right="80" w:firstLine="225"/>
        <w:spacing w:after="0" w:line="266" w:lineRule="auto"/>
        <w:rPr>
          <w:sz w:val="20"/>
          <w:szCs w:val="20"/>
          <w:color w:val="auto"/>
        </w:rPr>
      </w:pPr>
      <w:r>
        <w:rPr>
          <w:rFonts w:ascii="Times New Roman" w:cs="Times New Roman" w:eastAsia="Times New Roman" w:hAnsi="Times New Roman"/>
          <w:sz w:val="18"/>
          <w:szCs w:val="18"/>
          <w:color w:val="auto"/>
        </w:rPr>
        <w:t>Each Award granted under the Plan (except an unconditional Stock Bonus) shall be evidenced by an Agreement which shall contain such provisions as the Committee may in its sole discretion deem necessary or desirable which are not in conflict with the terms of the Plan. By accepting an Award, a Participant thereby agrees that the award shall be subject to all of the terms and provisions of the Plan and the applicable Agreement.</w:t>
      </w:r>
    </w:p>
    <w:p>
      <w:pPr>
        <w:spacing w:after="0" w:line="176"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w:t>
      </w:r>
    </w:p>
    <w:p>
      <w:pPr>
        <w:spacing w:after="0" w:line="115"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Identification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410845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ind w:left="436"/>
        <w:spacing w:after="0"/>
        <w:rPr>
          <w:sz w:val="20"/>
          <w:szCs w:val="20"/>
          <w:color w:val="auto"/>
        </w:rPr>
      </w:pPr>
      <w:r>
        <w:rPr>
          <w:rFonts w:ascii="Times New Roman" w:cs="Times New Roman" w:eastAsia="Times New Roman" w:hAnsi="Times New Roman"/>
          <w:sz w:val="18"/>
          <w:szCs w:val="18"/>
          <w:color w:val="auto"/>
        </w:rPr>
        <w:t>Each Option shall be clearly identified in the applicable Agreement as either an Incentive Stock Option or a Nonqualified Stock Option.</w:t>
      </w:r>
    </w:p>
    <w:p>
      <w:pPr>
        <w:spacing w:after="0" w:line="129" w:lineRule="exact"/>
        <w:rPr>
          <w:sz w:val="20"/>
          <w:szCs w:val="20"/>
          <w:color w:val="auto"/>
        </w:rPr>
      </w:pPr>
    </w:p>
    <w:p>
      <w:pPr>
        <w:ind w:left="436" w:hanging="436"/>
        <w:spacing w:after="0"/>
        <w:tabs>
          <w:tab w:leader="none" w:pos="4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Price</w:t>
      </w:r>
    </w:p>
    <w:p>
      <w:pPr>
        <w:spacing w:after="0" w:line="132" w:lineRule="exact"/>
        <w:rPr>
          <w:rFonts w:ascii="Times New Roman" w:cs="Times New Roman" w:eastAsia="Times New Roman" w:hAnsi="Times New Roman"/>
          <w:sz w:val="18"/>
          <w:szCs w:val="18"/>
          <w:color w:val="auto"/>
        </w:rPr>
      </w:pPr>
    </w:p>
    <w:p>
      <w:pPr>
        <w:ind w:left="436"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Agreement with respect to an Option shall set forth the amount (the “option exercise price”) payable by the grantee to the Company upon exercise of the Option. The option exercise price per share shall be determined by the Committee; provided, however, that the option exercise price shall in no event be less than the Fair Market Value of a share of Company Stock on the date the Option is granted.</w:t>
      </w:r>
    </w:p>
    <w:p>
      <w:pPr>
        <w:spacing w:after="0" w:line="79"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and Exercise of Options</w:t>
      </w:r>
    </w:p>
    <w:p>
      <w:pPr>
        <w:spacing w:after="0" w:line="119" w:lineRule="exact"/>
        <w:rPr>
          <w:rFonts w:ascii="Times New Roman" w:cs="Times New Roman" w:eastAsia="Times New Roman" w:hAnsi="Times New Roman"/>
          <w:sz w:val="18"/>
          <w:szCs w:val="18"/>
          <w:color w:val="auto"/>
        </w:rPr>
      </w:pPr>
    </w:p>
    <w:p>
      <w:pPr>
        <w:ind w:left="896" w:right="220" w:hanging="437"/>
        <w:spacing w:after="0" w:line="266" w:lineRule="auto"/>
        <w:tabs>
          <w:tab w:leader="none" w:pos="89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applicable Agreement provides otherwise, an Option shall become cumulatively exercisable as to 20% of the shares covered thereby on each of the first, second, third, fourth, and fifth anniversaries of the date of grant. The Committee shall determine the expiration date of each Option; provided, however, that no Incentive Stock Option shall be exercisable more than ten (10) years after the date of grant.</w:t>
      </w:r>
    </w:p>
    <w:p>
      <w:pPr>
        <w:spacing w:after="0" w:line="81" w:lineRule="exact"/>
        <w:rPr>
          <w:rFonts w:ascii="Times New Roman" w:cs="Times New Roman" w:eastAsia="Times New Roman" w:hAnsi="Times New Roman"/>
          <w:sz w:val="18"/>
          <w:szCs w:val="18"/>
          <w:color w:val="auto"/>
        </w:rPr>
      </w:pPr>
    </w:p>
    <w:p>
      <w:pPr>
        <w:ind w:left="896" w:hanging="437"/>
        <w:spacing w:after="0" w:line="261" w:lineRule="auto"/>
        <w:tabs>
          <w:tab w:leader="none" w:pos="89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Option to purchase shares is not exercised by a Participant when it becomes initially exercisable, it shall not expire but carry forward and shall be exercisable until its expiration or as provided by Section 7(e) hereof. If any Option is exercisable in the amount of one hundred (100) or more full shares of Company stock, the Company shall not be obligated to permit the partial exercise of such exercisable Option for less than one hundred (100) full shares.</w:t>
      </w:r>
    </w:p>
    <w:p>
      <w:pPr>
        <w:spacing w:after="0" w:line="85" w:lineRule="exact"/>
        <w:rPr>
          <w:rFonts w:ascii="Times New Roman" w:cs="Times New Roman" w:eastAsia="Times New Roman" w:hAnsi="Times New Roman"/>
          <w:sz w:val="18"/>
          <w:szCs w:val="18"/>
          <w:color w:val="auto"/>
        </w:rPr>
      </w:pPr>
    </w:p>
    <w:p>
      <w:pPr>
        <w:ind w:left="896" w:right="60" w:hanging="437"/>
        <w:spacing w:after="0" w:line="254" w:lineRule="auto"/>
        <w:tabs>
          <w:tab w:leader="none" w:pos="89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shall be exercised by delivering notice as specified in the Agreement on the form of notice provided by the Company. Payment for shares of Company Stock purchased upon the exercise of an Option shall be made on the effective date of such exercise by one or a combination of the following means: (A) in cash or by personal check, certified check, bank cashier’s check or wire transfer; (B) in shares of Company Stock owned by the Participant for at least six months prior to the date of exercise and valued at their Fair Market Value on the effective date of such exercise; or (C) by any such other methods as the Committee may from time to time authorize. In the case of a Participant or Nonemployee Director who is subject to Section 16 of the Exchange Act, the Company may require that the method of making such payment be in compliance with Section 16 and the rules and regulations thereunder. Any payment in shares of Company Stock shall be effected by the delivery of such shares to the Secretary of the Company, duly endorsed in blank or accompanied by stock powers duly executed in blank, together with any other documents and evidences as the Secretary of the Company shall require.</w:t>
      </w:r>
    </w:p>
    <w:p>
      <w:pPr>
        <w:spacing w:after="0" w:line="94" w:lineRule="exact"/>
        <w:rPr>
          <w:rFonts w:ascii="Times New Roman" w:cs="Times New Roman" w:eastAsia="Times New Roman" w:hAnsi="Times New Roman"/>
          <w:sz w:val="18"/>
          <w:szCs w:val="18"/>
          <w:color w:val="auto"/>
        </w:rPr>
      </w:pPr>
    </w:p>
    <w:p>
      <w:pPr>
        <w:ind w:left="896" w:right="120" w:hanging="437"/>
        <w:spacing w:after="0" w:line="266" w:lineRule="auto"/>
        <w:tabs>
          <w:tab w:leader="none" w:pos="89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for shares of Company Stock purchased upon the exercise of an Option shall be issued in the name of or for the account of the Participant, Nonemployee Director or other person entitled to receive such shares, and delivered to the Participant, Nonemployee Director or such other person as soon as practicable following the effective date on which the Option is exercised.</w:t>
      </w:r>
    </w:p>
    <w:p>
      <w:pPr>
        <w:spacing w:after="0" w:line="66"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on Incentive Stock Options</w:t>
      </w:r>
    </w:p>
    <w:p>
      <w:pPr>
        <w:spacing w:after="0" w:line="119" w:lineRule="exact"/>
        <w:rPr>
          <w:rFonts w:ascii="Times New Roman" w:cs="Times New Roman" w:eastAsia="Times New Roman" w:hAnsi="Times New Roman"/>
          <w:sz w:val="18"/>
          <w:szCs w:val="18"/>
          <w:color w:val="auto"/>
        </w:rPr>
      </w:pPr>
    </w:p>
    <w:p>
      <w:pPr>
        <w:ind w:left="896" w:right="80" w:hanging="437"/>
        <w:spacing w:after="0" w:line="261" w:lineRule="auto"/>
        <w:tabs>
          <w:tab w:leader="none" w:pos="89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aggregate Fair Market Value of shares of Company Stock with respect to which Incentive Stock Options are exercisable for the first time by a Participant during any calendar year under the Plan and any other stock option plan of the Company or a Subsidiary shall exceed $100,000, such Options shall be treated as Nonqualified Stock Options. Such Fair Market Value shall be determined as of the date on which each such Incentive Stock Option is granted.</w:t>
      </w:r>
    </w:p>
    <w:p>
      <w:pPr>
        <w:spacing w:after="0" w:line="85" w:lineRule="exact"/>
        <w:rPr>
          <w:rFonts w:ascii="Times New Roman" w:cs="Times New Roman" w:eastAsia="Times New Roman" w:hAnsi="Times New Roman"/>
          <w:sz w:val="18"/>
          <w:szCs w:val="18"/>
          <w:color w:val="auto"/>
        </w:rPr>
      </w:pPr>
    </w:p>
    <w:p>
      <w:pPr>
        <w:ind w:left="896" w:right="240" w:hanging="437"/>
        <w:spacing w:after="0" w:line="282" w:lineRule="auto"/>
        <w:tabs>
          <w:tab w:leader="none" w:pos="89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Stock Option may be granted to an individual if, at the time of the proposed grant, such individual owns (or is deemed to own under the Code)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369570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76"/>
          </w:cols>
          <w:pgMar w:left="464" w:top="1040" w:right="259" w:bottom="1440" w:gutter="0" w:footer="0" w:header="0"/>
        </w:sectPr>
      </w:pPr>
    </w:p>
    <w:bookmarkStart w:id="10" w:name="page11"/>
    <w:bookmarkEnd w:id="10"/>
    <w:p>
      <w:pPr>
        <w:ind w:left="1112" w:right="40"/>
        <w:spacing w:after="0" w:line="261" w:lineRule="auto"/>
        <w:rPr>
          <w:sz w:val="20"/>
          <w:szCs w:val="20"/>
          <w:color w:val="auto"/>
        </w:rPr>
      </w:pPr>
      <w:r>
        <w:rPr>
          <w:rFonts w:ascii="Times New Roman" w:cs="Times New Roman" w:eastAsia="Times New Roman" w:hAnsi="Times New Roman"/>
          <w:sz w:val="18"/>
          <w:szCs w:val="18"/>
          <w:color w:val="auto"/>
        </w:rPr>
        <w:t>possessing more than ten percent of the total combined voting power of all classes of stock of the Company unless (A) the exercise price of such Incentive Stock Option is at least 110% of the Fair Market Value of a share of Company Stock at the time such Incentive Stock Option is granted, and (B) such Incentive Stock Option is not exercisable after the expiration of five years from the date such Incentive Stock Option is granted.</w:t>
      </w:r>
    </w:p>
    <w:p>
      <w:pPr>
        <w:spacing w:after="0" w:line="70" w:lineRule="exact"/>
        <w:rPr>
          <w:sz w:val="20"/>
          <w:szCs w:val="20"/>
          <w:color w:val="auto"/>
        </w:rPr>
      </w:pPr>
    </w:p>
    <w:p>
      <w:pPr>
        <w:ind w:left="652" w:hanging="436"/>
        <w:spacing w:after="0"/>
        <w:tabs>
          <w:tab w:leader="none" w:pos="6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Termination of Employment</w:t>
      </w:r>
    </w:p>
    <w:p>
      <w:pPr>
        <w:spacing w:after="0" w:line="119" w:lineRule="exact"/>
        <w:rPr>
          <w:rFonts w:ascii="Times New Roman" w:cs="Times New Roman" w:eastAsia="Times New Roman" w:hAnsi="Times New Roman"/>
          <w:sz w:val="18"/>
          <w:szCs w:val="18"/>
          <w:color w:val="auto"/>
        </w:rPr>
      </w:pPr>
    </w:p>
    <w:p>
      <w:pPr>
        <w:ind w:left="1112" w:right="20" w:hanging="437"/>
        <w:spacing w:after="0" w:line="258" w:lineRule="auto"/>
        <w:tabs>
          <w:tab w:leader="none" w:pos="111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employment of a Participant with the Company shall terminate for any reason other than (A) Cause, as defined in the Agreement, or (B) death, the Options granted to such Participant, to the extent that they are exercisable at the time of such termination, shall remain exercisable for such period as may be provided in the Agreement (or as may be provided by the Committee), but in no event following the expiration of its term. The treatment of any Option that remains unexercisable as of the date of termination shall be as set forth in the Agreement (or as may be otherwise determined by the Committee).</w:t>
      </w:r>
    </w:p>
    <w:p>
      <w:pPr>
        <w:spacing w:after="0" w:line="89" w:lineRule="exact"/>
        <w:rPr>
          <w:rFonts w:ascii="Times New Roman" w:cs="Times New Roman" w:eastAsia="Times New Roman" w:hAnsi="Times New Roman"/>
          <w:sz w:val="18"/>
          <w:szCs w:val="18"/>
          <w:color w:val="auto"/>
        </w:rPr>
      </w:pPr>
    </w:p>
    <w:p>
      <w:pPr>
        <w:ind w:left="1112" w:right="20" w:hanging="437"/>
        <w:spacing w:after="0" w:line="254" w:lineRule="auto"/>
        <w:tabs>
          <w:tab w:leader="none" w:pos="111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employment of a Participant with the Company shall terminate on account of the death of the Participant, all Options granted to such Participant that remain outstanding as of the date of death, shall become fully exercisable and shall remain exercisable by the Participant’s legal representatives, heirs or legatees for such period as may be provided in the Agreement (or as otherwise may be determined by the Committee), but in no event following the expiration of its term. Cessation of active employment or service due to commencement of long-term disability as determined by the Committee shall not be deemed to constitute a termination of employment or service for purposes of the Plan, and during the continuance of such long-term disability the individual shall be deemed to continue active employment or service with the Company; provided, however, that the Committee may in its sole discretion determine that a Participant’s long-term disability constitutes a permanent disability and may deem such permanent disability to be a termination of employment or service for any or all purposes under this Plan.</w:t>
      </w:r>
    </w:p>
    <w:p>
      <w:pPr>
        <w:spacing w:after="0" w:line="94" w:lineRule="exact"/>
        <w:rPr>
          <w:rFonts w:ascii="Times New Roman" w:cs="Times New Roman" w:eastAsia="Times New Roman" w:hAnsi="Times New Roman"/>
          <w:sz w:val="18"/>
          <w:szCs w:val="18"/>
          <w:color w:val="auto"/>
        </w:rPr>
      </w:pPr>
    </w:p>
    <w:p>
      <w:pPr>
        <w:ind w:left="1112" w:right="100" w:hanging="437"/>
        <w:spacing w:after="0" w:line="282" w:lineRule="auto"/>
        <w:tabs>
          <w:tab w:leader="none" w:pos="111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termination of a Participant’s employment for Cause, as defined in the Agreement, all outstanding Options granted to such Participant shall expire at the commencement of business on the date of such termination.</w:t>
      </w:r>
    </w:p>
    <w:p>
      <w:pPr>
        <w:spacing w:after="0" w:line="51" w:lineRule="exact"/>
        <w:rPr>
          <w:rFonts w:ascii="Times New Roman" w:cs="Times New Roman" w:eastAsia="Times New Roman" w:hAnsi="Times New Roman"/>
          <w:sz w:val="18"/>
          <w:szCs w:val="18"/>
          <w:color w:val="auto"/>
        </w:rPr>
      </w:pPr>
    </w:p>
    <w:p>
      <w:pPr>
        <w:ind w:left="652" w:hanging="436"/>
        <w:spacing w:after="0"/>
        <w:tabs>
          <w:tab w:leader="none" w:pos="6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Acceleration of Exercise Date Upon Change in Control</w:t>
      </w:r>
    </w:p>
    <w:p>
      <w:pPr>
        <w:spacing w:after="0" w:line="132" w:lineRule="exact"/>
        <w:rPr>
          <w:rFonts w:ascii="Times New Roman" w:cs="Times New Roman" w:eastAsia="Times New Roman" w:hAnsi="Times New Roman"/>
          <w:sz w:val="18"/>
          <w:szCs w:val="18"/>
          <w:color w:val="auto"/>
        </w:rPr>
      </w:pPr>
    </w:p>
    <w:p>
      <w:pPr>
        <w:ind w:left="652"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in its sole and absolute discretion may provide, either at the time of grant as provided in the Agreement or thereafter, that upon the occurrence of a Change in Control, an Option granted under the Plan and outstanding at such time shall (1) become immediately exercisable in whole or in part (in which case the Committee shall determine the period during which such Option shall remain exercisable), and/or (2) be canceled in exchange for the right to receive property equivalent in value to such Option, as determined by the Committee.</w:t>
      </w:r>
    </w:p>
    <w:p>
      <w:pPr>
        <w:spacing w:after="0" w:line="83" w:lineRule="exact"/>
        <w:rPr>
          <w:rFonts w:ascii="Times New Roman" w:cs="Times New Roman" w:eastAsia="Times New Roman" w:hAnsi="Times New Roman"/>
          <w:sz w:val="18"/>
          <w:szCs w:val="18"/>
          <w:color w:val="auto"/>
        </w:rPr>
      </w:pPr>
    </w:p>
    <w:p>
      <w:pPr>
        <w:ind w:left="652" w:hanging="436"/>
        <w:spacing w:after="0"/>
        <w:tabs>
          <w:tab w:leader="none" w:pos="6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Leave of Absence</w:t>
      </w:r>
    </w:p>
    <w:p>
      <w:pPr>
        <w:spacing w:after="0" w:line="119" w:lineRule="exact"/>
        <w:rPr>
          <w:sz w:val="20"/>
          <w:szCs w:val="20"/>
          <w:color w:val="auto"/>
        </w:rPr>
      </w:pPr>
    </w:p>
    <w:p>
      <w:pPr>
        <w:ind w:left="232" w:firstLine="225"/>
        <w:spacing w:after="0" w:line="282" w:lineRule="auto"/>
        <w:rPr>
          <w:sz w:val="20"/>
          <w:szCs w:val="20"/>
          <w:color w:val="auto"/>
        </w:rPr>
      </w:pPr>
      <w:r>
        <w:rPr>
          <w:rFonts w:ascii="Times New Roman" w:cs="Times New Roman" w:eastAsia="Times New Roman" w:hAnsi="Times New Roman"/>
          <w:sz w:val="18"/>
          <w:szCs w:val="18"/>
          <w:color w:val="auto"/>
        </w:rPr>
        <w:t>In the case of any Participant on an approved leave of absence, the Committee may make such provision respecting the continuance of the Option while in the employ or service of the Company as it may deem equitable, except that in no event may an Option be exercised after its expiration.</w:t>
      </w:r>
    </w:p>
    <w:p>
      <w:pPr>
        <w:spacing w:after="0" w:line="162" w:lineRule="exact"/>
        <w:rPr>
          <w:sz w:val="20"/>
          <w:szCs w:val="20"/>
          <w:color w:val="auto"/>
        </w:rPr>
      </w:pPr>
    </w:p>
    <w:p>
      <w:pPr>
        <w:ind w:left="172" w:hanging="172"/>
        <w:spacing w:after="0"/>
        <w:tabs>
          <w:tab w:leader="none" w:pos="17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w:t>
      </w:r>
    </w:p>
    <w:p>
      <w:pPr>
        <w:spacing w:after="0" w:line="115" w:lineRule="exact"/>
        <w:rPr>
          <w:rFonts w:ascii="Times New Roman" w:cs="Times New Roman" w:eastAsia="Times New Roman" w:hAnsi="Times New Roman"/>
          <w:sz w:val="18"/>
          <w:szCs w:val="18"/>
          <w:color w:val="auto"/>
        </w:rPr>
      </w:pPr>
    </w:p>
    <w:p>
      <w:pPr>
        <w:ind w:left="652" w:hanging="436"/>
        <w:spacing w:after="0"/>
        <w:tabs>
          <w:tab w:leader="none" w:pos="65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410845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1" w:right="259" w:bottom="1440" w:gutter="0" w:footer="0" w:header="0"/>
        </w:sectPr>
      </w:pPr>
    </w:p>
    <w:bookmarkStart w:id="11" w:name="page12"/>
    <w:bookmarkEnd w:id="11"/>
    <w:p>
      <w:pPr>
        <w:ind w:left="436"/>
        <w:spacing w:after="0" w:line="282" w:lineRule="auto"/>
        <w:rPr>
          <w:sz w:val="20"/>
          <w:szCs w:val="20"/>
          <w:color w:val="auto"/>
        </w:rPr>
      </w:pPr>
      <w:r>
        <w:rPr>
          <w:rFonts w:ascii="Times New Roman" w:cs="Times New Roman" w:eastAsia="Times New Roman" w:hAnsi="Times New Roman"/>
          <w:sz w:val="18"/>
          <w:szCs w:val="18"/>
          <w:color w:val="auto"/>
        </w:rPr>
        <w:t>At the time of the grant of shares of Restricted Stock, the Committee shall determine the price, if any, to be paid by the Participant for each share of Restricted Stock subject to the Award.</w:t>
      </w:r>
    </w:p>
    <w:p>
      <w:pPr>
        <w:spacing w:after="0" w:line="65" w:lineRule="exact"/>
        <w:rPr>
          <w:sz w:val="20"/>
          <w:szCs w:val="20"/>
          <w:color w:val="auto"/>
        </w:rPr>
      </w:pPr>
    </w:p>
    <w:p>
      <w:pPr>
        <w:ind w:left="436" w:hanging="436"/>
        <w:spacing w:after="0"/>
        <w:tabs>
          <w:tab w:leader="none" w:pos="4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 Date</w:t>
      </w:r>
    </w:p>
    <w:p>
      <w:pPr>
        <w:spacing w:after="0" w:line="132" w:lineRule="exact"/>
        <w:rPr>
          <w:rFonts w:ascii="Times New Roman" w:cs="Times New Roman" w:eastAsia="Times New Roman" w:hAnsi="Times New Roman"/>
          <w:sz w:val="18"/>
          <w:szCs w:val="18"/>
          <w:color w:val="auto"/>
        </w:rPr>
      </w:pPr>
    </w:p>
    <w:p>
      <w:pPr>
        <w:ind w:left="436" w:right="4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Subject to Section 31 hereof, at the time of the grant of shares of Restricted Stock, the Committee shall establish a Vesting Date or Vesting Dates with respect to such shares. The Committee may divide such shares into classes and assign a different Vesting Date for each class. Provided that all conditions to the vesting of a share of Restricted Stock imposed pursuant to Section 8(c) are satisfied, and except as provided in Section 8(h), upon the occurrence of the Vesting Date with respect to a share of Restricted Stock, such share shall vest and the restrictions of Section 8(d) shall lapse.</w:t>
      </w:r>
    </w:p>
    <w:p>
      <w:pPr>
        <w:spacing w:after="0" w:line="68"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Vesting</w:t>
      </w:r>
    </w:p>
    <w:p>
      <w:pPr>
        <w:spacing w:after="0" w:line="132" w:lineRule="exact"/>
        <w:rPr>
          <w:rFonts w:ascii="Times New Roman" w:cs="Times New Roman" w:eastAsia="Times New Roman" w:hAnsi="Times New Roman"/>
          <w:sz w:val="18"/>
          <w:szCs w:val="18"/>
          <w:color w:val="auto"/>
        </w:rPr>
      </w:pPr>
    </w:p>
    <w:p>
      <w:pPr>
        <w:ind w:left="436"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31 hereof, at the time of the grant of shares of Restricted Stock, the Committee may impose such restrictions or conditions to the vesting of such shares as it, in its absolute discretion, deems appropriate.</w:t>
      </w:r>
    </w:p>
    <w:p>
      <w:pPr>
        <w:spacing w:after="0" w:line="65"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Transfer Prior to Vesting</w:t>
      </w:r>
    </w:p>
    <w:p>
      <w:pPr>
        <w:spacing w:after="0" w:line="132" w:lineRule="exact"/>
        <w:rPr>
          <w:rFonts w:ascii="Times New Roman" w:cs="Times New Roman" w:eastAsia="Times New Roman" w:hAnsi="Times New Roman"/>
          <w:sz w:val="18"/>
          <w:szCs w:val="18"/>
          <w:color w:val="auto"/>
        </w:rPr>
      </w:pPr>
    </w:p>
    <w:p>
      <w:pPr>
        <w:jc w:val="both"/>
        <w:ind w:left="436"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vesting of a share of Restricted Stock, no transfer of a Participant’s rights with respect to such share, whether voluntary or involuntary, by operation of law or otherwise, shall be permitted. Immediately upon any attempt to transfer such rights, such share, and all of the rights related thereto, shall be forfeited by the Participant.</w:t>
      </w:r>
    </w:p>
    <w:p>
      <w:pPr>
        <w:spacing w:after="0" w:line="79"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 on Restricted Stock</w:t>
      </w:r>
    </w:p>
    <w:p>
      <w:pPr>
        <w:spacing w:after="0" w:line="132" w:lineRule="exact"/>
        <w:rPr>
          <w:rFonts w:ascii="Times New Roman" w:cs="Times New Roman" w:eastAsia="Times New Roman" w:hAnsi="Times New Roman"/>
          <w:sz w:val="18"/>
          <w:szCs w:val="18"/>
          <w:color w:val="auto"/>
        </w:rPr>
      </w:pPr>
    </w:p>
    <w:p>
      <w:pPr>
        <w:ind w:left="436" w:right="2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in its discretion may require that any dividends paid on shares of Restricted Stock be held in escrow until all restrictions on such shares have lapsed.</w:t>
      </w:r>
    </w:p>
    <w:p>
      <w:pPr>
        <w:spacing w:after="0" w:line="65"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 of Certificates</w:t>
      </w:r>
    </w:p>
    <w:p>
      <w:pPr>
        <w:spacing w:after="0" w:line="119" w:lineRule="exact"/>
        <w:rPr>
          <w:rFonts w:ascii="Times New Roman" w:cs="Times New Roman" w:eastAsia="Times New Roman" w:hAnsi="Times New Roman"/>
          <w:sz w:val="18"/>
          <w:szCs w:val="18"/>
          <w:color w:val="auto"/>
        </w:rPr>
      </w:pPr>
    </w:p>
    <w:p>
      <w:pPr>
        <w:ind w:left="896" w:right="240" w:hanging="437"/>
        <w:spacing w:after="0" w:line="266" w:lineRule="auto"/>
        <w:tabs>
          <w:tab w:leader="none" w:pos="89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promptly after the date of grant with respect to shares of Restricted Stock, the Company shall cause to be issued a stock certificate, registered in the name of or for the account of the Participant to whom such shares were granted, evidencing such shares. Each such stock certificate shall bear the following legend:</w:t>
      </w:r>
    </w:p>
    <w:p>
      <w:pPr>
        <w:spacing w:after="0" w:line="64" w:lineRule="exact"/>
        <w:rPr>
          <w:sz w:val="20"/>
          <w:szCs w:val="20"/>
          <w:color w:val="auto"/>
        </w:rPr>
      </w:pPr>
    </w:p>
    <w:p>
      <w:pPr>
        <w:ind w:left="1136" w:right="120"/>
        <w:spacing w:after="0" w:line="259" w:lineRule="auto"/>
        <w:rPr>
          <w:sz w:val="20"/>
          <w:szCs w:val="20"/>
          <w:color w:val="auto"/>
        </w:rPr>
      </w:pPr>
      <w:r>
        <w:rPr>
          <w:rFonts w:ascii="Times New Roman" w:cs="Times New Roman" w:eastAsia="Times New Roman" w:hAnsi="Times New Roman"/>
          <w:sz w:val="18"/>
          <w:szCs w:val="18"/>
          <w:b w:val="1"/>
          <w:bCs w:val="1"/>
          <w:color w:val="auto"/>
        </w:rPr>
        <w:t>The transferability of this certificate and the shares of stock represented hereby are subject to the restrictions, terms and conditions (including forfeiture provisions and restrictions against transfer) contained in the Regeneron Pharmaceuticals, Inc. Amended and Restated 2000 Long Term Incentive Plan and an Agreement entered into between the registered owner of such shares and the Company. A copy of the Plan and Agreement is on file in the office of the Secretary of the Company, 777 Old Saw Mill River Road, Tarrytown, New York 10591-6707.</w:t>
      </w:r>
    </w:p>
    <w:p>
      <w:pPr>
        <w:spacing w:after="0" w:line="76" w:lineRule="exact"/>
        <w:rPr>
          <w:sz w:val="20"/>
          <w:szCs w:val="20"/>
          <w:color w:val="auto"/>
        </w:rPr>
      </w:pPr>
    </w:p>
    <w:p>
      <w:pPr>
        <w:ind w:left="896"/>
        <w:spacing w:after="0"/>
        <w:rPr>
          <w:sz w:val="20"/>
          <w:szCs w:val="20"/>
          <w:color w:val="auto"/>
        </w:rPr>
      </w:pPr>
      <w:r>
        <w:rPr>
          <w:rFonts w:ascii="Times New Roman" w:cs="Times New Roman" w:eastAsia="Times New Roman" w:hAnsi="Times New Roman"/>
          <w:sz w:val="18"/>
          <w:szCs w:val="18"/>
          <w:color w:val="auto"/>
        </w:rPr>
        <w:t>Such legend shall not be removed until such shares vest pursuant to the terms hereof.</w:t>
      </w:r>
    </w:p>
    <w:p>
      <w:pPr>
        <w:spacing w:after="0" w:line="131" w:lineRule="exact"/>
        <w:rPr>
          <w:sz w:val="20"/>
          <w:szCs w:val="20"/>
          <w:color w:val="auto"/>
        </w:rPr>
      </w:pPr>
    </w:p>
    <w:p>
      <w:pPr>
        <w:ind w:left="896" w:right="240" w:hanging="437"/>
        <w:spacing w:after="0" w:line="282" w:lineRule="auto"/>
        <w:tabs>
          <w:tab w:leader="none" w:pos="89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issued pursuant to this Section 8(f), together with the stock powers relating to the shares of Restricted Stock evidenced by such certificate, shall be held by the Company unless the Committee determines otherwise.</w:t>
      </w:r>
    </w:p>
    <w:p>
      <w:pPr>
        <w:spacing w:after="0" w:line="51"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Consequences of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410845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76"/>
          </w:cols>
          <w:pgMar w:left="464" w:top="1040" w:right="359" w:bottom="1440" w:gutter="0" w:footer="0" w:header="0"/>
        </w:sectPr>
      </w:pPr>
    </w:p>
    <w:bookmarkStart w:id="12" w:name="page13"/>
    <w:bookmarkEnd w:id="12"/>
    <w:p>
      <w:pPr>
        <w:jc w:val="both"/>
        <w:ind w:left="436" w:right="240"/>
        <w:spacing w:after="0" w:line="266" w:lineRule="auto"/>
        <w:rPr>
          <w:sz w:val="20"/>
          <w:szCs w:val="20"/>
          <w:color w:val="auto"/>
        </w:rPr>
      </w:pPr>
      <w:r>
        <w:rPr>
          <w:rFonts w:ascii="Times New Roman" w:cs="Times New Roman" w:eastAsia="Times New Roman" w:hAnsi="Times New Roman"/>
          <w:sz w:val="18"/>
          <w:szCs w:val="18"/>
          <w:color w:val="auto"/>
        </w:rPr>
        <w:t>Upon the vesting of a share of Restricted Stock pursuant to the terms hereof, the restrictions of Section 8(d) shall lapse with respect to such share. Reasonably promptly after a share of Restricted Stock vests, the Company shall cause to be delivered to the Participant to whom such shares were granted, a certificate evidencing such share, free of the legend set forth in Section 8(f).</w:t>
      </w:r>
    </w:p>
    <w:p>
      <w:pPr>
        <w:spacing w:after="0" w:line="80" w:lineRule="exact"/>
        <w:rPr>
          <w:sz w:val="20"/>
          <w:szCs w:val="20"/>
          <w:color w:val="auto"/>
        </w:rPr>
      </w:pPr>
    </w:p>
    <w:p>
      <w:pPr>
        <w:ind w:left="436" w:hanging="436"/>
        <w:spacing w:after="0"/>
        <w:tabs>
          <w:tab w:leader="none" w:pos="4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Termination of Employment</w:t>
      </w:r>
    </w:p>
    <w:p>
      <w:pPr>
        <w:spacing w:after="0" w:line="119" w:lineRule="exact"/>
        <w:rPr>
          <w:rFonts w:ascii="Times New Roman" w:cs="Times New Roman" w:eastAsia="Times New Roman" w:hAnsi="Times New Roman"/>
          <w:sz w:val="18"/>
          <w:szCs w:val="18"/>
          <w:color w:val="auto"/>
        </w:rPr>
      </w:pPr>
    </w:p>
    <w:p>
      <w:pPr>
        <w:ind w:left="896" w:hanging="437"/>
        <w:spacing w:after="0" w:line="254" w:lineRule="auto"/>
        <w:tabs>
          <w:tab w:leader="none" w:pos="89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Committee in its sole and absolute discretion may otherwise provide in the applicable Agreement, and subject to the Committee’s amendment authority pursuant to Section 4, upon the termination of a Participant’s employment for any reason other than Cause, any and all shares to which restrictions on transferability apply shall be immediately forfeited by the Participant and transferred to, and reacquired by, the Company; provided that if the Committee, in its sole and absolute discretion, shall within thirty (30) days after such termination of employment notify the Participant in writing of its decision not to terminate the Participant’s rights in such shares, then the Participant shall continue to be the owner of such shares subject to such continuing restrictions as the Committee may prescribe in such notice. In the event of a forfeiture of shares pursuant to this section, the Company shall repay to the Participant (or the Participant’s estate) any amount paid by the Participant for such shares. In the event that the Company requires a return of shares, it shall also have the right to require the return of all dividends paid on such shares, whether by termination of any escrow arrangement under which such dividends are held or otherwise.</w:t>
      </w:r>
    </w:p>
    <w:p>
      <w:pPr>
        <w:spacing w:after="0" w:line="91" w:lineRule="exact"/>
        <w:rPr>
          <w:rFonts w:ascii="Times New Roman" w:cs="Times New Roman" w:eastAsia="Times New Roman" w:hAnsi="Times New Roman"/>
          <w:sz w:val="18"/>
          <w:szCs w:val="18"/>
          <w:color w:val="auto"/>
        </w:rPr>
      </w:pPr>
    </w:p>
    <w:p>
      <w:pPr>
        <w:jc w:val="both"/>
        <w:ind w:left="896" w:right="120" w:hanging="437"/>
        <w:spacing w:after="0" w:line="266" w:lineRule="auto"/>
        <w:tabs>
          <w:tab w:leader="none" w:pos="89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termination of a Participant’s employment for Cause, all shares of Restricted Stock granted to such Participant which have not vested as of the date of such termination shall immediately be returned to the Company, together with any dividends paid on such shares, in return for which the Company shall repay to the Participant any amount paid by the Participant for such shares.</w:t>
      </w:r>
    </w:p>
    <w:p>
      <w:pPr>
        <w:spacing w:after="0" w:line="66"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Change in Control</w:t>
      </w:r>
    </w:p>
    <w:p>
      <w:pPr>
        <w:spacing w:after="0" w:line="132" w:lineRule="exact"/>
        <w:rPr>
          <w:rFonts w:ascii="Times New Roman" w:cs="Times New Roman" w:eastAsia="Times New Roman" w:hAnsi="Times New Roman"/>
          <w:sz w:val="18"/>
          <w:szCs w:val="18"/>
          <w:color w:val="auto"/>
        </w:rPr>
      </w:pPr>
    </w:p>
    <w:p>
      <w:pPr>
        <w:ind w:left="436" w:right="2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in its sole and absolute discretion may provide, either at the time of grant or thereafter, that upon the occurrence of a Change in Control, shares of Restricted Stock which have not theretofore vested shall immediately vest in whole or in part and all restrictions on such shares shall immediately lapse in whole or in part.</w:t>
      </w:r>
    </w:p>
    <w:p>
      <w:pPr>
        <w:spacing w:after="0" w:line="79"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Provisions Regarding Awards</w:t>
      </w:r>
    </w:p>
    <w:p>
      <w:pPr>
        <w:spacing w:after="0" w:line="132" w:lineRule="exact"/>
        <w:rPr>
          <w:rFonts w:ascii="Times New Roman" w:cs="Times New Roman" w:eastAsia="Times New Roman" w:hAnsi="Times New Roman"/>
          <w:sz w:val="18"/>
          <w:szCs w:val="18"/>
          <w:color w:val="auto"/>
        </w:rPr>
      </w:pPr>
    </w:p>
    <w:p>
      <w:pPr>
        <w:ind w:left="436"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Restricted Stock granted pursuant to this Section 8 to Covered Employees may be based on the attainment by the Company of performance goals pre-established by the Committee, based on one or more of the following criteria (in each case, as determined in accordance with generally accepted accounting principles): (1) return on total shareholder equity; (2) earnings per share of Company Stock; (3) net income (before or after taxes); (4) earnings before interest, taxes, depreciation and amortization; (5) revenues; (6) return on assets; (7) market share; (8) cost reduction goals; (9) any combination of, or a specified increase in, any of the foregoing; (10) the achievement of certain target levels of discovery and/or development of products, including, without limitation, the regulatory approval of new products; (11) the achievement of certain target levels of sales of new products or licensing in or out of new drugs; (12) the achievement of certain research and development objectives; (13) the formation of joint ventures, research or development collaborations, or the completion of other corporate transactions; and (14) such other criteria as the shareholders of the Company may approve. In addition, such performance goals may be based upon the attainment of specified levels of Company performance under one or more of the measures described above relative to the performance of other corporations. To the extent permitted under Section 162(m) of the Code (including, without limitation, compliance with any requirements for shareholder approval), the Committee may designate additional business criteria on which the performance goals may be based or adjust, modify or amend the aforementioned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386715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96"/>
          </w:cols>
          <w:pgMar w:left="464" w:top="1040" w:right="239" w:bottom="1440" w:gutter="0" w:footer="0" w:header="0"/>
        </w:sectPr>
      </w:pPr>
    </w:p>
    <w:bookmarkStart w:id="13" w:name="page14"/>
    <w:bookmarkEnd w:id="13"/>
    <w:p>
      <w:pPr>
        <w:ind w:left="652" w:right="20"/>
        <w:spacing w:after="0" w:line="282" w:lineRule="auto"/>
        <w:rPr>
          <w:sz w:val="20"/>
          <w:szCs w:val="20"/>
          <w:color w:val="auto"/>
        </w:rPr>
      </w:pPr>
      <w:r>
        <w:rPr>
          <w:rFonts w:ascii="Times New Roman" w:cs="Times New Roman" w:eastAsia="Times New Roman" w:hAnsi="Times New Roman"/>
          <w:sz w:val="18"/>
          <w:szCs w:val="18"/>
          <w:color w:val="auto"/>
        </w:rPr>
        <w:t>criteria. Such shares of Restricted Stock shall be released from restrictions only after the attainment of such performance measures has been certified by the Committee.</w:t>
      </w:r>
    </w:p>
    <w:p>
      <w:pPr>
        <w:spacing w:after="0" w:line="162" w:lineRule="exact"/>
        <w:rPr>
          <w:sz w:val="20"/>
          <w:szCs w:val="20"/>
          <w:color w:val="auto"/>
        </w:rPr>
      </w:pPr>
    </w:p>
    <w:p>
      <w:pPr>
        <w:ind w:left="172" w:hanging="172"/>
        <w:spacing w:after="0"/>
        <w:tabs>
          <w:tab w:leader="none" w:pos="1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Phantom Stock</w:t>
      </w:r>
    </w:p>
    <w:p>
      <w:pPr>
        <w:spacing w:after="0" w:line="115" w:lineRule="exact"/>
        <w:rPr>
          <w:rFonts w:ascii="Times New Roman" w:cs="Times New Roman" w:eastAsia="Times New Roman" w:hAnsi="Times New Roman"/>
          <w:sz w:val="18"/>
          <w:szCs w:val="18"/>
          <w:color w:val="auto"/>
        </w:rPr>
      </w:pPr>
    </w:p>
    <w:p>
      <w:pPr>
        <w:ind w:left="652" w:hanging="436"/>
        <w:spacing w:after="0"/>
        <w:tabs>
          <w:tab w:leader="none" w:pos="65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 Date</w:t>
      </w:r>
    </w:p>
    <w:p>
      <w:pPr>
        <w:spacing w:after="0" w:line="132" w:lineRule="exact"/>
        <w:rPr>
          <w:rFonts w:ascii="Times New Roman" w:cs="Times New Roman" w:eastAsia="Times New Roman" w:hAnsi="Times New Roman"/>
          <w:sz w:val="18"/>
          <w:szCs w:val="18"/>
          <w:color w:val="auto"/>
        </w:rPr>
      </w:pPr>
    </w:p>
    <w:p>
      <w:pPr>
        <w:ind w:left="652"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31 hereof, at the time of the grant of shares of Phantom Stock, the Committee shall establish a Vesting Date or Vesting Dates with respect to such shares. The Committee may divide such shares into classes and assign a different Vesting Date for each class. Provided that all conditions to the vesting of a share of Phantom Stock imposed pursuant to Section 9(c) are satisfied, and except as provided in Section 9(d), upon the occurrence of the Vesting Date with respect to a share of Phantom Stock, such share shall vest.</w:t>
      </w:r>
    </w:p>
    <w:p>
      <w:pPr>
        <w:spacing w:after="0" w:line="83" w:lineRule="exact"/>
        <w:rPr>
          <w:rFonts w:ascii="Times New Roman" w:cs="Times New Roman" w:eastAsia="Times New Roman" w:hAnsi="Times New Roman"/>
          <w:sz w:val="18"/>
          <w:szCs w:val="18"/>
          <w:color w:val="auto"/>
        </w:rPr>
      </w:pPr>
    </w:p>
    <w:p>
      <w:pPr>
        <w:ind w:left="652" w:hanging="436"/>
        <w:spacing w:after="0"/>
        <w:tabs>
          <w:tab w:leader="none" w:pos="65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Benefit Upon Vesting</w:t>
      </w:r>
    </w:p>
    <w:p>
      <w:pPr>
        <w:spacing w:after="0" w:line="132" w:lineRule="exact"/>
        <w:rPr>
          <w:rFonts w:ascii="Times New Roman" w:cs="Times New Roman" w:eastAsia="Times New Roman" w:hAnsi="Times New Roman"/>
          <w:sz w:val="18"/>
          <w:szCs w:val="18"/>
          <w:color w:val="auto"/>
        </w:rPr>
      </w:pPr>
    </w:p>
    <w:p>
      <w:pPr>
        <w:ind w:left="652"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vesting of a share of Phantom Stock, the Participant shall be entitled to receive, within thirty (30) days of the date on which such share vests, an amount, in cash and/or shares of Company Stock, as determined by the Committee, equal to the sum of (1) the Fair Market Value of a share of Company Stock on the date on which such share of Phantom Stock vests, and (2) the aggregate amount of cash dividends paid with respect to a share of Company Stock during the period commencing on the date on which the share of Phantom Stock was granted and terminating on the date on which such share vests.</w:t>
      </w:r>
    </w:p>
    <w:p>
      <w:pPr>
        <w:spacing w:after="0" w:line="87" w:lineRule="exact"/>
        <w:rPr>
          <w:rFonts w:ascii="Times New Roman" w:cs="Times New Roman" w:eastAsia="Times New Roman" w:hAnsi="Times New Roman"/>
          <w:sz w:val="18"/>
          <w:szCs w:val="18"/>
          <w:color w:val="auto"/>
        </w:rPr>
      </w:pPr>
    </w:p>
    <w:p>
      <w:pPr>
        <w:ind w:left="652" w:hanging="436"/>
        <w:spacing w:after="0"/>
        <w:tabs>
          <w:tab w:leader="none" w:pos="65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Vesting</w:t>
      </w:r>
    </w:p>
    <w:p>
      <w:pPr>
        <w:spacing w:after="0" w:line="132" w:lineRule="exact"/>
        <w:rPr>
          <w:rFonts w:ascii="Times New Roman" w:cs="Times New Roman" w:eastAsia="Times New Roman" w:hAnsi="Times New Roman"/>
          <w:sz w:val="18"/>
          <w:szCs w:val="18"/>
          <w:color w:val="auto"/>
        </w:rPr>
      </w:pPr>
    </w:p>
    <w:p>
      <w:pPr>
        <w:ind w:left="652"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31 hereof, at the time of the grant of shares of Phantom Stock, the Committee may impose such restrictions or conditions to the vesting of such shares as it, in its absolute discretion, deems appropriate, to be contained in the Agreement.</w:t>
      </w:r>
    </w:p>
    <w:p>
      <w:pPr>
        <w:spacing w:after="0" w:line="65" w:lineRule="exact"/>
        <w:rPr>
          <w:rFonts w:ascii="Times New Roman" w:cs="Times New Roman" w:eastAsia="Times New Roman" w:hAnsi="Times New Roman"/>
          <w:sz w:val="18"/>
          <w:szCs w:val="18"/>
          <w:color w:val="auto"/>
        </w:rPr>
      </w:pPr>
    </w:p>
    <w:p>
      <w:pPr>
        <w:ind w:left="652" w:hanging="436"/>
        <w:spacing w:after="0"/>
        <w:tabs>
          <w:tab w:leader="none" w:pos="65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Termination of Employment</w:t>
      </w:r>
    </w:p>
    <w:p>
      <w:pPr>
        <w:spacing w:after="0" w:line="132" w:lineRule="exact"/>
        <w:rPr>
          <w:rFonts w:ascii="Times New Roman" w:cs="Times New Roman" w:eastAsia="Times New Roman" w:hAnsi="Times New Roman"/>
          <w:sz w:val="18"/>
          <w:szCs w:val="18"/>
          <w:color w:val="auto"/>
        </w:rPr>
      </w:pPr>
    </w:p>
    <w:p>
      <w:pPr>
        <w:ind w:left="652"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Committee in its sole and absolute discretion may otherwise provide in the applicable Agreement, and subject to the Committee’s amendment authority pursuant to Section 4, shares of Phantom Stock that have not vested, together with any dividends credited on such shares, shall be forfeited upon the Participant’s termination of employment for any reason.</w:t>
      </w:r>
    </w:p>
    <w:p>
      <w:pPr>
        <w:spacing w:after="0" w:line="79" w:lineRule="exact"/>
        <w:rPr>
          <w:rFonts w:ascii="Times New Roman" w:cs="Times New Roman" w:eastAsia="Times New Roman" w:hAnsi="Times New Roman"/>
          <w:sz w:val="18"/>
          <w:szCs w:val="18"/>
          <w:color w:val="auto"/>
        </w:rPr>
      </w:pPr>
    </w:p>
    <w:p>
      <w:pPr>
        <w:ind w:left="652" w:hanging="436"/>
        <w:spacing w:after="0"/>
        <w:tabs>
          <w:tab w:leader="none" w:pos="65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Change in Control</w:t>
      </w:r>
    </w:p>
    <w:p>
      <w:pPr>
        <w:spacing w:after="0" w:line="132" w:lineRule="exact"/>
        <w:rPr>
          <w:rFonts w:ascii="Times New Roman" w:cs="Times New Roman" w:eastAsia="Times New Roman" w:hAnsi="Times New Roman"/>
          <w:sz w:val="18"/>
          <w:szCs w:val="18"/>
          <w:color w:val="auto"/>
        </w:rPr>
      </w:pPr>
    </w:p>
    <w:p>
      <w:pPr>
        <w:ind w:left="65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in its sole and absolute discretion may provide, either at the time of grant or thereafter, that upon the occurrence of a Change in Control, outstanding shares of Phantom Stock which have not theretofore vested shall immediately vest in whole or in part and payment in respect of such vested shares shall be made in accordance with the terms of this Plan.</w:t>
      </w:r>
    </w:p>
    <w:p>
      <w:pPr>
        <w:spacing w:after="0" w:line="79" w:lineRule="exact"/>
        <w:rPr>
          <w:rFonts w:ascii="Times New Roman" w:cs="Times New Roman" w:eastAsia="Times New Roman" w:hAnsi="Times New Roman"/>
          <w:sz w:val="18"/>
          <w:szCs w:val="18"/>
          <w:color w:val="auto"/>
        </w:rPr>
      </w:pPr>
    </w:p>
    <w:p>
      <w:pPr>
        <w:ind w:left="652" w:hanging="436"/>
        <w:spacing w:after="0"/>
        <w:tabs>
          <w:tab w:leader="none" w:pos="65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Provisions Regarding Awards</w:t>
      </w:r>
    </w:p>
    <w:p>
      <w:pPr>
        <w:spacing w:after="0" w:line="132" w:lineRule="exact"/>
        <w:rPr>
          <w:rFonts w:ascii="Times New Roman" w:cs="Times New Roman" w:eastAsia="Times New Roman" w:hAnsi="Times New Roman"/>
          <w:sz w:val="18"/>
          <w:szCs w:val="18"/>
          <w:color w:val="auto"/>
        </w:rPr>
      </w:pPr>
    </w:p>
    <w:p>
      <w:pPr>
        <w:ind w:left="652"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the vesting of Phantom Stock granted pursuant to this Section 9 to Covered Employees may be based on the attainment by the Company of one or more of the performance criteria set forth in Section 8(j) hereof, in each case, as determined in accordance with generally accepted accounting principles. No payment in respect of any such Phantom Stock award shall be paid to a Covered Employee until the attainment of the respective performance measures have been certified by the Committee.</w:t>
      </w:r>
    </w:p>
    <w:p>
      <w:pPr>
        <w:spacing w:after="0" w:line="180"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Bonuses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409575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1" w:right="259" w:bottom="1440" w:gutter="0" w:footer="0" w:header="0"/>
        </w:sectPr>
      </w:pPr>
    </w:p>
    <w:bookmarkStart w:id="14" w:name="page15"/>
    <w:bookmarkEnd w:id="14"/>
    <w:p>
      <w:pPr>
        <w:ind w:right="160" w:firstLine="225"/>
        <w:spacing w:after="0" w:line="261" w:lineRule="auto"/>
        <w:rPr>
          <w:sz w:val="20"/>
          <w:szCs w:val="20"/>
          <w:color w:val="auto"/>
        </w:rPr>
      </w:pPr>
      <w:r>
        <w:rPr>
          <w:rFonts w:ascii="Times New Roman" w:cs="Times New Roman" w:eastAsia="Times New Roman" w:hAnsi="Times New Roman"/>
          <w:sz w:val="18"/>
          <w:szCs w:val="18"/>
          <w:color w:val="auto"/>
        </w:rPr>
        <w:t>In the event that the Committee grants a Stock Bonus, a certificate for the shares of Company Stock constituting such Stock Bonus shall be issued in the name of the Participant to whom such grant was made and delivered to such Participant as soon as practicable after the date on which such Stock Bonus is payable. Covered Employees shall be eligible to receive Stock Bonus grants hereunder only after a determination of eligibility is made by the Committee, in its sole discretion.</w:t>
      </w:r>
    </w:p>
    <w:p>
      <w:pPr>
        <w:spacing w:after="0" w:line="180" w:lineRule="exact"/>
        <w:rPr>
          <w:sz w:val="20"/>
          <w:szCs w:val="20"/>
          <w:color w:val="auto"/>
        </w:rPr>
      </w:pPr>
    </w:p>
    <w:p>
      <w:pPr>
        <w:ind w:left="280" w:hanging="272"/>
        <w:spacing w:after="0"/>
        <w:tabs>
          <w:tab w:leader="none" w:pos="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Awards</w:t>
      </w:r>
    </w:p>
    <w:p>
      <w:pPr>
        <w:spacing w:after="0" w:line="117" w:lineRule="exact"/>
        <w:rPr>
          <w:sz w:val="20"/>
          <w:szCs w:val="20"/>
          <w:color w:val="auto"/>
        </w:rPr>
      </w:pPr>
    </w:p>
    <w:p>
      <w:pPr>
        <w:ind w:right="40" w:firstLine="225"/>
        <w:spacing w:after="0" w:line="261" w:lineRule="auto"/>
        <w:rPr>
          <w:sz w:val="20"/>
          <w:szCs w:val="20"/>
          <w:color w:val="auto"/>
        </w:rPr>
      </w:pPr>
      <w:r>
        <w:rPr>
          <w:rFonts w:ascii="Times New Roman" w:cs="Times New Roman" w:eastAsia="Times New Roman" w:hAnsi="Times New Roman"/>
          <w:sz w:val="18"/>
          <w:szCs w:val="18"/>
          <w:color w:val="auto"/>
        </w:rPr>
        <w:t>Other forms of Awards (“Other Awards”) valued in whole or in part by reference to, or otherwise based on, Company Stock may be granted either alone or in addition to other Awards under the Plan. Subject to the provisions of the Plan, the Committee shall have sole and complete authority to determine the persons to whom and the time or times at which such Other Awards shall be granted, the number of shares of Company Stock to be granted pursuant to such Other Awards and all other conditions of such Other Awards, subject to Section 31 hereof.</w:t>
      </w:r>
    </w:p>
    <w:p>
      <w:pPr>
        <w:spacing w:after="0" w:line="180" w:lineRule="exact"/>
        <w:rPr>
          <w:sz w:val="20"/>
          <w:szCs w:val="20"/>
          <w:color w:val="auto"/>
        </w:rPr>
      </w:pPr>
    </w:p>
    <w:p>
      <w:pPr>
        <w:ind w:left="280" w:hanging="272"/>
        <w:spacing w:after="0"/>
        <w:tabs>
          <w:tab w:leader="none" w:pos="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Nonemployee Director Formula Stock Options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provisions of this Section 12 shall apply only to grants of Nonqualified Stock Options to Nonemployee Directors.</w:t>
      </w:r>
    </w:p>
    <w:p>
      <w:pPr>
        <w:spacing w:after="0" w:line="115" w:lineRule="exact"/>
        <w:rPr>
          <w:sz w:val="20"/>
          <w:szCs w:val="20"/>
          <w:color w:val="auto"/>
        </w:rPr>
      </w:pPr>
    </w:p>
    <w:p>
      <w:pPr>
        <w:ind w:left="660" w:hanging="43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p>
    <w:p>
      <w:pPr>
        <w:spacing w:after="0" w:line="132" w:lineRule="exact"/>
        <w:rPr>
          <w:rFonts w:ascii="Times New Roman" w:cs="Times New Roman" w:eastAsia="Times New Roman" w:hAnsi="Times New Roman"/>
          <w:sz w:val="18"/>
          <w:szCs w:val="18"/>
          <w:color w:val="auto"/>
        </w:rPr>
      </w:pPr>
    </w:p>
    <w:p>
      <w:pPr>
        <w:ind w:left="660"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Directors shall receive Nonqualified Stock Options under the Plan. The exercise price per share of Company Stock purchasable pursuant to a Nonqualified Stock Option granted to a Nonemployee Director shall be the Fair Market Value of a share of Company Stock on the date of grant.</w:t>
      </w:r>
    </w:p>
    <w:p>
      <w:pPr>
        <w:spacing w:after="0" w:line="79"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Timing of Grant</w:t>
      </w:r>
    </w:p>
    <w:p>
      <w:pPr>
        <w:spacing w:after="0" w:line="132" w:lineRule="exact"/>
        <w:rPr>
          <w:rFonts w:ascii="Times New Roman" w:cs="Times New Roman" w:eastAsia="Times New Roman" w:hAnsi="Times New Roman"/>
          <w:sz w:val="18"/>
          <w:szCs w:val="18"/>
          <w:color w:val="auto"/>
        </w:rPr>
      </w:pPr>
    </w:p>
    <w:p>
      <w:pPr>
        <w:ind w:left="660"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first business day (i.e., a day other than Saturday, Sunday or any other day in which the securities exchange on which the Company Stock trades is closed) following January 1 of each calendar year, each then serving Nonemployee Director shall be automatically granted a Nonqualified Stock Option to purchase 15,000 shares of Company Stock. In addition, on the date that shareholders approve this Plan, each then Nonemployee Director shall be automatically granted a Nonqualified Stock Option to purchase 5,000 shares of Company Stock.</w:t>
      </w:r>
    </w:p>
    <w:p>
      <w:pPr>
        <w:spacing w:after="0" w:line="83"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and Time of Payment</w:t>
      </w:r>
    </w:p>
    <w:p>
      <w:pPr>
        <w:spacing w:after="0" w:line="13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Nonqualified Stock Option granted under this Section 12 shall be exercised in the manner described in Section 7(c)(3).</w:t>
      </w:r>
    </w:p>
    <w:p>
      <w:pPr>
        <w:spacing w:after="0" w:line="128"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and Exercisability</w:t>
      </w:r>
    </w:p>
    <w:p>
      <w:pPr>
        <w:spacing w:after="0" w:line="132" w:lineRule="exact"/>
        <w:rPr>
          <w:rFonts w:ascii="Times New Roman" w:cs="Times New Roman" w:eastAsia="Times New Roman" w:hAnsi="Times New Roman"/>
          <w:sz w:val="18"/>
          <w:szCs w:val="18"/>
          <w:color w:val="auto"/>
        </w:rPr>
      </w:pPr>
    </w:p>
    <w:p>
      <w:pPr>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Nonqualified Stock Option granted under this Section 12 shall (1) become cumulatively exercisable as to 33-1/3% of the shares covered thereby on each of the first, second and third anniversaries of the date that the Nonqualified Stock Option is granted and (2) expire ten years from the date of grant. The exercisability of each Nonqualified Stock Option granted to a Nonemployee Director shall be subject to an acceleration of exercisability upon a Change in Control as described in Section 7(f).</w:t>
      </w:r>
    </w:p>
    <w:p>
      <w:pPr>
        <w:spacing w:after="0" w:line="83"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p>
    <w:p>
      <w:pPr>
        <w:spacing w:after="0" w:line="132" w:lineRule="exact"/>
        <w:rPr>
          <w:rFonts w:ascii="Times New Roman" w:cs="Times New Roman" w:eastAsia="Times New Roman" w:hAnsi="Times New Roman"/>
          <w:sz w:val="18"/>
          <w:szCs w:val="18"/>
          <w:color w:val="auto"/>
        </w:rPr>
      </w:pPr>
    </w:p>
    <w:p>
      <w:pPr>
        <w:ind w:left="660" w:right="2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Committee in its sole and absolute discretion may otherwise provide in an applicable Agreement, and subject to the Committee’s amendment authority pursuant to Section 4, in the event of the termination of a Nonemployee Director’s service with the Company other than for Cause, as defined in the Agreement, any outstanding Nonqualified Stock Option held by such Nonemployee Director under this Section 12, to the extent that it is exercisable on the date of such termination, may be exercised by such Nonemployee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 w:name="page16"/>
    <w:bookmarkEnd w:id="15"/>
    <w:p>
      <w:pPr>
        <w:ind w:left="660" w:right="40"/>
        <w:spacing w:after="0" w:line="255" w:lineRule="auto"/>
        <w:rPr>
          <w:sz w:val="20"/>
          <w:szCs w:val="20"/>
          <w:color w:val="auto"/>
        </w:rPr>
      </w:pPr>
      <w:r>
        <w:rPr>
          <w:rFonts w:ascii="Times New Roman" w:cs="Times New Roman" w:eastAsia="Times New Roman" w:hAnsi="Times New Roman"/>
          <w:sz w:val="18"/>
          <w:szCs w:val="18"/>
          <w:color w:val="auto"/>
        </w:rPr>
        <w:t>Director (or, if applicable, by his or her executors, administrator, legatees or distributees) during such period as may be provided in the Agreement (or as may be otherwise determined by the Committee) but in no event following the expiration of such Nonqualified Stock Option, and the remainder of the Nonqualified Stock Option which is not exercisable on the date of such termination, shall expire at the commencement of business on the date of such termination. In the event of the termination of a Nonemployee Director’s service with the Company for Cause, as defined in the Agreement, all outstanding Nonqualified Stock Options granted to such Nonemployee Director shall expire at the commencement of business on the date of such termination. For purposes of the Plan, any termination of a Nonemployee Director’s service with the Company shall not be deemed to occur if the Nonemployee Director continues to serve as consultant, employee or in any other capacity.</w:t>
      </w:r>
    </w:p>
    <w:p>
      <w:pPr>
        <w:spacing w:after="0" w:line="189" w:lineRule="exact"/>
        <w:rPr>
          <w:sz w:val="20"/>
          <w:szCs w:val="20"/>
          <w:color w:val="auto"/>
        </w:rPr>
      </w:pPr>
    </w:p>
    <w:p>
      <w:pPr>
        <w:ind w:left="280" w:hanging="272"/>
        <w:spacing w:after="0"/>
        <w:tabs>
          <w:tab w:leader="none" w:pos="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Shareholder</w:t>
      </w:r>
    </w:p>
    <w:p>
      <w:pPr>
        <w:spacing w:after="0" w:line="117" w:lineRule="exact"/>
        <w:rPr>
          <w:sz w:val="20"/>
          <w:szCs w:val="20"/>
          <w:color w:val="auto"/>
        </w:rPr>
      </w:pPr>
    </w:p>
    <w:p>
      <w:pPr>
        <w:ind w:right="120" w:firstLine="225"/>
        <w:spacing w:after="0" w:line="266" w:lineRule="auto"/>
        <w:rPr>
          <w:sz w:val="20"/>
          <w:szCs w:val="20"/>
          <w:color w:val="auto"/>
        </w:rPr>
      </w:pPr>
      <w:r>
        <w:rPr>
          <w:rFonts w:ascii="Times New Roman" w:cs="Times New Roman" w:eastAsia="Times New Roman" w:hAnsi="Times New Roman"/>
          <w:sz w:val="18"/>
          <w:szCs w:val="18"/>
          <w:color w:val="auto"/>
        </w:rPr>
        <w:t>No person shall have any rights as a shareholder with respect to any shares of Company Stock covered by or relating to any Award until the date of issuance of a stock certificate with respect to such shares. Except as otherwise expressly provided in Section 3(c), no adjustment to any Award shall be made for dividends or other rights for which the record date occurs prior to the date such stock certificate is issued.</w:t>
      </w:r>
    </w:p>
    <w:p>
      <w:pPr>
        <w:spacing w:after="0" w:line="176" w:lineRule="exact"/>
        <w:rPr>
          <w:sz w:val="20"/>
          <w:szCs w:val="20"/>
          <w:color w:val="auto"/>
        </w:rPr>
      </w:pPr>
    </w:p>
    <w:p>
      <w:pPr>
        <w:ind w:left="280" w:hanging="272"/>
        <w:spacing w:after="0"/>
        <w:tabs>
          <w:tab w:leader="none" w:pos="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Employment Rights; No Right to Award</w:t>
      </w:r>
    </w:p>
    <w:p>
      <w:pPr>
        <w:spacing w:after="0" w:line="117" w:lineRule="exact"/>
        <w:rPr>
          <w:sz w:val="20"/>
          <w:szCs w:val="20"/>
          <w:color w:val="auto"/>
        </w:rPr>
      </w:pPr>
    </w:p>
    <w:p>
      <w:pPr>
        <w:ind w:right="300" w:firstLine="225"/>
        <w:spacing w:after="0" w:line="266" w:lineRule="auto"/>
        <w:rPr>
          <w:sz w:val="20"/>
          <w:szCs w:val="20"/>
          <w:color w:val="auto"/>
        </w:rPr>
      </w:pPr>
      <w:r>
        <w:rPr>
          <w:rFonts w:ascii="Times New Roman" w:cs="Times New Roman" w:eastAsia="Times New Roman" w:hAnsi="Times New Roman"/>
          <w:sz w:val="18"/>
          <w:szCs w:val="18"/>
          <w:color w:val="auto"/>
        </w:rPr>
        <w:t>Nothing contained in the Plan or any Agreement shall confer upon any Participant any right with respect to the continuation of employment by the Company or interfere in any way with the right of the Company, subject to the terms of any separate employment agreement to the contrary, at any time to terminate such employment or to increase or decrease the compensation of the Participant.</w:t>
      </w:r>
    </w:p>
    <w:p>
      <w:pPr>
        <w:spacing w:after="0" w:line="68" w:lineRule="exact"/>
        <w:rPr>
          <w:sz w:val="20"/>
          <w:szCs w:val="20"/>
          <w:color w:val="auto"/>
        </w:rPr>
      </w:pPr>
    </w:p>
    <w:p>
      <w:pPr>
        <w:ind w:right="120" w:firstLine="225"/>
        <w:spacing w:after="0" w:line="266" w:lineRule="auto"/>
        <w:rPr>
          <w:sz w:val="20"/>
          <w:szCs w:val="20"/>
          <w:color w:val="auto"/>
        </w:rPr>
      </w:pPr>
      <w:r>
        <w:rPr>
          <w:rFonts w:ascii="Times New Roman" w:cs="Times New Roman" w:eastAsia="Times New Roman" w:hAnsi="Times New Roman"/>
          <w:sz w:val="18"/>
          <w:szCs w:val="18"/>
          <w:color w:val="auto"/>
        </w:rPr>
        <w:t>No person shall have any claim or right to receive an Award hereunder. The Committee’s granting of an Award to a participant at any time shall neither require the Committee to grant any other Award to such Participant or other person at any time or preclude the Committee from making subsequent grants to such Participant or any other person.</w:t>
      </w:r>
    </w:p>
    <w:p>
      <w:pPr>
        <w:spacing w:after="0" w:line="176" w:lineRule="exact"/>
        <w:rPr>
          <w:sz w:val="20"/>
          <w:szCs w:val="20"/>
          <w:color w:val="auto"/>
        </w:rPr>
      </w:pPr>
    </w:p>
    <w:p>
      <w:pPr>
        <w:ind w:left="280" w:hanging="272"/>
        <w:spacing w:after="0"/>
        <w:tabs>
          <w:tab w:leader="none" w:pos="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Matters</w:t>
      </w:r>
    </w:p>
    <w:p>
      <w:pPr>
        <w:spacing w:after="0" w:line="117" w:lineRule="exact"/>
        <w:rPr>
          <w:rFonts w:ascii="Times New Roman" w:cs="Times New Roman" w:eastAsia="Times New Roman" w:hAnsi="Times New Roman"/>
          <w:sz w:val="18"/>
          <w:szCs w:val="18"/>
          <w:color w:val="auto"/>
        </w:rPr>
      </w:pPr>
    </w:p>
    <w:p>
      <w:pPr>
        <w:ind w:left="660" w:right="40" w:hanging="436"/>
        <w:spacing w:after="0" w:line="255"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under no obligation to effect the registration pursuant to the Securities Act of any interests in the Plan or any shares of Company Stock to be issued hereunder or to effect similar compliance under any state laws. Notwithstanding anything herein to the contrary, the Company shall not be obligated to cause to be issued or delivered any certificates evidencing shares of Company Stock pursuant to the Plan unless and until the Company is advised by its counsel that the issuance and delivery of such certificates is in compliance with all applicable laws, regulations of governmental authority and the requirements of any securities exchange on which shares of Company Stock are traded. The Committee may require, as a condition of the issuance and delivery of certificates evidencing shares of Company Stock pursuant to the terms hereof, that the recipient of such shares make such agreements and representations, and that such certificates bear such legends, as the Committee, in its sole discretion, deems necessary or desirable.</w:t>
      </w:r>
    </w:p>
    <w:p>
      <w:pPr>
        <w:spacing w:after="0" w:line="90" w:lineRule="exact"/>
        <w:rPr>
          <w:rFonts w:ascii="Times New Roman" w:cs="Times New Roman" w:eastAsia="Times New Roman" w:hAnsi="Times New Roman"/>
          <w:sz w:val="18"/>
          <w:szCs w:val="18"/>
          <w:color w:val="auto"/>
        </w:rPr>
      </w:pPr>
    </w:p>
    <w:p>
      <w:pPr>
        <w:ind w:left="660" w:hanging="436"/>
        <w:spacing w:after="0" w:line="255"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any shares of Company Stock hereunder shall be effective only at such time as counsel to the Company shall have determined that the issuance and delivery of such shares is in compliance with all applicable laws, regulations of governmental authority and the requirements of any securities exchange on which shares of Company Stock are traded. The Committee may, in its sole discretion, defer the effectiveness of any transfer of shares of Company Stock hereunder in order to allow the issuance of such shares to be made pursuant to registration or an exemption from registration or other methods for compliance available under federal or state securities laws. The Committee shall inform the Participant in writing of its decision to defer the effectiveness of a transfer. During the period of such deferral in connection with the exercise of an Option, the Participant may, by written notice, withdraw such exercise and obtain the refund of any amount paid with respect thereto.</w:t>
      </w:r>
    </w:p>
    <w:p>
      <w:pPr>
        <w:spacing w:after="0" w:line="18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6" w:name="page17"/>
    <w:bookmarkEnd w:id="16"/>
    <w:p>
      <w:pPr>
        <w:ind w:right="140" w:firstLine="222"/>
        <w:spacing w:after="0" w:line="282" w:lineRule="auto"/>
        <w:rPr>
          <w:sz w:val="20"/>
          <w:szCs w:val="20"/>
          <w:color w:val="auto"/>
        </w:rPr>
      </w:pPr>
      <w:r>
        <w:rPr>
          <w:rFonts w:ascii="Times New Roman" w:cs="Times New Roman" w:eastAsia="Times New Roman" w:hAnsi="Times New Roman"/>
          <w:sz w:val="18"/>
          <w:szCs w:val="18"/>
          <w:color w:val="auto"/>
        </w:rPr>
        <w:t>Whenever cash is to be paid pursuant to an Award, the Company shall have the right to deduct therefrom an amount sufficient to satisfy any federal, state and local withholding tax requirements related thereto.</w:t>
      </w:r>
    </w:p>
    <w:p>
      <w:pPr>
        <w:spacing w:after="0" w:line="54" w:lineRule="exact"/>
        <w:rPr>
          <w:sz w:val="20"/>
          <w:szCs w:val="20"/>
          <w:color w:val="auto"/>
        </w:rPr>
      </w:pPr>
    </w:p>
    <w:p>
      <w:pPr>
        <w:ind w:right="20" w:firstLine="222"/>
        <w:spacing w:after="0" w:line="256" w:lineRule="auto"/>
        <w:rPr>
          <w:sz w:val="20"/>
          <w:szCs w:val="20"/>
          <w:color w:val="auto"/>
        </w:rPr>
      </w:pPr>
      <w:r>
        <w:rPr>
          <w:rFonts w:ascii="Times New Roman" w:cs="Times New Roman" w:eastAsia="Times New Roman" w:hAnsi="Times New Roman"/>
          <w:sz w:val="18"/>
          <w:szCs w:val="18"/>
          <w:color w:val="auto"/>
        </w:rPr>
        <w:t>Whenever shares of Company Stock are to be delivered pursuant to an Award, the Company shall have the right to require the Participant to remit to the Company in cash an amount sufficient to satisfy any federal, state and local withholding tax requirements related thereto. With the approval of the Committee, a Participant may satisfy the foregoing requirement by electing to have the Company withhold from delivery shares of Company Stock having a value equal to the minimum amount of tax required to be withheld. Such shares shall be valued at their Fair Market Value on the date of which the amount of tax to be withheld is determined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Fractional share amounts shall be settled in cash. Such a withholding election may be made with respect to all or any portion of the shares to be delivered pursuant to an Award.</w:t>
      </w:r>
    </w:p>
    <w:p>
      <w:pPr>
        <w:spacing w:after="0" w:line="188" w:lineRule="exact"/>
        <w:rPr>
          <w:sz w:val="20"/>
          <w:szCs w:val="20"/>
          <w:color w:val="auto"/>
        </w:rPr>
      </w:pPr>
    </w:p>
    <w:p>
      <w:pPr>
        <w:ind w:left="280" w:hanging="272"/>
        <w:spacing w:after="0"/>
        <w:tabs>
          <w:tab w:leader="none" w:pos="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Election Under Section 83(b) of the Code</w:t>
      </w:r>
    </w:p>
    <w:p>
      <w:pPr>
        <w:spacing w:after="0" w:line="117" w:lineRule="exact"/>
        <w:rPr>
          <w:sz w:val="20"/>
          <w:szCs w:val="20"/>
          <w:color w:val="auto"/>
        </w:rPr>
      </w:pPr>
    </w:p>
    <w:p>
      <w:pPr>
        <w:ind w:right="60" w:firstLine="225"/>
        <w:spacing w:after="0" w:line="282" w:lineRule="auto"/>
        <w:rPr>
          <w:sz w:val="20"/>
          <w:szCs w:val="20"/>
          <w:color w:val="auto"/>
        </w:rPr>
      </w:pPr>
      <w:r>
        <w:rPr>
          <w:rFonts w:ascii="Times New Roman" w:cs="Times New Roman" w:eastAsia="Times New Roman" w:hAnsi="Times New Roman"/>
          <w:sz w:val="18"/>
          <w:szCs w:val="18"/>
          <w:color w:val="auto"/>
        </w:rPr>
        <w:t>If any Participant shall, in connection with the acquisition of shares of Company Stock under the Plan, make the election permitted under Section 83(b) of the Code, such Participant shall notify the Company of such election within ten (10) days of filing notice of the election with the Internal Revenue Service.</w:t>
      </w:r>
    </w:p>
    <w:p>
      <w:pPr>
        <w:spacing w:after="0" w:line="162" w:lineRule="exact"/>
        <w:rPr>
          <w:sz w:val="20"/>
          <w:szCs w:val="20"/>
          <w:color w:val="auto"/>
        </w:rPr>
      </w:pPr>
    </w:p>
    <w:p>
      <w:pPr>
        <w:ind w:left="280" w:hanging="272"/>
        <w:spacing w:after="0"/>
        <w:tabs>
          <w:tab w:leader="none" w:pos="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Upon Disqualifying Disposition Under Section 421(b) of the Code</w:t>
      </w:r>
    </w:p>
    <w:p>
      <w:pPr>
        <w:spacing w:after="0" w:line="117" w:lineRule="exact"/>
        <w:rPr>
          <w:sz w:val="20"/>
          <w:szCs w:val="20"/>
          <w:color w:val="auto"/>
        </w:rPr>
      </w:pPr>
    </w:p>
    <w:p>
      <w:pPr>
        <w:ind w:right="260" w:firstLine="225"/>
        <w:spacing w:after="0" w:line="266" w:lineRule="auto"/>
        <w:rPr>
          <w:sz w:val="20"/>
          <w:szCs w:val="20"/>
          <w:color w:val="auto"/>
        </w:rPr>
      </w:pPr>
      <w:r>
        <w:rPr>
          <w:rFonts w:ascii="Times New Roman" w:cs="Times New Roman" w:eastAsia="Times New Roman" w:hAnsi="Times New Roman"/>
          <w:sz w:val="18"/>
          <w:szCs w:val="18"/>
          <w:color w:val="auto"/>
        </w:rPr>
        <w:t>Each Agreement with respect to an Incentive Stock Option shall require the Participant to notify the Company of any disposition of shares of Company Stock issued pursuant to the exercise of such Option under the circumstances described in Section 421(b) of the Code (relating to certain disqualifying dispositions), within ten (10) days of such disposition.</w:t>
      </w:r>
    </w:p>
    <w:p>
      <w:pPr>
        <w:spacing w:after="0" w:line="176" w:lineRule="exact"/>
        <w:rPr>
          <w:sz w:val="20"/>
          <w:szCs w:val="20"/>
          <w:color w:val="auto"/>
        </w:rPr>
      </w:pPr>
    </w:p>
    <w:p>
      <w:pPr>
        <w:ind w:left="280" w:hanging="272"/>
        <w:spacing w:after="0"/>
        <w:tabs>
          <w:tab w:leader="none" w:pos="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or Termination of the Plan</w:t>
      </w:r>
    </w:p>
    <w:p>
      <w:pPr>
        <w:spacing w:after="0" w:line="117" w:lineRule="exact"/>
        <w:rPr>
          <w:sz w:val="20"/>
          <w:szCs w:val="20"/>
          <w:color w:val="auto"/>
        </w:rPr>
      </w:pPr>
    </w:p>
    <w:p>
      <w:pPr>
        <w:ind w:firstLine="222"/>
        <w:spacing w:after="0" w:line="255" w:lineRule="auto"/>
        <w:rPr>
          <w:sz w:val="20"/>
          <w:szCs w:val="20"/>
          <w:color w:val="auto"/>
        </w:rPr>
      </w:pPr>
      <w:r>
        <w:rPr>
          <w:rFonts w:ascii="Times New Roman" w:cs="Times New Roman" w:eastAsia="Times New Roman" w:hAnsi="Times New Roman"/>
          <w:sz w:val="18"/>
          <w:szCs w:val="18"/>
          <w:color w:val="auto"/>
        </w:rPr>
        <w:t>The Board of Directors may, at any time, suspend or terminate the Plan or revise or amend it in any respect whatsoever; provided, however, that shareholder approval shall be required if and to the extent the Board of Directors determines that such approval is appropriate for purposes of satisfying Sections 162(m) or 422 of the Code or Rule 16b-3 or other applicable law. Awards may be granted under the Plan prior to the receipt of such shareholder approval but each such grant shall be subject in its entirety to such approval and no award may be exercised, vested or otherwise satisfied prior to the receipt of such approval. Nothing herein shall restrict the Committee’s ability to exercise its discretionary authority pursuant to Section 4, which discretion may be exercised without amendment to the Plan. No action hereunder may, without the consent of a Participant, reduce the Participant’s rights under any outstanding Award.</w:t>
      </w:r>
    </w:p>
    <w:p>
      <w:pPr>
        <w:spacing w:after="0" w:line="189" w:lineRule="exact"/>
        <w:rPr>
          <w:sz w:val="20"/>
          <w:szCs w:val="20"/>
          <w:color w:val="auto"/>
        </w:rPr>
      </w:pPr>
    </w:p>
    <w:p>
      <w:pPr>
        <w:ind w:left="280" w:hanging="272"/>
        <w:spacing w:after="0"/>
        <w:tabs>
          <w:tab w:leader="none" w:pos="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p>
    <w:p>
      <w:pPr>
        <w:spacing w:after="0" w:line="117"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Upon the death of a Participant or Nonemployee Director, outstanding Awards granted to such Participant or Nonemployee Director may be exercised only by the executor or administrator of the Participant’s or Nonemployee Director’s estate or by a person who shall have acquired the right to such exercise by will or by the laws of descent and distribution. No transfer of an Award by will or the laws of descent and distribution shall be effective to bind the Company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Award that are or would have been applicable to the Participant or Nonemployee Director and to be bound by the acknowledgments made by the Participant or Nonemployee Director in connection with the grant of the Award.</w:t>
      </w:r>
    </w:p>
    <w:p>
      <w:pPr>
        <w:spacing w:after="0" w:line="81" w:lineRule="exact"/>
        <w:rPr>
          <w:sz w:val="20"/>
          <w:szCs w:val="20"/>
          <w:color w:val="auto"/>
        </w:rPr>
      </w:pPr>
    </w:p>
    <w:p>
      <w:pPr>
        <w:ind w:right="60" w:firstLine="225"/>
        <w:spacing w:after="0" w:line="255" w:lineRule="auto"/>
        <w:rPr>
          <w:sz w:val="20"/>
          <w:szCs w:val="20"/>
          <w:color w:val="auto"/>
        </w:rPr>
      </w:pPr>
      <w:r>
        <w:rPr>
          <w:rFonts w:ascii="Times New Roman" w:cs="Times New Roman" w:eastAsia="Times New Roman" w:hAnsi="Times New Roman"/>
          <w:sz w:val="18"/>
          <w:szCs w:val="18"/>
          <w:color w:val="auto"/>
        </w:rPr>
        <w:t>During the lifetime of a Participant or Nonemployee Director, the Committee may, in its sole and absolute discretion, permit the transfer of an outstanding Option, unless such Option is an Incentive Stock Option and the Committee and the Participant intends that it shall retain such status. Subject to the approval of the Committee and to any conditions that the Committee may prescribe, a Participant or Nonemployee Director may, upon providing written notice to the Secretary of the Company, elect to transfer any or all Options granted to such Participant pursuant to the Plan to members of his or her immediate family (including, but not limited to, children, grandchildren and spouse or to trusts for the benefit of such immediate family members or to partnerships in which such family members are the only partners) or to other persons or entities approved by the Committee; provided, however, that no such transfer by any Participant or Nonemployee Director may be made in exchange for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7" w:name="page18"/>
    <w:bookmarkEnd w:id="17"/>
    <w:p>
      <w:pPr>
        <w:ind w:left="280" w:hanging="272"/>
        <w:spacing w:after="0"/>
        <w:tabs>
          <w:tab w:leader="none" w:pos="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and Receipts</w:t>
      </w:r>
    </w:p>
    <w:p>
      <w:pPr>
        <w:spacing w:after="0" w:line="117" w:lineRule="exact"/>
        <w:rPr>
          <w:sz w:val="20"/>
          <w:szCs w:val="20"/>
          <w:color w:val="auto"/>
        </w:rPr>
      </w:pPr>
    </w:p>
    <w:p>
      <w:pPr>
        <w:ind w:right="220" w:firstLine="222"/>
        <w:spacing w:after="0" w:line="282" w:lineRule="auto"/>
        <w:rPr>
          <w:sz w:val="20"/>
          <w:szCs w:val="20"/>
          <w:color w:val="auto"/>
        </w:rPr>
      </w:pPr>
      <w:r>
        <w:rPr>
          <w:rFonts w:ascii="Times New Roman" w:cs="Times New Roman" w:eastAsia="Times New Roman" w:hAnsi="Times New Roman"/>
          <w:sz w:val="18"/>
          <w:szCs w:val="18"/>
          <w:color w:val="auto"/>
        </w:rPr>
        <w:t>The expenses of the Plan shall be paid by the Company. Any proceeds received by the Company in connection with any Award shall be used for general corporate purposes.</w:t>
      </w:r>
    </w:p>
    <w:p>
      <w:pPr>
        <w:spacing w:after="0" w:line="162" w:lineRule="exact"/>
        <w:rPr>
          <w:sz w:val="20"/>
          <w:szCs w:val="20"/>
          <w:color w:val="auto"/>
        </w:rPr>
      </w:pPr>
    </w:p>
    <w:p>
      <w:pPr>
        <w:ind w:left="280" w:hanging="272"/>
        <w:spacing w:after="0"/>
        <w:tabs>
          <w:tab w:leader="none" w:pos="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Comply</w:t>
      </w:r>
    </w:p>
    <w:p>
      <w:pPr>
        <w:spacing w:after="0" w:line="117" w:lineRule="exact"/>
        <w:rPr>
          <w:sz w:val="20"/>
          <w:szCs w:val="20"/>
          <w:color w:val="auto"/>
        </w:rPr>
      </w:pPr>
    </w:p>
    <w:p>
      <w:pPr>
        <w:ind w:right="140" w:firstLine="225"/>
        <w:spacing w:after="0" w:line="261" w:lineRule="auto"/>
        <w:rPr>
          <w:sz w:val="20"/>
          <w:szCs w:val="20"/>
          <w:color w:val="auto"/>
        </w:rPr>
      </w:pPr>
      <w:r>
        <w:rPr>
          <w:rFonts w:ascii="Times New Roman" w:cs="Times New Roman" w:eastAsia="Times New Roman" w:hAnsi="Times New Roman"/>
          <w:sz w:val="18"/>
          <w:szCs w:val="18"/>
          <w:color w:val="auto"/>
        </w:rPr>
        <w:t>In addition to the remedies of the Company elsewhere provided for herein, failure by a Participant or Nonemployee Director (or beneficiary) to comply with any of the terms and conditions of the Plan or the applicable Agreement, unless such failure is remedied by such Participant or Nonemployee Director (or beneficiary) within ten days after notice of such failure by the Committee, shall be grounds for the cancellation and forfeiture of such Award, in whole or in part, as the Committee, in its absolute discretion, may determine.</w:t>
      </w:r>
    </w:p>
    <w:p>
      <w:pPr>
        <w:spacing w:after="0" w:line="180" w:lineRule="exact"/>
        <w:rPr>
          <w:sz w:val="20"/>
          <w:szCs w:val="20"/>
          <w:color w:val="auto"/>
        </w:rPr>
      </w:pPr>
    </w:p>
    <w:p>
      <w:pPr>
        <w:ind w:left="280" w:hanging="272"/>
        <w:spacing w:after="0"/>
        <w:tabs>
          <w:tab w:leader="none" w:pos="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 of Plan</w:t>
      </w:r>
    </w:p>
    <w:p>
      <w:pPr>
        <w:spacing w:after="0" w:line="117" w:lineRule="exact"/>
        <w:rPr>
          <w:sz w:val="20"/>
          <w:szCs w:val="20"/>
          <w:color w:val="auto"/>
        </w:rPr>
      </w:pPr>
    </w:p>
    <w:p>
      <w:pPr>
        <w:ind w:right="60" w:firstLine="222"/>
        <w:spacing w:after="0" w:line="266" w:lineRule="auto"/>
        <w:rPr>
          <w:sz w:val="20"/>
          <w:szCs w:val="20"/>
          <w:color w:val="auto"/>
        </w:rPr>
      </w:pPr>
      <w:r>
        <w:rPr>
          <w:rFonts w:ascii="Times New Roman" w:cs="Times New Roman" w:eastAsia="Times New Roman" w:hAnsi="Times New Roman"/>
          <w:sz w:val="18"/>
          <w:szCs w:val="18"/>
          <w:color w:val="auto"/>
        </w:rPr>
        <w:t>The Plan shall be subject to the requisite approval of the shareholders of the Company. In the absence of such approval, any Awards shall be null and void. Unless earlier terminated by the Board of Directors, the right to grant Awards under the Plan shall terminate on December 31, 2013. Awards outstanding at Plan termination shall remain in effect according to their terms and the provisions of the Plan.</w:t>
      </w:r>
    </w:p>
    <w:p>
      <w:pPr>
        <w:spacing w:after="0" w:line="176" w:lineRule="exact"/>
        <w:rPr>
          <w:sz w:val="20"/>
          <w:szCs w:val="20"/>
          <w:color w:val="auto"/>
        </w:rPr>
      </w:pPr>
    </w:p>
    <w:p>
      <w:pPr>
        <w:ind w:left="280" w:hanging="272"/>
        <w:spacing w:after="0"/>
        <w:tabs>
          <w:tab w:leader="none" w:pos="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p>
    <w:p>
      <w:pPr>
        <w:spacing w:after="0" w:line="117"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Except to the extent preempted by any applicable federal law, the Plan shall be construed and administered in accordance with the laws of the State of New York without reference to its principles of conflicts of law.</w:t>
      </w:r>
    </w:p>
    <w:p>
      <w:pPr>
        <w:spacing w:after="0" w:line="162" w:lineRule="exact"/>
        <w:rPr>
          <w:sz w:val="20"/>
          <w:szCs w:val="20"/>
          <w:color w:val="auto"/>
        </w:rPr>
      </w:pPr>
    </w:p>
    <w:p>
      <w:pPr>
        <w:ind w:left="280" w:hanging="272"/>
        <w:spacing w:after="0"/>
        <w:tabs>
          <w:tab w:leader="none" w:pos="2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 Rights</w:t>
      </w:r>
    </w:p>
    <w:p>
      <w:pPr>
        <w:spacing w:after="0" w:line="117" w:lineRule="exact"/>
        <w:rPr>
          <w:sz w:val="20"/>
          <w:szCs w:val="20"/>
          <w:color w:val="auto"/>
        </w:rPr>
      </w:pPr>
    </w:p>
    <w:p>
      <w:pPr>
        <w:ind w:right="120" w:firstLine="225"/>
        <w:spacing w:after="0" w:line="266" w:lineRule="auto"/>
        <w:rPr>
          <w:sz w:val="20"/>
          <w:szCs w:val="20"/>
          <w:color w:val="auto"/>
        </w:rPr>
      </w:pPr>
      <w:r>
        <w:rPr>
          <w:rFonts w:ascii="Times New Roman" w:cs="Times New Roman" w:eastAsia="Times New Roman" w:hAnsi="Times New Roman"/>
          <w:sz w:val="18"/>
          <w:szCs w:val="18"/>
          <w:color w:val="auto"/>
        </w:rPr>
        <w:t>No Participant shall have any claim to be granted any award under the Plan, and there is no obligation for uniformity of treatment for Participants. Except as provided specifically herein, a Participant or a transferee of an Award (including a transferee of a Nonemployee Director) shall have no rights as a shareholder with respect to any shares covered by any Award until the date of the issuance of a Company Stock certificate to him or her for such shares.</w:t>
      </w:r>
    </w:p>
    <w:p>
      <w:pPr>
        <w:spacing w:after="0" w:line="176" w:lineRule="exact"/>
        <w:rPr>
          <w:sz w:val="20"/>
          <w:szCs w:val="20"/>
          <w:color w:val="auto"/>
        </w:rPr>
      </w:pPr>
    </w:p>
    <w:p>
      <w:pPr>
        <w:ind w:left="280" w:hanging="272"/>
        <w:spacing w:after="0"/>
        <w:tabs>
          <w:tab w:leader="none" w:pos="2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Status of Awards</w:t>
      </w:r>
    </w:p>
    <w:p>
      <w:pPr>
        <w:spacing w:after="0" w:line="117" w:lineRule="exact"/>
        <w:rPr>
          <w:sz w:val="20"/>
          <w:szCs w:val="20"/>
          <w:color w:val="auto"/>
        </w:rPr>
      </w:pPr>
    </w:p>
    <w:p>
      <w:pPr>
        <w:ind w:right="40" w:firstLine="222"/>
        <w:spacing w:after="0" w:line="266" w:lineRule="auto"/>
        <w:rPr>
          <w:sz w:val="20"/>
          <w:szCs w:val="20"/>
          <w:color w:val="auto"/>
        </w:rPr>
      </w:pPr>
      <w:r>
        <w:rPr>
          <w:rFonts w:ascii="Times New Roman" w:cs="Times New Roman" w:eastAsia="Times New Roman" w:hAnsi="Times New Roman"/>
          <w:sz w:val="18"/>
          <w:szCs w:val="18"/>
          <w:color w:val="auto"/>
        </w:rPr>
        <w:t>The Plan is intended to constitute an “unfunded” plan for incentive and deferred compensation. With respect to any payments not yet made to a Participant pursuant to an Award, nothing contained in the Plan or any Agreement shall give any such Participant any rights that are greater than those of a general creditor of the Company.</w:t>
      </w:r>
    </w:p>
    <w:p>
      <w:pPr>
        <w:spacing w:after="0" w:line="176" w:lineRule="exact"/>
        <w:rPr>
          <w:sz w:val="20"/>
          <w:szCs w:val="20"/>
          <w:color w:val="auto"/>
        </w:rPr>
      </w:pPr>
    </w:p>
    <w:p>
      <w:pPr>
        <w:ind w:left="280" w:hanging="272"/>
        <w:spacing w:after="0"/>
        <w:tabs>
          <w:tab w:leader="none" w:pos="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p>
    <w:p>
      <w:pPr>
        <w:spacing w:after="0" w:line="117" w:lineRule="exact"/>
        <w:rPr>
          <w:sz w:val="20"/>
          <w:szCs w:val="20"/>
          <w:color w:val="auto"/>
        </w:rPr>
      </w:pPr>
    </w:p>
    <w:p>
      <w:pPr>
        <w:ind w:right="220" w:firstLine="225"/>
        <w:spacing w:after="0" w:line="266" w:lineRule="auto"/>
        <w:rPr>
          <w:sz w:val="20"/>
          <w:szCs w:val="20"/>
          <w:color w:val="auto"/>
        </w:rPr>
      </w:pPr>
      <w:r>
        <w:rPr>
          <w:rFonts w:ascii="Times New Roman" w:cs="Times New Roman" w:eastAsia="Times New Roman" w:hAnsi="Times New Roman"/>
          <w:sz w:val="18"/>
          <w:szCs w:val="18"/>
          <w:color w:val="auto"/>
        </w:rPr>
        <w:t>No fractional shares of Company Stock shall be issued or delivered pursuant to the Plan. The Committee shall determine whether cash, other Awards, or other property shall be issued or paid in lieu of such fractional shares or whether such fractional shares or any rights thereto shall be forfeited or otherwise eliminated.</w:t>
      </w:r>
    </w:p>
    <w:p>
      <w:pPr>
        <w:spacing w:after="0" w:line="176" w:lineRule="exact"/>
        <w:rPr>
          <w:sz w:val="20"/>
          <w:szCs w:val="20"/>
          <w:color w:val="auto"/>
        </w:rPr>
      </w:pPr>
    </w:p>
    <w:p>
      <w:pPr>
        <w:ind w:left="280" w:hanging="272"/>
        <w:spacing w:after="0"/>
        <w:tabs>
          <w:tab w:leader="none" w:pos="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Beneficiary</w:t>
      </w:r>
    </w:p>
    <w:p>
      <w:pPr>
        <w:spacing w:after="0" w:line="117" w:lineRule="exact"/>
        <w:rPr>
          <w:sz w:val="20"/>
          <w:szCs w:val="20"/>
          <w:color w:val="auto"/>
        </w:rPr>
      </w:pPr>
    </w:p>
    <w:p>
      <w:pPr>
        <w:ind w:right="20" w:firstLine="215"/>
        <w:spacing w:after="0" w:line="266" w:lineRule="auto"/>
        <w:rPr>
          <w:sz w:val="20"/>
          <w:szCs w:val="20"/>
          <w:color w:val="auto"/>
        </w:rPr>
      </w:pPr>
      <w:r>
        <w:rPr>
          <w:rFonts w:ascii="Times New Roman" w:cs="Times New Roman" w:eastAsia="Times New Roman" w:hAnsi="Times New Roman"/>
          <w:sz w:val="18"/>
          <w:szCs w:val="18"/>
          <w:color w:val="auto"/>
        </w:rPr>
        <w:t>A Participant or Nonemployee Director may file with the Committee a written designation of a beneficiary on such form as may be prescribed by the Committee and may, from time to time, amend or revoke such designation. If no designated beneficiary survives the Participant or Nonemployee Director, the executor or administrator of the Participant’s or Nonemployee Director’s estate shall be deemed to be the grantee’s beneficiary.</w:t>
      </w:r>
    </w:p>
    <w:p>
      <w:pPr>
        <w:spacing w:after="0" w:line="176" w:lineRule="exact"/>
        <w:rPr>
          <w:sz w:val="20"/>
          <w:szCs w:val="20"/>
          <w:color w:val="auto"/>
        </w:rPr>
      </w:pPr>
    </w:p>
    <w:p>
      <w:pPr>
        <w:ind w:left="280" w:hanging="272"/>
        <w:spacing w:after="0"/>
        <w:tabs>
          <w:tab w:leader="none" w:pos="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Plan is designed and intended to comply with Rule 16b-3 and, to the extent applicable, with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tions 162(m) and 409A of the Code, and all provisions hereof shall be construed in a manner to so comply.</w:t>
      </w:r>
    </w:p>
    <w:p>
      <w:pPr>
        <w:spacing w:after="0" w:line="225" w:lineRule="exact"/>
        <w:rPr>
          <w:sz w:val="20"/>
          <w:szCs w:val="20"/>
          <w:color w:val="auto"/>
        </w:rPr>
      </w:pPr>
    </w:p>
    <w:p>
      <w:pPr>
        <w:ind w:left="280" w:hanging="272"/>
        <w:spacing w:after="0"/>
        <w:tabs>
          <w:tab w:leader="none" w:pos="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p>
    <w:p>
      <w:pPr>
        <w:spacing w:after="0" w:line="117" w:lineRule="exact"/>
        <w:rPr>
          <w:sz w:val="20"/>
          <w:szCs w:val="20"/>
          <w:color w:val="auto"/>
        </w:rPr>
      </w:pPr>
    </w:p>
    <w:p>
      <w:pPr>
        <w:ind w:right="40" w:firstLine="225"/>
        <w:spacing w:after="0" w:line="282" w:lineRule="auto"/>
        <w:rPr>
          <w:sz w:val="20"/>
          <w:szCs w:val="20"/>
          <w:color w:val="auto"/>
        </w:rPr>
      </w:pPr>
      <w:r>
        <w:rPr>
          <w:rFonts w:ascii="Times New Roman" w:cs="Times New Roman" w:eastAsia="Times New Roman" w:hAnsi="Times New Roman"/>
          <w:sz w:val="18"/>
          <w:szCs w:val="18"/>
          <w:color w:val="auto"/>
        </w:rPr>
        <w:t>If any provision of the Plan is held to be invalid or unenforceable, the other provisions of the Plan shall not be affected but shall be applied as if the invalid or unenforceable provision had not been included in the Plan.</w:t>
      </w:r>
    </w:p>
    <w:p>
      <w:pPr>
        <w:spacing w:after="0" w:line="162" w:lineRule="exact"/>
        <w:rPr>
          <w:sz w:val="20"/>
          <w:szCs w:val="20"/>
          <w:color w:val="auto"/>
        </w:rPr>
      </w:pPr>
    </w:p>
    <w:p>
      <w:pPr>
        <w:ind w:left="280" w:hanging="272"/>
        <w:spacing w:after="0"/>
        <w:tabs>
          <w:tab w:leader="none" w:pos="2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Limitations on Vesting of Awards Other than Options and Stock Appreciation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Notwithstanding any provisions of the Plan to the contrary (but subject to the last two sentences of this Section 31), if the vesting condition for any Award (other than an Option or a stock appreciation right) made to a Participant who is an employee is based solely upon continued employment for a period of time, such vesting period shall not be less than 36 months for the vesting of the entire Award; provided that one third of each such Award may vest on each anniversary of the date of grant prior to the completion of such 36 month period. If the vesting condition for any Award (other than an Option or a stock appreciation right) made to a Participant who is an employee is based upon the attainment of specified performance measures, such performance vesting period shall not be less than one (1) year. The provisions of this Section 31 shall not be construed to limit the authority of the Committee to provide for accelerated vesting upon a Change in Control or upon a termination of a Participant’s employment and shall not apply to awards granted prior to April 28, 2008. In addition, the Committee may, in its discretion, grant Awards after April 28, 2008 with respect to not more than 1,000,000 shares of Company Stock which do not comply with the conditions of this Section 31 (for the avoidance of doubt it being understood that this Section 31 does not limit or restrict in any way the vesting conditions that may be applicable to Awards consisting of Options or stock appreciation rights).</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o"/>
      <w:numFmt w:val="bullet"/>
      <w:start w:val="1"/>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1."/>
      <w:numFmt w:val="decimal"/>
      <w:start w:val="2"/>
    </w:lvl>
  </w:abstractNum>
  <w:abstractNum w:abstractNumId="3">
    <w:nsid w:val="75A2A8D4"/>
    <w:multiLevelType w:val="hybridMultilevel"/>
    <w:lvl w:ilvl="0">
      <w:lvlJc w:val="left"/>
      <w:lvlText w:val="(%1)"/>
      <w:numFmt w:val="lowerLetter"/>
      <w:start w:val="1"/>
    </w:lvl>
    <w:lvl w:ilvl="1">
      <w:lvlJc w:val="left"/>
      <w:lvlText w:val="(%2)"/>
      <w:numFmt w:val="decimal"/>
      <w:start w:val="1"/>
    </w:lvl>
  </w:abstractNum>
  <w:abstractNum w:abstractNumId="4">
    <w:nsid w:val="8EDBDAB"/>
    <w:multiLevelType w:val="hybridMultilevel"/>
    <w:lvl w:ilvl="0">
      <w:lvlJc w:val="left"/>
      <w:lvlText w:val="%1"/>
      <w:numFmt w:val="lowerLetter"/>
      <w:start w:val="1"/>
    </w:lvl>
    <w:lvl w:ilvl="1">
      <w:lvlJc w:val="left"/>
      <w:lvlText w:val="(%2)"/>
      <w:numFmt w:val="decimal"/>
      <w:start w:val="3"/>
    </w:lvl>
  </w:abstractNum>
  <w:abstractNum w:abstractNumId="5">
    <w:nsid w:val="79838CB2"/>
    <w:multiLevelType w:val="hybridMultilevel"/>
    <w:lvl w:ilvl="0">
      <w:lvlJc w:val="left"/>
      <w:lvlText w:val="(%1)"/>
      <w:numFmt w:val="lowerLetter"/>
      <w:start w:val="6"/>
    </w:lvl>
    <w:lvl w:ilvl="1">
      <w:lvlJc w:val="left"/>
      <w:lvlText w:val="%2"/>
      <w:numFmt w:val="decimal"/>
      <w:start w:val="1"/>
    </w:lvl>
  </w:abstractNum>
  <w:abstractNum w:abstractNumId="6">
    <w:nsid w:val="4353D0CD"/>
    <w:multiLevelType w:val="hybridMultilevel"/>
    <w:lvl w:ilvl="0">
      <w:lvlJc w:val="left"/>
      <w:lvlText w:val="(%1)"/>
      <w:numFmt w:val="lowerLetter"/>
      <w:start w:val="15"/>
    </w:lvl>
  </w:abstractNum>
  <w:abstractNum w:abstractNumId="7">
    <w:nsid w:val="B03E0C6"/>
    <w:multiLevelType w:val="hybridMultilevel"/>
    <w:lvl w:ilvl="0">
      <w:lvlJc w:val="left"/>
      <w:lvlText w:val="%1"/>
      <w:numFmt w:val="decimal"/>
      <w:start w:val="1"/>
    </w:lvl>
    <w:lvl w:ilvl="1">
      <w:lvlJc w:val="left"/>
      <w:lvlText w:val="(%2)"/>
      <w:numFmt w:val="lowerLetter"/>
      <w:start w:val="27"/>
    </w:lvl>
  </w:abstractNum>
  <w:abstractNum w:abstractNumId="8">
    <w:nsid w:val="189A769B"/>
    <w:multiLevelType w:val="hybridMultilevel"/>
    <w:lvl w:ilvl="0">
      <w:lvlJc w:val="left"/>
      <w:lvlText w:val="%1."/>
      <w:numFmt w:val="decimal"/>
      <w:start w:val="3"/>
    </w:lvl>
    <w:lvl w:ilvl="1">
      <w:lvlJc w:val="left"/>
      <w:lvlText w:val="(%2)"/>
      <w:numFmt w:val="lowerLetter"/>
      <w:start w:val="1"/>
    </w:lvl>
  </w:abstractNum>
  <w:abstractNum w:abstractNumId="9">
    <w:nsid w:val="54E49EB4"/>
    <w:multiLevelType w:val="hybridMultilevel"/>
    <w:lvl w:ilvl="0">
      <w:lvlJc w:val="left"/>
      <w:lvlText w:val="(%1)"/>
      <w:numFmt w:val="lowerLetter"/>
      <w:start w:val="2"/>
    </w:lvl>
  </w:abstractNum>
  <w:abstractNum w:abstractNumId="10">
    <w:nsid w:val="71F32454"/>
    <w:multiLevelType w:val="hybridMultilevel"/>
    <w:lvl w:ilvl="0">
      <w:lvlJc w:val="left"/>
      <w:lvlText w:val="%1"/>
      <w:numFmt w:val="decimal"/>
      <w:start w:val="1"/>
    </w:lvl>
    <w:lvl w:ilvl="1">
      <w:lvlJc w:val="left"/>
      <w:lvlText w:val="(%2)"/>
      <w:numFmt w:val="decimal"/>
      <w:start w:val="3"/>
    </w:lvl>
  </w:abstractNum>
  <w:abstractNum w:abstractNumId="11">
    <w:nsid w:val="2CA88611"/>
    <w:multiLevelType w:val="hybridMultilevel"/>
    <w:lvl w:ilvl="0">
      <w:lvlJc w:val="left"/>
      <w:lvlText w:val="%1."/>
      <w:numFmt w:val="decimal"/>
      <w:start w:val="4"/>
    </w:lvl>
    <w:lvl w:ilvl="1">
      <w:lvlJc w:val="left"/>
      <w:lvlText w:val="%2"/>
      <w:numFmt w:val="decimal"/>
      <w:start w:val="1"/>
    </w:lvl>
  </w:abstractNum>
  <w:abstractNum w:abstractNumId="12">
    <w:nsid w:val="836C40E"/>
    <w:multiLevelType w:val="hybridMultilevel"/>
    <w:lvl w:ilvl="0">
      <w:lvlJc w:val="left"/>
      <w:lvlText w:val="%1."/>
      <w:numFmt w:val="decimal"/>
      <w:start w:val="5"/>
    </w:lvl>
  </w:abstractNum>
  <w:abstractNum w:abstractNumId="13">
    <w:nsid w:val="2901D82"/>
    <w:multiLevelType w:val="hybridMultilevel"/>
    <w:lvl w:ilvl="0">
      <w:lvlJc w:val="left"/>
      <w:lvlText w:val="%1."/>
      <w:numFmt w:val="decimal"/>
      <w:start w:val="6"/>
    </w:lvl>
  </w:abstractNum>
  <w:abstractNum w:abstractNumId="14">
    <w:nsid w:val="3A95F874"/>
    <w:multiLevelType w:val="hybridMultilevel"/>
    <w:lvl w:ilvl="0">
      <w:lvlJc w:val="left"/>
      <w:lvlText w:val="%1."/>
      <w:numFmt w:val="decimal"/>
      <w:start w:val="7"/>
    </w:lvl>
    <w:lvl w:ilvl="1">
      <w:lvlJc w:val="left"/>
      <w:lvlText w:val="(%2)"/>
      <w:numFmt w:val="lowerLetter"/>
      <w:start w:val="1"/>
    </w:lvl>
  </w:abstractNum>
  <w:abstractNum w:abstractNumId="15">
    <w:nsid w:val="8138641"/>
    <w:multiLevelType w:val="hybridMultilevel"/>
    <w:lvl w:ilvl="0">
      <w:lvlJc w:val="left"/>
      <w:lvlText w:val="(%1)"/>
      <w:numFmt w:val="lowerLetter"/>
      <w:start w:val="2"/>
    </w:lvl>
    <w:lvl w:ilvl="1">
      <w:lvlJc w:val="left"/>
      <w:lvlText w:val="(%2)"/>
      <w:numFmt w:val="decimal"/>
      <w:start w:val="1"/>
    </w:lvl>
  </w:abstractNum>
  <w:abstractNum w:abstractNumId="16">
    <w:nsid w:val="1E7FF521"/>
    <w:multiLevelType w:val="hybridMultilevel"/>
    <w:lvl w:ilvl="0">
      <w:lvlJc w:val="left"/>
      <w:lvlText w:val="(%1)"/>
      <w:numFmt w:val="lowerLetter"/>
      <w:start w:val="5"/>
    </w:lvl>
    <w:lvl w:ilvl="1">
      <w:lvlJc w:val="left"/>
      <w:lvlText w:val="(%2)"/>
      <w:numFmt w:val="decimal"/>
      <w:start w:val="1"/>
    </w:lvl>
  </w:abstractNum>
  <w:abstractNum w:abstractNumId="17">
    <w:nsid w:val="7C3DBD3D"/>
    <w:multiLevelType w:val="hybridMultilevel"/>
    <w:lvl w:ilvl="0">
      <w:lvlJc w:val="left"/>
      <w:lvlText w:val="%1."/>
      <w:numFmt w:val="decimal"/>
      <w:start w:val="8"/>
    </w:lvl>
    <w:lvl w:ilvl="1">
      <w:lvlJc w:val="left"/>
      <w:lvlText w:val="(%2)"/>
      <w:numFmt w:val="lowerLetter"/>
      <w:start w:val="1"/>
    </w:lvl>
  </w:abstractNum>
  <w:abstractNum w:abstractNumId="18">
    <w:nsid w:val="737B8DDC"/>
    <w:multiLevelType w:val="hybridMultilevel"/>
    <w:lvl w:ilvl="0">
      <w:lvlJc w:val="left"/>
      <w:lvlText w:val="(%1)"/>
      <w:numFmt w:val="lowerLetter"/>
      <w:start w:val="2"/>
    </w:lvl>
    <w:lvl w:ilvl="1">
      <w:lvlJc w:val="left"/>
      <w:lvlText w:val="(%2)"/>
      <w:numFmt w:val="decimal"/>
      <w:start w:val="1"/>
    </w:lvl>
  </w:abstractNum>
  <w:abstractNum w:abstractNumId="19">
    <w:nsid w:val="6CEAF087"/>
    <w:multiLevelType w:val="hybridMultilevel"/>
    <w:lvl w:ilvl="0">
      <w:lvlJc w:val="left"/>
      <w:lvlText w:val="%1"/>
      <w:numFmt w:val="lowerLetter"/>
      <w:start w:val="1"/>
    </w:lvl>
    <w:lvl w:ilvl="1">
      <w:lvlJc w:val="left"/>
      <w:lvlText w:val="(%2)"/>
      <w:numFmt w:val="decimal"/>
      <w:start w:val="2"/>
    </w:lvl>
  </w:abstractNum>
  <w:abstractNum w:abstractNumId="20">
    <w:nsid w:val="22221A70"/>
    <w:multiLevelType w:val="hybridMultilevel"/>
    <w:lvl w:ilvl="0">
      <w:lvlJc w:val="left"/>
      <w:lvlText w:val="(%1)"/>
      <w:numFmt w:val="lowerLetter"/>
      <w:start w:val="7"/>
    </w:lvl>
    <w:lvl w:ilvl="1">
      <w:lvlJc w:val="left"/>
      <w:lvlText w:val="%2"/>
      <w:numFmt w:val="decimal"/>
      <w:start w:val="1"/>
    </w:lvl>
  </w:abstractNum>
  <w:abstractNum w:abstractNumId="21">
    <w:nsid w:val="4516DDE9"/>
    <w:multiLevelType w:val="hybridMultilevel"/>
    <w:lvl w:ilvl="0">
      <w:lvlJc w:val="left"/>
      <w:lvlText w:val="(%1)"/>
      <w:numFmt w:val="lowerLetter"/>
      <w:start w:val="8"/>
    </w:lvl>
    <w:lvl w:ilvl="1">
      <w:lvlJc w:val="left"/>
      <w:lvlText w:val="(%2)"/>
      <w:numFmt w:val="decimal"/>
      <w:start w:val="1"/>
    </w:lvl>
  </w:abstractNum>
  <w:abstractNum w:abstractNumId="22">
    <w:nsid w:val="3006C83E"/>
    <w:multiLevelType w:val="hybridMultilevel"/>
    <w:lvl w:ilvl="0">
      <w:lvlJc w:val="left"/>
      <w:lvlText w:val="%1."/>
      <w:numFmt w:val="decimal"/>
      <w:start w:val="9"/>
    </w:lvl>
    <w:lvl w:ilvl="1">
      <w:lvlJc w:val="left"/>
      <w:lvlText w:val="(%2)"/>
      <w:numFmt w:val="lowerLetter"/>
      <w:start w:val="1"/>
    </w:lvl>
  </w:abstractNum>
  <w:abstractNum w:abstractNumId="23">
    <w:nsid w:val="614FD4A1"/>
    <w:multiLevelType w:val="hybridMultilevel"/>
    <w:lvl w:ilvl="0">
      <w:lvlJc w:val="left"/>
      <w:lvlText w:val="%1."/>
      <w:numFmt w:val="decimal"/>
      <w:start w:val="11"/>
    </w:lvl>
  </w:abstractNum>
  <w:abstractNum w:abstractNumId="24">
    <w:nsid w:val="419AC241"/>
    <w:multiLevelType w:val="hybridMultilevel"/>
    <w:lvl w:ilvl="0">
      <w:lvlJc w:val="left"/>
      <w:lvlText w:val="%1."/>
      <w:numFmt w:val="decimal"/>
      <w:start w:val="12"/>
    </w:lvl>
  </w:abstractNum>
  <w:abstractNum w:abstractNumId="25">
    <w:nsid w:val="5577F8E1"/>
    <w:multiLevelType w:val="hybridMultilevel"/>
    <w:lvl w:ilvl="0">
      <w:lvlJc w:val="left"/>
      <w:lvlText w:val="(%1)"/>
      <w:numFmt w:val="lowerLetter"/>
      <w:start w:val="1"/>
    </w:lvl>
  </w:abstractNum>
  <w:abstractNum w:abstractNumId="26">
    <w:nsid w:val="440BADFC"/>
    <w:multiLevelType w:val="hybridMultilevel"/>
    <w:lvl w:ilvl="0">
      <w:lvlJc w:val="left"/>
      <w:lvlText w:val="%1."/>
      <w:numFmt w:val="decimal"/>
      <w:start w:val="13"/>
    </w:lvl>
  </w:abstractNum>
  <w:abstractNum w:abstractNumId="27">
    <w:nsid w:val="5072367"/>
    <w:multiLevelType w:val="hybridMultilevel"/>
    <w:lvl w:ilvl="0">
      <w:lvlJc w:val="left"/>
      <w:lvlText w:val="%1."/>
      <w:numFmt w:val="decimal"/>
      <w:start w:val="14"/>
    </w:lvl>
  </w:abstractNum>
  <w:abstractNum w:abstractNumId="28">
    <w:nsid w:val="3804823E"/>
    <w:multiLevelType w:val="hybridMultilevel"/>
    <w:lvl w:ilvl="0">
      <w:lvlJc w:val="left"/>
      <w:lvlText w:val="%1."/>
      <w:numFmt w:val="decimal"/>
      <w:start w:val="15"/>
    </w:lvl>
    <w:lvl w:ilvl="1">
      <w:lvlJc w:val="left"/>
      <w:lvlText w:val="(%2)"/>
      <w:numFmt w:val="lowerLetter"/>
      <w:start w:val="1"/>
    </w:lvl>
  </w:abstractNum>
  <w:abstractNum w:abstractNumId="29">
    <w:nsid w:val="77465F01"/>
    <w:multiLevelType w:val="hybridMultilevel"/>
    <w:lvl w:ilvl="0">
      <w:lvlJc w:val="left"/>
      <w:lvlText w:val="%1."/>
      <w:numFmt w:val="decimal"/>
      <w:start w:val="17"/>
    </w:lvl>
  </w:abstractNum>
  <w:abstractNum w:abstractNumId="30">
    <w:nsid w:val="7724C67E"/>
    <w:multiLevelType w:val="hybridMultilevel"/>
    <w:lvl w:ilvl="0">
      <w:lvlJc w:val="left"/>
      <w:lvlText w:val="%1."/>
      <w:numFmt w:val="decimal"/>
      <w:start w:val="18"/>
    </w:lvl>
  </w:abstractNum>
  <w:abstractNum w:abstractNumId="31">
    <w:nsid w:val="5C482A97"/>
    <w:multiLevelType w:val="hybridMultilevel"/>
    <w:lvl w:ilvl="0">
      <w:lvlJc w:val="left"/>
      <w:lvlText w:val="%1."/>
      <w:numFmt w:val="decimal"/>
      <w:start w:val="19"/>
    </w:lvl>
  </w:abstractNum>
  <w:abstractNum w:abstractNumId="32">
    <w:nsid w:val="2463B9EA"/>
    <w:multiLevelType w:val="hybridMultilevel"/>
    <w:lvl w:ilvl="0">
      <w:lvlJc w:val="left"/>
      <w:lvlText w:val="%1."/>
      <w:numFmt w:val="decimal"/>
      <w:start w:val="20"/>
    </w:lvl>
  </w:abstractNum>
  <w:abstractNum w:abstractNumId="33">
    <w:nsid w:val="5E884ADC"/>
    <w:multiLevelType w:val="hybridMultilevel"/>
    <w:lvl w:ilvl="0">
      <w:lvlJc w:val="left"/>
      <w:lvlText w:val="%1."/>
      <w:numFmt w:val="decimal"/>
      <w:start w:val="21"/>
    </w:lvl>
  </w:abstractNum>
  <w:abstractNum w:abstractNumId="34">
    <w:nsid w:val="51EAD36B"/>
    <w:multiLevelType w:val="hybridMultilevel"/>
    <w:lvl w:ilvl="0">
      <w:lvlJc w:val="left"/>
      <w:lvlText w:val="%1."/>
      <w:numFmt w:val="decimal"/>
      <w:start w:val="22"/>
    </w:lvl>
  </w:abstractNum>
  <w:abstractNum w:abstractNumId="35">
    <w:nsid w:val="2D517796"/>
    <w:multiLevelType w:val="hybridMultilevel"/>
    <w:lvl w:ilvl="0">
      <w:lvlJc w:val="left"/>
      <w:lvlText w:val="%1."/>
      <w:numFmt w:val="decimal"/>
      <w:start w:val="23"/>
    </w:lvl>
  </w:abstractNum>
  <w:abstractNum w:abstractNumId="36">
    <w:nsid w:val="580BD78F"/>
    <w:multiLevelType w:val="hybridMultilevel"/>
    <w:lvl w:ilvl="0">
      <w:lvlJc w:val="left"/>
      <w:lvlText w:val="%1."/>
      <w:numFmt w:val="decimal"/>
      <w:start w:val="24"/>
    </w:lvl>
  </w:abstractNum>
  <w:abstractNum w:abstractNumId="37">
    <w:nsid w:val="153EA438"/>
    <w:multiLevelType w:val="hybridMultilevel"/>
    <w:lvl w:ilvl="0">
      <w:lvlJc w:val="left"/>
      <w:lvlText w:val="%1."/>
      <w:numFmt w:val="decimal"/>
      <w:start w:val="25"/>
    </w:lvl>
  </w:abstractNum>
  <w:abstractNum w:abstractNumId="38">
    <w:nsid w:val="3855585C"/>
    <w:multiLevelType w:val="hybridMultilevel"/>
    <w:lvl w:ilvl="0">
      <w:lvlJc w:val="left"/>
      <w:lvlText w:val="%1."/>
      <w:numFmt w:val="decimal"/>
      <w:start w:val="26"/>
    </w:lvl>
  </w:abstractNum>
  <w:abstractNum w:abstractNumId="39">
    <w:nsid w:val="70A64E2A"/>
    <w:multiLevelType w:val="hybridMultilevel"/>
    <w:lvl w:ilvl="0">
      <w:lvlJc w:val="left"/>
      <w:lvlText w:val="%1."/>
      <w:numFmt w:val="decimal"/>
      <w:start w:val="27"/>
    </w:lvl>
  </w:abstractNum>
  <w:abstractNum w:abstractNumId="40">
    <w:nsid w:val="6A2342EC"/>
    <w:multiLevelType w:val="hybridMultilevel"/>
    <w:lvl w:ilvl="0">
      <w:lvlJc w:val="left"/>
      <w:lvlText w:val="%1."/>
      <w:numFmt w:val="decimal"/>
      <w:start w:val="28"/>
    </w:lvl>
  </w:abstractNum>
  <w:abstractNum w:abstractNumId="41">
    <w:nsid w:val="2A487CB0"/>
    <w:multiLevelType w:val="hybridMultilevel"/>
    <w:lvl w:ilvl="0">
      <w:lvlJc w:val="left"/>
      <w:lvlText w:val="%1."/>
      <w:numFmt w:val="decimal"/>
      <w:start w:val="29"/>
    </w:lvl>
  </w:abstractNum>
  <w:abstractNum w:abstractNumId="42">
    <w:nsid w:val="1D4ED43B"/>
    <w:multiLevelType w:val="hybridMultilevel"/>
    <w:lvl w:ilvl="0">
      <w:lvlJc w:val="left"/>
      <w:lvlText w:val="%1."/>
      <w:numFmt w:val="decimal"/>
      <w:start w:val="30"/>
    </w:lvl>
  </w:abstractNum>
  <w:abstractNum w:abstractNumId="43">
    <w:nsid w:val="725A06FB"/>
    <w:multiLevelType w:val="hybridMultilevel"/>
    <w:lvl w:ilvl="0">
      <w:lvlJc w:val="left"/>
      <w:lvlText w:val="%1."/>
      <w:numFmt w:val="decimal"/>
      <w:start w:val="3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2019-12-20T02:34:48Z</dcterms:created>
  <dcterms:modified xsi:type="dcterms:W3CDTF">2019-12-20T02:34:48Z</dcterms:modified>
</cp:coreProperties>
</file>