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4"/>
          <w:szCs w:val="14"/>
          <w:color w:val="auto"/>
        </w:rPr>
        <w:t>UNITED STATES</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SECURITIES AND EXCHANGE COMMISSION</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Washington, DC 20549</w:t>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 10-Q</w:t>
      </w:r>
    </w:p>
    <w:p>
      <w:pPr>
        <w:spacing w:after="0" w:line="216" w:lineRule="exact"/>
        <w:rPr>
          <w:sz w:val="24"/>
          <w:szCs w:val="24"/>
          <w:color w:val="auto"/>
        </w:rPr>
      </w:pPr>
    </w:p>
    <w:p>
      <w:pPr>
        <w:ind w:left="440"/>
        <w:spacing w:after="0"/>
        <w:rPr>
          <w:sz w:val="20"/>
          <w:szCs w:val="20"/>
          <w:color w:val="auto"/>
        </w:rPr>
      </w:pPr>
      <w:r>
        <w:rPr>
          <w:rFonts w:ascii="Arial" w:cs="Arial" w:eastAsia="Arial" w:hAnsi="Arial"/>
          <w:sz w:val="14"/>
          <w:szCs w:val="14"/>
          <w:color w:val="auto"/>
        </w:rPr>
        <w:t>(Mark One)</w:t>
      </w:r>
    </w:p>
    <w:p>
      <w:pPr>
        <w:spacing w:after="0" w:line="36" w:lineRule="exact"/>
        <w:rPr>
          <w:sz w:val="24"/>
          <w:szCs w:val="24"/>
          <w:color w:val="auto"/>
        </w:rPr>
      </w:pPr>
    </w:p>
    <w:p>
      <w:pPr>
        <w:ind w:left="440" w:hanging="432"/>
        <w:spacing w:after="0"/>
        <w:tabs>
          <w:tab w:leader="none" w:pos="440" w:val="left"/>
        </w:tabs>
        <w:numPr>
          <w:ilvl w:val="0"/>
          <w:numId w:val="1"/>
        </w:numPr>
        <w:rPr>
          <w:rFonts w:ascii="Arial" w:cs="Arial" w:eastAsia="Arial" w:hAnsi="Arial"/>
          <w:sz w:val="14"/>
          <w:szCs w:val="14"/>
          <w:color w:val="auto"/>
        </w:rPr>
      </w:pPr>
      <w:r>
        <w:rPr>
          <w:rFonts w:ascii="Arial" w:cs="Arial" w:eastAsia="Arial" w:hAnsi="Arial"/>
          <w:sz w:val="14"/>
          <w:szCs w:val="14"/>
          <w:color w:val="auto"/>
        </w:rPr>
        <w:t>QUARTERLY REPORT PURSUANT TO SECTION 13 OR 15(d) OF THE SECURITIES EXCHANGE ACT OF 1934</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220" w:type="dxa"/>
            <w:vAlign w:val="bottom"/>
            <w:gridSpan w:val="2"/>
          </w:tcPr>
          <w:p>
            <w:pPr>
              <w:ind w:left="440"/>
              <w:spacing w:after="0"/>
              <w:rPr>
                <w:sz w:val="20"/>
                <w:szCs w:val="20"/>
                <w:color w:val="auto"/>
              </w:rPr>
            </w:pPr>
            <w:r>
              <w:rPr>
                <w:rFonts w:ascii="Arial" w:cs="Arial" w:eastAsia="Arial" w:hAnsi="Arial"/>
                <w:sz w:val="14"/>
                <w:szCs w:val="14"/>
                <w:color w:val="auto"/>
                <w:w w:val="93"/>
              </w:rPr>
              <w:t>For the quarterly period ended</w:t>
            </w:r>
          </w:p>
        </w:tc>
        <w:tc>
          <w:tcPr>
            <w:tcW w:w="20" w:type="dxa"/>
            <w:vAlign w:val="bottom"/>
          </w:tcPr>
          <w:p>
            <w:pPr>
              <w:spacing w:after="0"/>
              <w:rPr>
                <w:sz w:val="15"/>
                <w:szCs w:val="15"/>
                <w:color w:val="auto"/>
              </w:rPr>
            </w:pPr>
          </w:p>
        </w:tc>
        <w:tc>
          <w:tcPr>
            <w:tcW w:w="3700" w:type="dxa"/>
            <w:vAlign w:val="bottom"/>
            <w:gridSpan w:val="9"/>
          </w:tcPr>
          <w:p>
            <w:pPr>
              <w:ind w:left="220"/>
              <w:spacing w:after="0"/>
              <w:rPr>
                <w:sz w:val="20"/>
                <w:szCs w:val="20"/>
                <w:color w:val="auto"/>
              </w:rPr>
            </w:pPr>
            <w:r>
              <w:rPr>
                <w:rFonts w:ascii="Arial" w:cs="Arial" w:eastAsia="Arial" w:hAnsi="Arial"/>
                <w:sz w:val="14"/>
                <w:szCs w:val="14"/>
                <w:color w:val="auto"/>
              </w:rPr>
              <w:t>September 30, 2011</w:t>
            </w: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vMerge w:val="restart"/>
          </w:tcPr>
          <w:p>
            <w:pPr>
              <w:jc w:val="center"/>
              <w:ind w:left="569"/>
              <w:spacing w:after="0"/>
              <w:rPr>
                <w:sz w:val="20"/>
                <w:szCs w:val="20"/>
                <w:color w:val="auto"/>
              </w:rPr>
            </w:pPr>
            <w:r>
              <w:rPr>
                <w:rFonts w:ascii="Arial" w:cs="Arial" w:eastAsia="Arial" w:hAnsi="Arial"/>
                <w:sz w:val="14"/>
                <w:szCs w:val="14"/>
                <w:color w:val="auto"/>
                <w:w w:val="95"/>
              </w:rPr>
              <w:t>OR</w:t>
            </w: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62"/>
        </w:trPr>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9600" w:type="dxa"/>
            <w:vAlign w:val="bottom"/>
            <w:gridSpan w:val="17"/>
          </w:tcPr>
          <w:p>
            <w:pPr>
              <w:spacing w:after="0"/>
              <w:rPr>
                <w:sz w:val="20"/>
                <w:szCs w:val="20"/>
                <w:color w:val="auto"/>
              </w:rPr>
            </w:pPr>
            <w:r>
              <w:rPr>
                <w:rFonts w:ascii="Arial" w:cs="Arial" w:eastAsia="Arial" w:hAnsi="Arial"/>
                <w:sz w:val="14"/>
                <w:szCs w:val="14"/>
                <w:color w:val="auto"/>
              </w:rPr>
              <w:t>(  )   TRANSITION REPORT PURSUANT TO SECTION 13 OR 15 (d) OF THE SECURITIES EXCHANGE ACT OF 1934</w:t>
            </w:r>
          </w:p>
        </w:tc>
        <w:tc>
          <w:tcPr>
            <w:tcW w:w="0" w:type="dxa"/>
            <w:vAlign w:val="bottom"/>
          </w:tcPr>
          <w:p>
            <w:pPr>
              <w:spacing w:after="0"/>
              <w:rPr>
                <w:sz w:val="1"/>
                <w:szCs w:val="1"/>
                <w:color w:val="auto"/>
              </w:rPr>
            </w:pPr>
          </w:p>
        </w:tc>
      </w:tr>
      <w:tr>
        <w:trPr>
          <w:trHeight w:val="395"/>
        </w:trPr>
        <w:tc>
          <w:tcPr>
            <w:tcW w:w="2220" w:type="dxa"/>
            <w:vAlign w:val="bottom"/>
            <w:gridSpan w:val="2"/>
          </w:tcPr>
          <w:p>
            <w:pPr>
              <w:ind w:left="440"/>
              <w:spacing w:after="0"/>
              <w:rPr>
                <w:sz w:val="20"/>
                <w:szCs w:val="20"/>
                <w:color w:val="auto"/>
              </w:rPr>
            </w:pPr>
            <w:r>
              <w:rPr>
                <w:rFonts w:ascii="Arial" w:cs="Arial" w:eastAsia="Arial" w:hAnsi="Arial"/>
                <w:sz w:val="14"/>
                <w:szCs w:val="14"/>
                <w:color w:val="auto"/>
                <w:w w:val="97"/>
              </w:rPr>
              <w:t>For the transition period from</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6"/>
          </w:tcPr>
          <w:p>
            <w:pPr>
              <w:ind w:left="40"/>
              <w:spacing w:after="0"/>
              <w:rPr>
                <w:sz w:val="20"/>
                <w:szCs w:val="20"/>
                <w:color w:val="auto"/>
              </w:rPr>
            </w:pPr>
            <w:r>
              <w:rPr>
                <w:rFonts w:ascii="Arial" w:cs="Arial" w:eastAsia="Arial" w:hAnsi="Arial"/>
                <w:sz w:val="14"/>
                <w:szCs w:val="14"/>
                <w:color w:val="auto"/>
              </w:rPr>
              <w:t>to</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68"/>
        </w:trPr>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gridSpan w:val="3"/>
          </w:tcPr>
          <w:p>
            <w:pPr>
              <w:ind w:left="500"/>
              <w:spacing w:after="0"/>
              <w:rPr>
                <w:sz w:val="20"/>
                <w:szCs w:val="20"/>
                <w:color w:val="auto"/>
              </w:rPr>
            </w:pPr>
            <w:r>
              <w:rPr>
                <w:rFonts w:ascii="Arial" w:cs="Arial" w:eastAsia="Arial" w:hAnsi="Arial"/>
                <w:sz w:val="14"/>
                <w:szCs w:val="14"/>
                <w:color w:val="auto"/>
                <w:w w:val="96"/>
              </w:rPr>
              <w:t>Commission File Number</w:t>
            </w: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0-19034</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8"/>
              </w:rPr>
              <w:t>REGENERON PHARMACEUTICALS, INC.</w:t>
            </w:r>
          </w:p>
        </w:tc>
        <w:tc>
          <w:tcPr>
            <w:tcW w:w="25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700" w:type="dxa"/>
            <w:vAlign w:val="bottom"/>
            <w:gridSpan w:val="8"/>
          </w:tcPr>
          <w:p>
            <w:pPr>
              <w:jc w:val="center"/>
              <w:ind w:right="2040"/>
              <w:spacing w:after="0"/>
              <w:rPr>
                <w:sz w:val="20"/>
                <w:szCs w:val="20"/>
                <w:color w:val="auto"/>
              </w:rPr>
            </w:pPr>
            <w:r>
              <w:rPr>
                <w:rFonts w:ascii="Arial" w:cs="Arial" w:eastAsia="Arial" w:hAnsi="Arial"/>
                <w:sz w:val="14"/>
                <w:szCs w:val="14"/>
                <w:color w:val="auto"/>
                <w:w w:val="92"/>
              </w:rPr>
              <w:t>(Exact name of registrant as specified in its charter)</w:t>
            </w:r>
          </w:p>
        </w:tc>
        <w:tc>
          <w:tcPr>
            <w:tcW w:w="0" w:type="dxa"/>
            <w:vAlign w:val="bottom"/>
          </w:tcPr>
          <w:p>
            <w:pPr>
              <w:spacing w:after="0"/>
              <w:rPr>
                <w:sz w:val="1"/>
                <w:szCs w:val="1"/>
                <w:color w:val="auto"/>
              </w:rPr>
            </w:pPr>
          </w:p>
        </w:tc>
      </w:tr>
      <w:tr>
        <w:trPr>
          <w:trHeight w:val="331"/>
        </w:trPr>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gridSpan w:val="8"/>
          </w:tcPr>
          <w:p>
            <w:pPr>
              <w:jc w:val="center"/>
              <w:ind w:right="2749"/>
              <w:spacing w:after="0"/>
              <w:rPr>
                <w:sz w:val="20"/>
                <w:szCs w:val="20"/>
                <w:color w:val="auto"/>
              </w:rPr>
            </w:pPr>
            <w:r>
              <w:rPr>
                <w:rFonts w:ascii="Arial" w:cs="Arial" w:eastAsia="Arial" w:hAnsi="Arial"/>
                <w:sz w:val="14"/>
                <w:szCs w:val="14"/>
                <w:color w:val="auto"/>
                <w:w w:val="95"/>
              </w:rPr>
              <w:t>New York</w:t>
            </w:r>
          </w:p>
        </w:tc>
        <w:tc>
          <w:tcPr>
            <w:tcW w:w="3660" w:type="dxa"/>
            <w:vAlign w:val="bottom"/>
            <w:gridSpan w:val="5"/>
          </w:tcPr>
          <w:p>
            <w:pPr>
              <w:jc w:val="center"/>
              <w:ind w:left="1509"/>
              <w:spacing w:after="0"/>
              <w:rPr>
                <w:sz w:val="20"/>
                <w:szCs w:val="20"/>
                <w:color w:val="auto"/>
              </w:rPr>
            </w:pPr>
            <w:r>
              <w:rPr>
                <w:rFonts w:ascii="Arial" w:cs="Arial" w:eastAsia="Arial" w:hAnsi="Arial"/>
                <w:sz w:val="14"/>
                <w:szCs w:val="14"/>
                <w:color w:val="auto"/>
                <w:w w:val="90"/>
              </w:rPr>
              <w:t>13-3444607</w:t>
            </w:r>
          </w:p>
        </w:tc>
        <w:tc>
          <w:tcPr>
            <w:tcW w:w="0" w:type="dxa"/>
            <w:vAlign w:val="bottom"/>
          </w:tcPr>
          <w:p>
            <w:pPr>
              <w:spacing w:after="0"/>
              <w:rPr>
                <w:sz w:val="1"/>
                <w:szCs w:val="1"/>
                <w:color w:val="auto"/>
              </w:rPr>
            </w:pPr>
          </w:p>
        </w:tc>
      </w:tr>
      <w:tr>
        <w:trPr>
          <w:trHeight w:val="20"/>
        </w:trPr>
        <w:tc>
          <w:tcPr>
            <w:tcW w:w="22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40" w:type="dxa"/>
            <w:vAlign w:val="bottom"/>
            <w:gridSpan w:val="12"/>
          </w:tcPr>
          <w:p>
            <w:pPr>
              <w:jc w:val="center"/>
              <w:ind w:right="189"/>
              <w:spacing w:after="0"/>
              <w:rPr>
                <w:sz w:val="20"/>
                <w:szCs w:val="20"/>
                <w:color w:val="auto"/>
              </w:rPr>
            </w:pPr>
            <w:r>
              <w:rPr>
                <w:rFonts w:ascii="Arial" w:cs="Arial" w:eastAsia="Arial" w:hAnsi="Arial"/>
                <w:sz w:val="14"/>
                <w:szCs w:val="14"/>
                <w:color w:val="auto"/>
                <w:w w:val="93"/>
              </w:rPr>
              <w:t>(State or other jurisdiction of</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gridSpan w:val="3"/>
          </w:tcPr>
          <w:p>
            <w:pPr>
              <w:jc w:val="center"/>
              <w:ind w:left="369"/>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197"/>
        </w:trPr>
        <w:tc>
          <w:tcPr>
            <w:tcW w:w="5940" w:type="dxa"/>
            <w:vAlign w:val="bottom"/>
            <w:gridSpan w:val="12"/>
          </w:tcPr>
          <w:p>
            <w:pPr>
              <w:jc w:val="center"/>
              <w:ind w:right="189"/>
              <w:spacing w:after="0"/>
              <w:rPr>
                <w:sz w:val="20"/>
                <w:szCs w:val="20"/>
                <w:color w:val="auto"/>
              </w:rPr>
            </w:pPr>
            <w:r>
              <w:rPr>
                <w:rFonts w:ascii="Arial" w:cs="Arial" w:eastAsia="Arial" w:hAnsi="Arial"/>
                <w:sz w:val="14"/>
                <w:szCs w:val="14"/>
                <w:color w:val="auto"/>
                <w:w w:val="94"/>
              </w:rPr>
              <w:t>incorporation or organization)</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5940" w:type="dxa"/>
            <w:vAlign w:val="bottom"/>
            <w:gridSpan w:val="12"/>
          </w:tcPr>
          <w:p>
            <w:pPr>
              <w:jc w:val="center"/>
              <w:ind w:right="189"/>
              <w:spacing w:after="0"/>
              <w:rPr>
                <w:sz w:val="20"/>
                <w:szCs w:val="20"/>
                <w:color w:val="auto"/>
              </w:rPr>
            </w:pPr>
            <w:r>
              <w:rPr>
                <w:rFonts w:ascii="Arial" w:cs="Arial" w:eastAsia="Arial" w:hAnsi="Arial"/>
                <w:sz w:val="14"/>
                <w:szCs w:val="14"/>
                <w:color w:val="auto"/>
                <w:w w:val="96"/>
              </w:rPr>
              <w:t>777 Old Saw Mill River Road</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00" w:type="dxa"/>
            <w:vAlign w:val="bottom"/>
            <w:gridSpan w:val="9"/>
          </w:tcPr>
          <w:p>
            <w:pPr>
              <w:jc w:val="center"/>
              <w:ind w:right="2409"/>
              <w:spacing w:after="0"/>
              <w:rPr>
                <w:sz w:val="20"/>
                <w:szCs w:val="20"/>
                <w:color w:val="auto"/>
              </w:rPr>
            </w:pPr>
            <w:r>
              <w:rPr>
                <w:rFonts w:ascii="Arial" w:cs="Arial" w:eastAsia="Arial" w:hAnsi="Arial"/>
                <w:sz w:val="14"/>
                <w:szCs w:val="14"/>
                <w:color w:val="auto"/>
                <w:w w:val="93"/>
              </w:rPr>
              <w:t>Tarrytown, New York</w:t>
            </w:r>
          </w:p>
        </w:tc>
        <w:tc>
          <w:tcPr>
            <w:tcW w:w="3660" w:type="dxa"/>
            <w:vAlign w:val="bottom"/>
            <w:gridSpan w:val="5"/>
          </w:tcPr>
          <w:p>
            <w:pPr>
              <w:jc w:val="center"/>
              <w:ind w:left="1509"/>
              <w:spacing w:after="0"/>
              <w:rPr>
                <w:sz w:val="20"/>
                <w:szCs w:val="20"/>
                <w:color w:val="auto"/>
              </w:rPr>
            </w:pPr>
            <w:r>
              <w:rPr>
                <w:rFonts w:ascii="Arial" w:cs="Arial" w:eastAsia="Arial" w:hAnsi="Arial"/>
                <w:sz w:val="14"/>
                <w:szCs w:val="14"/>
                <w:color w:val="auto"/>
                <w:w w:val="90"/>
              </w:rPr>
              <w:t>10591-6707</w:t>
            </w:r>
          </w:p>
        </w:tc>
        <w:tc>
          <w:tcPr>
            <w:tcW w:w="0" w:type="dxa"/>
            <w:vAlign w:val="bottom"/>
          </w:tcPr>
          <w:p>
            <w:pPr>
              <w:spacing w:after="0"/>
              <w:rPr>
                <w:sz w:val="1"/>
                <w:szCs w:val="1"/>
                <w:color w:val="auto"/>
              </w:rPr>
            </w:pPr>
          </w:p>
        </w:tc>
      </w:tr>
      <w:tr>
        <w:trPr>
          <w:trHeight w:val="20"/>
        </w:trPr>
        <w:tc>
          <w:tcPr>
            <w:tcW w:w="2240" w:type="dxa"/>
            <w:vAlign w:val="bottom"/>
            <w:gridSpan w:val="3"/>
          </w:tcPr>
          <w:p>
            <w:pPr>
              <w:spacing w:after="0" w:line="20" w:lineRule="exact"/>
              <w:rPr>
                <w:sz w:val="1"/>
                <w:szCs w:val="1"/>
                <w:color w:val="auto"/>
              </w:rPr>
            </w:pPr>
          </w:p>
        </w:tc>
        <w:tc>
          <w:tcPr>
            <w:tcW w:w="1220" w:type="dxa"/>
            <w:vAlign w:val="bottom"/>
            <w:gridSpan w:val="4"/>
            <w:shd w:val="clear" w:color="auto" w:fill="000000"/>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40" w:type="dxa"/>
            <w:vAlign w:val="bottom"/>
            <w:gridSpan w:val="12"/>
          </w:tcPr>
          <w:p>
            <w:pPr>
              <w:jc w:val="center"/>
              <w:ind w:right="209"/>
              <w:spacing w:after="0"/>
              <w:rPr>
                <w:sz w:val="20"/>
                <w:szCs w:val="20"/>
                <w:color w:val="auto"/>
              </w:rPr>
            </w:pPr>
            <w:r>
              <w:rPr>
                <w:rFonts w:ascii="Arial" w:cs="Arial" w:eastAsia="Arial" w:hAnsi="Arial"/>
                <w:sz w:val="14"/>
                <w:szCs w:val="14"/>
                <w:color w:val="auto"/>
                <w:w w:val="94"/>
              </w:rPr>
              <w:t>(Address of principal executive offices)</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80" w:type="dxa"/>
            <w:vAlign w:val="bottom"/>
            <w:gridSpan w:val="2"/>
          </w:tcPr>
          <w:p>
            <w:pPr>
              <w:jc w:val="center"/>
              <w:ind w:right="700"/>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bl>
    <w:p>
      <w:pPr>
        <w:spacing w:after="0" w:line="203" w:lineRule="exact"/>
        <w:rPr>
          <w:sz w:val="24"/>
          <w:szCs w:val="24"/>
          <w:color w:val="auto"/>
        </w:rPr>
      </w:pPr>
    </w:p>
    <w:p>
      <w:pPr>
        <w:jc w:val="center"/>
        <w:ind w:right="40"/>
        <w:spacing w:after="0"/>
        <w:rPr>
          <w:sz w:val="20"/>
          <w:szCs w:val="20"/>
          <w:color w:val="auto"/>
        </w:rPr>
      </w:pPr>
      <w:r>
        <w:rPr>
          <w:rFonts w:ascii="Arial" w:cs="Arial" w:eastAsia="Arial" w:hAnsi="Arial"/>
          <w:sz w:val="14"/>
          <w:szCs w:val="14"/>
          <w:u w:val="single" w:color="auto"/>
          <w:color w:val="auto"/>
        </w:rPr>
        <w:t>(914) 347-7000</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(Registrant’s telephone number, including area code)</w:t>
      </w:r>
    </w:p>
    <w:p>
      <w:pPr>
        <w:spacing w:after="0" w:line="206" w:lineRule="exact"/>
        <w:rPr>
          <w:sz w:val="24"/>
          <w:szCs w:val="24"/>
          <w:color w:val="auto"/>
        </w:rPr>
      </w:pPr>
    </w:p>
    <w:p>
      <w:pPr>
        <w:ind w:right="20"/>
        <w:spacing w:after="0" w:line="29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9" w:lineRule="exact"/>
        <w:rPr>
          <w:sz w:val="24"/>
          <w:szCs w:val="24"/>
          <w:color w:val="auto"/>
        </w:rPr>
      </w:pPr>
    </w:p>
    <w:p>
      <w:pPr>
        <w:ind w:left="4280"/>
        <w:spacing w:after="0"/>
        <w:tabs>
          <w:tab w:leader="none" w:pos="4860" w:val="left"/>
          <w:tab w:leader="none" w:pos="6080" w:val="left"/>
        </w:tabs>
        <w:rPr>
          <w:sz w:val="20"/>
          <w:szCs w:val="20"/>
          <w:color w:val="auto"/>
        </w:rPr>
      </w:pPr>
      <w:r>
        <w:rPr>
          <w:rFonts w:ascii="Arial" w:cs="Arial" w:eastAsia="Arial" w:hAnsi="Arial"/>
          <w:sz w:val="14"/>
          <w:szCs w:val="14"/>
          <w:color w:val="auto"/>
        </w:rPr>
        <w:t>Yes</w:t>
      </w:r>
      <w:r>
        <w:rPr>
          <w:sz w:val="20"/>
          <w:szCs w:val="20"/>
          <w:color w:val="auto"/>
        </w:rPr>
        <w:tab/>
      </w:r>
      <w:r>
        <w:rPr>
          <w:rFonts w:ascii="Arial" w:cs="Arial" w:eastAsia="Arial" w:hAnsi="Arial"/>
          <w:sz w:val="14"/>
          <w:szCs w:val="14"/>
          <w:color w:val="auto"/>
        </w:rPr>
        <w:t>X</w:t>
      </w:r>
      <w:r>
        <w:rPr>
          <w:sz w:val="20"/>
          <w:szCs w:val="20"/>
          <w:color w:val="auto"/>
        </w:rPr>
        <w:tab/>
      </w: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2881630</wp:posOffset>
            </wp:positionH>
            <wp:positionV relativeFrom="paragraph">
              <wp:posOffset>20955</wp:posOffset>
            </wp:positionV>
            <wp:extent cx="54356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3560" cy="6985"/>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20955</wp:posOffset>
            </wp:positionV>
            <wp:extent cx="557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 cy="6985"/>
                    </a:xfrm>
                    <a:prstGeom prst="rect">
                      <a:avLst/>
                    </a:prstGeom>
                    <a:noFill/>
                  </pic:spPr>
                </pic:pic>
              </a:graphicData>
            </a:graphic>
          </wp:anchor>
        </w:drawing>
      </w:r>
    </w:p>
    <w:p>
      <w:pPr>
        <w:spacing w:after="0" w:line="214" w:lineRule="exact"/>
        <w:rPr>
          <w:sz w:val="24"/>
          <w:szCs w:val="24"/>
          <w:color w:val="auto"/>
        </w:rPr>
      </w:pPr>
    </w:p>
    <w:p>
      <w:pPr>
        <w:ind w:right="20"/>
        <w:spacing w:after="0" w:line="332"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46" w:lineRule="exact"/>
        <w:rPr>
          <w:sz w:val="24"/>
          <w:szCs w:val="24"/>
          <w:color w:val="auto"/>
        </w:rPr>
      </w:pPr>
    </w:p>
    <w:p>
      <w:pPr>
        <w:ind w:left="4280"/>
        <w:spacing w:after="0"/>
        <w:tabs>
          <w:tab w:leader="none" w:pos="4860" w:val="left"/>
          <w:tab w:leader="none" w:pos="6080" w:val="left"/>
        </w:tabs>
        <w:rPr>
          <w:sz w:val="20"/>
          <w:szCs w:val="20"/>
          <w:color w:val="auto"/>
        </w:rPr>
      </w:pPr>
      <w:r>
        <w:rPr>
          <w:rFonts w:ascii="Arial" w:cs="Arial" w:eastAsia="Arial" w:hAnsi="Arial"/>
          <w:sz w:val="14"/>
          <w:szCs w:val="14"/>
          <w:color w:val="auto"/>
        </w:rPr>
        <w:t>Yes</w:t>
      </w:r>
      <w:r>
        <w:rPr>
          <w:sz w:val="20"/>
          <w:szCs w:val="20"/>
          <w:color w:val="auto"/>
        </w:rPr>
        <w:tab/>
      </w:r>
      <w:r>
        <w:rPr>
          <w:rFonts w:ascii="Arial" w:cs="Arial" w:eastAsia="Arial" w:hAnsi="Arial"/>
          <w:sz w:val="14"/>
          <w:szCs w:val="14"/>
          <w:color w:val="auto"/>
        </w:rPr>
        <w:t>X</w:t>
      </w:r>
      <w:r>
        <w:rPr>
          <w:sz w:val="20"/>
          <w:szCs w:val="20"/>
          <w:color w:val="auto"/>
        </w:rPr>
        <w:tab/>
      </w: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2881630</wp:posOffset>
            </wp:positionH>
            <wp:positionV relativeFrom="paragraph">
              <wp:posOffset>20955</wp:posOffset>
            </wp:positionV>
            <wp:extent cx="5435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3560" cy="6985"/>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20955</wp:posOffset>
            </wp:positionV>
            <wp:extent cx="557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6985"/>
                    </a:xfrm>
                    <a:prstGeom prst="rect">
                      <a:avLst/>
                    </a:prstGeom>
                    <a:noFill/>
                  </pic:spPr>
                </pic:pic>
              </a:graphicData>
            </a:graphic>
          </wp:anchor>
        </w:drawing>
      </w:r>
    </w:p>
    <w:p>
      <w:pPr>
        <w:spacing w:after="0" w:line="214" w:lineRule="exact"/>
        <w:rPr>
          <w:sz w:val="24"/>
          <w:szCs w:val="24"/>
          <w:color w:val="auto"/>
        </w:rPr>
      </w:pPr>
    </w:p>
    <w:p>
      <w:pPr>
        <w:ind w:right="20"/>
        <w:spacing w:after="0" w:line="29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2"/>
          </w:tcPr>
          <w:p>
            <w:pPr>
              <w:spacing w:after="0"/>
              <w:rPr>
                <w:sz w:val="20"/>
                <w:szCs w:val="20"/>
                <w:color w:val="auto"/>
              </w:rPr>
            </w:pPr>
            <w:r>
              <w:rPr>
                <w:rFonts w:ascii="Arial" w:cs="Arial" w:eastAsia="Arial" w:hAnsi="Arial"/>
                <w:sz w:val="14"/>
                <w:szCs w:val="14"/>
                <w:color w:val="auto"/>
                <w:w w:val="99"/>
              </w:rPr>
              <w:t>Large accelerated filer</w:t>
            </w:r>
          </w:p>
        </w:tc>
        <w:tc>
          <w:tcPr>
            <w:tcW w:w="2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X</w:t>
            </w:r>
          </w:p>
        </w:tc>
        <w:tc>
          <w:tcPr>
            <w:tcW w:w="3560" w:type="dxa"/>
            <w:vAlign w:val="bottom"/>
          </w:tcPr>
          <w:p>
            <w:pPr>
              <w:spacing w:after="0"/>
              <w:rPr>
                <w:sz w:val="14"/>
                <w:szCs w:val="14"/>
                <w:color w:val="auto"/>
              </w:rPr>
            </w:pPr>
          </w:p>
        </w:tc>
        <w:tc>
          <w:tcPr>
            <w:tcW w:w="1840" w:type="dxa"/>
            <w:vAlign w:val="bottom"/>
          </w:tcPr>
          <w:p>
            <w:pPr>
              <w:ind w:left="780"/>
              <w:spacing w:after="0"/>
              <w:rPr>
                <w:sz w:val="20"/>
                <w:szCs w:val="20"/>
                <w:color w:val="auto"/>
              </w:rPr>
            </w:pPr>
            <w:r>
              <w:rPr>
                <w:rFonts w:ascii="Arial" w:cs="Arial" w:eastAsia="Arial" w:hAnsi="Arial"/>
                <w:sz w:val="14"/>
                <w:szCs w:val="14"/>
                <w:color w:val="auto"/>
              </w:rPr>
              <w:t>Accelerated filer</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77"/>
        </w:trPr>
        <w:tc>
          <w:tcPr>
            <w:tcW w:w="1320" w:type="dxa"/>
            <w:vAlign w:val="bottom"/>
          </w:tcPr>
          <w:p>
            <w:pPr>
              <w:spacing w:after="0"/>
              <w:rPr>
                <w:sz w:val="20"/>
                <w:szCs w:val="20"/>
                <w:color w:val="auto"/>
              </w:rPr>
            </w:pPr>
            <w:r>
              <w:rPr>
                <w:rFonts w:ascii="Arial" w:cs="Arial" w:eastAsia="Arial" w:hAnsi="Arial"/>
                <w:sz w:val="14"/>
                <w:szCs w:val="14"/>
                <w:color w:val="auto"/>
              </w:rPr>
              <w:t>Non-accelerated filer</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560" w:type="dxa"/>
            <w:vAlign w:val="bottom"/>
          </w:tcPr>
          <w:p>
            <w:pPr>
              <w:ind w:left="120"/>
              <w:spacing w:after="0"/>
              <w:rPr>
                <w:sz w:val="20"/>
                <w:szCs w:val="20"/>
                <w:color w:val="auto"/>
              </w:rPr>
            </w:pPr>
            <w:r>
              <w:rPr>
                <w:rFonts w:ascii="Arial" w:cs="Arial" w:eastAsia="Arial" w:hAnsi="Arial"/>
                <w:sz w:val="14"/>
                <w:szCs w:val="14"/>
                <w:color w:val="auto"/>
              </w:rPr>
              <w:t>(Do not check if a smaller reporting company)</w:t>
            </w:r>
          </w:p>
        </w:tc>
        <w:tc>
          <w:tcPr>
            <w:tcW w:w="2340" w:type="dxa"/>
            <w:vAlign w:val="bottom"/>
            <w:gridSpan w:val="3"/>
          </w:tcPr>
          <w:p>
            <w:pPr>
              <w:ind w:left="780"/>
              <w:spacing w:after="0"/>
              <w:rPr>
                <w:sz w:val="20"/>
                <w:szCs w:val="20"/>
                <w:color w:val="auto"/>
              </w:rPr>
            </w:pPr>
            <w:r>
              <w:rPr>
                <w:rFonts w:ascii="Arial" w:cs="Arial" w:eastAsia="Arial" w:hAnsi="Arial"/>
                <w:sz w:val="14"/>
                <w:szCs w:val="14"/>
                <w:color w:val="auto"/>
                <w:w w:val="92"/>
              </w:rPr>
              <w:t>Smaller reporting company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4880610</wp:posOffset>
            </wp:positionH>
            <wp:positionV relativeFrom="paragraph">
              <wp:posOffset>-6350</wp:posOffset>
            </wp:positionV>
            <wp:extent cx="18097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 cy="6985"/>
                    </a:xfrm>
                    <a:prstGeom prst="rect">
                      <a:avLst/>
                    </a:prstGeom>
                    <a:noFill/>
                  </pic:spPr>
                </pic:pic>
              </a:graphicData>
            </a:graphic>
          </wp:anchor>
        </w:drawing>
      </w:r>
    </w:p>
    <w:p>
      <w:pPr>
        <w:spacing w:after="0" w:line="20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2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20" w:type="dxa"/>
            <w:vAlign w:val="bottom"/>
          </w:tcPr>
          <w:p>
            <w:pPr>
              <w:ind w:left="760"/>
              <w:spacing w:after="0"/>
              <w:rPr>
                <w:sz w:val="20"/>
                <w:szCs w:val="20"/>
                <w:color w:val="auto"/>
              </w:rPr>
            </w:pPr>
            <w:r>
              <w:rPr>
                <w:rFonts w:ascii="Arial" w:cs="Arial" w:eastAsia="Arial" w:hAnsi="Arial"/>
                <w:sz w:val="14"/>
                <w:szCs w:val="14"/>
                <w:color w:val="auto"/>
                <w:w w:val="99"/>
              </w:rPr>
              <w:t>Yes</w:t>
            </w:r>
          </w:p>
        </w:tc>
        <w:tc>
          <w:tcPr>
            <w:tcW w:w="800" w:type="dxa"/>
            <w:vAlign w:val="bottom"/>
            <w:tcBorders>
              <w:bottom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X</w:t>
            </w:r>
          </w:p>
        </w:tc>
        <w:tc>
          <w:tcPr>
            <w:tcW w:w="4300" w:type="dxa"/>
            <w:vAlign w:val="bottom"/>
            <w:gridSpan w:val="3"/>
          </w:tcPr>
          <w:p>
            <w:pPr>
              <w:spacing w:after="0"/>
              <w:rPr>
                <w:sz w:val="16"/>
                <w:szCs w:val="16"/>
                <w:color w:val="auto"/>
              </w:rPr>
            </w:pPr>
          </w:p>
        </w:tc>
      </w:tr>
      <w:tr>
        <w:trPr>
          <w:trHeight w:val="363"/>
        </w:trPr>
        <w:tc>
          <w:tcPr>
            <w:tcW w:w="6040" w:type="dxa"/>
            <w:vAlign w:val="bottom"/>
            <w:gridSpan w:val="5"/>
          </w:tcPr>
          <w:p>
            <w:pPr>
              <w:spacing w:after="0"/>
              <w:rPr>
                <w:sz w:val="20"/>
                <w:szCs w:val="20"/>
                <w:color w:val="auto"/>
              </w:rPr>
            </w:pPr>
            <w:r>
              <w:rPr>
                <w:rFonts w:ascii="Arial" w:cs="Arial" w:eastAsia="Arial" w:hAnsi="Arial"/>
                <w:sz w:val="14"/>
                <w:szCs w:val="14"/>
                <w:color w:val="auto"/>
                <w:w w:val="91"/>
              </w:rPr>
              <w:t>Number of shares outstanding of each of the registrant’s classes of common stock as of October 19, 2011: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353"/>
        </w:trPr>
        <w:tc>
          <w:tcPr>
            <w:tcW w:w="214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w w:val="91"/>
              </w:rPr>
              <w:t>Class of Common Stock</w:t>
            </w:r>
          </w:p>
        </w:tc>
        <w:tc>
          <w:tcPr>
            <w:tcW w:w="250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Arial" w:cs="Arial" w:eastAsia="Arial" w:hAnsi="Arial"/>
                <w:sz w:val="14"/>
                <w:szCs w:val="14"/>
                <w:color w:val="auto"/>
              </w:rPr>
              <w:t>Number of Shares</w:t>
            </w:r>
          </w:p>
        </w:tc>
      </w:tr>
      <w:tr>
        <w:trPr>
          <w:trHeight w:val="20"/>
        </w:trPr>
        <w:tc>
          <w:tcPr>
            <w:tcW w:w="21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08"/>
        </w:trPr>
        <w:tc>
          <w:tcPr>
            <w:tcW w:w="6040" w:type="dxa"/>
            <w:vAlign w:val="bottom"/>
            <w:gridSpan w:val="5"/>
          </w:tcPr>
          <w:p>
            <w:pPr>
              <w:ind w:left="1880"/>
              <w:spacing w:after="0"/>
              <w:rPr>
                <w:sz w:val="20"/>
                <w:szCs w:val="20"/>
                <w:color w:val="auto"/>
              </w:rPr>
            </w:pPr>
            <w:r>
              <w:rPr>
                <w:rFonts w:ascii="Arial" w:cs="Arial" w:eastAsia="Arial" w:hAnsi="Arial"/>
                <w:sz w:val="14"/>
                <w:szCs w:val="14"/>
                <w:color w:val="auto"/>
              </w:rPr>
              <w:t>Class A Stock, $0.001 par value</w:t>
            </w:r>
          </w:p>
        </w:tc>
        <w:tc>
          <w:tcPr>
            <w:tcW w:w="240" w:type="dxa"/>
            <w:vAlign w:val="bottom"/>
          </w:tcPr>
          <w:p>
            <w:pPr>
              <w:spacing w:after="0"/>
              <w:rPr>
                <w:sz w:val="18"/>
                <w:szCs w:val="18"/>
                <w:color w:val="auto"/>
              </w:rPr>
            </w:pPr>
          </w:p>
        </w:tc>
        <w:tc>
          <w:tcPr>
            <w:tcW w:w="2800" w:type="dxa"/>
            <w:vAlign w:val="bottom"/>
            <w:gridSpan w:val="3"/>
          </w:tcPr>
          <w:p>
            <w:pPr>
              <w:jc w:val="right"/>
              <w:ind w:right="129"/>
              <w:spacing w:after="0"/>
              <w:rPr>
                <w:sz w:val="20"/>
                <w:szCs w:val="20"/>
                <w:color w:val="auto"/>
              </w:rPr>
            </w:pPr>
            <w:r>
              <w:rPr>
                <w:rFonts w:ascii="Arial" w:cs="Arial" w:eastAsia="Arial" w:hAnsi="Arial"/>
                <w:sz w:val="14"/>
                <w:szCs w:val="14"/>
                <w:color w:val="auto"/>
              </w:rPr>
              <w:t>2,109,512</w:t>
            </w:r>
          </w:p>
        </w:tc>
        <w:tc>
          <w:tcPr>
            <w:tcW w:w="2400" w:type="dxa"/>
            <w:vAlign w:val="bottom"/>
          </w:tcPr>
          <w:p>
            <w:pPr>
              <w:spacing w:after="0"/>
              <w:rPr>
                <w:sz w:val="18"/>
                <w:szCs w:val="18"/>
                <w:color w:val="auto"/>
              </w:rPr>
            </w:pPr>
          </w:p>
        </w:tc>
      </w:tr>
      <w:tr>
        <w:trPr>
          <w:trHeight w:val="197"/>
        </w:trPr>
        <w:tc>
          <w:tcPr>
            <w:tcW w:w="6040" w:type="dxa"/>
            <w:vAlign w:val="bottom"/>
            <w:gridSpan w:val="5"/>
          </w:tcPr>
          <w:p>
            <w:pPr>
              <w:ind w:left="1880"/>
              <w:spacing w:after="0"/>
              <w:rPr>
                <w:sz w:val="20"/>
                <w:szCs w:val="20"/>
                <w:color w:val="auto"/>
              </w:rPr>
            </w:pPr>
            <w:r>
              <w:rPr>
                <w:rFonts w:ascii="Arial" w:cs="Arial" w:eastAsia="Arial" w:hAnsi="Arial"/>
                <w:sz w:val="14"/>
                <w:szCs w:val="14"/>
                <w:color w:val="auto"/>
              </w:rPr>
              <w:t>Common Stock, $0.001 par value</w:t>
            </w:r>
          </w:p>
        </w:tc>
        <w:tc>
          <w:tcPr>
            <w:tcW w:w="240" w:type="dxa"/>
            <w:vAlign w:val="bottom"/>
          </w:tcPr>
          <w:p>
            <w:pPr>
              <w:spacing w:after="0"/>
              <w:rPr>
                <w:sz w:val="17"/>
                <w:szCs w:val="17"/>
                <w:color w:val="auto"/>
              </w:rPr>
            </w:pPr>
          </w:p>
        </w:tc>
        <w:tc>
          <w:tcPr>
            <w:tcW w:w="2800" w:type="dxa"/>
            <w:vAlign w:val="bottom"/>
            <w:gridSpan w:val="3"/>
          </w:tcPr>
          <w:p>
            <w:pPr>
              <w:jc w:val="right"/>
              <w:ind w:right="129"/>
              <w:spacing w:after="0"/>
              <w:rPr>
                <w:sz w:val="20"/>
                <w:szCs w:val="20"/>
                <w:color w:val="auto"/>
              </w:rPr>
            </w:pPr>
            <w:r>
              <w:rPr>
                <w:rFonts w:ascii="Arial" w:cs="Arial" w:eastAsia="Arial" w:hAnsi="Arial"/>
                <w:sz w:val="14"/>
                <w:szCs w:val="14"/>
                <w:color w:val="auto"/>
              </w:rPr>
              <w:t>90,466,178</w:t>
            </w:r>
          </w:p>
        </w:tc>
        <w:tc>
          <w:tcPr>
            <w:tcW w:w="2400" w:type="dxa"/>
            <w:vAlign w:val="bottom"/>
          </w:tcPr>
          <w:p>
            <w:pPr>
              <w:spacing w:after="0"/>
              <w:rPr>
                <w:sz w:val="17"/>
                <w:szCs w:val="17"/>
                <w:color w:val="auto"/>
              </w:rPr>
            </w:pPr>
          </w:p>
        </w:tc>
      </w:tr>
      <w:tr>
        <w:trPr>
          <w:trHeight w:val="305"/>
        </w:trPr>
        <w:tc>
          <w:tcPr>
            <w:tcW w:w="214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7281545</wp:posOffset>
            </wp:positionH>
            <wp:positionV relativeFrom="paragraph">
              <wp:posOffset>-12700</wp:posOffset>
            </wp:positionV>
            <wp:extent cx="1270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80"/>
          </w:cols>
          <w:pgMar w:left="220" w:top="417" w:right="1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40" w:type="dxa"/>
            <w:vAlign w:val="bottom"/>
            <w:gridSpan w:val="2"/>
          </w:tcPr>
          <w:p>
            <w:pPr>
              <w:jc w:val="center"/>
              <w:ind w:right="3249"/>
              <w:spacing w:after="0"/>
              <w:rPr>
                <w:sz w:val="20"/>
                <w:szCs w:val="20"/>
                <w:color w:val="auto"/>
              </w:rPr>
            </w:pPr>
            <w:r>
              <w:rPr>
                <w:rFonts w:ascii="Arial" w:cs="Arial" w:eastAsia="Arial" w:hAnsi="Arial"/>
                <w:sz w:val="14"/>
                <w:szCs w:val="14"/>
                <w:b w:val="1"/>
                <w:bCs w:val="1"/>
                <w:color w:val="auto"/>
              </w:rPr>
              <w:t>REGENERON PHARMACEUTICALS, INC.</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180" w:type="dxa"/>
            <w:vAlign w:val="bottom"/>
          </w:tcPr>
          <w:p>
            <w:pPr>
              <w:jc w:val="center"/>
              <w:ind w:right="3309"/>
              <w:spacing w:after="0"/>
              <w:rPr>
                <w:sz w:val="20"/>
                <w:szCs w:val="20"/>
                <w:color w:val="auto"/>
              </w:rPr>
            </w:pPr>
            <w:r>
              <w:rPr>
                <w:rFonts w:ascii="Arial" w:cs="Arial" w:eastAsia="Arial" w:hAnsi="Arial"/>
                <w:sz w:val="14"/>
                <w:szCs w:val="14"/>
                <w:b w:val="1"/>
                <w:bCs w:val="1"/>
                <w:color w:val="auto"/>
                <w:w w:val="91"/>
              </w:rPr>
              <w:t>Table of Contents</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180" w:type="dxa"/>
            <w:vAlign w:val="bottom"/>
          </w:tcPr>
          <w:p>
            <w:pPr>
              <w:jc w:val="center"/>
              <w:ind w:right="3329"/>
              <w:spacing w:after="0"/>
              <w:rPr>
                <w:sz w:val="20"/>
                <w:szCs w:val="20"/>
                <w:color w:val="auto"/>
              </w:rPr>
            </w:pPr>
            <w:r>
              <w:rPr>
                <w:rFonts w:ascii="Arial" w:cs="Arial" w:eastAsia="Arial" w:hAnsi="Arial"/>
                <w:sz w:val="14"/>
                <w:szCs w:val="14"/>
                <w:b w:val="1"/>
                <w:bCs w:val="1"/>
                <w:color w:val="auto"/>
                <w:w w:val="90"/>
              </w:rPr>
              <w:t>September 30, 2011</w:t>
            </w: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90"/>
        </w:trPr>
        <w:tc>
          <w:tcPr>
            <w:tcW w:w="380" w:type="dxa"/>
            <w:vAlign w:val="bottom"/>
            <w:tcBorders>
              <w:bottom w:val="single" w:sz="8" w:color="C0C0C0"/>
            </w:tcBorders>
          </w:tcPr>
          <w:p>
            <w:pPr>
              <w:spacing w:after="0"/>
              <w:rPr>
                <w:sz w:val="24"/>
                <w:szCs w:val="24"/>
                <w:color w:val="auto"/>
              </w:rPr>
            </w:pPr>
          </w:p>
        </w:tc>
        <w:tc>
          <w:tcPr>
            <w:tcW w:w="10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120" w:type="dxa"/>
            <w:vAlign w:val="bottom"/>
            <w:tcBorders>
              <w:bottom w:val="single" w:sz="8" w:color="C0C0C0"/>
            </w:tcBorders>
          </w:tcPr>
          <w:p>
            <w:pPr>
              <w:spacing w:after="0"/>
              <w:rPr>
                <w:sz w:val="24"/>
                <w:szCs w:val="24"/>
                <w:color w:val="auto"/>
              </w:rPr>
            </w:pPr>
          </w:p>
        </w:tc>
        <w:tc>
          <w:tcPr>
            <w:tcW w:w="220" w:type="dxa"/>
            <w:vAlign w:val="bottom"/>
            <w:tcBorders>
              <w:bottom w:val="single" w:sz="8" w:color="C0C0C0"/>
            </w:tcBorders>
          </w:tcPr>
          <w:p>
            <w:pPr>
              <w:spacing w:after="0"/>
              <w:rPr>
                <w:sz w:val="24"/>
                <w:szCs w:val="24"/>
                <w:color w:val="auto"/>
              </w:rPr>
            </w:pPr>
          </w:p>
        </w:tc>
        <w:tc>
          <w:tcPr>
            <w:tcW w:w="80" w:type="dxa"/>
            <w:vAlign w:val="bottom"/>
            <w:tcBorders>
              <w:bottom w:val="single" w:sz="8" w:color="C0C0C0"/>
            </w:tcBorders>
          </w:tcPr>
          <w:p>
            <w:pPr>
              <w:spacing w:after="0"/>
              <w:rPr>
                <w:sz w:val="24"/>
                <w:szCs w:val="24"/>
                <w:color w:val="auto"/>
              </w:rPr>
            </w:pPr>
          </w:p>
        </w:tc>
        <w:tc>
          <w:tcPr>
            <w:tcW w:w="1960" w:type="dxa"/>
            <w:vAlign w:val="bottom"/>
            <w:tcBorders>
              <w:bottom w:val="single" w:sz="8" w:color="C0C0C0"/>
            </w:tcBorders>
          </w:tcPr>
          <w:p>
            <w:pPr>
              <w:spacing w:after="0"/>
              <w:rPr>
                <w:sz w:val="24"/>
                <w:szCs w:val="24"/>
                <w:color w:val="auto"/>
              </w:rPr>
            </w:pPr>
          </w:p>
        </w:tc>
        <w:tc>
          <w:tcPr>
            <w:tcW w:w="80" w:type="dxa"/>
            <w:vAlign w:val="bottom"/>
            <w:tcBorders>
              <w:bottom w:val="single" w:sz="8" w:color="C0C0C0"/>
            </w:tcBorders>
          </w:tcPr>
          <w:p>
            <w:pPr>
              <w:spacing w:after="0"/>
              <w:rPr>
                <w:sz w:val="24"/>
                <w:szCs w:val="24"/>
                <w:color w:val="auto"/>
              </w:rPr>
            </w:pPr>
          </w:p>
        </w:tc>
        <w:tc>
          <w:tcPr>
            <w:tcW w:w="60" w:type="dxa"/>
            <w:vAlign w:val="bottom"/>
            <w:tcBorders>
              <w:bottom w:val="single" w:sz="8" w:color="C0C0C0"/>
            </w:tcBorders>
          </w:tcPr>
          <w:p>
            <w:pPr>
              <w:spacing w:after="0"/>
              <w:rPr>
                <w:sz w:val="24"/>
                <w:szCs w:val="24"/>
                <w:color w:val="auto"/>
              </w:rPr>
            </w:pPr>
          </w:p>
        </w:tc>
        <w:tc>
          <w:tcPr>
            <w:tcW w:w="6180" w:type="dxa"/>
            <w:vAlign w:val="bottom"/>
            <w:tcBorders>
              <w:bottom w:val="single" w:sz="8" w:color="C0C0C0"/>
            </w:tcBorders>
          </w:tcPr>
          <w:p>
            <w:pPr>
              <w:spacing w:after="0"/>
              <w:rPr>
                <w:sz w:val="24"/>
                <w:szCs w:val="24"/>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Page Numbers</w:t>
            </w:r>
          </w:p>
        </w:tc>
        <w:tc>
          <w:tcPr>
            <w:tcW w:w="20" w:type="dxa"/>
            <w:vAlign w:val="bottom"/>
          </w:tcPr>
          <w:p>
            <w:pPr>
              <w:spacing w:after="0"/>
              <w:rPr>
                <w:sz w:val="24"/>
                <w:szCs w:val="24"/>
                <w:color w:val="auto"/>
              </w:rPr>
            </w:pPr>
          </w:p>
        </w:tc>
      </w:tr>
      <w:tr>
        <w:trPr>
          <w:trHeight w:val="195"/>
        </w:trPr>
        <w:tc>
          <w:tcPr>
            <w:tcW w:w="760" w:type="dxa"/>
            <w:vAlign w:val="bottom"/>
            <w:gridSpan w:val="3"/>
            <w:shd w:val="clear" w:color="auto" w:fill="C0C0C0"/>
          </w:tcPr>
          <w:p>
            <w:pPr>
              <w:spacing w:after="0"/>
              <w:rPr>
                <w:sz w:val="20"/>
                <w:szCs w:val="20"/>
                <w:color w:val="auto"/>
              </w:rPr>
            </w:pPr>
            <w:r>
              <w:rPr>
                <w:rFonts w:ascii="Arial" w:cs="Arial" w:eastAsia="Arial" w:hAnsi="Arial"/>
                <w:sz w:val="14"/>
                <w:szCs w:val="14"/>
                <w:b w:val="1"/>
                <w:bCs w:val="1"/>
                <w:color w:val="auto"/>
              </w:rPr>
              <w:t>PART I</w:t>
            </w:r>
          </w:p>
        </w:tc>
        <w:tc>
          <w:tcPr>
            <w:tcW w:w="9760" w:type="dxa"/>
            <w:vAlign w:val="bottom"/>
            <w:gridSpan w:val="10"/>
            <w:shd w:val="clear" w:color="auto" w:fill="C0C0C0"/>
          </w:tcPr>
          <w:p>
            <w:pPr>
              <w:spacing w:after="0"/>
              <w:rPr>
                <w:sz w:val="20"/>
                <w:szCs w:val="20"/>
                <w:color w:val="auto"/>
              </w:rPr>
            </w:pPr>
            <w:r>
              <w:rPr>
                <w:rFonts w:ascii="Arial" w:cs="Arial" w:eastAsia="Arial" w:hAnsi="Arial"/>
                <w:sz w:val="14"/>
                <w:szCs w:val="14"/>
                <w:b w:val="1"/>
                <w:bCs w:val="1"/>
                <w:color w:val="auto"/>
              </w:rPr>
              <w:t>FINANCIAL INFORMATION</w:t>
            </w:r>
          </w:p>
        </w:tc>
        <w:tc>
          <w:tcPr>
            <w:tcW w:w="940" w:type="dxa"/>
            <w:vAlign w:val="bottom"/>
            <w:shd w:val="clear" w:color="auto" w:fill="C0C0C0"/>
          </w:tcPr>
          <w:p>
            <w:pPr>
              <w:spacing w:after="0"/>
              <w:rPr>
                <w:sz w:val="16"/>
                <w:szCs w:val="16"/>
                <w:color w:val="auto"/>
              </w:rPr>
            </w:pPr>
          </w:p>
        </w:tc>
        <w:tc>
          <w:tcPr>
            <w:tcW w:w="20" w:type="dxa"/>
            <w:vAlign w:val="bottom"/>
          </w:tcPr>
          <w:p>
            <w:pPr>
              <w:spacing w:after="0"/>
              <w:rPr>
                <w:sz w:val="16"/>
                <w:szCs w:val="16"/>
                <w:color w:val="auto"/>
              </w:rPr>
            </w:pPr>
          </w:p>
        </w:tc>
      </w:tr>
      <w:tr>
        <w:trPr>
          <w:trHeight w:val="197"/>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7"/>
        </w:trPr>
        <w:tc>
          <w:tcPr>
            <w:tcW w:w="760" w:type="dxa"/>
            <w:vAlign w:val="bottom"/>
            <w:gridSpan w:val="3"/>
            <w:shd w:val="clear" w:color="auto" w:fill="C0C0C0"/>
          </w:tcPr>
          <w:p>
            <w:pPr>
              <w:spacing w:after="0" w:line="153" w:lineRule="exact"/>
              <w:rPr>
                <w:sz w:val="20"/>
                <w:szCs w:val="20"/>
                <w:color w:val="auto"/>
              </w:rPr>
            </w:pPr>
            <w:r>
              <w:rPr>
                <w:rFonts w:ascii="Arial" w:cs="Arial" w:eastAsia="Arial" w:hAnsi="Arial"/>
                <w:sz w:val="14"/>
                <w:szCs w:val="14"/>
                <w:color w:val="auto"/>
              </w:rPr>
              <w:t>Item 1</w:t>
            </w:r>
          </w:p>
        </w:tc>
        <w:tc>
          <w:tcPr>
            <w:tcW w:w="9760" w:type="dxa"/>
            <w:vAlign w:val="bottom"/>
            <w:gridSpan w:val="10"/>
            <w:shd w:val="clear" w:color="auto" w:fill="C0C0C0"/>
          </w:tcPr>
          <w:p>
            <w:pPr>
              <w:spacing w:after="0" w:line="153" w:lineRule="exact"/>
              <w:rPr>
                <w:sz w:val="20"/>
                <w:szCs w:val="20"/>
                <w:color w:val="auto"/>
              </w:rPr>
            </w:pPr>
            <w:r>
              <w:rPr>
                <w:rFonts w:ascii="Arial" w:cs="Arial" w:eastAsia="Arial" w:hAnsi="Arial"/>
                <w:sz w:val="14"/>
                <w:szCs w:val="14"/>
                <w:color w:val="auto"/>
              </w:rPr>
              <w:t>Financial Statements</w:t>
            </w:r>
          </w:p>
        </w:tc>
        <w:tc>
          <w:tcPr>
            <w:tcW w:w="940" w:type="dxa"/>
            <w:vAlign w:val="bottom"/>
            <w:shd w:val="clear" w:color="auto" w:fill="C0C0C0"/>
          </w:tcPr>
          <w:p>
            <w:pPr>
              <w:spacing w:after="0"/>
              <w:rPr>
                <w:sz w:val="15"/>
                <w:szCs w:val="15"/>
                <w:color w:val="auto"/>
              </w:rPr>
            </w:pPr>
          </w:p>
        </w:tc>
        <w:tc>
          <w:tcPr>
            <w:tcW w:w="20" w:type="dxa"/>
            <w:vAlign w:val="bottom"/>
          </w:tcPr>
          <w:p>
            <w:pPr>
              <w:spacing w:after="0"/>
              <w:rPr>
                <w:sz w:val="15"/>
                <w:szCs w:val="15"/>
                <w:color w:val="auto"/>
              </w:rPr>
            </w:pPr>
          </w:p>
        </w:tc>
      </w:tr>
      <w:tr>
        <w:trPr>
          <w:trHeight w:val="197"/>
        </w:trPr>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280" w:type="dxa"/>
            <w:vAlign w:val="bottom"/>
            <w:tcBorders>
              <w:top w:val="single" w:sz="8" w:color="C0C0C0"/>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C0C0C0"/>
            </w:tcBorders>
          </w:tcPr>
          <w:p>
            <w:pPr>
              <w:spacing w:after="0"/>
              <w:rPr>
                <w:sz w:val="17"/>
                <w:szCs w:val="17"/>
                <w:color w:val="auto"/>
              </w:rPr>
            </w:pPr>
          </w:p>
        </w:tc>
        <w:tc>
          <w:tcPr>
            <w:tcW w:w="80" w:type="dxa"/>
            <w:vAlign w:val="bottom"/>
            <w:tcBorders>
              <w:top w:val="single" w:sz="8" w:color="C0C0C0"/>
            </w:tcBorders>
          </w:tcPr>
          <w:p>
            <w:pPr>
              <w:spacing w:after="0"/>
              <w:rPr>
                <w:sz w:val="17"/>
                <w:szCs w:val="17"/>
                <w:color w:val="auto"/>
              </w:rPr>
            </w:pPr>
          </w:p>
        </w:tc>
        <w:tc>
          <w:tcPr>
            <w:tcW w:w="1960" w:type="dxa"/>
            <w:vAlign w:val="bottom"/>
            <w:tcBorders>
              <w:top w:val="single" w:sz="8" w:color="C0C0C0"/>
            </w:tcBorders>
          </w:tcPr>
          <w:p>
            <w:pPr>
              <w:spacing w:after="0"/>
              <w:rPr>
                <w:sz w:val="17"/>
                <w:szCs w:val="17"/>
                <w:color w:val="auto"/>
              </w:rPr>
            </w:pPr>
          </w:p>
        </w:tc>
        <w:tc>
          <w:tcPr>
            <w:tcW w:w="80" w:type="dxa"/>
            <w:vAlign w:val="bottom"/>
            <w:tcBorders>
              <w:top w:val="single" w:sz="8" w:color="C0C0C0"/>
            </w:tcBorders>
          </w:tcPr>
          <w:p>
            <w:pPr>
              <w:spacing w:after="0"/>
              <w:rPr>
                <w:sz w:val="17"/>
                <w:szCs w:val="17"/>
                <w:color w:val="auto"/>
              </w:rPr>
            </w:pPr>
          </w:p>
        </w:tc>
        <w:tc>
          <w:tcPr>
            <w:tcW w:w="60" w:type="dxa"/>
            <w:vAlign w:val="bottom"/>
            <w:tcBorders>
              <w:top w:val="single" w:sz="8" w:color="C0C0C0"/>
            </w:tcBorders>
          </w:tcPr>
          <w:p>
            <w:pPr>
              <w:spacing w:after="0"/>
              <w:rPr>
                <w:sz w:val="17"/>
                <w:szCs w:val="17"/>
                <w:color w:val="auto"/>
              </w:rPr>
            </w:pPr>
          </w:p>
        </w:tc>
        <w:tc>
          <w:tcPr>
            <w:tcW w:w="6180" w:type="dxa"/>
            <w:vAlign w:val="bottom"/>
            <w:tcBorders>
              <w:top w:val="single" w:sz="8" w:color="C0C0C0"/>
            </w:tcBorders>
          </w:tcPr>
          <w:p>
            <w:pPr>
              <w:spacing w:after="0"/>
              <w:rPr>
                <w:sz w:val="17"/>
                <w:szCs w:val="17"/>
                <w:color w:val="auto"/>
              </w:rPr>
            </w:pPr>
          </w:p>
        </w:tc>
        <w:tc>
          <w:tcPr>
            <w:tcW w:w="940" w:type="dxa"/>
            <w:vAlign w:val="bottom"/>
            <w:tcBorders>
              <w:top w:val="single" w:sz="8" w:color="C0C0C0"/>
            </w:tcBorders>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38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9760" w:type="dxa"/>
            <w:vAlign w:val="bottom"/>
            <w:gridSpan w:val="10"/>
            <w:shd w:val="clear" w:color="auto" w:fill="C0C0C0"/>
          </w:tcPr>
          <w:p>
            <w:pPr>
              <w:spacing w:after="0"/>
              <w:rPr>
                <w:sz w:val="20"/>
                <w:szCs w:val="20"/>
                <w:color w:val="auto"/>
              </w:rPr>
            </w:pPr>
            <w:r>
              <w:rPr>
                <w:rFonts w:ascii="Arial" w:cs="Arial" w:eastAsia="Arial" w:hAnsi="Arial"/>
                <w:sz w:val="14"/>
                <w:szCs w:val="14"/>
                <w:color w:val="auto"/>
              </w:rPr>
              <w:t>Condensed balance sheets (unaudited) at September 30, 2011</w:t>
            </w:r>
          </w:p>
        </w:tc>
        <w:tc>
          <w:tcPr>
            <w:tcW w:w="940" w:type="dxa"/>
            <w:vAlign w:val="bottom"/>
            <w:shd w:val="clear" w:color="auto" w:fill="C0C0C0"/>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3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9760" w:type="dxa"/>
            <w:vAlign w:val="bottom"/>
            <w:gridSpan w:val="10"/>
            <w:shd w:val="clear" w:color="auto" w:fill="C0C0C0"/>
          </w:tcPr>
          <w:p>
            <w:pPr>
              <w:spacing w:after="0"/>
              <w:rPr>
                <w:sz w:val="20"/>
                <w:szCs w:val="20"/>
                <w:color w:val="auto"/>
              </w:rPr>
            </w:pPr>
            <w:r>
              <w:rPr>
                <w:rFonts w:ascii="Arial" w:cs="Arial" w:eastAsia="Arial" w:hAnsi="Arial"/>
                <w:sz w:val="14"/>
                <w:szCs w:val="14"/>
                <w:color w:val="auto"/>
              </w:rPr>
              <w:t>and December 31, 2010</w:t>
            </w:r>
          </w:p>
        </w:tc>
        <w:tc>
          <w:tcPr>
            <w:tcW w:w="940" w:type="dxa"/>
            <w:vAlign w:val="bottom"/>
            <w:shd w:val="clear" w:color="auto" w:fill="C0C0C0"/>
          </w:tcPr>
          <w:p>
            <w:pPr>
              <w:ind w:left="300"/>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8"/>
                <w:szCs w:val="18"/>
                <w:color w:val="auto"/>
              </w:rPr>
            </w:pPr>
          </w:p>
        </w:tc>
      </w:tr>
      <w:tr>
        <w:trPr>
          <w:trHeight w:val="197"/>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38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9760" w:type="dxa"/>
            <w:vAlign w:val="bottom"/>
            <w:gridSpan w:val="10"/>
            <w:shd w:val="clear" w:color="auto" w:fill="C0C0C0"/>
          </w:tcPr>
          <w:p>
            <w:pPr>
              <w:spacing w:after="0"/>
              <w:rPr>
                <w:sz w:val="20"/>
                <w:szCs w:val="20"/>
                <w:color w:val="auto"/>
              </w:rPr>
            </w:pPr>
            <w:r>
              <w:rPr>
                <w:rFonts w:ascii="Arial" w:cs="Arial" w:eastAsia="Arial" w:hAnsi="Arial"/>
                <w:sz w:val="14"/>
                <w:szCs w:val="14"/>
                <w:color w:val="auto"/>
              </w:rPr>
              <w:t>Condensed statements of operations (unaudited) for the three</w:t>
            </w:r>
          </w:p>
        </w:tc>
        <w:tc>
          <w:tcPr>
            <w:tcW w:w="940" w:type="dxa"/>
            <w:vAlign w:val="bottom"/>
            <w:shd w:val="clear" w:color="auto" w:fill="C0C0C0"/>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3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9760" w:type="dxa"/>
            <w:vAlign w:val="bottom"/>
            <w:gridSpan w:val="10"/>
            <w:shd w:val="clear" w:color="auto" w:fill="C0C0C0"/>
          </w:tcPr>
          <w:p>
            <w:pPr>
              <w:spacing w:after="0"/>
              <w:rPr>
                <w:sz w:val="20"/>
                <w:szCs w:val="20"/>
                <w:color w:val="auto"/>
              </w:rPr>
            </w:pPr>
            <w:r>
              <w:rPr>
                <w:rFonts w:ascii="Arial" w:cs="Arial" w:eastAsia="Arial" w:hAnsi="Arial"/>
                <w:sz w:val="14"/>
                <w:szCs w:val="14"/>
                <w:color w:val="auto"/>
              </w:rPr>
              <w:t>and nine months ended September 30, 2011 and 2010</w:t>
            </w:r>
          </w:p>
        </w:tc>
        <w:tc>
          <w:tcPr>
            <w:tcW w:w="940" w:type="dxa"/>
            <w:vAlign w:val="bottom"/>
            <w:shd w:val="clear" w:color="auto" w:fill="C0C0C0"/>
          </w:tcPr>
          <w:p>
            <w:pPr>
              <w:ind w:left="300"/>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8"/>
                <w:szCs w:val="18"/>
                <w:color w:val="auto"/>
              </w:rPr>
            </w:pPr>
          </w:p>
        </w:tc>
      </w:tr>
      <w:tr>
        <w:trPr>
          <w:trHeight w:val="197"/>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38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9760" w:type="dxa"/>
            <w:vAlign w:val="bottom"/>
            <w:gridSpan w:val="10"/>
            <w:shd w:val="clear" w:color="auto" w:fill="C0C0C0"/>
          </w:tcPr>
          <w:p>
            <w:pPr>
              <w:spacing w:after="0"/>
              <w:rPr>
                <w:sz w:val="20"/>
                <w:szCs w:val="20"/>
                <w:color w:val="auto"/>
              </w:rPr>
            </w:pPr>
            <w:r>
              <w:rPr>
                <w:rFonts w:ascii="Arial" w:cs="Arial" w:eastAsia="Arial" w:hAnsi="Arial"/>
                <w:sz w:val="14"/>
                <w:szCs w:val="14"/>
                <w:color w:val="auto"/>
              </w:rPr>
              <w:t>Condensed statements of stockholders’ equity (unaudited) for</w:t>
            </w:r>
          </w:p>
        </w:tc>
        <w:tc>
          <w:tcPr>
            <w:tcW w:w="940" w:type="dxa"/>
            <w:vAlign w:val="bottom"/>
            <w:shd w:val="clear" w:color="auto" w:fill="C0C0C0"/>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3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9760" w:type="dxa"/>
            <w:vAlign w:val="bottom"/>
            <w:gridSpan w:val="10"/>
            <w:shd w:val="clear" w:color="auto" w:fill="C0C0C0"/>
          </w:tcPr>
          <w:p>
            <w:pPr>
              <w:spacing w:after="0"/>
              <w:rPr>
                <w:sz w:val="20"/>
                <w:szCs w:val="20"/>
                <w:color w:val="auto"/>
              </w:rPr>
            </w:pPr>
            <w:r>
              <w:rPr>
                <w:rFonts w:ascii="Arial" w:cs="Arial" w:eastAsia="Arial" w:hAnsi="Arial"/>
                <w:sz w:val="14"/>
                <w:szCs w:val="14"/>
                <w:color w:val="auto"/>
              </w:rPr>
              <w:t>the nine months ended September 30, 2011 and 2010</w:t>
            </w:r>
          </w:p>
        </w:tc>
        <w:tc>
          <w:tcPr>
            <w:tcW w:w="940" w:type="dxa"/>
            <w:vAlign w:val="bottom"/>
            <w:shd w:val="clear" w:color="auto" w:fill="C0C0C0"/>
          </w:tcPr>
          <w:p>
            <w:pPr>
              <w:ind w:left="300"/>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8"/>
                <w:szCs w:val="18"/>
                <w:color w:val="auto"/>
              </w:rPr>
            </w:pPr>
          </w:p>
        </w:tc>
      </w:tr>
      <w:tr>
        <w:trPr>
          <w:trHeight w:val="197"/>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38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9760" w:type="dxa"/>
            <w:vAlign w:val="bottom"/>
            <w:gridSpan w:val="10"/>
            <w:shd w:val="clear" w:color="auto" w:fill="C0C0C0"/>
          </w:tcPr>
          <w:p>
            <w:pPr>
              <w:spacing w:after="0"/>
              <w:rPr>
                <w:sz w:val="20"/>
                <w:szCs w:val="20"/>
                <w:color w:val="auto"/>
              </w:rPr>
            </w:pPr>
            <w:r>
              <w:rPr>
                <w:rFonts w:ascii="Arial" w:cs="Arial" w:eastAsia="Arial" w:hAnsi="Arial"/>
                <w:sz w:val="14"/>
                <w:szCs w:val="14"/>
                <w:color w:val="auto"/>
              </w:rPr>
              <w:t>Condensed statements of cash flows (unaudited) for the</w:t>
            </w:r>
          </w:p>
        </w:tc>
        <w:tc>
          <w:tcPr>
            <w:tcW w:w="940" w:type="dxa"/>
            <w:vAlign w:val="bottom"/>
            <w:shd w:val="clear" w:color="auto" w:fill="C0C0C0"/>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3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9760" w:type="dxa"/>
            <w:vAlign w:val="bottom"/>
            <w:gridSpan w:val="10"/>
            <w:shd w:val="clear" w:color="auto" w:fill="C0C0C0"/>
          </w:tcPr>
          <w:p>
            <w:pPr>
              <w:spacing w:after="0"/>
              <w:rPr>
                <w:sz w:val="20"/>
                <w:szCs w:val="20"/>
                <w:color w:val="auto"/>
              </w:rPr>
            </w:pPr>
            <w:r>
              <w:rPr>
                <w:rFonts w:ascii="Arial" w:cs="Arial" w:eastAsia="Arial" w:hAnsi="Arial"/>
                <w:sz w:val="14"/>
                <w:szCs w:val="14"/>
                <w:color w:val="auto"/>
              </w:rPr>
              <w:t>nine months ended September 30, 2011 and 2010</w:t>
            </w:r>
          </w:p>
        </w:tc>
        <w:tc>
          <w:tcPr>
            <w:tcW w:w="940" w:type="dxa"/>
            <w:vAlign w:val="bottom"/>
            <w:shd w:val="clear" w:color="auto" w:fill="C0C0C0"/>
          </w:tcPr>
          <w:p>
            <w:pPr>
              <w:ind w:left="300"/>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8"/>
                <w:szCs w:val="18"/>
                <w:color w:val="auto"/>
              </w:rPr>
            </w:pPr>
          </w:p>
        </w:tc>
      </w:tr>
      <w:tr>
        <w:trPr>
          <w:trHeight w:val="197"/>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3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9760" w:type="dxa"/>
            <w:vAlign w:val="bottom"/>
            <w:gridSpan w:val="10"/>
            <w:shd w:val="clear" w:color="auto" w:fill="C0C0C0"/>
          </w:tcPr>
          <w:p>
            <w:pPr>
              <w:spacing w:after="0"/>
              <w:rPr>
                <w:sz w:val="20"/>
                <w:szCs w:val="20"/>
                <w:color w:val="auto"/>
              </w:rPr>
            </w:pPr>
            <w:r>
              <w:rPr>
                <w:rFonts w:ascii="Arial" w:cs="Arial" w:eastAsia="Arial" w:hAnsi="Arial"/>
                <w:sz w:val="14"/>
                <w:szCs w:val="14"/>
                <w:color w:val="auto"/>
              </w:rPr>
              <w:t>Notes to condensed financial statements (unaudited)</w:t>
            </w:r>
          </w:p>
        </w:tc>
        <w:tc>
          <w:tcPr>
            <w:tcW w:w="940" w:type="dxa"/>
            <w:vAlign w:val="bottom"/>
            <w:shd w:val="clear" w:color="auto" w:fill="C0C0C0"/>
          </w:tcPr>
          <w:p>
            <w:pPr>
              <w:ind w:left="300"/>
              <w:spacing w:after="0"/>
              <w:rPr>
                <w:sz w:val="20"/>
                <w:szCs w:val="20"/>
                <w:color w:val="auto"/>
              </w:rPr>
            </w:pPr>
            <w:r>
              <w:rPr>
                <w:rFonts w:ascii="Arial" w:cs="Arial" w:eastAsia="Arial" w:hAnsi="Arial"/>
                <w:sz w:val="14"/>
                <w:szCs w:val="14"/>
                <w:color w:val="auto"/>
              </w:rPr>
              <w:t>7-17</w:t>
            </w:r>
          </w:p>
        </w:tc>
        <w:tc>
          <w:tcPr>
            <w:tcW w:w="20" w:type="dxa"/>
            <w:vAlign w:val="bottom"/>
          </w:tcPr>
          <w:p>
            <w:pPr>
              <w:spacing w:after="0"/>
              <w:rPr>
                <w:sz w:val="17"/>
                <w:szCs w:val="17"/>
                <w:color w:val="auto"/>
              </w:rPr>
            </w:pPr>
          </w:p>
        </w:tc>
      </w:tr>
      <w:tr>
        <w:trPr>
          <w:trHeight w:val="197"/>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4"/>
        </w:trPr>
        <w:tc>
          <w:tcPr>
            <w:tcW w:w="380" w:type="dxa"/>
            <w:vAlign w:val="bottom"/>
            <w:shd w:val="clear" w:color="auto" w:fill="C0C0C0"/>
          </w:tcPr>
          <w:p>
            <w:pPr>
              <w:spacing w:after="0" w:line="153" w:lineRule="exact"/>
              <w:rPr>
                <w:sz w:val="20"/>
                <w:szCs w:val="20"/>
                <w:color w:val="auto"/>
              </w:rPr>
            </w:pPr>
            <w:r>
              <w:rPr>
                <w:rFonts w:ascii="Arial" w:cs="Arial" w:eastAsia="Arial" w:hAnsi="Arial"/>
                <w:sz w:val="14"/>
                <w:szCs w:val="14"/>
                <w:color w:val="auto"/>
                <w:w w:val="92"/>
              </w:rPr>
              <w:t>Item 2</w:t>
            </w:r>
          </w:p>
        </w:tc>
        <w:tc>
          <w:tcPr>
            <w:tcW w:w="380" w:type="dxa"/>
            <w:vAlign w:val="bottom"/>
            <w:gridSpan w:val="2"/>
            <w:shd w:val="clear" w:color="auto" w:fill="C0C0C0"/>
          </w:tcPr>
          <w:p>
            <w:pPr>
              <w:spacing w:after="0"/>
              <w:rPr>
                <w:sz w:val="13"/>
                <w:szCs w:val="13"/>
                <w:color w:val="auto"/>
              </w:rPr>
            </w:pPr>
          </w:p>
        </w:tc>
        <w:tc>
          <w:tcPr>
            <w:tcW w:w="9760" w:type="dxa"/>
            <w:vAlign w:val="bottom"/>
            <w:gridSpan w:val="10"/>
            <w:shd w:val="clear" w:color="auto" w:fill="C0C0C0"/>
          </w:tcPr>
          <w:p>
            <w:pPr>
              <w:spacing w:after="0" w:line="153" w:lineRule="exact"/>
              <w:rPr>
                <w:sz w:val="20"/>
                <w:szCs w:val="20"/>
                <w:color w:val="auto"/>
              </w:rPr>
            </w:pPr>
            <w:r>
              <w:rPr>
                <w:rFonts w:ascii="Arial" w:cs="Arial" w:eastAsia="Arial" w:hAnsi="Arial"/>
                <w:sz w:val="14"/>
                <w:szCs w:val="14"/>
                <w:color w:val="auto"/>
              </w:rPr>
              <w:t>Management's Discussion and Analysis of Financial Condition</w:t>
            </w:r>
          </w:p>
        </w:tc>
        <w:tc>
          <w:tcPr>
            <w:tcW w:w="940" w:type="dxa"/>
            <w:vAlign w:val="bottom"/>
            <w:shd w:val="clear" w:color="auto" w:fill="C0C0C0"/>
          </w:tcPr>
          <w:p>
            <w:pPr>
              <w:spacing w:after="0"/>
              <w:rPr>
                <w:sz w:val="13"/>
                <w:szCs w:val="13"/>
                <w:color w:val="auto"/>
              </w:rPr>
            </w:pPr>
          </w:p>
        </w:tc>
        <w:tc>
          <w:tcPr>
            <w:tcW w:w="20" w:type="dxa"/>
            <w:vAlign w:val="bottom"/>
          </w:tcPr>
          <w:p>
            <w:pPr>
              <w:spacing w:after="0"/>
              <w:rPr>
                <w:sz w:val="13"/>
                <w:szCs w:val="13"/>
                <w:color w:val="auto"/>
              </w:rPr>
            </w:pPr>
          </w:p>
        </w:tc>
      </w:tr>
      <w:tr>
        <w:trPr>
          <w:trHeight w:val="201"/>
        </w:trPr>
        <w:tc>
          <w:tcPr>
            <w:tcW w:w="380" w:type="dxa"/>
            <w:vAlign w:val="bottom"/>
            <w:tcBorders>
              <w:top w:val="single" w:sz="8" w:color="auto"/>
            </w:tcBorders>
            <w:shd w:val="clear" w:color="auto" w:fill="C0C0C0"/>
          </w:tcPr>
          <w:p>
            <w:pPr>
              <w:spacing w:after="0"/>
              <w:rPr>
                <w:sz w:val="17"/>
                <w:szCs w:val="17"/>
                <w:color w:val="auto"/>
              </w:rPr>
            </w:pPr>
          </w:p>
        </w:tc>
        <w:tc>
          <w:tcPr>
            <w:tcW w:w="100" w:type="dxa"/>
            <w:vAlign w:val="bottom"/>
            <w:tcBorders>
              <w:top w:val="single" w:sz="8" w:color="C0C0C0"/>
            </w:tcBorders>
            <w:shd w:val="clear" w:color="auto" w:fill="C0C0C0"/>
          </w:tcPr>
          <w:p>
            <w:pPr>
              <w:spacing w:after="0"/>
              <w:rPr>
                <w:sz w:val="17"/>
                <w:szCs w:val="17"/>
                <w:color w:val="auto"/>
              </w:rPr>
            </w:pPr>
          </w:p>
        </w:tc>
        <w:tc>
          <w:tcPr>
            <w:tcW w:w="280" w:type="dxa"/>
            <w:vAlign w:val="bottom"/>
            <w:tcBorders>
              <w:top w:val="single" w:sz="8" w:color="C0C0C0"/>
            </w:tcBorders>
            <w:shd w:val="clear" w:color="auto" w:fill="C0C0C0"/>
          </w:tcPr>
          <w:p>
            <w:pPr>
              <w:spacing w:after="0"/>
              <w:rPr>
                <w:sz w:val="17"/>
                <w:szCs w:val="17"/>
                <w:color w:val="auto"/>
              </w:rPr>
            </w:pPr>
          </w:p>
        </w:tc>
        <w:tc>
          <w:tcPr>
            <w:tcW w:w="3580" w:type="dxa"/>
            <w:vAlign w:val="bottom"/>
            <w:tcBorders>
              <w:top w:val="single" w:sz="8" w:color="auto"/>
            </w:tcBorders>
            <w:gridSpan w:val="9"/>
            <w:shd w:val="clear" w:color="auto" w:fill="C0C0C0"/>
          </w:tcPr>
          <w:p>
            <w:pPr>
              <w:spacing w:after="0"/>
              <w:rPr>
                <w:sz w:val="20"/>
                <w:szCs w:val="20"/>
                <w:color w:val="auto"/>
              </w:rPr>
            </w:pPr>
            <w:r>
              <w:rPr>
                <w:rFonts w:ascii="Arial" w:cs="Arial" w:eastAsia="Arial" w:hAnsi="Arial"/>
                <w:sz w:val="14"/>
                <w:szCs w:val="14"/>
                <w:color w:val="auto"/>
              </w:rPr>
              <w:t>and Results of Operations</w:t>
            </w:r>
          </w:p>
        </w:tc>
        <w:tc>
          <w:tcPr>
            <w:tcW w:w="6180" w:type="dxa"/>
            <w:vAlign w:val="bottom"/>
            <w:tcBorders>
              <w:top w:val="single" w:sz="8" w:color="C0C0C0"/>
            </w:tcBorders>
            <w:shd w:val="clear" w:color="auto" w:fill="C0C0C0"/>
          </w:tcPr>
          <w:p>
            <w:pPr>
              <w:spacing w:after="0"/>
              <w:rPr>
                <w:sz w:val="17"/>
                <w:szCs w:val="17"/>
                <w:color w:val="auto"/>
              </w:rPr>
            </w:pPr>
          </w:p>
        </w:tc>
        <w:tc>
          <w:tcPr>
            <w:tcW w:w="940" w:type="dxa"/>
            <w:vAlign w:val="bottom"/>
            <w:tcBorders>
              <w:top w:val="single" w:sz="8" w:color="C0C0C0"/>
            </w:tcBorders>
            <w:shd w:val="clear" w:color="auto" w:fill="C0C0C0"/>
          </w:tcPr>
          <w:p>
            <w:pPr>
              <w:ind w:left="300"/>
              <w:spacing w:after="0"/>
              <w:rPr>
                <w:sz w:val="20"/>
                <w:szCs w:val="20"/>
                <w:color w:val="auto"/>
              </w:rPr>
            </w:pPr>
            <w:r>
              <w:rPr>
                <w:rFonts w:ascii="Arial" w:cs="Arial" w:eastAsia="Arial" w:hAnsi="Arial"/>
                <w:sz w:val="14"/>
                <w:szCs w:val="14"/>
                <w:color w:val="auto"/>
              </w:rPr>
              <w:t>18-45</w:t>
            </w:r>
          </w:p>
        </w:tc>
        <w:tc>
          <w:tcPr>
            <w:tcW w:w="20" w:type="dxa"/>
            <w:vAlign w:val="bottom"/>
          </w:tcPr>
          <w:p>
            <w:pPr>
              <w:spacing w:after="0"/>
              <w:rPr>
                <w:sz w:val="17"/>
                <w:szCs w:val="17"/>
                <w:color w:val="auto"/>
              </w:rPr>
            </w:pPr>
          </w:p>
        </w:tc>
      </w:tr>
      <w:tr>
        <w:trPr>
          <w:trHeight w:val="197"/>
        </w:trPr>
        <w:tc>
          <w:tcPr>
            <w:tcW w:w="380" w:type="dxa"/>
            <w:vAlign w:val="bottom"/>
            <w:tcBorders>
              <w:top w:val="single" w:sz="8" w:color="C0C0C0"/>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280" w:type="dxa"/>
            <w:vAlign w:val="bottom"/>
            <w:tcBorders>
              <w:top w:val="single" w:sz="8" w:color="C0C0C0"/>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960" w:type="dxa"/>
            <w:vAlign w:val="bottom"/>
            <w:tcBorders>
              <w:top w:val="single" w:sz="8" w:color="C0C0C0"/>
            </w:tcBorders>
          </w:tcPr>
          <w:p>
            <w:pPr>
              <w:spacing w:after="0"/>
              <w:rPr>
                <w:sz w:val="17"/>
                <w:szCs w:val="17"/>
                <w:color w:val="auto"/>
              </w:rPr>
            </w:pPr>
          </w:p>
        </w:tc>
        <w:tc>
          <w:tcPr>
            <w:tcW w:w="80" w:type="dxa"/>
            <w:vAlign w:val="bottom"/>
            <w:tcBorders>
              <w:top w:val="single" w:sz="8" w:color="C0C0C0"/>
            </w:tcBorders>
          </w:tcPr>
          <w:p>
            <w:pPr>
              <w:spacing w:after="0"/>
              <w:rPr>
                <w:sz w:val="17"/>
                <w:szCs w:val="17"/>
                <w:color w:val="auto"/>
              </w:rPr>
            </w:pPr>
          </w:p>
        </w:tc>
        <w:tc>
          <w:tcPr>
            <w:tcW w:w="60" w:type="dxa"/>
            <w:vAlign w:val="bottom"/>
            <w:tcBorders>
              <w:top w:val="single" w:sz="8" w:color="C0C0C0"/>
            </w:tcBorders>
          </w:tcPr>
          <w:p>
            <w:pPr>
              <w:spacing w:after="0"/>
              <w:rPr>
                <w:sz w:val="17"/>
                <w:szCs w:val="17"/>
                <w:color w:val="auto"/>
              </w:rPr>
            </w:pPr>
          </w:p>
        </w:tc>
        <w:tc>
          <w:tcPr>
            <w:tcW w:w="6180" w:type="dxa"/>
            <w:vAlign w:val="bottom"/>
            <w:tcBorders>
              <w:top w:val="single" w:sz="8" w:color="C0C0C0"/>
            </w:tcBorders>
          </w:tcPr>
          <w:p>
            <w:pPr>
              <w:spacing w:after="0"/>
              <w:rPr>
                <w:sz w:val="17"/>
                <w:szCs w:val="17"/>
                <w:color w:val="auto"/>
              </w:rPr>
            </w:pPr>
          </w:p>
        </w:tc>
        <w:tc>
          <w:tcPr>
            <w:tcW w:w="940" w:type="dxa"/>
            <w:vAlign w:val="bottom"/>
            <w:tcBorders>
              <w:top w:val="single" w:sz="8" w:color="C0C0C0"/>
            </w:tcBorders>
          </w:tcPr>
          <w:p>
            <w:pPr>
              <w:spacing w:after="0"/>
              <w:rPr>
                <w:sz w:val="17"/>
                <w:szCs w:val="17"/>
                <w:color w:val="auto"/>
              </w:rPr>
            </w:pPr>
          </w:p>
        </w:tc>
        <w:tc>
          <w:tcPr>
            <w:tcW w:w="20" w:type="dxa"/>
            <w:vAlign w:val="bottom"/>
          </w:tcPr>
          <w:p>
            <w:pPr>
              <w:spacing w:after="0"/>
              <w:rPr>
                <w:sz w:val="17"/>
                <w:szCs w:val="17"/>
                <w:color w:val="auto"/>
              </w:rPr>
            </w:pPr>
          </w:p>
        </w:tc>
      </w:tr>
      <w:tr>
        <w:trPr>
          <w:trHeight w:val="177"/>
        </w:trPr>
        <w:tc>
          <w:tcPr>
            <w:tcW w:w="760" w:type="dxa"/>
            <w:vAlign w:val="bottom"/>
            <w:gridSpan w:val="3"/>
            <w:shd w:val="clear" w:color="auto" w:fill="C0C0C0"/>
          </w:tcPr>
          <w:p>
            <w:pPr>
              <w:spacing w:after="0" w:line="153" w:lineRule="exact"/>
              <w:rPr>
                <w:sz w:val="20"/>
                <w:szCs w:val="20"/>
                <w:color w:val="auto"/>
              </w:rPr>
            </w:pPr>
            <w:r>
              <w:rPr>
                <w:rFonts w:ascii="Arial" w:cs="Arial" w:eastAsia="Arial" w:hAnsi="Arial"/>
                <w:sz w:val="14"/>
                <w:szCs w:val="14"/>
                <w:color w:val="auto"/>
              </w:rPr>
              <w:t>Item 3</w:t>
            </w:r>
          </w:p>
        </w:tc>
        <w:tc>
          <w:tcPr>
            <w:tcW w:w="9760" w:type="dxa"/>
            <w:vAlign w:val="bottom"/>
            <w:gridSpan w:val="10"/>
            <w:shd w:val="clear" w:color="auto" w:fill="C0C0C0"/>
          </w:tcPr>
          <w:p>
            <w:pPr>
              <w:spacing w:after="0" w:line="153" w:lineRule="exact"/>
              <w:rPr>
                <w:sz w:val="20"/>
                <w:szCs w:val="20"/>
                <w:color w:val="auto"/>
              </w:rPr>
            </w:pPr>
            <w:r>
              <w:rPr>
                <w:rFonts w:ascii="Arial" w:cs="Arial" w:eastAsia="Arial" w:hAnsi="Arial"/>
                <w:sz w:val="14"/>
                <w:szCs w:val="14"/>
                <w:color w:val="auto"/>
              </w:rPr>
              <w:t>Quantitative and Qualitative Disclosures About Market Risk</w:t>
            </w:r>
          </w:p>
        </w:tc>
        <w:tc>
          <w:tcPr>
            <w:tcW w:w="940" w:type="dxa"/>
            <w:vAlign w:val="bottom"/>
            <w:shd w:val="clear" w:color="auto" w:fill="C0C0C0"/>
          </w:tcPr>
          <w:p>
            <w:pPr>
              <w:ind w:left="300"/>
              <w:spacing w:after="0" w:line="153" w:lineRule="exact"/>
              <w:rPr>
                <w:sz w:val="20"/>
                <w:szCs w:val="20"/>
                <w:color w:val="auto"/>
              </w:rPr>
            </w:pPr>
            <w:r>
              <w:rPr>
                <w:rFonts w:ascii="Arial" w:cs="Arial" w:eastAsia="Arial" w:hAnsi="Arial"/>
                <w:sz w:val="14"/>
                <w:szCs w:val="14"/>
                <w:color w:val="auto"/>
              </w:rPr>
              <w:t>46</w:t>
            </w:r>
          </w:p>
        </w:tc>
        <w:tc>
          <w:tcPr>
            <w:tcW w:w="20" w:type="dxa"/>
            <w:vAlign w:val="bottom"/>
          </w:tcPr>
          <w:p>
            <w:pPr>
              <w:spacing w:after="0"/>
              <w:rPr>
                <w:sz w:val="15"/>
                <w:szCs w:val="15"/>
                <w:color w:val="auto"/>
              </w:rPr>
            </w:pPr>
          </w:p>
        </w:tc>
      </w:tr>
      <w:tr>
        <w:trPr>
          <w:trHeight w:val="197"/>
        </w:trPr>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280" w:type="dxa"/>
            <w:vAlign w:val="bottom"/>
            <w:tcBorders>
              <w:top w:val="single" w:sz="8" w:color="C0C0C0"/>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80" w:type="dxa"/>
            <w:vAlign w:val="bottom"/>
            <w:tcBorders>
              <w:top w:val="single" w:sz="8" w:color="C0C0C0"/>
            </w:tcBorders>
          </w:tcPr>
          <w:p>
            <w:pPr>
              <w:spacing w:after="0"/>
              <w:rPr>
                <w:sz w:val="17"/>
                <w:szCs w:val="17"/>
                <w:color w:val="auto"/>
              </w:rPr>
            </w:pPr>
          </w:p>
        </w:tc>
        <w:tc>
          <w:tcPr>
            <w:tcW w:w="60" w:type="dxa"/>
            <w:vAlign w:val="bottom"/>
            <w:tcBorders>
              <w:top w:val="single" w:sz="8" w:color="C0C0C0"/>
            </w:tcBorders>
          </w:tcPr>
          <w:p>
            <w:pPr>
              <w:spacing w:after="0"/>
              <w:rPr>
                <w:sz w:val="17"/>
                <w:szCs w:val="17"/>
                <w:color w:val="auto"/>
              </w:rPr>
            </w:pPr>
          </w:p>
        </w:tc>
        <w:tc>
          <w:tcPr>
            <w:tcW w:w="6180" w:type="dxa"/>
            <w:vAlign w:val="bottom"/>
            <w:tcBorders>
              <w:top w:val="single" w:sz="8" w:color="C0C0C0"/>
            </w:tcBorders>
          </w:tcPr>
          <w:p>
            <w:pPr>
              <w:spacing w:after="0"/>
              <w:rPr>
                <w:sz w:val="17"/>
                <w:szCs w:val="17"/>
                <w:color w:val="auto"/>
              </w:rPr>
            </w:pPr>
          </w:p>
        </w:tc>
        <w:tc>
          <w:tcPr>
            <w:tcW w:w="940" w:type="dxa"/>
            <w:vAlign w:val="bottom"/>
            <w:tcBorders>
              <w:top w:val="single" w:sz="8" w:color="C0C0C0"/>
            </w:tcBorders>
          </w:tcPr>
          <w:p>
            <w:pPr>
              <w:spacing w:after="0"/>
              <w:rPr>
                <w:sz w:val="17"/>
                <w:szCs w:val="17"/>
                <w:color w:val="auto"/>
              </w:rPr>
            </w:pPr>
          </w:p>
        </w:tc>
        <w:tc>
          <w:tcPr>
            <w:tcW w:w="20" w:type="dxa"/>
            <w:vAlign w:val="bottom"/>
          </w:tcPr>
          <w:p>
            <w:pPr>
              <w:spacing w:after="0"/>
              <w:rPr>
                <w:sz w:val="17"/>
                <w:szCs w:val="17"/>
                <w:color w:val="auto"/>
              </w:rPr>
            </w:pPr>
          </w:p>
        </w:tc>
      </w:tr>
      <w:tr>
        <w:trPr>
          <w:trHeight w:val="177"/>
        </w:trPr>
        <w:tc>
          <w:tcPr>
            <w:tcW w:w="760" w:type="dxa"/>
            <w:vAlign w:val="bottom"/>
            <w:gridSpan w:val="3"/>
            <w:shd w:val="clear" w:color="auto" w:fill="C0C0C0"/>
          </w:tcPr>
          <w:p>
            <w:pPr>
              <w:spacing w:after="0" w:line="153" w:lineRule="exact"/>
              <w:rPr>
                <w:sz w:val="20"/>
                <w:szCs w:val="20"/>
                <w:color w:val="auto"/>
              </w:rPr>
            </w:pPr>
            <w:r>
              <w:rPr>
                <w:rFonts w:ascii="Arial" w:cs="Arial" w:eastAsia="Arial" w:hAnsi="Arial"/>
                <w:sz w:val="14"/>
                <w:szCs w:val="14"/>
                <w:color w:val="auto"/>
              </w:rPr>
              <w:t>Item 4</w:t>
            </w:r>
          </w:p>
        </w:tc>
        <w:tc>
          <w:tcPr>
            <w:tcW w:w="9760" w:type="dxa"/>
            <w:vAlign w:val="bottom"/>
            <w:gridSpan w:val="10"/>
            <w:shd w:val="clear" w:color="auto" w:fill="C0C0C0"/>
          </w:tcPr>
          <w:p>
            <w:pPr>
              <w:spacing w:after="0" w:line="153" w:lineRule="exact"/>
              <w:rPr>
                <w:sz w:val="20"/>
                <w:szCs w:val="20"/>
                <w:color w:val="auto"/>
              </w:rPr>
            </w:pPr>
            <w:r>
              <w:rPr>
                <w:rFonts w:ascii="Arial" w:cs="Arial" w:eastAsia="Arial" w:hAnsi="Arial"/>
                <w:sz w:val="14"/>
                <w:szCs w:val="14"/>
                <w:color w:val="auto"/>
              </w:rPr>
              <w:t>Controls and Procedures</w:t>
            </w:r>
          </w:p>
        </w:tc>
        <w:tc>
          <w:tcPr>
            <w:tcW w:w="940" w:type="dxa"/>
            <w:vAlign w:val="bottom"/>
            <w:shd w:val="clear" w:color="auto" w:fill="C0C0C0"/>
          </w:tcPr>
          <w:p>
            <w:pPr>
              <w:ind w:left="300"/>
              <w:spacing w:after="0" w:line="153" w:lineRule="exact"/>
              <w:rPr>
                <w:sz w:val="20"/>
                <w:szCs w:val="20"/>
                <w:color w:val="auto"/>
              </w:rPr>
            </w:pPr>
            <w:r>
              <w:rPr>
                <w:rFonts w:ascii="Arial" w:cs="Arial" w:eastAsia="Arial" w:hAnsi="Arial"/>
                <w:sz w:val="14"/>
                <w:szCs w:val="14"/>
                <w:color w:val="auto"/>
              </w:rPr>
              <w:t>46</w:t>
            </w:r>
          </w:p>
        </w:tc>
        <w:tc>
          <w:tcPr>
            <w:tcW w:w="20" w:type="dxa"/>
            <w:vAlign w:val="bottom"/>
          </w:tcPr>
          <w:p>
            <w:pPr>
              <w:spacing w:after="0"/>
              <w:rPr>
                <w:sz w:val="15"/>
                <w:szCs w:val="15"/>
                <w:color w:val="auto"/>
              </w:rPr>
            </w:pPr>
          </w:p>
        </w:tc>
      </w:tr>
      <w:tr>
        <w:trPr>
          <w:trHeight w:val="197"/>
        </w:trPr>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280" w:type="dxa"/>
            <w:vAlign w:val="bottom"/>
            <w:tcBorders>
              <w:top w:val="single" w:sz="8" w:color="C0C0C0"/>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C0C0C0"/>
            </w:tcBorders>
          </w:tcPr>
          <w:p>
            <w:pPr>
              <w:spacing w:after="0"/>
              <w:rPr>
                <w:sz w:val="17"/>
                <w:szCs w:val="17"/>
                <w:color w:val="auto"/>
              </w:rPr>
            </w:pPr>
          </w:p>
        </w:tc>
        <w:tc>
          <w:tcPr>
            <w:tcW w:w="1960" w:type="dxa"/>
            <w:vAlign w:val="bottom"/>
            <w:tcBorders>
              <w:top w:val="single" w:sz="8" w:color="C0C0C0"/>
            </w:tcBorders>
          </w:tcPr>
          <w:p>
            <w:pPr>
              <w:spacing w:after="0"/>
              <w:rPr>
                <w:sz w:val="17"/>
                <w:szCs w:val="17"/>
                <w:color w:val="auto"/>
              </w:rPr>
            </w:pPr>
          </w:p>
        </w:tc>
        <w:tc>
          <w:tcPr>
            <w:tcW w:w="80" w:type="dxa"/>
            <w:vAlign w:val="bottom"/>
            <w:tcBorders>
              <w:top w:val="single" w:sz="8" w:color="C0C0C0"/>
            </w:tcBorders>
          </w:tcPr>
          <w:p>
            <w:pPr>
              <w:spacing w:after="0"/>
              <w:rPr>
                <w:sz w:val="17"/>
                <w:szCs w:val="17"/>
                <w:color w:val="auto"/>
              </w:rPr>
            </w:pPr>
          </w:p>
        </w:tc>
        <w:tc>
          <w:tcPr>
            <w:tcW w:w="60" w:type="dxa"/>
            <w:vAlign w:val="bottom"/>
            <w:tcBorders>
              <w:top w:val="single" w:sz="8" w:color="C0C0C0"/>
            </w:tcBorders>
          </w:tcPr>
          <w:p>
            <w:pPr>
              <w:spacing w:after="0"/>
              <w:rPr>
                <w:sz w:val="17"/>
                <w:szCs w:val="17"/>
                <w:color w:val="auto"/>
              </w:rPr>
            </w:pPr>
          </w:p>
        </w:tc>
        <w:tc>
          <w:tcPr>
            <w:tcW w:w="6180" w:type="dxa"/>
            <w:vAlign w:val="bottom"/>
            <w:tcBorders>
              <w:top w:val="single" w:sz="8" w:color="C0C0C0"/>
            </w:tcBorders>
          </w:tcPr>
          <w:p>
            <w:pPr>
              <w:spacing w:after="0"/>
              <w:rPr>
                <w:sz w:val="17"/>
                <w:szCs w:val="17"/>
                <w:color w:val="auto"/>
              </w:rPr>
            </w:pPr>
          </w:p>
        </w:tc>
        <w:tc>
          <w:tcPr>
            <w:tcW w:w="940" w:type="dxa"/>
            <w:vAlign w:val="bottom"/>
            <w:tcBorders>
              <w:top w:val="single" w:sz="8" w:color="C0C0C0"/>
            </w:tcBorders>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760" w:type="dxa"/>
            <w:vAlign w:val="bottom"/>
            <w:gridSpan w:val="3"/>
            <w:shd w:val="clear" w:color="auto" w:fill="C0C0C0"/>
          </w:tcPr>
          <w:p>
            <w:pPr>
              <w:spacing w:after="0"/>
              <w:rPr>
                <w:sz w:val="20"/>
                <w:szCs w:val="20"/>
                <w:color w:val="auto"/>
              </w:rPr>
            </w:pPr>
            <w:r>
              <w:rPr>
                <w:rFonts w:ascii="Arial" w:cs="Arial" w:eastAsia="Arial" w:hAnsi="Arial"/>
                <w:sz w:val="14"/>
                <w:szCs w:val="14"/>
                <w:b w:val="1"/>
                <w:bCs w:val="1"/>
                <w:color w:val="auto"/>
              </w:rPr>
              <w:t>PART II</w:t>
            </w:r>
          </w:p>
        </w:tc>
        <w:tc>
          <w:tcPr>
            <w:tcW w:w="9760" w:type="dxa"/>
            <w:vAlign w:val="bottom"/>
            <w:gridSpan w:val="10"/>
            <w:shd w:val="clear" w:color="auto" w:fill="C0C0C0"/>
          </w:tcPr>
          <w:p>
            <w:pPr>
              <w:spacing w:after="0"/>
              <w:rPr>
                <w:sz w:val="20"/>
                <w:szCs w:val="20"/>
                <w:color w:val="auto"/>
              </w:rPr>
            </w:pPr>
            <w:r>
              <w:rPr>
                <w:rFonts w:ascii="Arial" w:cs="Arial" w:eastAsia="Arial" w:hAnsi="Arial"/>
                <w:sz w:val="14"/>
                <w:szCs w:val="14"/>
                <w:b w:val="1"/>
                <w:bCs w:val="1"/>
                <w:color w:val="auto"/>
              </w:rPr>
              <w:t>OTHER INFORMATION</w:t>
            </w:r>
          </w:p>
        </w:tc>
        <w:tc>
          <w:tcPr>
            <w:tcW w:w="940" w:type="dxa"/>
            <w:vAlign w:val="bottom"/>
            <w:shd w:val="clear" w:color="auto" w:fill="C0C0C0"/>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7"/>
        </w:trPr>
        <w:tc>
          <w:tcPr>
            <w:tcW w:w="760" w:type="dxa"/>
            <w:vAlign w:val="bottom"/>
            <w:gridSpan w:val="3"/>
            <w:shd w:val="clear" w:color="auto" w:fill="C0C0C0"/>
          </w:tcPr>
          <w:p>
            <w:pPr>
              <w:spacing w:after="0" w:line="153" w:lineRule="exact"/>
              <w:rPr>
                <w:sz w:val="20"/>
                <w:szCs w:val="20"/>
                <w:color w:val="auto"/>
              </w:rPr>
            </w:pPr>
            <w:r>
              <w:rPr>
                <w:rFonts w:ascii="Arial" w:cs="Arial" w:eastAsia="Arial" w:hAnsi="Arial"/>
                <w:sz w:val="14"/>
                <w:szCs w:val="14"/>
                <w:color w:val="auto"/>
              </w:rPr>
              <w:t>Item 1</w:t>
            </w:r>
          </w:p>
        </w:tc>
        <w:tc>
          <w:tcPr>
            <w:tcW w:w="9760" w:type="dxa"/>
            <w:vAlign w:val="bottom"/>
            <w:gridSpan w:val="10"/>
            <w:shd w:val="clear" w:color="auto" w:fill="C0C0C0"/>
          </w:tcPr>
          <w:p>
            <w:pPr>
              <w:spacing w:after="0" w:line="153" w:lineRule="exact"/>
              <w:rPr>
                <w:sz w:val="20"/>
                <w:szCs w:val="20"/>
                <w:color w:val="auto"/>
              </w:rPr>
            </w:pPr>
            <w:r>
              <w:rPr>
                <w:rFonts w:ascii="Arial" w:cs="Arial" w:eastAsia="Arial" w:hAnsi="Arial"/>
                <w:sz w:val="14"/>
                <w:szCs w:val="14"/>
                <w:color w:val="auto"/>
              </w:rPr>
              <w:t>Legal Proceedings</w:t>
            </w:r>
          </w:p>
        </w:tc>
        <w:tc>
          <w:tcPr>
            <w:tcW w:w="940" w:type="dxa"/>
            <w:vAlign w:val="bottom"/>
            <w:shd w:val="clear" w:color="auto" w:fill="C0C0C0"/>
          </w:tcPr>
          <w:p>
            <w:pPr>
              <w:ind w:left="300"/>
              <w:spacing w:after="0" w:line="153" w:lineRule="exact"/>
              <w:rPr>
                <w:sz w:val="20"/>
                <w:szCs w:val="20"/>
                <w:color w:val="auto"/>
              </w:rPr>
            </w:pPr>
            <w:r>
              <w:rPr>
                <w:rFonts w:ascii="Arial" w:cs="Arial" w:eastAsia="Arial" w:hAnsi="Arial"/>
                <w:sz w:val="14"/>
                <w:szCs w:val="14"/>
                <w:color w:val="auto"/>
              </w:rPr>
              <w:t>46-47</w:t>
            </w:r>
          </w:p>
        </w:tc>
        <w:tc>
          <w:tcPr>
            <w:tcW w:w="20" w:type="dxa"/>
            <w:vAlign w:val="bottom"/>
          </w:tcPr>
          <w:p>
            <w:pPr>
              <w:spacing w:after="0"/>
              <w:rPr>
                <w:sz w:val="15"/>
                <w:szCs w:val="15"/>
                <w:color w:val="auto"/>
              </w:rPr>
            </w:pPr>
          </w:p>
        </w:tc>
      </w:tr>
      <w:tr>
        <w:trPr>
          <w:trHeight w:val="197"/>
        </w:trPr>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280" w:type="dxa"/>
            <w:vAlign w:val="bottom"/>
            <w:tcBorders>
              <w:top w:val="single" w:sz="8" w:color="C0C0C0"/>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C0C0C0"/>
            </w:tcBorders>
          </w:tcPr>
          <w:p>
            <w:pPr>
              <w:spacing w:after="0"/>
              <w:rPr>
                <w:sz w:val="17"/>
                <w:szCs w:val="17"/>
                <w:color w:val="auto"/>
              </w:rPr>
            </w:pPr>
          </w:p>
        </w:tc>
        <w:tc>
          <w:tcPr>
            <w:tcW w:w="220" w:type="dxa"/>
            <w:vAlign w:val="bottom"/>
            <w:tcBorders>
              <w:top w:val="single" w:sz="8" w:color="C0C0C0"/>
            </w:tcBorders>
          </w:tcPr>
          <w:p>
            <w:pPr>
              <w:spacing w:after="0"/>
              <w:rPr>
                <w:sz w:val="17"/>
                <w:szCs w:val="17"/>
                <w:color w:val="auto"/>
              </w:rPr>
            </w:pPr>
          </w:p>
        </w:tc>
        <w:tc>
          <w:tcPr>
            <w:tcW w:w="80" w:type="dxa"/>
            <w:vAlign w:val="bottom"/>
            <w:tcBorders>
              <w:top w:val="single" w:sz="8" w:color="C0C0C0"/>
            </w:tcBorders>
          </w:tcPr>
          <w:p>
            <w:pPr>
              <w:spacing w:after="0"/>
              <w:rPr>
                <w:sz w:val="17"/>
                <w:szCs w:val="17"/>
                <w:color w:val="auto"/>
              </w:rPr>
            </w:pPr>
          </w:p>
        </w:tc>
        <w:tc>
          <w:tcPr>
            <w:tcW w:w="1960" w:type="dxa"/>
            <w:vAlign w:val="bottom"/>
            <w:tcBorders>
              <w:top w:val="single" w:sz="8" w:color="C0C0C0"/>
            </w:tcBorders>
          </w:tcPr>
          <w:p>
            <w:pPr>
              <w:spacing w:after="0"/>
              <w:rPr>
                <w:sz w:val="17"/>
                <w:szCs w:val="17"/>
                <w:color w:val="auto"/>
              </w:rPr>
            </w:pPr>
          </w:p>
        </w:tc>
        <w:tc>
          <w:tcPr>
            <w:tcW w:w="80" w:type="dxa"/>
            <w:vAlign w:val="bottom"/>
            <w:tcBorders>
              <w:top w:val="single" w:sz="8" w:color="C0C0C0"/>
            </w:tcBorders>
          </w:tcPr>
          <w:p>
            <w:pPr>
              <w:spacing w:after="0"/>
              <w:rPr>
                <w:sz w:val="17"/>
                <w:szCs w:val="17"/>
                <w:color w:val="auto"/>
              </w:rPr>
            </w:pPr>
          </w:p>
        </w:tc>
        <w:tc>
          <w:tcPr>
            <w:tcW w:w="60" w:type="dxa"/>
            <w:vAlign w:val="bottom"/>
            <w:tcBorders>
              <w:top w:val="single" w:sz="8" w:color="C0C0C0"/>
            </w:tcBorders>
          </w:tcPr>
          <w:p>
            <w:pPr>
              <w:spacing w:after="0"/>
              <w:rPr>
                <w:sz w:val="17"/>
                <w:szCs w:val="17"/>
                <w:color w:val="auto"/>
              </w:rPr>
            </w:pPr>
          </w:p>
        </w:tc>
        <w:tc>
          <w:tcPr>
            <w:tcW w:w="6180" w:type="dxa"/>
            <w:vAlign w:val="bottom"/>
            <w:tcBorders>
              <w:top w:val="single" w:sz="8" w:color="C0C0C0"/>
            </w:tcBorders>
          </w:tcPr>
          <w:p>
            <w:pPr>
              <w:spacing w:after="0"/>
              <w:rPr>
                <w:sz w:val="17"/>
                <w:szCs w:val="17"/>
                <w:color w:val="auto"/>
              </w:rPr>
            </w:pPr>
          </w:p>
        </w:tc>
        <w:tc>
          <w:tcPr>
            <w:tcW w:w="940" w:type="dxa"/>
            <w:vAlign w:val="bottom"/>
            <w:tcBorders>
              <w:top w:val="single" w:sz="8" w:color="C0C0C0"/>
            </w:tcBorders>
          </w:tcPr>
          <w:p>
            <w:pPr>
              <w:spacing w:after="0"/>
              <w:rPr>
                <w:sz w:val="17"/>
                <w:szCs w:val="17"/>
                <w:color w:val="auto"/>
              </w:rPr>
            </w:pPr>
          </w:p>
        </w:tc>
        <w:tc>
          <w:tcPr>
            <w:tcW w:w="20" w:type="dxa"/>
            <w:vAlign w:val="bottom"/>
          </w:tcPr>
          <w:p>
            <w:pPr>
              <w:spacing w:after="0"/>
              <w:rPr>
                <w:sz w:val="17"/>
                <w:szCs w:val="17"/>
                <w:color w:val="auto"/>
              </w:rPr>
            </w:pPr>
          </w:p>
        </w:tc>
      </w:tr>
      <w:tr>
        <w:trPr>
          <w:trHeight w:val="177"/>
        </w:trPr>
        <w:tc>
          <w:tcPr>
            <w:tcW w:w="760" w:type="dxa"/>
            <w:vAlign w:val="bottom"/>
            <w:gridSpan w:val="3"/>
            <w:shd w:val="clear" w:color="auto" w:fill="C0C0C0"/>
          </w:tcPr>
          <w:p>
            <w:pPr>
              <w:spacing w:after="0" w:line="153" w:lineRule="exact"/>
              <w:rPr>
                <w:sz w:val="20"/>
                <w:szCs w:val="20"/>
                <w:color w:val="auto"/>
              </w:rPr>
            </w:pPr>
            <w:r>
              <w:rPr>
                <w:rFonts w:ascii="Arial" w:cs="Arial" w:eastAsia="Arial" w:hAnsi="Arial"/>
                <w:sz w:val="14"/>
                <w:szCs w:val="14"/>
                <w:color w:val="auto"/>
              </w:rPr>
              <w:t>Item 1A</w:t>
            </w:r>
          </w:p>
        </w:tc>
        <w:tc>
          <w:tcPr>
            <w:tcW w:w="9760" w:type="dxa"/>
            <w:vAlign w:val="bottom"/>
            <w:gridSpan w:val="10"/>
            <w:shd w:val="clear" w:color="auto" w:fill="C0C0C0"/>
          </w:tcPr>
          <w:p>
            <w:pPr>
              <w:spacing w:after="0" w:line="153" w:lineRule="exact"/>
              <w:rPr>
                <w:sz w:val="20"/>
                <w:szCs w:val="20"/>
                <w:color w:val="auto"/>
              </w:rPr>
            </w:pPr>
            <w:r>
              <w:rPr>
                <w:rFonts w:ascii="Arial" w:cs="Arial" w:eastAsia="Arial" w:hAnsi="Arial"/>
                <w:sz w:val="14"/>
                <w:szCs w:val="14"/>
                <w:color w:val="auto"/>
              </w:rPr>
              <w:t>Risk Factors</w:t>
            </w:r>
          </w:p>
        </w:tc>
        <w:tc>
          <w:tcPr>
            <w:tcW w:w="940" w:type="dxa"/>
            <w:vAlign w:val="bottom"/>
            <w:shd w:val="clear" w:color="auto" w:fill="C0C0C0"/>
          </w:tcPr>
          <w:p>
            <w:pPr>
              <w:ind w:left="300"/>
              <w:spacing w:after="0" w:line="153" w:lineRule="exact"/>
              <w:rPr>
                <w:sz w:val="20"/>
                <w:szCs w:val="20"/>
                <w:color w:val="auto"/>
              </w:rPr>
            </w:pPr>
            <w:r>
              <w:rPr>
                <w:rFonts w:ascii="Arial" w:cs="Arial" w:eastAsia="Arial" w:hAnsi="Arial"/>
                <w:sz w:val="14"/>
                <w:szCs w:val="14"/>
                <w:color w:val="auto"/>
              </w:rPr>
              <w:t>47-70</w:t>
            </w:r>
          </w:p>
        </w:tc>
        <w:tc>
          <w:tcPr>
            <w:tcW w:w="20" w:type="dxa"/>
            <w:vAlign w:val="bottom"/>
          </w:tcPr>
          <w:p>
            <w:pPr>
              <w:spacing w:after="0"/>
              <w:rPr>
                <w:sz w:val="15"/>
                <w:szCs w:val="15"/>
                <w:color w:val="auto"/>
              </w:rPr>
            </w:pPr>
          </w:p>
        </w:tc>
      </w:tr>
      <w:tr>
        <w:trPr>
          <w:trHeight w:val="197"/>
        </w:trPr>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C0C0C0"/>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C0C0C0"/>
            </w:tcBorders>
          </w:tcPr>
          <w:p>
            <w:pPr>
              <w:spacing w:after="0"/>
              <w:rPr>
                <w:sz w:val="17"/>
                <w:szCs w:val="17"/>
                <w:color w:val="auto"/>
              </w:rPr>
            </w:pPr>
          </w:p>
        </w:tc>
        <w:tc>
          <w:tcPr>
            <w:tcW w:w="120" w:type="dxa"/>
            <w:vAlign w:val="bottom"/>
            <w:tcBorders>
              <w:top w:val="single" w:sz="8" w:color="C0C0C0"/>
            </w:tcBorders>
          </w:tcPr>
          <w:p>
            <w:pPr>
              <w:spacing w:after="0"/>
              <w:rPr>
                <w:sz w:val="17"/>
                <w:szCs w:val="17"/>
                <w:color w:val="auto"/>
              </w:rPr>
            </w:pPr>
          </w:p>
        </w:tc>
        <w:tc>
          <w:tcPr>
            <w:tcW w:w="220" w:type="dxa"/>
            <w:vAlign w:val="bottom"/>
            <w:tcBorders>
              <w:top w:val="single" w:sz="8" w:color="C0C0C0"/>
            </w:tcBorders>
          </w:tcPr>
          <w:p>
            <w:pPr>
              <w:spacing w:after="0"/>
              <w:rPr>
                <w:sz w:val="17"/>
                <w:szCs w:val="17"/>
                <w:color w:val="auto"/>
              </w:rPr>
            </w:pPr>
          </w:p>
        </w:tc>
        <w:tc>
          <w:tcPr>
            <w:tcW w:w="80" w:type="dxa"/>
            <w:vAlign w:val="bottom"/>
            <w:tcBorders>
              <w:top w:val="single" w:sz="8" w:color="C0C0C0"/>
            </w:tcBorders>
          </w:tcPr>
          <w:p>
            <w:pPr>
              <w:spacing w:after="0"/>
              <w:rPr>
                <w:sz w:val="17"/>
                <w:szCs w:val="17"/>
                <w:color w:val="auto"/>
              </w:rPr>
            </w:pPr>
          </w:p>
        </w:tc>
        <w:tc>
          <w:tcPr>
            <w:tcW w:w="1960" w:type="dxa"/>
            <w:vAlign w:val="bottom"/>
            <w:tcBorders>
              <w:top w:val="single" w:sz="8" w:color="C0C0C0"/>
            </w:tcBorders>
          </w:tcPr>
          <w:p>
            <w:pPr>
              <w:spacing w:after="0"/>
              <w:rPr>
                <w:sz w:val="17"/>
                <w:szCs w:val="17"/>
                <w:color w:val="auto"/>
              </w:rPr>
            </w:pPr>
          </w:p>
        </w:tc>
        <w:tc>
          <w:tcPr>
            <w:tcW w:w="80" w:type="dxa"/>
            <w:vAlign w:val="bottom"/>
            <w:tcBorders>
              <w:top w:val="single" w:sz="8" w:color="C0C0C0"/>
            </w:tcBorders>
          </w:tcPr>
          <w:p>
            <w:pPr>
              <w:spacing w:after="0"/>
              <w:rPr>
                <w:sz w:val="17"/>
                <w:szCs w:val="17"/>
                <w:color w:val="auto"/>
              </w:rPr>
            </w:pPr>
          </w:p>
        </w:tc>
        <w:tc>
          <w:tcPr>
            <w:tcW w:w="60" w:type="dxa"/>
            <w:vAlign w:val="bottom"/>
            <w:tcBorders>
              <w:top w:val="single" w:sz="8" w:color="C0C0C0"/>
            </w:tcBorders>
          </w:tcPr>
          <w:p>
            <w:pPr>
              <w:spacing w:after="0"/>
              <w:rPr>
                <w:sz w:val="17"/>
                <w:szCs w:val="17"/>
                <w:color w:val="auto"/>
              </w:rPr>
            </w:pPr>
          </w:p>
        </w:tc>
        <w:tc>
          <w:tcPr>
            <w:tcW w:w="6180" w:type="dxa"/>
            <w:vAlign w:val="bottom"/>
            <w:tcBorders>
              <w:top w:val="single" w:sz="8" w:color="C0C0C0"/>
            </w:tcBorders>
          </w:tcPr>
          <w:p>
            <w:pPr>
              <w:spacing w:after="0"/>
              <w:rPr>
                <w:sz w:val="17"/>
                <w:szCs w:val="17"/>
                <w:color w:val="auto"/>
              </w:rPr>
            </w:pPr>
          </w:p>
        </w:tc>
        <w:tc>
          <w:tcPr>
            <w:tcW w:w="940" w:type="dxa"/>
            <w:vAlign w:val="bottom"/>
            <w:tcBorders>
              <w:top w:val="single" w:sz="8" w:color="C0C0C0"/>
            </w:tcBorders>
          </w:tcPr>
          <w:p>
            <w:pPr>
              <w:spacing w:after="0"/>
              <w:rPr>
                <w:sz w:val="17"/>
                <w:szCs w:val="17"/>
                <w:color w:val="auto"/>
              </w:rPr>
            </w:pPr>
          </w:p>
        </w:tc>
        <w:tc>
          <w:tcPr>
            <w:tcW w:w="20" w:type="dxa"/>
            <w:vAlign w:val="bottom"/>
          </w:tcPr>
          <w:p>
            <w:pPr>
              <w:spacing w:after="0"/>
              <w:rPr>
                <w:sz w:val="17"/>
                <w:szCs w:val="17"/>
                <w:color w:val="auto"/>
              </w:rPr>
            </w:pPr>
          </w:p>
        </w:tc>
      </w:tr>
      <w:tr>
        <w:trPr>
          <w:trHeight w:val="177"/>
        </w:trPr>
        <w:tc>
          <w:tcPr>
            <w:tcW w:w="760" w:type="dxa"/>
            <w:vAlign w:val="bottom"/>
            <w:gridSpan w:val="3"/>
            <w:shd w:val="clear" w:color="auto" w:fill="C0C0C0"/>
          </w:tcPr>
          <w:p>
            <w:pPr>
              <w:spacing w:after="0" w:line="154" w:lineRule="exact"/>
              <w:rPr>
                <w:sz w:val="20"/>
                <w:szCs w:val="20"/>
                <w:color w:val="auto"/>
              </w:rPr>
            </w:pPr>
            <w:r>
              <w:rPr>
                <w:rFonts w:ascii="Arial" w:cs="Arial" w:eastAsia="Arial" w:hAnsi="Arial"/>
                <w:sz w:val="15"/>
                <w:szCs w:val="15"/>
                <w:color w:val="auto"/>
              </w:rPr>
              <w:t>Item 2</w:t>
            </w:r>
          </w:p>
        </w:tc>
        <w:tc>
          <w:tcPr>
            <w:tcW w:w="9760" w:type="dxa"/>
            <w:vAlign w:val="bottom"/>
            <w:gridSpan w:val="10"/>
            <w:shd w:val="clear" w:color="auto" w:fill="C0C0C0"/>
          </w:tcPr>
          <w:p>
            <w:pPr>
              <w:spacing w:after="0" w:line="154" w:lineRule="exact"/>
              <w:rPr>
                <w:sz w:val="20"/>
                <w:szCs w:val="20"/>
                <w:color w:val="auto"/>
              </w:rPr>
            </w:pPr>
            <w:r>
              <w:rPr>
                <w:rFonts w:ascii="Arial" w:cs="Arial" w:eastAsia="Arial" w:hAnsi="Arial"/>
                <w:sz w:val="15"/>
                <w:szCs w:val="15"/>
                <w:color w:val="auto"/>
              </w:rPr>
              <w:t>Unregistered Sales of Equity Securities and Use of Proceeds</w:t>
            </w:r>
          </w:p>
        </w:tc>
        <w:tc>
          <w:tcPr>
            <w:tcW w:w="940" w:type="dxa"/>
            <w:vAlign w:val="bottom"/>
            <w:shd w:val="clear" w:color="auto" w:fill="C0C0C0"/>
          </w:tcPr>
          <w:p>
            <w:pPr>
              <w:ind w:left="300"/>
              <w:spacing w:after="0" w:line="154" w:lineRule="exact"/>
              <w:rPr>
                <w:sz w:val="20"/>
                <w:szCs w:val="20"/>
                <w:color w:val="auto"/>
              </w:rPr>
            </w:pPr>
            <w:r>
              <w:rPr>
                <w:rFonts w:ascii="Arial" w:cs="Arial" w:eastAsia="Arial" w:hAnsi="Arial"/>
                <w:sz w:val="15"/>
                <w:szCs w:val="15"/>
                <w:color w:val="auto"/>
              </w:rPr>
              <w:t>70</w:t>
            </w:r>
          </w:p>
        </w:tc>
        <w:tc>
          <w:tcPr>
            <w:tcW w:w="20" w:type="dxa"/>
            <w:vAlign w:val="bottom"/>
          </w:tcPr>
          <w:p>
            <w:pPr>
              <w:spacing w:after="0"/>
              <w:rPr>
                <w:sz w:val="15"/>
                <w:szCs w:val="15"/>
                <w:color w:val="auto"/>
              </w:rPr>
            </w:pPr>
          </w:p>
        </w:tc>
      </w:tr>
      <w:tr>
        <w:trPr>
          <w:trHeight w:val="197"/>
        </w:trPr>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280" w:type="dxa"/>
            <w:vAlign w:val="bottom"/>
            <w:tcBorders>
              <w:top w:val="single" w:sz="8" w:color="C0C0C0"/>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C0C0C0"/>
            </w:tcBorders>
          </w:tcPr>
          <w:p>
            <w:pPr>
              <w:spacing w:after="0"/>
              <w:rPr>
                <w:sz w:val="17"/>
                <w:szCs w:val="17"/>
                <w:color w:val="auto"/>
              </w:rPr>
            </w:pPr>
          </w:p>
        </w:tc>
        <w:tc>
          <w:tcPr>
            <w:tcW w:w="6180" w:type="dxa"/>
            <w:vAlign w:val="bottom"/>
            <w:tcBorders>
              <w:top w:val="single" w:sz="8" w:color="C0C0C0"/>
            </w:tcBorders>
          </w:tcPr>
          <w:p>
            <w:pPr>
              <w:spacing w:after="0"/>
              <w:rPr>
                <w:sz w:val="17"/>
                <w:szCs w:val="17"/>
                <w:color w:val="auto"/>
              </w:rPr>
            </w:pPr>
          </w:p>
        </w:tc>
        <w:tc>
          <w:tcPr>
            <w:tcW w:w="940" w:type="dxa"/>
            <w:vAlign w:val="bottom"/>
            <w:tcBorders>
              <w:top w:val="single" w:sz="8" w:color="C0C0C0"/>
            </w:tcBorders>
          </w:tcPr>
          <w:p>
            <w:pPr>
              <w:spacing w:after="0"/>
              <w:rPr>
                <w:sz w:val="17"/>
                <w:szCs w:val="17"/>
                <w:color w:val="auto"/>
              </w:rPr>
            </w:pPr>
          </w:p>
        </w:tc>
        <w:tc>
          <w:tcPr>
            <w:tcW w:w="20" w:type="dxa"/>
            <w:vAlign w:val="bottom"/>
          </w:tcPr>
          <w:p>
            <w:pPr>
              <w:spacing w:after="0"/>
              <w:rPr>
                <w:sz w:val="17"/>
                <w:szCs w:val="17"/>
                <w:color w:val="auto"/>
              </w:rPr>
            </w:pPr>
          </w:p>
        </w:tc>
      </w:tr>
      <w:tr>
        <w:trPr>
          <w:trHeight w:val="177"/>
        </w:trPr>
        <w:tc>
          <w:tcPr>
            <w:tcW w:w="760" w:type="dxa"/>
            <w:vAlign w:val="bottom"/>
            <w:gridSpan w:val="3"/>
            <w:shd w:val="clear" w:color="auto" w:fill="C0C0C0"/>
          </w:tcPr>
          <w:p>
            <w:pPr>
              <w:spacing w:after="0" w:line="153" w:lineRule="exact"/>
              <w:rPr>
                <w:sz w:val="20"/>
                <w:szCs w:val="20"/>
                <w:color w:val="auto"/>
              </w:rPr>
            </w:pPr>
            <w:r>
              <w:rPr>
                <w:rFonts w:ascii="Arial" w:cs="Arial" w:eastAsia="Arial" w:hAnsi="Arial"/>
                <w:sz w:val="14"/>
                <w:szCs w:val="14"/>
                <w:color w:val="auto"/>
              </w:rPr>
              <w:t>Item 6</w:t>
            </w:r>
          </w:p>
        </w:tc>
        <w:tc>
          <w:tcPr>
            <w:tcW w:w="9760" w:type="dxa"/>
            <w:vAlign w:val="bottom"/>
            <w:gridSpan w:val="10"/>
            <w:shd w:val="clear" w:color="auto" w:fill="C0C0C0"/>
          </w:tcPr>
          <w:p>
            <w:pPr>
              <w:spacing w:after="0" w:line="153" w:lineRule="exact"/>
              <w:rPr>
                <w:sz w:val="20"/>
                <w:szCs w:val="20"/>
                <w:color w:val="auto"/>
              </w:rPr>
            </w:pPr>
            <w:r>
              <w:rPr>
                <w:rFonts w:ascii="Arial" w:cs="Arial" w:eastAsia="Arial" w:hAnsi="Arial"/>
                <w:sz w:val="14"/>
                <w:szCs w:val="14"/>
                <w:color w:val="auto"/>
              </w:rPr>
              <w:t>Exhibits</w:t>
            </w:r>
          </w:p>
        </w:tc>
        <w:tc>
          <w:tcPr>
            <w:tcW w:w="940" w:type="dxa"/>
            <w:vAlign w:val="bottom"/>
            <w:shd w:val="clear" w:color="auto" w:fill="C0C0C0"/>
          </w:tcPr>
          <w:p>
            <w:pPr>
              <w:ind w:left="300"/>
              <w:spacing w:after="0" w:line="153" w:lineRule="exact"/>
              <w:rPr>
                <w:sz w:val="20"/>
                <w:szCs w:val="20"/>
                <w:color w:val="auto"/>
              </w:rPr>
            </w:pPr>
            <w:r>
              <w:rPr>
                <w:rFonts w:ascii="Arial" w:cs="Arial" w:eastAsia="Arial" w:hAnsi="Arial"/>
                <w:sz w:val="14"/>
                <w:szCs w:val="14"/>
                <w:color w:val="auto"/>
              </w:rPr>
              <w:t>70</w:t>
            </w:r>
          </w:p>
        </w:tc>
        <w:tc>
          <w:tcPr>
            <w:tcW w:w="20" w:type="dxa"/>
            <w:vAlign w:val="bottom"/>
          </w:tcPr>
          <w:p>
            <w:pPr>
              <w:spacing w:after="0"/>
              <w:rPr>
                <w:sz w:val="15"/>
                <w:szCs w:val="15"/>
                <w:color w:val="auto"/>
              </w:rPr>
            </w:pPr>
          </w:p>
        </w:tc>
      </w:tr>
      <w:tr>
        <w:trPr>
          <w:trHeight w:val="197"/>
        </w:trPr>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280" w:type="dxa"/>
            <w:vAlign w:val="bottom"/>
            <w:tcBorders>
              <w:top w:val="single" w:sz="8" w:color="C0C0C0"/>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60" w:type="dxa"/>
            <w:vAlign w:val="bottom"/>
            <w:tcBorders>
              <w:top w:val="single" w:sz="8" w:color="C0C0C0"/>
            </w:tcBorders>
          </w:tcPr>
          <w:p>
            <w:pPr>
              <w:spacing w:after="0"/>
              <w:rPr>
                <w:sz w:val="17"/>
                <w:szCs w:val="17"/>
                <w:color w:val="auto"/>
              </w:rPr>
            </w:pPr>
          </w:p>
        </w:tc>
        <w:tc>
          <w:tcPr>
            <w:tcW w:w="340" w:type="dxa"/>
            <w:vAlign w:val="bottom"/>
            <w:tcBorders>
              <w:top w:val="single" w:sz="8" w:color="C0C0C0"/>
            </w:tcBorders>
          </w:tcPr>
          <w:p>
            <w:pPr>
              <w:spacing w:after="0"/>
              <w:rPr>
                <w:sz w:val="17"/>
                <w:szCs w:val="17"/>
                <w:color w:val="auto"/>
              </w:rPr>
            </w:pPr>
          </w:p>
        </w:tc>
        <w:tc>
          <w:tcPr>
            <w:tcW w:w="120" w:type="dxa"/>
            <w:vAlign w:val="bottom"/>
            <w:tcBorders>
              <w:top w:val="single" w:sz="8" w:color="C0C0C0"/>
            </w:tcBorders>
          </w:tcPr>
          <w:p>
            <w:pPr>
              <w:spacing w:after="0"/>
              <w:rPr>
                <w:sz w:val="17"/>
                <w:szCs w:val="17"/>
                <w:color w:val="auto"/>
              </w:rPr>
            </w:pPr>
          </w:p>
        </w:tc>
        <w:tc>
          <w:tcPr>
            <w:tcW w:w="220" w:type="dxa"/>
            <w:vAlign w:val="bottom"/>
            <w:tcBorders>
              <w:top w:val="single" w:sz="8" w:color="C0C0C0"/>
            </w:tcBorders>
          </w:tcPr>
          <w:p>
            <w:pPr>
              <w:spacing w:after="0"/>
              <w:rPr>
                <w:sz w:val="17"/>
                <w:szCs w:val="17"/>
                <w:color w:val="auto"/>
              </w:rPr>
            </w:pPr>
          </w:p>
        </w:tc>
        <w:tc>
          <w:tcPr>
            <w:tcW w:w="80" w:type="dxa"/>
            <w:vAlign w:val="bottom"/>
            <w:tcBorders>
              <w:top w:val="single" w:sz="8" w:color="C0C0C0"/>
            </w:tcBorders>
          </w:tcPr>
          <w:p>
            <w:pPr>
              <w:spacing w:after="0"/>
              <w:rPr>
                <w:sz w:val="17"/>
                <w:szCs w:val="17"/>
                <w:color w:val="auto"/>
              </w:rPr>
            </w:pPr>
          </w:p>
        </w:tc>
        <w:tc>
          <w:tcPr>
            <w:tcW w:w="1960" w:type="dxa"/>
            <w:vAlign w:val="bottom"/>
            <w:tcBorders>
              <w:top w:val="single" w:sz="8" w:color="C0C0C0"/>
            </w:tcBorders>
          </w:tcPr>
          <w:p>
            <w:pPr>
              <w:spacing w:after="0"/>
              <w:rPr>
                <w:sz w:val="17"/>
                <w:szCs w:val="17"/>
                <w:color w:val="auto"/>
              </w:rPr>
            </w:pPr>
          </w:p>
        </w:tc>
        <w:tc>
          <w:tcPr>
            <w:tcW w:w="80" w:type="dxa"/>
            <w:vAlign w:val="bottom"/>
            <w:tcBorders>
              <w:top w:val="single" w:sz="8" w:color="C0C0C0"/>
            </w:tcBorders>
          </w:tcPr>
          <w:p>
            <w:pPr>
              <w:spacing w:after="0"/>
              <w:rPr>
                <w:sz w:val="17"/>
                <w:szCs w:val="17"/>
                <w:color w:val="auto"/>
              </w:rPr>
            </w:pPr>
          </w:p>
        </w:tc>
        <w:tc>
          <w:tcPr>
            <w:tcW w:w="60" w:type="dxa"/>
            <w:vAlign w:val="bottom"/>
            <w:tcBorders>
              <w:top w:val="single" w:sz="8" w:color="C0C0C0"/>
            </w:tcBorders>
          </w:tcPr>
          <w:p>
            <w:pPr>
              <w:spacing w:after="0"/>
              <w:rPr>
                <w:sz w:val="17"/>
                <w:szCs w:val="17"/>
                <w:color w:val="auto"/>
              </w:rPr>
            </w:pPr>
          </w:p>
        </w:tc>
        <w:tc>
          <w:tcPr>
            <w:tcW w:w="6180" w:type="dxa"/>
            <w:vAlign w:val="bottom"/>
            <w:tcBorders>
              <w:top w:val="single" w:sz="8" w:color="C0C0C0"/>
            </w:tcBorders>
          </w:tcPr>
          <w:p>
            <w:pPr>
              <w:spacing w:after="0"/>
              <w:rPr>
                <w:sz w:val="17"/>
                <w:szCs w:val="17"/>
                <w:color w:val="auto"/>
              </w:rPr>
            </w:pPr>
          </w:p>
        </w:tc>
        <w:tc>
          <w:tcPr>
            <w:tcW w:w="940" w:type="dxa"/>
            <w:vAlign w:val="bottom"/>
            <w:tcBorders>
              <w:top w:val="single" w:sz="8" w:color="C0C0C0"/>
            </w:tcBorders>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10520" w:type="dxa"/>
            <w:vAlign w:val="bottom"/>
            <w:gridSpan w:val="13"/>
            <w:shd w:val="clear" w:color="auto" w:fill="C0C0C0"/>
          </w:tcPr>
          <w:p>
            <w:pPr>
              <w:spacing w:after="0"/>
              <w:rPr>
                <w:sz w:val="20"/>
                <w:szCs w:val="20"/>
                <w:color w:val="auto"/>
              </w:rPr>
            </w:pPr>
            <w:r>
              <w:rPr>
                <w:rFonts w:ascii="Arial" w:cs="Arial" w:eastAsia="Arial" w:hAnsi="Arial"/>
                <w:sz w:val="14"/>
                <w:szCs w:val="14"/>
                <w:b w:val="1"/>
                <w:bCs w:val="1"/>
                <w:color w:val="auto"/>
              </w:rPr>
              <w:t>SIGNATURE PAGE</w:t>
            </w:r>
          </w:p>
        </w:tc>
        <w:tc>
          <w:tcPr>
            <w:tcW w:w="940" w:type="dxa"/>
            <w:vAlign w:val="bottom"/>
            <w:shd w:val="clear" w:color="auto" w:fill="C0C0C0"/>
          </w:tcPr>
          <w:p>
            <w:pPr>
              <w:ind w:left="300"/>
              <w:spacing w:after="0"/>
              <w:rPr>
                <w:sz w:val="20"/>
                <w:szCs w:val="20"/>
                <w:color w:val="auto"/>
              </w:rPr>
            </w:pPr>
            <w:r>
              <w:rPr>
                <w:rFonts w:ascii="Arial" w:cs="Arial" w:eastAsia="Arial" w:hAnsi="Arial"/>
                <w:sz w:val="14"/>
                <w:szCs w:val="14"/>
                <w:color w:val="auto"/>
              </w:rPr>
              <w:t>71</w:t>
            </w:r>
          </w:p>
        </w:tc>
        <w:tc>
          <w:tcPr>
            <w:tcW w:w="20" w:type="dxa"/>
            <w:vAlign w:val="bottom"/>
          </w:tcPr>
          <w:p>
            <w:pPr>
              <w:spacing w:after="0"/>
              <w:rPr>
                <w:sz w:val="17"/>
                <w:szCs w:val="17"/>
                <w:color w:val="auto"/>
              </w:rPr>
            </w:pPr>
          </w:p>
        </w:tc>
      </w:tr>
      <w:tr>
        <w:trPr>
          <w:trHeight w:val="292"/>
        </w:trPr>
        <w:tc>
          <w:tcPr>
            <w:tcW w:w="3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61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-12700</wp:posOffset>
            </wp:positionV>
            <wp:extent cx="1270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80"/>
          </w:cols>
          <w:pgMar w:left="220" w:top="523" w:right="19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PART I. FINANCIAL INFORMATION</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REGENERON PHARMACEUTICALS, INC.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BALANCE SHEETS AT SEPTEMBER 30, 2011 AND DECEMBER 31, 2010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 thousands, except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b w:val="1"/>
                <w:bCs w:val="1"/>
                <w:color w:val="auto"/>
                <w:w w:val="90"/>
              </w:rPr>
              <w:t>December 31,</w:t>
            </w:r>
          </w:p>
        </w:tc>
      </w:tr>
      <w:tr>
        <w:trPr>
          <w:trHeight w:val="204"/>
        </w:trPr>
        <w:tc>
          <w:tcPr>
            <w:tcW w:w="9020" w:type="dxa"/>
            <w:vAlign w:val="bottom"/>
            <w:tcBorders>
              <w:bottom w:val="single" w:sz="8" w:color="C0C0C0"/>
            </w:tcBorders>
          </w:tcPr>
          <w:p>
            <w:pPr>
              <w:spacing w:after="0"/>
              <w:rPr>
                <w:sz w:val="17"/>
                <w:szCs w:val="17"/>
                <w:color w:val="auto"/>
              </w:rPr>
            </w:pPr>
          </w:p>
        </w:tc>
        <w:tc>
          <w:tcPr>
            <w:tcW w:w="280" w:type="dxa"/>
            <w:vAlign w:val="bottom"/>
            <w:tcBorders>
              <w:bottom w:val="single" w:sz="8" w:color="C0C0C0"/>
            </w:tcBorders>
          </w:tcPr>
          <w:p>
            <w:pPr>
              <w:spacing w:after="0"/>
              <w:rPr>
                <w:sz w:val="17"/>
                <w:szCs w:val="17"/>
                <w:color w:val="auto"/>
              </w:rPr>
            </w:pPr>
          </w:p>
        </w:tc>
        <w:tc>
          <w:tcPr>
            <w:tcW w:w="9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0C0C0"/>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2010</w:t>
            </w:r>
          </w:p>
        </w:tc>
      </w:tr>
      <w:tr>
        <w:trPr>
          <w:trHeight w:val="184"/>
        </w:trPr>
        <w:tc>
          <w:tcPr>
            <w:tcW w:w="9020" w:type="dxa"/>
            <w:vAlign w:val="bottom"/>
            <w:shd w:val="clear" w:color="auto" w:fill="C0C0C0"/>
          </w:tcPr>
          <w:p>
            <w:pPr>
              <w:ind w:left="5460"/>
              <w:spacing w:after="0"/>
              <w:rPr>
                <w:sz w:val="20"/>
                <w:szCs w:val="20"/>
                <w:color w:val="auto"/>
              </w:rPr>
            </w:pPr>
            <w:r>
              <w:rPr>
                <w:rFonts w:ascii="Arial" w:cs="Arial" w:eastAsia="Arial" w:hAnsi="Arial"/>
                <w:sz w:val="14"/>
                <w:szCs w:val="14"/>
                <w:b w:val="1"/>
                <w:bCs w:val="1"/>
                <w:color w:val="auto"/>
              </w:rPr>
              <w:t>ASSETS</w:t>
            </w:r>
          </w:p>
        </w:tc>
        <w:tc>
          <w:tcPr>
            <w:tcW w:w="280" w:type="dxa"/>
            <w:vAlign w:val="bottom"/>
            <w:tcBorders>
              <w:right w:val="single" w:sz="8" w:color="C0C0C0"/>
            </w:tcBorders>
            <w:shd w:val="clear" w:color="auto" w:fill="C0C0C0"/>
          </w:tcPr>
          <w:p>
            <w:pPr>
              <w:spacing w:after="0"/>
              <w:rPr>
                <w:sz w:val="15"/>
                <w:szCs w:val="15"/>
                <w:color w:val="auto"/>
              </w:rPr>
            </w:pPr>
          </w:p>
        </w:tc>
        <w:tc>
          <w:tcPr>
            <w:tcW w:w="960" w:type="dxa"/>
            <w:vAlign w:val="bottom"/>
            <w:shd w:val="clear" w:color="auto" w:fill="C0C0C0"/>
          </w:tcPr>
          <w:p>
            <w:pPr>
              <w:spacing w:after="0"/>
              <w:rPr>
                <w:sz w:val="15"/>
                <w:szCs w:val="15"/>
                <w:color w:val="auto"/>
              </w:rPr>
            </w:pPr>
          </w:p>
        </w:tc>
        <w:tc>
          <w:tcPr>
            <w:tcW w:w="220" w:type="dxa"/>
            <w:vAlign w:val="bottom"/>
            <w:shd w:val="clear" w:color="auto" w:fill="C0C0C0"/>
          </w:tcPr>
          <w:p>
            <w:pPr>
              <w:spacing w:after="0"/>
              <w:rPr>
                <w:sz w:val="15"/>
                <w:szCs w:val="15"/>
                <w:color w:val="auto"/>
              </w:rPr>
            </w:pPr>
          </w:p>
        </w:tc>
        <w:tc>
          <w:tcPr>
            <w:tcW w:w="60" w:type="dxa"/>
            <w:vAlign w:val="bottom"/>
            <w:shd w:val="clear" w:color="auto" w:fill="C0C0C0"/>
          </w:tcPr>
          <w:p>
            <w:pPr>
              <w:spacing w:after="0"/>
              <w:rPr>
                <w:sz w:val="15"/>
                <w:szCs w:val="15"/>
                <w:color w:val="auto"/>
              </w:rPr>
            </w:pPr>
          </w:p>
        </w:tc>
        <w:tc>
          <w:tcPr>
            <w:tcW w:w="920" w:type="dxa"/>
            <w:vAlign w:val="bottom"/>
            <w:shd w:val="clear" w:color="auto" w:fill="C0C0C0"/>
          </w:tcPr>
          <w:p>
            <w:pPr>
              <w:spacing w:after="0"/>
              <w:rPr>
                <w:sz w:val="15"/>
                <w:szCs w:val="15"/>
                <w:color w:val="auto"/>
              </w:rPr>
            </w:pPr>
          </w:p>
        </w:tc>
      </w:tr>
      <w:tr>
        <w:trPr>
          <w:trHeight w:val="191"/>
        </w:trPr>
        <w:tc>
          <w:tcPr>
            <w:tcW w:w="9020" w:type="dxa"/>
            <w:vAlign w:val="bottom"/>
          </w:tcPr>
          <w:p>
            <w:pPr>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4"/>
        </w:trPr>
        <w:tc>
          <w:tcPr>
            <w:tcW w:w="9020" w:type="dxa"/>
            <w:vAlign w:val="bottom"/>
            <w:shd w:val="clear" w:color="auto" w:fill="C0C0C0"/>
          </w:tcPr>
          <w:p>
            <w:pPr>
              <w:ind w:left="260"/>
              <w:spacing w:after="0"/>
              <w:rPr>
                <w:sz w:val="20"/>
                <w:szCs w:val="20"/>
                <w:color w:val="auto"/>
              </w:rPr>
            </w:pPr>
            <w:r>
              <w:rPr>
                <w:rFonts w:ascii="Arial" w:cs="Arial" w:eastAsia="Arial" w:hAnsi="Arial"/>
                <w:sz w:val="14"/>
                <w:szCs w:val="14"/>
                <w:color w:val="auto"/>
              </w:rPr>
              <w:t>Cash and cash equivalents</w:t>
            </w:r>
          </w:p>
        </w:tc>
        <w:tc>
          <w:tcPr>
            <w:tcW w:w="28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0C0C0"/>
          </w:tcPr>
          <w:p>
            <w:pPr>
              <w:jc w:val="right"/>
              <w:ind w:right="49"/>
              <w:spacing w:after="0"/>
              <w:rPr>
                <w:sz w:val="20"/>
                <w:szCs w:val="20"/>
                <w:color w:val="auto"/>
              </w:rPr>
            </w:pPr>
            <w:r>
              <w:rPr>
                <w:rFonts w:ascii="Arial" w:cs="Arial" w:eastAsia="Arial" w:hAnsi="Arial"/>
                <w:sz w:val="14"/>
                <w:szCs w:val="14"/>
                <w:color w:val="auto"/>
              </w:rPr>
              <w:t>206,395</w:t>
            </w:r>
          </w:p>
        </w:tc>
        <w:tc>
          <w:tcPr>
            <w:tcW w:w="220" w:type="dxa"/>
            <w:vAlign w:val="bottom"/>
            <w:shd w:val="clear" w:color="auto" w:fill="C0C0C0"/>
          </w:tcPr>
          <w:p>
            <w:pPr>
              <w:spacing w:after="0"/>
              <w:rPr>
                <w:sz w:val="17"/>
                <w:szCs w:val="17"/>
                <w:color w:val="auto"/>
              </w:rPr>
            </w:pPr>
          </w:p>
        </w:tc>
        <w:tc>
          <w:tcPr>
            <w:tcW w:w="60" w:type="dxa"/>
            <w:vAlign w:val="bottom"/>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112,572</w:t>
            </w:r>
          </w:p>
        </w:tc>
      </w:tr>
      <w:tr>
        <w:trPr>
          <w:trHeight w:val="191"/>
        </w:trPr>
        <w:tc>
          <w:tcPr>
            <w:tcW w:w="9020" w:type="dxa"/>
            <w:vAlign w:val="bottom"/>
          </w:tcPr>
          <w:p>
            <w:pPr>
              <w:ind w:left="260"/>
              <w:spacing w:after="0"/>
              <w:rPr>
                <w:sz w:val="20"/>
                <w:szCs w:val="20"/>
                <w:color w:val="auto"/>
              </w:rPr>
            </w:pPr>
            <w:r>
              <w:rPr>
                <w:rFonts w:ascii="Arial" w:cs="Arial" w:eastAsia="Arial" w:hAnsi="Arial"/>
                <w:sz w:val="14"/>
                <w:szCs w:val="14"/>
                <w:color w:val="auto"/>
              </w:rPr>
              <w:t>Marketable securities</w:t>
            </w:r>
          </w:p>
        </w:tc>
        <w:tc>
          <w:tcPr>
            <w:tcW w:w="280" w:type="dxa"/>
            <w:vAlign w:val="bottom"/>
          </w:tcPr>
          <w:p>
            <w:pPr>
              <w:spacing w:after="0"/>
              <w:rPr>
                <w:sz w:val="16"/>
                <w:szCs w:val="16"/>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39,103</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136,796</w:t>
            </w:r>
          </w:p>
        </w:tc>
      </w:tr>
      <w:tr>
        <w:trPr>
          <w:trHeight w:val="204"/>
        </w:trPr>
        <w:tc>
          <w:tcPr>
            <w:tcW w:w="9020" w:type="dxa"/>
            <w:vAlign w:val="bottom"/>
            <w:shd w:val="clear" w:color="auto" w:fill="C0C0C0"/>
          </w:tcPr>
          <w:p>
            <w:pPr>
              <w:ind w:left="260"/>
              <w:spacing w:after="0"/>
              <w:rPr>
                <w:sz w:val="20"/>
                <w:szCs w:val="20"/>
                <w:color w:val="auto"/>
              </w:rPr>
            </w:pPr>
            <w:r>
              <w:rPr>
                <w:rFonts w:ascii="Arial" w:cs="Arial" w:eastAsia="Arial" w:hAnsi="Arial"/>
                <w:sz w:val="14"/>
                <w:szCs w:val="14"/>
                <w:color w:val="auto"/>
              </w:rPr>
              <w:t>Accounts receivable from Sanofi</w:t>
            </w:r>
          </w:p>
        </w:tc>
        <w:tc>
          <w:tcPr>
            <w:tcW w:w="280" w:type="dxa"/>
            <w:vAlign w:val="bottom"/>
            <w:tcBorders>
              <w:right w:val="single" w:sz="8" w:color="C0C0C0"/>
            </w:tcBorders>
            <w:shd w:val="clear" w:color="auto" w:fill="C0C0C0"/>
          </w:tcPr>
          <w:p>
            <w:pPr>
              <w:spacing w:after="0"/>
              <w:rPr>
                <w:sz w:val="17"/>
                <w:szCs w:val="17"/>
                <w:color w:val="auto"/>
              </w:rPr>
            </w:pPr>
          </w:p>
        </w:tc>
        <w:tc>
          <w:tcPr>
            <w:tcW w:w="960" w:type="dxa"/>
            <w:vAlign w:val="bottom"/>
            <w:shd w:val="clear" w:color="auto" w:fill="C0C0C0"/>
          </w:tcPr>
          <w:p>
            <w:pPr>
              <w:jc w:val="right"/>
              <w:ind w:right="49"/>
              <w:spacing w:after="0"/>
              <w:rPr>
                <w:sz w:val="20"/>
                <w:szCs w:val="20"/>
                <w:color w:val="auto"/>
              </w:rPr>
            </w:pPr>
            <w:r>
              <w:rPr>
                <w:rFonts w:ascii="Arial" w:cs="Arial" w:eastAsia="Arial" w:hAnsi="Arial"/>
                <w:sz w:val="14"/>
                <w:szCs w:val="14"/>
                <w:color w:val="auto"/>
              </w:rPr>
              <w:t>74,788</w:t>
            </w:r>
          </w:p>
        </w:tc>
        <w:tc>
          <w:tcPr>
            <w:tcW w:w="220" w:type="dxa"/>
            <w:vAlign w:val="bottom"/>
            <w:shd w:val="clear" w:color="auto" w:fill="C0C0C0"/>
          </w:tcPr>
          <w:p>
            <w:pPr>
              <w:spacing w:after="0"/>
              <w:rPr>
                <w:sz w:val="17"/>
                <w:szCs w:val="17"/>
                <w:color w:val="auto"/>
              </w:rPr>
            </w:pPr>
          </w:p>
        </w:tc>
        <w:tc>
          <w:tcPr>
            <w:tcW w:w="60" w:type="dxa"/>
            <w:vAlign w:val="bottom"/>
            <w:shd w:val="clear" w:color="auto" w:fill="C0C0C0"/>
          </w:tcPr>
          <w:p>
            <w:pPr>
              <w:spacing w:after="0"/>
              <w:rPr>
                <w:sz w:val="17"/>
                <w:szCs w:val="17"/>
                <w:color w:val="auto"/>
              </w:rPr>
            </w:pPr>
          </w:p>
        </w:tc>
        <w:tc>
          <w:tcPr>
            <w:tcW w:w="9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79,603</w:t>
            </w:r>
          </w:p>
        </w:tc>
      </w:tr>
      <w:tr>
        <w:trPr>
          <w:trHeight w:val="191"/>
        </w:trPr>
        <w:tc>
          <w:tcPr>
            <w:tcW w:w="9020" w:type="dxa"/>
            <w:vAlign w:val="bottom"/>
          </w:tcPr>
          <w:p>
            <w:pPr>
              <w:ind w:left="260"/>
              <w:spacing w:after="0"/>
              <w:rPr>
                <w:sz w:val="20"/>
                <w:szCs w:val="20"/>
                <w:color w:val="auto"/>
              </w:rPr>
            </w:pPr>
            <w:r>
              <w:rPr>
                <w:rFonts w:ascii="Arial" w:cs="Arial" w:eastAsia="Arial" w:hAnsi="Arial"/>
                <w:sz w:val="14"/>
                <w:szCs w:val="14"/>
                <w:color w:val="auto"/>
              </w:rPr>
              <w:t>Accounts receivable - other</w:t>
            </w:r>
          </w:p>
        </w:tc>
        <w:tc>
          <w:tcPr>
            <w:tcW w:w="280" w:type="dxa"/>
            <w:vAlign w:val="bottom"/>
          </w:tcPr>
          <w:p>
            <w:pPr>
              <w:spacing w:after="0"/>
              <w:rPr>
                <w:sz w:val="16"/>
                <w:szCs w:val="16"/>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3,659</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13,509</w:t>
            </w:r>
          </w:p>
        </w:tc>
      </w:tr>
      <w:tr>
        <w:trPr>
          <w:trHeight w:val="204"/>
        </w:trPr>
        <w:tc>
          <w:tcPr>
            <w:tcW w:w="9020" w:type="dxa"/>
            <w:vAlign w:val="bottom"/>
            <w:shd w:val="clear" w:color="auto" w:fill="C0C0C0"/>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right w:val="single" w:sz="8" w:color="C0C0C0"/>
            </w:tcBorders>
            <w:shd w:val="clear" w:color="auto" w:fill="C0C0C0"/>
          </w:tcPr>
          <w:p>
            <w:pPr>
              <w:spacing w:after="0"/>
              <w:rPr>
                <w:sz w:val="17"/>
                <w:szCs w:val="17"/>
                <w:color w:val="auto"/>
              </w:rPr>
            </w:pPr>
          </w:p>
        </w:tc>
        <w:tc>
          <w:tcPr>
            <w:tcW w:w="960" w:type="dxa"/>
            <w:vAlign w:val="bottom"/>
            <w:tcBorders>
              <w:bottom w:val="single" w:sz="8" w:color="auto"/>
            </w:tcBorders>
            <w:shd w:val="clear" w:color="auto" w:fill="C0C0C0"/>
          </w:tcPr>
          <w:p>
            <w:pPr>
              <w:jc w:val="right"/>
              <w:ind w:right="49"/>
              <w:spacing w:after="0"/>
              <w:rPr>
                <w:sz w:val="20"/>
                <w:szCs w:val="20"/>
                <w:color w:val="auto"/>
              </w:rPr>
            </w:pPr>
            <w:r>
              <w:rPr>
                <w:rFonts w:ascii="Arial" w:cs="Arial" w:eastAsia="Arial" w:hAnsi="Arial"/>
                <w:sz w:val="14"/>
                <w:szCs w:val="14"/>
                <w:color w:val="auto"/>
              </w:rPr>
              <w:t>15,927</w:t>
            </w:r>
          </w:p>
        </w:tc>
        <w:tc>
          <w:tcPr>
            <w:tcW w:w="220" w:type="dxa"/>
            <w:vAlign w:val="bottom"/>
            <w:shd w:val="clear" w:color="auto" w:fill="C0C0C0"/>
          </w:tcPr>
          <w:p>
            <w:pPr>
              <w:spacing w:after="0"/>
              <w:rPr>
                <w:sz w:val="17"/>
                <w:szCs w:val="17"/>
                <w:color w:val="auto"/>
              </w:rPr>
            </w:pPr>
          </w:p>
        </w:tc>
        <w:tc>
          <w:tcPr>
            <w:tcW w:w="60" w:type="dxa"/>
            <w:vAlign w:val="bottom"/>
            <w:tcBorders>
              <w:bottom w:val="single" w:sz="8" w:color="auto"/>
            </w:tcBorders>
            <w:shd w:val="clear" w:color="auto" w:fill="C0C0C0"/>
          </w:tcPr>
          <w:p>
            <w:pPr>
              <w:spacing w:after="0"/>
              <w:rPr>
                <w:sz w:val="17"/>
                <w:szCs w:val="17"/>
                <w:color w:val="auto"/>
              </w:rPr>
            </w:pPr>
          </w:p>
        </w:tc>
        <w:tc>
          <w:tcPr>
            <w:tcW w:w="920" w:type="dxa"/>
            <w:vAlign w:val="bottom"/>
            <w:tcBorders>
              <w:bottom w:val="single" w:sz="8" w:color="auto"/>
            </w:tcBorders>
            <w:shd w:val="clear" w:color="auto" w:fill="C0C0C0"/>
          </w:tcPr>
          <w:p>
            <w:pPr>
              <w:jc w:val="right"/>
              <w:ind w:right="29"/>
              <w:spacing w:after="0"/>
              <w:rPr>
                <w:sz w:val="20"/>
                <w:szCs w:val="20"/>
                <w:color w:val="auto"/>
              </w:rPr>
            </w:pPr>
            <w:r>
              <w:rPr>
                <w:rFonts w:ascii="Arial" w:cs="Arial" w:eastAsia="Arial" w:hAnsi="Arial"/>
                <w:sz w:val="14"/>
                <w:szCs w:val="14"/>
                <w:color w:val="auto"/>
              </w:rPr>
              <w:t>15,142</w:t>
            </w:r>
          </w:p>
        </w:tc>
      </w:tr>
      <w:tr>
        <w:trPr>
          <w:trHeight w:val="176"/>
        </w:trPr>
        <w:tc>
          <w:tcPr>
            <w:tcW w:w="9020" w:type="dxa"/>
            <w:vAlign w:val="bottom"/>
          </w:tcPr>
          <w:p>
            <w:pPr>
              <w:ind w:left="500"/>
              <w:spacing w:after="0"/>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15"/>
                <w:szCs w:val="15"/>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339,872</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357,622</w:t>
            </w:r>
          </w:p>
        </w:tc>
      </w:t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97"/>
        </w:trPr>
        <w:tc>
          <w:tcPr>
            <w:tcW w:w="9020" w:type="dxa"/>
            <w:vAlign w:val="bottom"/>
            <w:shd w:val="clear" w:color="auto" w:fill="C0C0C0"/>
          </w:tcPr>
          <w:p>
            <w:pPr>
              <w:spacing w:after="0"/>
              <w:rPr>
                <w:sz w:val="20"/>
                <w:szCs w:val="20"/>
                <w:color w:val="auto"/>
              </w:rPr>
            </w:pPr>
            <w:r>
              <w:rPr>
                <w:rFonts w:ascii="Arial" w:cs="Arial" w:eastAsia="Arial" w:hAnsi="Arial"/>
                <w:sz w:val="14"/>
                <w:szCs w:val="14"/>
                <w:color w:val="auto"/>
              </w:rPr>
              <w:t>Restricted cash and marketable securities</w:t>
            </w:r>
          </w:p>
        </w:tc>
        <w:tc>
          <w:tcPr>
            <w:tcW w:w="280" w:type="dxa"/>
            <w:vAlign w:val="bottom"/>
            <w:tcBorders>
              <w:right w:val="single" w:sz="8" w:color="C0C0C0"/>
            </w:tcBorders>
            <w:shd w:val="clear" w:color="auto" w:fill="C0C0C0"/>
          </w:tcPr>
          <w:p>
            <w:pPr>
              <w:spacing w:after="0"/>
              <w:rPr>
                <w:sz w:val="17"/>
                <w:szCs w:val="17"/>
                <w:color w:val="auto"/>
              </w:rPr>
            </w:pPr>
          </w:p>
        </w:tc>
        <w:tc>
          <w:tcPr>
            <w:tcW w:w="960" w:type="dxa"/>
            <w:vAlign w:val="bottom"/>
            <w:shd w:val="clear" w:color="auto" w:fill="C0C0C0"/>
          </w:tcPr>
          <w:p>
            <w:pPr>
              <w:jc w:val="right"/>
              <w:ind w:right="49"/>
              <w:spacing w:after="0"/>
              <w:rPr>
                <w:sz w:val="20"/>
                <w:szCs w:val="20"/>
                <w:color w:val="auto"/>
              </w:rPr>
            </w:pPr>
            <w:r>
              <w:rPr>
                <w:rFonts w:ascii="Arial" w:cs="Arial" w:eastAsia="Arial" w:hAnsi="Arial"/>
                <w:sz w:val="14"/>
                <w:szCs w:val="14"/>
                <w:color w:val="auto"/>
              </w:rPr>
              <w:t>8,150</w:t>
            </w:r>
          </w:p>
        </w:tc>
        <w:tc>
          <w:tcPr>
            <w:tcW w:w="220" w:type="dxa"/>
            <w:vAlign w:val="bottom"/>
            <w:shd w:val="clear" w:color="auto" w:fill="C0C0C0"/>
          </w:tcPr>
          <w:p>
            <w:pPr>
              <w:spacing w:after="0"/>
              <w:rPr>
                <w:sz w:val="17"/>
                <w:szCs w:val="17"/>
                <w:color w:val="auto"/>
              </w:rPr>
            </w:pPr>
          </w:p>
        </w:tc>
        <w:tc>
          <w:tcPr>
            <w:tcW w:w="60" w:type="dxa"/>
            <w:vAlign w:val="bottom"/>
            <w:shd w:val="clear" w:color="auto" w:fill="C0C0C0"/>
          </w:tcPr>
          <w:p>
            <w:pPr>
              <w:spacing w:after="0"/>
              <w:rPr>
                <w:sz w:val="17"/>
                <w:szCs w:val="17"/>
                <w:color w:val="auto"/>
              </w:rPr>
            </w:pPr>
          </w:p>
        </w:tc>
        <w:tc>
          <w:tcPr>
            <w:tcW w:w="9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7,518</w:t>
            </w:r>
          </w:p>
        </w:tc>
      </w:tr>
      <w:tr>
        <w:trPr>
          <w:trHeight w:val="191"/>
        </w:trPr>
        <w:tc>
          <w:tcPr>
            <w:tcW w:w="9020" w:type="dxa"/>
            <w:vAlign w:val="bottom"/>
          </w:tcPr>
          <w:p>
            <w:pPr>
              <w:spacing w:after="0"/>
              <w:rPr>
                <w:sz w:val="20"/>
                <w:szCs w:val="20"/>
                <w:color w:val="auto"/>
              </w:rPr>
            </w:pPr>
            <w:r>
              <w:rPr>
                <w:rFonts w:ascii="Arial" w:cs="Arial" w:eastAsia="Arial" w:hAnsi="Arial"/>
                <w:sz w:val="14"/>
                <w:szCs w:val="14"/>
                <w:color w:val="auto"/>
              </w:rPr>
              <w:t>Marketable securities</w:t>
            </w:r>
          </w:p>
        </w:tc>
        <w:tc>
          <w:tcPr>
            <w:tcW w:w="280" w:type="dxa"/>
            <w:vAlign w:val="bottom"/>
          </w:tcPr>
          <w:p>
            <w:pPr>
              <w:spacing w:after="0"/>
              <w:rPr>
                <w:sz w:val="16"/>
                <w:szCs w:val="16"/>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258,073</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370,053</w:t>
            </w:r>
          </w:p>
        </w:tc>
      </w:tr>
      <w:tr>
        <w:trPr>
          <w:trHeight w:val="191"/>
        </w:trPr>
        <w:tc>
          <w:tcPr>
            <w:tcW w:w="9020" w:type="dxa"/>
            <w:vAlign w:val="bottom"/>
            <w:shd w:val="clear" w:color="auto" w:fill="C0C0C0"/>
          </w:tcPr>
          <w:p>
            <w:pPr>
              <w:spacing w:after="0"/>
              <w:rPr>
                <w:sz w:val="20"/>
                <w:szCs w:val="20"/>
                <w:color w:val="auto"/>
              </w:rPr>
            </w:pPr>
            <w:r>
              <w:rPr>
                <w:rFonts w:ascii="Arial" w:cs="Arial" w:eastAsia="Arial" w:hAnsi="Arial"/>
                <w:sz w:val="14"/>
                <w:szCs w:val="14"/>
                <w:color w:val="auto"/>
              </w:rPr>
              <w:t>Property, plant, and equipment, at cost, net of accumulated</w:t>
            </w:r>
          </w:p>
        </w:tc>
        <w:tc>
          <w:tcPr>
            <w:tcW w:w="280" w:type="dxa"/>
            <w:vAlign w:val="bottom"/>
            <w:tcBorders>
              <w:right w:val="single" w:sz="8" w:color="C0C0C0"/>
            </w:tcBorders>
            <w:shd w:val="clear" w:color="auto" w:fill="C0C0C0"/>
          </w:tcPr>
          <w:p>
            <w:pPr>
              <w:spacing w:after="0"/>
              <w:rPr>
                <w:sz w:val="16"/>
                <w:szCs w:val="16"/>
                <w:color w:val="auto"/>
              </w:rPr>
            </w:pPr>
          </w:p>
        </w:tc>
        <w:tc>
          <w:tcPr>
            <w:tcW w:w="96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920" w:type="dxa"/>
            <w:vAlign w:val="bottom"/>
            <w:shd w:val="clear" w:color="auto" w:fill="C0C0C0"/>
          </w:tcPr>
          <w:p>
            <w:pPr>
              <w:spacing w:after="0"/>
              <w:rPr>
                <w:sz w:val="16"/>
                <w:szCs w:val="16"/>
                <w:color w:val="auto"/>
              </w:rPr>
            </w:pPr>
          </w:p>
        </w:tc>
      </w:tr>
      <w:tr>
        <w:trPr>
          <w:trHeight w:val="210"/>
        </w:trPr>
        <w:tc>
          <w:tcPr>
            <w:tcW w:w="9020" w:type="dxa"/>
            <w:vAlign w:val="bottom"/>
            <w:shd w:val="clear" w:color="auto" w:fill="C0C0C0"/>
          </w:tcPr>
          <w:p>
            <w:pPr>
              <w:ind w:left="260"/>
              <w:spacing w:after="0"/>
              <w:rPr>
                <w:sz w:val="20"/>
                <w:szCs w:val="20"/>
                <w:color w:val="auto"/>
              </w:rPr>
            </w:pPr>
            <w:r>
              <w:rPr>
                <w:rFonts w:ascii="Arial" w:cs="Arial" w:eastAsia="Arial" w:hAnsi="Arial"/>
                <w:sz w:val="14"/>
                <w:szCs w:val="14"/>
                <w:color w:val="auto"/>
              </w:rPr>
              <w:t>depreciation and amortization</w:t>
            </w:r>
          </w:p>
        </w:tc>
        <w:tc>
          <w:tcPr>
            <w:tcW w:w="280" w:type="dxa"/>
            <w:vAlign w:val="bottom"/>
            <w:tcBorders>
              <w:right w:val="single" w:sz="8" w:color="C0C0C0"/>
            </w:tcBorders>
            <w:shd w:val="clear" w:color="auto" w:fill="C0C0C0"/>
          </w:tcPr>
          <w:p>
            <w:pPr>
              <w:spacing w:after="0"/>
              <w:rPr>
                <w:sz w:val="18"/>
                <w:szCs w:val="18"/>
                <w:color w:val="auto"/>
              </w:rPr>
            </w:pPr>
          </w:p>
        </w:tc>
        <w:tc>
          <w:tcPr>
            <w:tcW w:w="960" w:type="dxa"/>
            <w:vAlign w:val="bottom"/>
            <w:shd w:val="clear" w:color="auto" w:fill="C0C0C0"/>
          </w:tcPr>
          <w:p>
            <w:pPr>
              <w:jc w:val="right"/>
              <w:ind w:right="49"/>
              <w:spacing w:after="0"/>
              <w:rPr>
                <w:sz w:val="20"/>
                <w:szCs w:val="20"/>
                <w:color w:val="auto"/>
              </w:rPr>
            </w:pPr>
            <w:r>
              <w:rPr>
                <w:rFonts w:ascii="Arial" w:cs="Arial" w:eastAsia="Arial" w:hAnsi="Arial"/>
                <w:sz w:val="14"/>
                <w:szCs w:val="14"/>
                <w:color w:val="auto"/>
              </w:rPr>
              <w:t>363,913</w:t>
            </w:r>
          </w:p>
        </w:tc>
        <w:tc>
          <w:tcPr>
            <w:tcW w:w="220" w:type="dxa"/>
            <w:vAlign w:val="bottom"/>
            <w:shd w:val="clear" w:color="auto" w:fill="C0C0C0"/>
          </w:tcPr>
          <w:p>
            <w:pPr>
              <w:spacing w:after="0"/>
              <w:rPr>
                <w:sz w:val="18"/>
                <w:szCs w:val="18"/>
                <w:color w:val="auto"/>
              </w:rPr>
            </w:pPr>
          </w:p>
        </w:tc>
        <w:tc>
          <w:tcPr>
            <w:tcW w:w="60" w:type="dxa"/>
            <w:vAlign w:val="bottom"/>
            <w:shd w:val="clear" w:color="auto" w:fill="C0C0C0"/>
          </w:tcPr>
          <w:p>
            <w:pPr>
              <w:spacing w:after="0"/>
              <w:rPr>
                <w:sz w:val="18"/>
                <w:szCs w:val="18"/>
                <w:color w:val="auto"/>
              </w:rPr>
            </w:pPr>
          </w:p>
        </w:tc>
        <w:tc>
          <w:tcPr>
            <w:tcW w:w="9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347,450</w:t>
            </w:r>
          </w:p>
        </w:tc>
      </w:tr>
      <w:tr>
        <w:trPr>
          <w:trHeight w:val="191"/>
        </w:trPr>
        <w:tc>
          <w:tcPr>
            <w:tcW w:w="9020" w:type="dxa"/>
            <w:vAlign w:val="bottom"/>
            <w:tcBorders>
              <w:bottom w:val="single" w:sz="8" w:color="C0C0C0"/>
            </w:tcBorders>
          </w:tcPr>
          <w:p>
            <w:pPr>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C0C0C0"/>
            </w:tcBorders>
          </w:tcPr>
          <w:p>
            <w:pPr>
              <w:spacing w:after="0"/>
              <w:rPr>
                <w:sz w:val="16"/>
                <w:szCs w:val="16"/>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13,023</w:t>
            </w:r>
          </w:p>
        </w:tc>
        <w:tc>
          <w:tcPr>
            <w:tcW w:w="220" w:type="dxa"/>
            <w:vAlign w:val="bottom"/>
            <w:tcBorders>
              <w:bottom w:val="single" w:sz="8" w:color="C0C0C0"/>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6,789</w:t>
            </w:r>
          </w:p>
        </w:tc>
      </w:tr>
      <w:tr>
        <w:trPr>
          <w:trHeight w:val="197"/>
        </w:trPr>
        <w:tc>
          <w:tcPr>
            <w:tcW w:w="9020" w:type="dxa"/>
            <w:vAlign w:val="bottom"/>
            <w:shd w:val="clear" w:color="auto" w:fill="C0C0C0"/>
          </w:tcPr>
          <w:p>
            <w:pPr>
              <w:ind w:left="500"/>
              <w:spacing w:after="0"/>
              <w:rPr>
                <w:sz w:val="20"/>
                <w:szCs w:val="20"/>
                <w:color w:val="auto"/>
              </w:rPr>
            </w:pPr>
            <w:r>
              <w:rPr>
                <w:rFonts w:ascii="Arial" w:cs="Arial" w:eastAsia="Arial" w:hAnsi="Arial"/>
                <w:sz w:val="14"/>
                <w:szCs w:val="14"/>
                <w:color w:val="auto"/>
              </w:rPr>
              <w:t>Total assets</w:t>
            </w:r>
          </w:p>
        </w:tc>
        <w:tc>
          <w:tcPr>
            <w:tcW w:w="28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0C0C0"/>
          </w:tcPr>
          <w:p>
            <w:pPr>
              <w:jc w:val="right"/>
              <w:ind w:right="49"/>
              <w:spacing w:after="0"/>
              <w:rPr>
                <w:sz w:val="20"/>
                <w:szCs w:val="20"/>
                <w:color w:val="auto"/>
              </w:rPr>
            </w:pPr>
            <w:r>
              <w:rPr>
                <w:rFonts w:ascii="Arial" w:cs="Arial" w:eastAsia="Arial" w:hAnsi="Arial"/>
                <w:sz w:val="14"/>
                <w:szCs w:val="14"/>
                <w:color w:val="auto"/>
              </w:rPr>
              <w:t>983,031</w:t>
            </w:r>
          </w:p>
        </w:tc>
        <w:tc>
          <w:tcPr>
            <w:tcW w:w="220" w:type="dxa"/>
            <w:vAlign w:val="bottom"/>
            <w:shd w:val="clear" w:color="auto" w:fill="C0C0C0"/>
          </w:tcPr>
          <w:p>
            <w:pPr>
              <w:spacing w:after="0"/>
              <w:rPr>
                <w:sz w:val="17"/>
                <w:szCs w:val="17"/>
                <w:color w:val="auto"/>
              </w:rPr>
            </w:pPr>
          </w:p>
        </w:tc>
        <w:tc>
          <w:tcPr>
            <w:tcW w:w="60" w:type="dxa"/>
            <w:vAlign w:val="bottom"/>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1,089,432</w:t>
            </w:r>
          </w:p>
        </w:tc>
      </w:tr>
      <w:tr>
        <w:trPr>
          <w:trHeight w:val="186"/>
        </w:trPr>
        <w:tc>
          <w:tcPr>
            <w:tcW w:w="9020" w:type="dxa"/>
            <w:vAlign w:val="bottom"/>
            <w:tcBorders>
              <w:top w:val="single" w:sz="8" w:color="C0C0C0"/>
            </w:tcBorders>
          </w:tcPr>
          <w:p>
            <w:pPr>
              <w:spacing w:after="0"/>
              <w:rPr>
                <w:sz w:val="16"/>
                <w:szCs w:val="16"/>
                <w:color w:val="auto"/>
              </w:rPr>
            </w:pPr>
          </w:p>
        </w:tc>
        <w:tc>
          <w:tcPr>
            <w:tcW w:w="280" w:type="dxa"/>
            <w:vAlign w:val="bottom"/>
            <w:tcBorders>
              <w:top w:val="single" w:sz="8" w:color="C0C0C0"/>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0C0C0"/>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r>
      <w:tr>
        <w:trPr>
          <w:trHeight w:val="197"/>
        </w:trPr>
        <w:tc>
          <w:tcPr>
            <w:tcW w:w="9020" w:type="dxa"/>
            <w:vAlign w:val="bottom"/>
            <w:shd w:val="clear" w:color="auto" w:fill="C0C0C0"/>
          </w:tcPr>
          <w:p>
            <w:pPr>
              <w:ind w:left="4220"/>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tcBorders>
              <w:right w:val="single" w:sz="8" w:color="C0C0C0"/>
            </w:tcBorders>
            <w:shd w:val="clear" w:color="auto" w:fill="C0C0C0"/>
          </w:tcPr>
          <w:p>
            <w:pPr>
              <w:spacing w:after="0"/>
              <w:rPr>
                <w:sz w:val="17"/>
                <w:szCs w:val="17"/>
                <w:color w:val="auto"/>
              </w:rPr>
            </w:pPr>
          </w:p>
        </w:tc>
        <w:tc>
          <w:tcPr>
            <w:tcW w:w="9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60" w:type="dxa"/>
            <w:vAlign w:val="bottom"/>
            <w:shd w:val="clear" w:color="auto" w:fill="C0C0C0"/>
          </w:tcPr>
          <w:p>
            <w:pPr>
              <w:spacing w:after="0"/>
              <w:rPr>
                <w:sz w:val="17"/>
                <w:szCs w:val="17"/>
                <w:color w:val="auto"/>
              </w:rPr>
            </w:pPr>
          </w:p>
        </w:tc>
        <w:tc>
          <w:tcPr>
            <w:tcW w:w="920" w:type="dxa"/>
            <w:vAlign w:val="bottom"/>
            <w:shd w:val="clear" w:color="auto" w:fill="C0C0C0"/>
          </w:tcPr>
          <w:p>
            <w:pPr>
              <w:spacing w:after="0"/>
              <w:rPr>
                <w:sz w:val="17"/>
                <w:szCs w:val="17"/>
                <w:color w:val="auto"/>
              </w:rPr>
            </w:pPr>
          </w:p>
        </w:tc>
      </w:tr>
      <w:tr>
        <w:trPr>
          <w:trHeight w:val="191"/>
        </w:trPr>
        <w:tc>
          <w:tcPr>
            <w:tcW w:w="9020" w:type="dxa"/>
            <w:vAlign w:val="bottom"/>
          </w:tcPr>
          <w:p>
            <w:pPr>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4"/>
        </w:trPr>
        <w:tc>
          <w:tcPr>
            <w:tcW w:w="9020" w:type="dxa"/>
            <w:vAlign w:val="bottom"/>
            <w:shd w:val="clear" w:color="auto" w:fill="C0C0C0"/>
          </w:tcPr>
          <w:p>
            <w:pPr>
              <w:ind w:left="260"/>
              <w:spacing w:after="0"/>
              <w:rPr>
                <w:sz w:val="20"/>
                <w:szCs w:val="20"/>
                <w:color w:val="auto"/>
              </w:rPr>
            </w:pPr>
            <w:r>
              <w:rPr>
                <w:rFonts w:ascii="Arial" w:cs="Arial" w:eastAsia="Arial" w:hAnsi="Arial"/>
                <w:sz w:val="14"/>
                <w:szCs w:val="14"/>
                <w:color w:val="auto"/>
              </w:rPr>
              <w:t>Accounts payable and accrued expenses</w:t>
            </w:r>
          </w:p>
        </w:tc>
        <w:tc>
          <w:tcPr>
            <w:tcW w:w="28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0C0C0"/>
          </w:tcPr>
          <w:p>
            <w:pPr>
              <w:jc w:val="right"/>
              <w:ind w:right="49"/>
              <w:spacing w:after="0"/>
              <w:rPr>
                <w:sz w:val="20"/>
                <w:szCs w:val="20"/>
                <w:color w:val="auto"/>
              </w:rPr>
            </w:pPr>
            <w:r>
              <w:rPr>
                <w:rFonts w:ascii="Arial" w:cs="Arial" w:eastAsia="Arial" w:hAnsi="Arial"/>
                <w:sz w:val="14"/>
                <w:szCs w:val="14"/>
                <w:color w:val="auto"/>
              </w:rPr>
              <w:t>78,890</w:t>
            </w:r>
          </w:p>
        </w:tc>
        <w:tc>
          <w:tcPr>
            <w:tcW w:w="220" w:type="dxa"/>
            <w:vAlign w:val="bottom"/>
            <w:shd w:val="clear" w:color="auto" w:fill="C0C0C0"/>
          </w:tcPr>
          <w:p>
            <w:pPr>
              <w:spacing w:after="0"/>
              <w:rPr>
                <w:sz w:val="17"/>
                <w:szCs w:val="17"/>
                <w:color w:val="auto"/>
              </w:rPr>
            </w:pPr>
          </w:p>
        </w:tc>
        <w:tc>
          <w:tcPr>
            <w:tcW w:w="60" w:type="dxa"/>
            <w:vAlign w:val="bottom"/>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53,658</w:t>
            </w:r>
          </w:p>
        </w:tc>
      </w:tr>
      <w:tr>
        <w:trPr>
          <w:trHeight w:val="191"/>
        </w:trPr>
        <w:tc>
          <w:tcPr>
            <w:tcW w:w="9020" w:type="dxa"/>
            <w:vAlign w:val="bottom"/>
          </w:tcPr>
          <w:p>
            <w:pPr>
              <w:ind w:left="260"/>
              <w:spacing w:after="0"/>
              <w:rPr>
                <w:sz w:val="20"/>
                <w:szCs w:val="20"/>
                <w:color w:val="auto"/>
              </w:rPr>
            </w:pPr>
            <w:r>
              <w:rPr>
                <w:rFonts w:ascii="Arial" w:cs="Arial" w:eastAsia="Arial" w:hAnsi="Arial"/>
                <w:sz w:val="14"/>
                <w:szCs w:val="14"/>
                <w:color w:val="auto"/>
              </w:rPr>
              <w:t>Deferred revenue from Sanofi, current portion</w:t>
            </w:r>
          </w:p>
        </w:tc>
        <w:tc>
          <w:tcPr>
            <w:tcW w:w="280" w:type="dxa"/>
            <w:vAlign w:val="bottom"/>
          </w:tcPr>
          <w:p>
            <w:pPr>
              <w:spacing w:after="0"/>
              <w:rPr>
                <w:sz w:val="16"/>
                <w:szCs w:val="16"/>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19,819</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19,506</w:t>
            </w:r>
          </w:p>
        </w:tc>
      </w:tr>
      <w:tr>
        <w:trPr>
          <w:trHeight w:val="204"/>
        </w:trPr>
        <w:tc>
          <w:tcPr>
            <w:tcW w:w="9020" w:type="dxa"/>
            <w:vAlign w:val="bottom"/>
            <w:shd w:val="clear" w:color="auto" w:fill="C0C0C0"/>
          </w:tcPr>
          <w:p>
            <w:pPr>
              <w:ind w:left="260"/>
              <w:spacing w:after="0"/>
              <w:rPr>
                <w:sz w:val="20"/>
                <w:szCs w:val="20"/>
                <w:color w:val="auto"/>
              </w:rPr>
            </w:pPr>
            <w:r>
              <w:rPr>
                <w:rFonts w:ascii="Arial" w:cs="Arial" w:eastAsia="Arial" w:hAnsi="Arial"/>
                <w:sz w:val="14"/>
                <w:szCs w:val="14"/>
                <w:color w:val="auto"/>
              </w:rPr>
              <w:t>Deferred revenue - other, current portion</w:t>
            </w:r>
          </w:p>
        </w:tc>
        <w:tc>
          <w:tcPr>
            <w:tcW w:w="280" w:type="dxa"/>
            <w:vAlign w:val="bottom"/>
            <w:tcBorders>
              <w:right w:val="single" w:sz="8" w:color="C0C0C0"/>
            </w:tcBorders>
            <w:shd w:val="clear" w:color="auto" w:fill="C0C0C0"/>
          </w:tcPr>
          <w:p>
            <w:pPr>
              <w:spacing w:after="0"/>
              <w:rPr>
                <w:sz w:val="17"/>
                <w:szCs w:val="17"/>
                <w:color w:val="auto"/>
              </w:rPr>
            </w:pPr>
          </w:p>
        </w:tc>
        <w:tc>
          <w:tcPr>
            <w:tcW w:w="960" w:type="dxa"/>
            <w:vAlign w:val="bottom"/>
            <w:shd w:val="clear" w:color="auto" w:fill="C0C0C0"/>
          </w:tcPr>
          <w:p>
            <w:pPr>
              <w:jc w:val="right"/>
              <w:ind w:right="49"/>
              <w:spacing w:after="0"/>
              <w:rPr>
                <w:sz w:val="20"/>
                <w:szCs w:val="20"/>
                <w:color w:val="auto"/>
              </w:rPr>
            </w:pPr>
            <w:r>
              <w:rPr>
                <w:rFonts w:ascii="Arial" w:cs="Arial" w:eastAsia="Arial" w:hAnsi="Arial"/>
                <w:sz w:val="14"/>
                <w:szCs w:val="14"/>
                <w:color w:val="auto"/>
              </w:rPr>
              <w:t>33,606</w:t>
            </w:r>
          </w:p>
        </w:tc>
        <w:tc>
          <w:tcPr>
            <w:tcW w:w="220" w:type="dxa"/>
            <w:vAlign w:val="bottom"/>
            <w:shd w:val="clear" w:color="auto" w:fill="C0C0C0"/>
          </w:tcPr>
          <w:p>
            <w:pPr>
              <w:spacing w:after="0"/>
              <w:rPr>
                <w:sz w:val="17"/>
                <w:szCs w:val="17"/>
                <w:color w:val="auto"/>
              </w:rPr>
            </w:pPr>
          </w:p>
        </w:tc>
        <w:tc>
          <w:tcPr>
            <w:tcW w:w="60" w:type="dxa"/>
            <w:vAlign w:val="bottom"/>
            <w:shd w:val="clear" w:color="auto" w:fill="C0C0C0"/>
          </w:tcPr>
          <w:p>
            <w:pPr>
              <w:spacing w:after="0"/>
              <w:rPr>
                <w:sz w:val="17"/>
                <w:szCs w:val="17"/>
                <w:color w:val="auto"/>
              </w:rPr>
            </w:pPr>
          </w:p>
        </w:tc>
        <w:tc>
          <w:tcPr>
            <w:tcW w:w="9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35,217</w:t>
            </w:r>
          </w:p>
        </w:tc>
      </w:tr>
      <w:tr>
        <w:trPr>
          <w:trHeight w:val="191"/>
        </w:trPr>
        <w:tc>
          <w:tcPr>
            <w:tcW w:w="9020" w:type="dxa"/>
            <w:vAlign w:val="bottom"/>
            <w:tcBorders>
              <w:bottom w:val="single" w:sz="8" w:color="C0C0C0"/>
            </w:tcBorders>
          </w:tcPr>
          <w:p>
            <w:pPr>
              <w:ind w:left="260"/>
              <w:spacing w:after="0"/>
              <w:rPr>
                <w:sz w:val="20"/>
                <w:szCs w:val="20"/>
                <w:color w:val="auto"/>
              </w:rPr>
            </w:pPr>
            <w:r>
              <w:rPr>
                <w:rFonts w:ascii="Arial" w:cs="Arial" w:eastAsia="Arial" w:hAnsi="Arial"/>
                <w:sz w:val="14"/>
                <w:szCs w:val="14"/>
                <w:color w:val="auto"/>
              </w:rPr>
              <w:t>Facility lease obligations, current portion</w:t>
            </w:r>
          </w:p>
        </w:tc>
        <w:tc>
          <w:tcPr>
            <w:tcW w:w="280" w:type="dxa"/>
            <w:vAlign w:val="bottom"/>
            <w:tcBorders>
              <w:bottom w:val="single" w:sz="8" w:color="C0C0C0"/>
            </w:tcBorders>
          </w:tcPr>
          <w:p>
            <w:pPr>
              <w:spacing w:after="0"/>
              <w:rPr>
                <w:sz w:val="16"/>
                <w:szCs w:val="16"/>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920</w:t>
            </w:r>
          </w:p>
        </w:tc>
        <w:tc>
          <w:tcPr>
            <w:tcW w:w="220" w:type="dxa"/>
            <w:vAlign w:val="bottom"/>
            <w:tcBorders>
              <w:bottom w:val="single" w:sz="8" w:color="C0C0C0"/>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675</w:t>
            </w:r>
          </w:p>
        </w:tc>
      </w:tr>
      <w:tr>
        <w:trPr>
          <w:trHeight w:val="195"/>
        </w:trPr>
        <w:tc>
          <w:tcPr>
            <w:tcW w:w="9020" w:type="dxa"/>
            <w:vAlign w:val="bottom"/>
            <w:shd w:val="clear" w:color="auto" w:fill="C0C0C0"/>
          </w:tcPr>
          <w:p>
            <w:pPr>
              <w:ind w:left="500"/>
              <w:spacing w:after="0"/>
              <w:rPr>
                <w:sz w:val="20"/>
                <w:szCs w:val="20"/>
                <w:color w:val="auto"/>
              </w:rPr>
            </w:pPr>
            <w:r>
              <w:rPr>
                <w:rFonts w:ascii="Arial" w:cs="Arial" w:eastAsia="Arial" w:hAnsi="Arial"/>
                <w:sz w:val="14"/>
                <w:szCs w:val="14"/>
                <w:color w:val="auto"/>
              </w:rPr>
              <w:t>Total current liabilities</w:t>
            </w:r>
          </w:p>
        </w:tc>
        <w:tc>
          <w:tcPr>
            <w:tcW w:w="280" w:type="dxa"/>
            <w:vAlign w:val="bottom"/>
            <w:tcBorders>
              <w:right w:val="single" w:sz="8" w:color="C0C0C0"/>
            </w:tcBorders>
            <w:shd w:val="clear" w:color="auto" w:fill="C0C0C0"/>
          </w:tcPr>
          <w:p>
            <w:pPr>
              <w:spacing w:after="0"/>
              <w:rPr>
                <w:sz w:val="16"/>
                <w:szCs w:val="16"/>
                <w:color w:val="auto"/>
              </w:rPr>
            </w:pPr>
          </w:p>
        </w:tc>
        <w:tc>
          <w:tcPr>
            <w:tcW w:w="960" w:type="dxa"/>
            <w:vAlign w:val="bottom"/>
            <w:shd w:val="clear" w:color="auto" w:fill="C0C0C0"/>
          </w:tcPr>
          <w:p>
            <w:pPr>
              <w:jc w:val="right"/>
              <w:ind w:right="49"/>
              <w:spacing w:after="0"/>
              <w:rPr>
                <w:sz w:val="20"/>
                <w:szCs w:val="20"/>
                <w:color w:val="auto"/>
              </w:rPr>
            </w:pPr>
            <w:r>
              <w:rPr>
                <w:rFonts w:ascii="Arial" w:cs="Arial" w:eastAsia="Arial" w:hAnsi="Arial"/>
                <w:sz w:val="14"/>
                <w:szCs w:val="14"/>
                <w:color w:val="auto"/>
              </w:rPr>
              <w:t>133,235</w:t>
            </w:r>
          </w:p>
        </w:tc>
        <w:tc>
          <w:tcPr>
            <w:tcW w:w="22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9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109,056</w:t>
            </w:r>
          </w:p>
        </w:tc>
      </w:tr>
      <w:tr>
        <w:trPr>
          <w:trHeight w:val="197"/>
        </w:trPr>
        <w:tc>
          <w:tcPr>
            <w:tcW w:w="9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7"/>
        </w:trPr>
        <w:tc>
          <w:tcPr>
            <w:tcW w:w="9020" w:type="dxa"/>
            <w:vAlign w:val="bottom"/>
            <w:shd w:val="clear" w:color="auto" w:fill="C0C0C0"/>
          </w:tcPr>
          <w:p>
            <w:pPr>
              <w:spacing w:after="0"/>
              <w:rPr>
                <w:sz w:val="20"/>
                <w:szCs w:val="20"/>
                <w:color w:val="auto"/>
              </w:rPr>
            </w:pPr>
            <w:r>
              <w:rPr>
                <w:rFonts w:ascii="Arial" w:cs="Arial" w:eastAsia="Arial" w:hAnsi="Arial"/>
                <w:sz w:val="14"/>
                <w:szCs w:val="14"/>
                <w:color w:val="auto"/>
              </w:rPr>
              <w:t>Deferred revenue from Sanofi</w:t>
            </w:r>
          </w:p>
        </w:tc>
        <w:tc>
          <w:tcPr>
            <w:tcW w:w="280" w:type="dxa"/>
            <w:vAlign w:val="bottom"/>
            <w:tcBorders>
              <w:right w:val="single" w:sz="8" w:color="C0C0C0"/>
            </w:tcBorders>
            <w:shd w:val="clear" w:color="auto" w:fill="C0C0C0"/>
          </w:tcPr>
          <w:p>
            <w:pPr>
              <w:spacing w:after="0"/>
              <w:rPr>
                <w:sz w:val="17"/>
                <w:szCs w:val="17"/>
                <w:color w:val="auto"/>
              </w:rPr>
            </w:pPr>
          </w:p>
        </w:tc>
        <w:tc>
          <w:tcPr>
            <w:tcW w:w="960" w:type="dxa"/>
            <w:vAlign w:val="bottom"/>
            <w:shd w:val="clear" w:color="auto" w:fill="C0C0C0"/>
          </w:tcPr>
          <w:p>
            <w:pPr>
              <w:jc w:val="right"/>
              <w:ind w:right="49"/>
              <w:spacing w:after="0"/>
              <w:rPr>
                <w:sz w:val="20"/>
                <w:szCs w:val="20"/>
                <w:color w:val="auto"/>
              </w:rPr>
            </w:pPr>
            <w:r>
              <w:rPr>
                <w:rFonts w:ascii="Arial" w:cs="Arial" w:eastAsia="Arial" w:hAnsi="Arial"/>
                <w:sz w:val="14"/>
                <w:szCs w:val="14"/>
                <w:color w:val="auto"/>
              </w:rPr>
              <w:t>88,033</w:t>
            </w:r>
          </w:p>
        </w:tc>
        <w:tc>
          <w:tcPr>
            <w:tcW w:w="220" w:type="dxa"/>
            <w:vAlign w:val="bottom"/>
            <w:shd w:val="clear" w:color="auto" w:fill="C0C0C0"/>
          </w:tcPr>
          <w:p>
            <w:pPr>
              <w:spacing w:after="0"/>
              <w:rPr>
                <w:sz w:val="17"/>
                <w:szCs w:val="17"/>
                <w:color w:val="auto"/>
              </w:rPr>
            </w:pPr>
          </w:p>
        </w:tc>
        <w:tc>
          <w:tcPr>
            <w:tcW w:w="60" w:type="dxa"/>
            <w:vAlign w:val="bottom"/>
            <w:shd w:val="clear" w:color="auto" w:fill="C0C0C0"/>
          </w:tcPr>
          <w:p>
            <w:pPr>
              <w:spacing w:after="0"/>
              <w:rPr>
                <w:sz w:val="17"/>
                <w:szCs w:val="17"/>
                <w:color w:val="auto"/>
              </w:rPr>
            </w:pPr>
          </w:p>
        </w:tc>
        <w:tc>
          <w:tcPr>
            <w:tcW w:w="9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97,081</w:t>
            </w:r>
          </w:p>
        </w:tc>
      </w:tr>
      <w:tr>
        <w:trPr>
          <w:trHeight w:val="191"/>
        </w:trPr>
        <w:tc>
          <w:tcPr>
            <w:tcW w:w="9020" w:type="dxa"/>
            <w:vAlign w:val="bottom"/>
          </w:tcPr>
          <w:p>
            <w:pPr>
              <w:spacing w:after="0"/>
              <w:rPr>
                <w:sz w:val="20"/>
                <w:szCs w:val="20"/>
                <w:color w:val="auto"/>
              </w:rPr>
            </w:pPr>
            <w:r>
              <w:rPr>
                <w:rFonts w:ascii="Arial" w:cs="Arial" w:eastAsia="Arial" w:hAnsi="Arial"/>
                <w:sz w:val="14"/>
                <w:szCs w:val="14"/>
                <w:color w:val="auto"/>
              </w:rPr>
              <w:t>Deferred revenue - other</w:t>
            </w:r>
          </w:p>
        </w:tc>
        <w:tc>
          <w:tcPr>
            <w:tcW w:w="280" w:type="dxa"/>
            <w:vAlign w:val="bottom"/>
          </w:tcPr>
          <w:p>
            <w:pPr>
              <w:spacing w:after="0"/>
              <w:rPr>
                <w:sz w:val="16"/>
                <w:szCs w:val="16"/>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166,623</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188,775</w:t>
            </w:r>
          </w:p>
        </w:tc>
      </w:tr>
      <w:tr>
        <w:trPr>
          <w:trHeight w:val="204"/>
        </w:trPr>
        <w:tc>
          <w:tcPr>
            <w:tcW w:w="9020" w:type="dxa"/>
            <w:vAlign w:val="bottom"/>
            <w:shd w:val="clear" w:color="auto" w:fill="C0C0C0"/>
          </w:tcPr>
          <w:p>
            <w:pPr>
              <w:spacing w:after="0"/>
              <w:rPr>
                <w:sz w:val="20"/>
                <w:szCs w:val="20"/>
                <w:color w:val="auto"/>
              </w:rPr>
            </w:pPr>
            <w:r>
              <w:rPr>
                <w:rFonts w:ascii="Arial" w:cs="Arial" w:eastAsia="Arial" w:hAnsi="Arial"/>
                <w:sz w:val="14"/>
                <w:szCs w:val="14"/>
                <w:color w:val="auto"/>
              </w:rPr>
              <w:t>Facility lease obligations</w:t>
            </w:r>
          </w:p>
        </w:tc>
        <w:tc>
          <w:tcPr>
            <w:tcW w:w="280" w:type="dxa"/>
            <w:vAlign w:val="bottom"/>
            <w:tcBorders>
              <w:right w:val="single" w:sz="8" w:color="C0C0C0"/>
            </w:tcBorders>
            <w:shd w:val="clear" w:color="auto" w:fill="C0C0C0"/>
          </w:tcPr>
          <w:p>
            <w:pPr>
              <w:spacing w:after="0"/>
              <w:rPr>
                <w:sz w:val="17"/>
                <w:szCs w:val="17"/>
                <w:color w:val="auto"/>
              </w:rPr>
            </w:pPr>
          </w:p>
        </w:tc>
        <w:tc>
          <w:tcPr>
            <w:tcW w:w="960" w:type="dxa"/>
            <w:vAlign w:val="bottom"/>
            <w:shd w:val="clear" w:color="auto" w:fill="C0C0C0"/>
          </w:tcPr>
          <w:p>
            <w:pPr>
              <w:jc w:val="right"/>
              <w:ind w:right="49"/>
              <w:spacing w:after="0"/>
              <w:rPr>
                <w:sz w:val="20"/>
                <w:szCs w:val="20"/>
                <w:color w:val="auto"/>
              </w:rPr>
            </w:pPr>
            <w:r>
              <w:rPr>
                <w:rFonts w:ascii="Arial" w:cs="Arial" w:eastAsia="Arial" w:hAnsi="Arial"/>
                <w:sz w:val="14"/>
                <w:szCs w:val="14"/>
                <w:color w:val="auto"/>
              </w:rPr>
              <w:t>159,482</w:t>
            </w:r>
          </w:p>
        </w:tc>
        <w:tc>
          <w:tcPr>
            <w:tcW w:w="220" w:type="dxa"/>
            <w:vAlign w:val="bottom"/>
            <w:shd w:val="clear" w:color="auto" w:fill="C0C0C0"/>
          </w:tcPr>
          <w:p>
            <w:pPr>
              <w:spacing w:after="0"/>
              <w:rPr>
                <w:sz w:val="17"/>
                <w:szCs w:val="17"/>
                <w:color w:val="auto"/>
              </w:rPr>
            </w:pPr>
          </w:p>
        </w:tc>
        <w:tc>
          <w:tcPr>
            <w:tcW w:w="60" w:type="dxa"/>
            <w:vAlign w:val="bottom"/>
            <w:shd w:val="clear" w:color="auto" w:fill="C0C0C0"/>
          </w:tcPr>
          <w:p>
            <w:pPr>
              <w:spacing w:after="0"/>
              <w:rPr>
                <w:sz w:val="17"/>
                <w:szCs w:val="17"/>
                <w:color w:val="auto"/>
              </w:rPr>
            </w:pPr>
          </w:p>
        </w:tc>
        <w:tc>
          <w:tcPr>
            <w:tcW w:w="9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159,355</w:t>
            </w:r>
          </w:p>
        </w:tc>
      </w:tr>
      <w:tr>
        <w:trPr>
          <w:trHeight w:val="191"/>
        </w:trPr>
        <w:tc>
          <w:tcPr>
            <w:tcW w:w="9020" w:type="dxa"/>
            <w:vAlign w:val="bottom"/>
            <w:tcBorders>
              <w:bottom w:val="single" w:sz="8" w:color="C0C0C0"/>
            </w:tcBorders>
          </w:tcPr>
          <w:p>
            <w:pPr>
              <w:spacing w:after="0"/>
              <w:rPr>
                <w:sz w:val="20"/>
                <w:szCs w:val="20"/>
                <w:color w:val="auto"/>
              </w:rPr>
            </w:pPr>
            <w:r>
              <w:rPr>
                <w:rFonts w:ascii="Arial" w:cs="Arial" w:eastAsia="Arial" w:hAnsi="Arial"/>
                <w:sz w:val="14"/>
                <w:szCs w:val="14"/>
                <w:color w:val="auto"/>
              </w:rPr>
              <w:t>Other long term liabilities</w:t>
            </w:r>
          </w:p>
        </w:tc>
        <w:tc>
          <w:tcPr>
            <w:tcW w:w="280" w:type="dxa"/>
            <w:vAlign w:val="bottom"/>
            <w:tcBorders>
              <w:bottom w:val="single" w:sz="8" w:color="C0C0C0"/>
            </w:tcBorders>
          </w:tcPr>
          <w:p>
            <w:pPr>
              <w:spacing w:after="0"/>
              <w:rPr>
                <w:sz w:val="16"/>
                <w:szCs w:val="16"/>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7,405</w:t>
            </w:r>
          </w:p>
        </w:tc>
        <w:tc>
          <w:tcPr>
            <w:tcW w:w="220" w:type="dxa"/>
            <w:vAlign w:val="bottom"/>
            <w:tcBorders>
              <w:bottom w:val="single" w:sz="8" w:color="C0C0C0"/>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7,350</w:t>
            </w:r>
          </w:p>
        </w:tc>
      </w:tr>
      <w:tr>
        <w:trPr>
          <w:trHeight w:val="188"/>
        </w:trPr>
        <w:tc>
          <w:tcPr>
            <w:tcW w:w="9020" w:type="dxa"/>
            <w:vAlign w:val="bottom"/>
            <w:shd w:val="clear" w:color="auto" w:fill="C0C0C0"/>
          </w:tcPr>
          <w:p>
            <w:pPr>
              <w:ind w:left="500"/>
              <w:spacing w:after="0"/>
              <w:rPr>
                <w:sz w:val="20"/>
                <w:szCs w:val="20"/>
                <w:color w:val="auto"/>
              </w:rPr>
            </w:pPr>
            <w:r>
              <w:rPr>
                <w:rFonts w:ascii="Arial" w:cs="Arial" w:eastAsia="Arial" w:hAnsi="Arial"/>
                <w:sz w:val="14"/>
                <w:szCs w:val="14"/>
                <w:color w:val="auto"/>
              </w:rPr>
              <w:t>Total liabilities</w:t>
            </w:r>
          </w:p>
        </w:tc>
        <w:tc>
          <w:tcPr>
            <w:tcW w:w="280" w:type="dxa"/>
            <w:vAlign w:val="bottom"/>
            <w:tcBorders>
              <w:right w:val="single" w:sz="8" w:color="C0C0C0"/>
            </w:tcBorders>
            <w:shd w:val="clear" w:color="auto" w:fill="C0C0C0"/>
          </w:tcPr>
          <w:p>
            <w:pPr>
              <w:spacing w:after="0"/>
              <w:rPr>
                <w:sz w:val="16"/>
                <w:szCs w:val="16"/>
                <w:color w:val="auto"/>
              </w:rPr>
            </w:pPr>
          </w:p>
        </w:tc>
        <w:tc>
          <w:tcPr>
            <w:tcW w:w="960" w:type="dxa"/>
            <w:vAlign w:val="bottom"/>
            <w:tcBorders>
              <w:bottom w:val="single" w:sz="8" w:color="auto"/>
            </w:tcBorders>
            <w:shd w:val="clear" w:color="auto" w:fill="C0C0C0"/>
          </w:tcPr>
          <w:p>
            <w:pPr>
              <w:jc w:val="right"/>
              <w:ind w:right="49"/>
              <w:spacing w:after="0"/>
              <w:rPr>
                <w:sz w:val="20"/>
                <w:szCs w:val="20"/>
                <w:color w:val="auto"/>
              </w:rPr>
            </w:pPr>
            <w:r>
              <w:rPr>
                <w:rFonts w:ascii="Arial" w:cs="Arial" w:eastAsia="Arial" w:hAnsi="Arial"/>
                <w:sz w:val="14"/>
                <w:szCs w:val="14"/>
                <w:color w:val="auto"/>
              </w:rPr>
              <w:t>554,778</w:t>
            </w:r>
          </w:p>
        </w:tc>
        <w:tc>
          <w:tcPr>
            <w:tcW w:w="220" w:type="dxa"/>
            <w:vAlign w:val="bottom"/>
            <w:shd w:val="clear" w:color="auto" w:fill="C0C0C0"/>
          </w:tcPr>
          <w:p>
            <w:pPr>
              <w:spacing w:after="0"/>
              <w:rPr>
                <w:sz w:val="16"/>
                <w:szCs w:val="16"/>
                <w:color w:val="auto"/>
              </w:rPr>
            </w:pPr>
          </w:p>
        </w:tc>
        <w:tc>
          <w:tcPr>
            <w:tcW w:w="60" w:type="dxa"/>
            <w:vAlign w:val="bottom"/>
            <w:tcBorders>
              <w:bottom w:val="single" w:sz="8" w:color="auto"/>
            </w:tcBorders>
            <w:shd w:val="clear" w:color="auto" w:fill="C0C0C0"/>
          </w:tcPr>
          <w:p>
            <w:pPr>
              <w:spacing w:after="0"/>
              <w:rPr>
                <w:sz w:val="16"/>
                <w:szCs w:val="16"/>
                <w:color w:val="auto"/>
              </w:rPr>
            </w:pPr>
          </w:p>
        </w:tc>
        <w:tc>
          <w:tcPr>
            <w:tcW w:w="920" w:type="dxa"/>
            <w:vAlign w:val="bottom"/>
            <w:tcBorders>
              <w:bottom w:val="single" w:sz="8" w:color="auto"/>
            </w:tcBorders>
            <w:shd w:val="clear" w:color="auto" w:fill="C0C0C0"/>
          </w:tcPr>
          <w:p>
            <w:pPr>
              <w:jc w:val="right"/>
              <w:ind w:right="29"/>
              <w:spacing w:after="0"/>
              <w:rPr>
                <w:sz w:val="20"/>
                <w:szCs w:val="20"/>
                <w:color w:val="auto"/>
              </w:rPr>
            </w:pPr>
            <w:r>
              <w:rPr>
                <w:rFonts w:ascii="Arial" w:cs="Arial" w:eastAsia="Arial" w:hAnsi="Arial"/>
                <w:sz w:val="14"/>
                <w:szCs w:val="14"/>
                <w:color w:val="auto"/>
              </w:rPr>
              <w:t>561,617</w:t>
            </w:r>
          </w:p>
        </w:tc>
      </w:tr>
      <w:tr>
        <w:trPr>
          <w:trHeight w:val="195"/>
        </w:trPr>
        <w:tc>
          <w:tcPr>
            <w:tcW w:w="9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7"/>
        </w:trPr>
        <w:tc>
          <w:tcPr>
            <w:tcW w:w="9020" w:type="dxa"/>
            <w:vAlign w:val="bottom"/>
            <w:shd w:val="clear" w:color="auto" w:fill="C0C0C0"/>
          </w:tcPr>
          <w:p>
            <w:pPr>
              <w:spacing w:after="0"/>
              <w:rPr>
                <w:sz w:val="20"/>
                <w:szCs w:val="20"/>
                <w:color w:val="auto"/>
              </w:rPr>
            </w:pPr>
            <w:r>
              <w:rPr>
                <w:rFonts w:ascii="Arial" w:cs="Arial" w:eastAsia="Arial" w:hAnsi="Arial"/>
                <w:sz w:val="14"/>
                <w:szCs w:val="14"/>
                <w:color w:val="auto"/>
              </w:rPr>
              <w:t>Commitments and contingencies</w:t>
            </w:r>
          </w:p>
        </w:tc>
        <w:tc>
          <w:tcPr>
            <w:tcW w:w="280" w:type="dxa"/>
            <w:vAlign w:val="bottom"/>
            <w:tcBorders>
              <w:right w:val="single" w:sz="8" w:color="C0C0C0"/>
            </w:tcBorders>
            <w:shd w:val="clear" w:color="auto" w:fill="C0C0C0"/>
          </w:tcPr>
          <w:p>
            <w:pPr>
              <w:spacing w:after="0"/>
              <w:rPr>
                <w:sz w:val="17"/>
                <w:szCs w:val="17"/>
                <w:color w:val="auto"/>
              </w:rPr>
            </w:pPr>
          </w:p>
        </w:tc>
        <w:tc>
          <w:tcPr>
            <w:tcW w:w="9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60" w:type="dxa"/>
            <w:vAlign w:val="bottom"/>
            <w:shd w:val="clear" w:color="auto" w:fill="C0C0C0"/>
          </w:tcPr>
          <w:p>
            <w:pPr>
              <w:spacing w:after="0"/>
              <w:rPr>
                <w:sz w:val="17"/>
                <w:szCs w:val="17"/>
                <w:color w:val="auto"/>
              </w:rPr>
            </w:pPr>
          </w:p>
        </w:tc>
        <w:tc>
          <w:tcPr>
            <w:tcW w:w="920" w:type="dxa"/>
            <w:vAlign w:val="bottom"/>
            <w:shd w:val="clear" w:color="auto" w:fill="C0C0C0"/>
          </w:tcPr>
          <w:p>
            <w:pPr>
              <w:spacing w:after="0"/>
              <w:rPr>
                <w:sz w:val="17"/>
                <w:szCs w:val="17"/>
                <w:color w:val="auto"/>
              </w:rPr>
            </w:pPr>
          </w:p>
        </w:tc>
      </w:tr>
      <w:tr>
        <w:trPr>
          <w:trHeight w:val="197"/>
        </w:trPr>
        <w:tc>
          <w:tcPr>
            <w:tcW w:w="9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7"/>
        </w:trPr>
        <w:tc>
          <w:tcPr>
            <w:tcW w:w="9020" w:type="dxa"/>
            <w:vAlign w:val="bottom"/>
            <w:shd w:val="clear" w:color="auto" w:fill="C0C0C0"/>
          </w:tcPr>
          <w:p>
            <w:pPr>
              <w:spacing w:after="0"/>
              <w:rPr>
                <w:sz w:val="20"/>
                <w:szCs w:val="20"/>
                <w:color w:val="auto"/>
              </w:rPr>
            </w:pPr>
            <w:r>
              <w:rPr>
                <w:rFonts w:ascii="Arial" w:cs="Arial" w:eastAsia="Arial" w:hAnsi="Arial"/>
                <w:sz w:val="14"/>
                <w:szCs w:val="14"/>
                <w:color w:val="auto"/>
              </w:rPr>
              <w:t>Stockholders' equity</w:t>
            </w:r>
          </w:p>
        </w:tc>
        <w:tc>
          <w:tcPr>
            <w:tcW w:w="280" w:type="dxa"/>
            <w:vAlign w:val="bottom"/>
            <w:tcBorders>
              <w:right w:val="single" w:sz="8" w:color="C0C0C0"/>
            </w:tcBorders>
            <w:shd w:val="clear" w:color="auto" w:fill="C0C0C0"/>
          </w:tcPr>
          <w:p>
            <w:pPr>
              <w:spacing w:after="0"/>
              <w:rPr>
                <w:sz w:val="17"/>
                <w:szCs w:val="17"/>
                <w:color w:val="auto"/>
              </w:rPr>
            </w:pPr>
          </w:p>
        </w:tc>
        <w:tc>
          <w:tcPr>
            <w:tcW w:w="9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60" w:type="dxa"/>
            <w:vAlign w:val="bottom"/>
            <w:shd w:val="clear" w:color="auto" w:fill="C0C0C0"/>
          </w:tcPr>
          <w:p>
            <w:pPr>
              <w:spacing w:after="0"/>
              <w:rPr>
                <w:sz w:val="17"/>
                <w:szCs w:val="17"/>
                <w:color w:val="auto"/>
              </w:rPr>
            </w:pPr>
          </w:p>
        </w:tc>
        <w:tc>
          <w:tcPr>
            <w:tcW w:w="920" w:type="dxa"/>
            <w:vAlign w:val="bottom"/>
            <w:shd w:val="clear" w:color="auto" w:fill="C0C0C0"/>
          </w:tcPr>
          <w:p>
            <w:pPr>
              <w:spacing w:after="0"/>
              <w:rPr>
                <w:sz w:val="17"/>
                <w:szCs w:val="17"/>
                <w:color w:val="auto"/>
              </w:rPr>
            </w:pPr>
          </w:p>
        </w:tc>
      </w:tr>
      <w:tr>
        <w:trPr>
          <w:trHeight w:val="185"/>
        </w:trPr>
        <w:tc>
          <w:tcPr>
            <w:tcW w:w="9020" w:type="dxa"/>
            <w:vAlign w:val="bottom"/>
          </w:tcPr>
          <w:p>
            <w:pPr>
              <w:ind w:left="260"/>
              <w:spacing w:after="0"/>
              <w:rPr>
                <w:sz w:val="20"/>
                <w:szCs w:val="20"/>
                <w:color w:val="auto"/>
              </w:rPr>
            </w:pPr>
            <w:r>
              <w:rPr>
                <w:rFonts w:ascii="Arial" w:cs="Arial" w:eastAsia="Arial" w:hAnsi="Arial"/>
                <w:sz w:val="14"/>
                <w:szCs w:val="14"/>
                <w:color w:val="auto"/>
              </w:rPr>
              <w:t>Preferred stock, $.01 par value; 30,000,000 shares authorized; issued and</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4"/>
        </w:trPr>
        <w:tc>
          <w:tcPr>
            <w:tcW w:w="9020" w:type="dxa"/>
            <w:vAlign w:val="bottom"/>
          </w:tcPr>
          <w:p>
            <w:pPr>
              <w:ind w:left="500"/>
              <w:spacing w:after="0"/>
              <w:rPr>
                <w:sz w:val="20"/>
                <w:szCs w:val="20"/>
                <w:color w:val="auto"/>
              </w:rPr>
            </w:pPr>
            <w:r>
              <w:rPr>
                <w:rFonts w:ascii="Arial" w:cs="Arial" w:eastAsia="Arial" w:hAnsi="Arial"/>
                <w:sz w:val="14"/>
                <w:szCs w:val="14"/>
                <w:color w:val="auto"/>
              </w:rPr>
              <w:t>outstanding - none</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1"/>
        </w:trPr>
        <w:tc>
          <w:tcPr>
            <w:tcW w:w="9020" w:type="dxa"/>
            <w:vAlign w:val="bottom"/>
            <w:shd w:val="clear" w:color="auto" w:fill="C0C0C0"/>
          </w:tcPr>
          <w:p>
            <w:pPr>
              <w:ind w:left="260"/>
              <w:spacing w:after="0"/>
              <w:rPr>
                <w:sz w:val="20"/>
                <w:szCs w:val="20"/>
                <w:color w:val="auto"/>
              </w:rPr>
            </w:pPr>
            <w:r>
              <w:rPr>
                <w:rFonts w:ascii="Arial" w:cs="Arial" w:eastAsia="Arial" w:hAnsi="Arial"/>
                <w:sz w:val="14"/>
                <w:szCs w:val="14"/>
                <w:color w:val="auto"/>
              </w:rPr>
              <w:t>Class A Stock, convertible, $.001 par value; 40,000,000 shares authorized;</w:t>
            </w:r>
          </w:p>
        </w:tc>
        <w:tc>
          <w:tcPr>
            <w:tcW w:w="280" w:type="dxa"/>
            <w:vAlign w:val="bottom"/>
            <w:tcBorders>
              <w:right w:val="single" w:sz="8" w:color="C0C0C0"/>
            </w:tcBorders>
            <w:shd w:val="clear" w:color="auto" w:fill="C0C0C0"/>
          </w:tcPr>
          <w:p>
            <w:pPr>
              <w:spacing w:after="0"/>
              <w:rPr>
                <w:sz w:val="16"/>
                <w:szCs w:val="16"/>
                <w:color w:val="auto"/>
              </w:rPr>
            </w:pPr>
          </w:p>
        </w:tc>
        <w:tc>
          <w:tcPr>
            <w:tcW w:w="96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920" w:type="dxa"/>
            <w:vAlign w:val="bottom"/>
            <w:shd w:val="clear" w:color="auto" w:fill="C0C0C0"/>
          </w:tcPr>
          <w:p>
            <w:pPr>
              <w:spacing w:after="0"/>
              <w:rPr>
                <w:sz w:val="16"/>
                <w:szCs w:val="16"/>
                <w:color w:val="auto"/>
              </w:rPr>
            </w:pPr>
          </w:p>
        </w:tc>
      </w:tr>
      <w:tr>
        <w:trPr>
          <w:trHeight w:val="210"/>
        </w:trPr>
        <w:tc>
          <w:tcPr>
            <w:tcW w:w="9020" w:type="dxa"/>
            <w:vAlign w:val="bottom"/>
            <w:shd w:val="clear" w:color="auto" w:fill="C0C0C0"/>
          </w:tcPr>
          <w:p>
            <w:pPr>
              <w:ind w:left="500"/>
              <w:spacing w:after="0"/>
              <w:rPr>
                <w:sz w:val="20"/>
                <w:szCs w:val="20"/>
                <w:color w:val="auto"/>
              </w:rPr>
            </w:pPr>
            <w:r>
              <w:rPr>
                <w:rFonts w:ascii="Arial" w:cs="Arial" w:eastAsia="Arial" w:hAnsi="Arial"/>
                <w:sz w:val="14"/>
                <w:szCs w:val="14"/>
                <w:color w:val="auto"/>
              </w:rPr>
              <w:t>shares issued and outstanding - 2,109,512 in 2011 and 2,182,036 in 2010</w:t>
            </w:r>
          </w:p>
        </w:tc>
        <w:tc>
          <w:tcPr>
            <w:tcW w:w="280" w:type="dxa"/>
            <w:vAlign w:val="bottom"/>
            <w:tcBorders>
              <w:right w:val="single" w:sz="8" w:color="C0C0C0"/>
            </w:tcBorders>
            <w:shd w:val="clear" w:color="auto" w:fill="C0C0C0"/>
          </w:tcPr>
          <w:p>
            <w:pPr>
              <w:spacing w:after="0"/>
              <w:rPr>
                <w:sz w:val="18"/>
                <w:szCs w:val="18"/>
                <w:color w:val="auto"/>
              </w:rPr>
            </w:pPr>
          </w:p>
        </w:tc>
        <w:tc>
          <w:tcPr>
            <w:tcW w:w="960" w:type="dxa"/>
            <w:vAlign w:val="bottom"/>
            <w:shd w:val="clear" w:color="auto" w:fill="C0C0C0"/>
          </w:tcPr>
          <w:p>
            <w:pPr>
              <w:jc w:val="right"/>
              <w:ind w:right="49"/>
              <w:spacing w:after="0"/>
              <w:rPr>
                <w:sz w:val="20"/>
                <w:szCs w:val="20"/>
                <w:color w:val="auto"/>
              </w:rPr>
            </w:pPr>
            <w:r>
              <w:rPr>
                <w:rFonts w:ascii="Arial" w:cs="Arial" w:eastAsia="Arial" w:hAnsi="Arial"/>
                <w:sz w:val="14"/>
                <w:szCs w:val="14"/>
                <w:color w:val="auto"/>
              </w:rPr>
              <w:t>2</w:t>
            </w:r>
          </w:p>
        </w:tc>
        <w:tc>
          <w:tcPr>
            <w:tcW w:w="220" w:type="dxa"/>
            <w:vAlign w:val="bottom"/>
            <w:shd w:val="clear" w:color="auto" w:fill="C0C0C0"/>
          </w:tcPr>
          <w:p>
            <w:pPr>
              <w:spacing w:after="0"/>
              <w:rPr>
                <w:sz w:val="18"/>
                <w:szCs w:val="18"/>
                <w:color w:val="auto"/>
              </w:rPr>
            </w:pPr>
          </w:p>
        </w:tc>
        <w:tc>
          <w:tcPr>
            <w:tcW w:w="60" w:type="dxa"/>
            <w:vAlign w:val="bottom"/>
            <w:shd w:val="clear" w:color="auto" w:fill="C0C0C0"/>
          </w:tcPr>
          <w:p>
            <w:pPr>
              <w:spacing w:after="0"/>
              <w:rPr>
                <w:sz w:val="18"/>
                <w:szCs w:val="18"/>
                <w:color w:val="auto"/>
              </w:rPr>
            </w:pPr>
          </w:p>
        </w:tc>
        <w:tc>
          <w:tcPr>
            <w:tcW w:w="9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2</w:t>
            </w:r>
          </w:p>
        </w:tc>
      </w:tr>
      <w:tr>
        <w:trPr>
          <w:trHeight w:val="185"/>
        </w:trPr>
        <w:tc>
          <w:tcPr>
            <w:tcW w:w="9020" w:type="dxa"/>
            <w:vAlign w:val="bottom"/>
          </w:tcPr>
          <w:p>
            <w:pPr>
              <w:ind w:left="260"/>
              <w:spacing w:after="0"/>
              <w:rPr>
                <w:sz w:val="20"/>
                <w:szCs w:val="20"/>
                <w:color w:val="auto"/>
              </w:rPr>
            </w:pPr>
            <w:r>
              <w:rPr>
                <w:rFonts w:ascii="Arial" w:cs="Arial" w:eastAsia="Arial" w:hAnsi="Arial"/>
                <w:sz w:val="14"/>
                <w:szCs w:val="14"/>
                <w:color w:val="auto"/>
              </w:rPr>
              <w:t>Common Stock, $.001 par value; 160,000,000 shares authorized;</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4"/>
        </w:trPr>
        <w:tc>
          <w:tcPr>
            <w:tcW w:w="9020" w:type="dxa"/>
            <w:vAlign w:val="bottom"/>
          </w:tcPr>
          <w:p>
            <w:pPr>
              <w:ind w:left="500"/>
              <w:spacing w:after="0"/>
              <w:rPr>
                <w:sz w:val="20"/>
                <w:szCs w:val="20"/>
                <w:color w:val="auto"/>
              </w:rPr>
            </w:pPr>
            <w:r>
              <w:rPr>
                <w:rFonts w:ascii="Arial" w:cs="Arial" w:eastAsia="Arial" w:hAnsi="Arial"/>
                <w:sz w:val="14"/>
                <w:szCs w:val="14"/>
                <w:color w:val="auto"/>
              </w:rPr>
              <w:t>shares issued and outstanding - 90,418,871 in 2011 and 87,238,301 in 2010</w:t>
            </w:r>
          </w:p>
        </w:tc>
        <w:tc>
          <w:tcPr>
            <w:tcW w:w="280" w:type="dxa"/>
            <w:vAlign w:val="bottom"/>
          </w:tcPr>
          <w:p>
            <w:pPr>
              <w:spacing w:after="0"/>
              <w:rPr>
                <w:sz w:val="17"/>
                <w:szCs w:val="17"/>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90</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87</w:t>
            </w:r>
          </w:p>
        </w:tc>
      </w:tr>
      <w:tr>
        <w:trPr>
          <w:trHeight w:val="204"/>
        </w:trPr>
        <w:tc>
          <w:tcPr>
            <w:tcW w:w="9020" w:type="dxa"/>
            <w:vAlign w:val="bottom"/>
            <w:shd w:val="clear" w:color="auto" w:fill="C0C0C0"/>
          </w:tcPr>
          <w:p>
            <w:pPr>
              <w:ind w:left="260"/>
              <w:spacing w:after="0"/>
              <w:rPr>
                <w:sz w:val="20"/>
                <w:szCs w:val="20"/>
                <w:color w:val="auto"/>
              </w:rPr>
            </w:pPr>
            <w:r>
              <w:rPr>
                <w:rFonts w:ascii="Arial" w:cs="Arial" w:eastAsia="Arial" w:hAnsi="Arial"/>
                <w:sz w:val="14"/>
                <w:szCs w:val="14"/>
                <w:color w:val="auto"/>
              </w:rPr>
              <w:t>Additional paid-in capital</w:t>
            </w:r>
          </w:p>
        </w:tc>
        <w:tc>
          <w:tcPr>
            <w:tcW w:w="280" w:type="dxa"/>
            <w:vAlign w:val="bottom"/>
            <w:tcBorders>
              <w:right w:val="single" w:sz="8" w:color="C0C0C0"/>
            </w:tcBorders>
            <w:shd w:val="clear" w:color="auto" w:fill="C0C0C0"/>
          </w:tcPr>
          <w:p>
            <w:pPr>
              <w:spacing w:after="0"/>
              <w:rPr>
                <w:sz w:val="17"/>
                <w:szCs w:val="17"/>
                <w:color w:val="auto"/>
              </w:rPr>
            </w:pPr>
          </w:p>
        </w:tc>
        <w:tc>
          <w:tcPr>
            <w:tcW w:w="960" w:type="dxa"/>
            <w:vAlign w:val="bottom"/>
            <w:shd w:val="clear" w:color="auto" w:fill="C0C0C0"/>
          </w:tcPr>
          <w:p>
            <w:pPr>
              <w:jc w:val="right"/>
              <w:ind w:right="49"/>
              <w:spacing w:after="0"/>
              <w:rPr>
                <w:sz w:val="20"/>
                <w:szCs w:val="20"/>
                <w:color w:val="auto"/>
              </w:rPr>
            </w:pPr>
            <w:r>
              <w:rPr>
                <w:rFonts w:ascii="Arial" w:cs="Arial" w:eastAsia="Arial" w:hAnsi="Arial"/>
                <w:sz w:val="14"/>
                <w:szCs w:val="14"/>
                <w:color w:val="auto"/>
              </w:rPr>
              <w:t>1,643,772</w:t>
            </w:r>
          </w:p>
        </w:tc>
        <w:tc>
          <w:tcPr>
            <w:tcW w:w="220" w:type="dxa"/>
            <w:vAlign w:val="bottom"/>
            <w:shd w:val="clear" w:color="auto" w:fill="C0C0C0"/>
          </w:tcPr>
          <w:p>
            <w:pPr>
              <w:spacing w:after="0"/>
              <w:rPr>
                <w:sz w:val="17"/>
                <w:szCs w:val="17"/>
                <w:color w:val="auto"/>
              </w:rPr>
            </w:pPr>
          </w:p>
        </w:tc>
        <w:tc>
          <w:tcPr>
            <w:tcW w:w="60" w:type="dxa"/>
            <w:vAlign w:val="bottom"/>
            <w:shd w:val="clear" w:color="auto" w:fill="C0C0C0"/>
          </w:tcPr>
          <w:p>
            <w:pPr>
              <w:spacing w:after="0"/>
              <w:rPr>
                <w:sz w:val="17"/>
                <w:szCs w:val="17"/>
                <w:color w:val="auto"/>
              </w:rPr>
            </w:pPr>
          </w:p>
        </w:tc>
        <w:tc>
          <w:tcPr>
            <w:tcW w:w="9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1,575,780</w:t>
            </w:r>
          </w:p>
        </w:tc>
      </w:tr>
      <w:tr>
        <w:trPr>
          <w:trHeight w:val="191"/>
        </w:trPr>
        <w:tc>
          <w:tcPr>
            <w:tcW w:w="9020" w:type="dxa"/>
            <w:vAlign w:val="bottom"/>
          </w:tcPr>
          <w:p>
            <w:pPr>
              <w:ind w:left="260"/>
              <w:spacing w:after="0"/>
              <w:rPr>
                <w:sz w:val="20"/>
                <w:szCs w:val="20"/>
                <w:color w:val="auto"/>
              </w:rPr>
            </w:pPr>
            <w:r>
              <w:rPr>
                <w:rFonts w:ascii="Arial" w:cs="Arial" w:eastAsia="Arial" w:hAnsi="Arial"/>
                <w:sz w:val="14"/>
                <w:szCs w:val="14"/>
                <w:color w:val="auto"/>
              </w:rPr>
              <w:t>Accumulated deficit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(1,213,880)</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(1,045,563)</w:t>
            </w:r>
          </w:p>
        </w:tc>
      </w:tr>
      <w:tr>
        <w:trPr>
          <w:trHeight w:val="204"/>
        </w:trPr>
        <w:tc>
          <w:tcPr>
            <w:tcW w:w="9020" w:type="dxa"/>
            <w:vAlign w:val="bottom"/>
            <w:shd w:val="clear" w:color="auto" w:fill="C0C0C0"/>
          </w:tcPr>
          <w:p>
            <w:pPr>
              <w:ind w:left="26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tcBorders>
              <w:right w:val="single" w:sz="8" w:color="C0C0C0"/>
            </w:tcBorders>
            <w:shd w:val="clear" w:color="auto" w:fill="C0C0C0"/>
          </w:tcPr>
          <w:p>
            <w:pPr>
              <w:spacing w:after="0"/>
              <w:rPr>
                <w:sz w:val="17"/>
                <w:szCs w:val="17"/>
                <w:color w:val="auto"/>
              </w:rPr>
            </w:pP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(1,731)</w:t>
            </w:r>
          </w:p>
        </w:tc>
        <w:tc>
          <w:tcPr>
            <w:tcW w:w="220" w:type="dxa"/>
            <w:vAlign w:val="bottom"/>
            <w:shd w:val="clear" w:color="auto" w:fill="C0C0C0"/>
          </w:tcPr>
          <w:p>
            <w:pPr>
              <w:spacing w:after="0"/>
              <w:rPr>
                <w:sz w:val="17"/>
                <w:szCs w:val="17"/>
                <w:color w:val="auto"/>
              </w:rPr>
            </w:pPr>
          </w:p>
        </w:tc>
        <w:tc>
          <w:tcPr>
            <w:tcW w:w="60" w:type="dxa"/>
            <w:vAlign w:val="bottom"/>
            <w:tcBorders>
              <w:bottom w:val="single" w:sz="8" w:color="auto"/>
            </w:tcBorders>
            <w:shd w:val="clear" w:color="auto" w:fill="C0C0C0"/>
          </w:tcPr>
          <w:p>
            <w:pPr>
              <w:spacing w:after="0"/>
              <w:rPr>
                <w:sz w:val="17"/>
                <w:szCs w:val="17"/>
                <w:color w:val="auto"/>
              </w:rPr>
            </w:pP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(2,491)</w:t>
            </w:r>
          </w:p>
        </w:tc>
      </w:tr>
      <w:tr>
        <w:trPr>
          <w:trHeight w:val="182"/>
        </w:trPr>
        <w:tc>
          <w:tcPr>
            <w:tcW w:w="9020" w:type="dxa"/>
            <w:vAlign w:val="bottom"/>
            <w:tcBorders>
              <w:bottom w:val="single" w:sz="8" w:color="C0C0C0"/>
            </w:tcBorders>
          </w:tcPr>
          <w:p>
            <w:pPr>
              <w:ind w:left="50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C0C0C0"/>
            </w:tcBorders>
          </w:tcPr>
          <w:p>
            <w:pPr>
              <w:spacing w:after="0"/>
              <w:rPr>
                <w:sz w:val="15"/>
                <w:szCs w:val="15"/>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428,253</w:t>
            </w:r>
          </w:p>
        </w:tc>
        <w:tc>
          <w:tcPr>
            <w:tcW w:w="220" w:type="dxa"/>
            <w:vAlign w:val="bottom"/>
            <w:tcBorders>
              <w:bottom w:val="single" w:sz="8" w:color="C0C0C0"/>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527,815</w:t>
            </w:r>
          </w:p>
        </w:tc>
      </w:tr>
      <w:tr>
        <w:trPr>
          <w:trHeight w:val="194"/>
        </w:trPr>
        <w:tc>
          <w:tcPr>
            <w:tcW w:w="9020" w:type="dxa"/>
            <w:vAlign w:val="bottom"/>
            <w:shd w:val="clear" w:color="auto" w:fill="C0C0C0"/>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0C0C0"/>
          </w:tcPr>
          <w:p>
            <w:pPr>
              <w:jc w:val="right"/>
              <w:ind w:right="49"/>
              <w:spacing w:after="0"/>
              <w:rPr>
                <w:sz w:val="20"/>
                <w:szCs w:val="20"/>
                <w:color w:val="auto"/>
              </w:rPr>
            </w:pPr>
            <w:r>
              <w:rPr>
                <w:rFonts w:ascii="Arial" w:cs="Arial" w:eastAsia="Arial" w:hAnsi="Arial"/>
                <w:sz w:val="14"/>
                <w:szCs w:val="14"/>
                <w:color w:val="auto"/>
              </w:rPr>
              <w:t>983,031</w:t>
            </w:r>
          </w:p>
        </w:tc>
        <w:tc>
          <w:tcPr>
            <w:tcW w:w="220" w:type="dxa"/>
            <w:vAlign w:val="bottom"/>
            <w:shd w:val="clear" w:color="auto" w:fill="C0C0C0"/>
          </w:tcPr>
          <w:p>
            <w:pPr>
              <w:spacing w:after="0"/>
              <w:rPr>
                <w:sz w:val="16"/>
                <w:szCs w:val="16"/>
                <w:color w:val="auto"/>
              </w:rPr>
            </w:pPr>
          </w:p>
        </w:tc>
        <w:tc>
          <w:tcPr>
            <w:tcW w:w="60" w:type="dxa"/>
            <w:vAlign w:val="bottom"/>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1,089,432</w:t>
            </w:r>
          </w:p>
        </w:tc>
      </w:tr>
      <w:tr>
        <w:trPr>
          <w:trHeight w:val="23"/>
        </w:trPr>
        <w:tc>
          <w:tcPr>
            <w:tcW w:w="9020" w:type="dxa"/>
            <w:vAlign w:val="bottom"/>
            <w:shd w:val="clear" w:color="auto" w:fill="C0C0C0"/>
          </w:tcPr>
          <w:p>
            <w:pPr>
              <w:spacing w:after="0" w:line="20" w:lineRule="exact"/>
              <w:rPr>
                <w:sz w:val="1"/>
                <w:szCs w:val="1"/>
                <w:color w:val="auto"/>
              </w:rPr>
            </w:pPr>
          </w:p>
        </w:tc>
        <w:tc>
          <w:tcPr>
            <w:tcW w:w="280" w:type="dxa"/>
            <w:vAlign w:val="bottom"/>
            <w:tcBorders>
              <w:right w:val="single" w:sz="8" w:color="auto"/>
            </w:tcBorders>
            <w:shd w:val="clear" w:color="auto" w:fill="C0C0C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7202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209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7291705"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auto"/>
        </w:rPr>
        <w:t>REGENERON PHARMACEUTICALS, INC.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STATEMENTS OF OPERATIONS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 thousands,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4"/>
          </w:tcPr>
          <w:p>
            <w:pPr>
              <w:jc w:val="right"/>
              <w:ind w:right="49"/>
              <w:spacing w:after="0"/>
              <w:rPr>
                <w:sz w:val="20"/>
                <w:szCs w:val="20"/>
                <w:color w:val="auto"/>
              </w:rPr>
            </w:pPr>
            <w:r>
              <w:rPr>
                <w:rFonts w:ascii="Arial" w:cs="Arial" w:eastAsia="Arial" w:hAnsi="Arial"/>
                <w:sz w:val="14"/>
                <w:szCs w:val="14"/>
                <w:b w:val="1"/>
                <w:bCs w:val="1"/>
                <w:color w:val="auto"/>
                <w:w w:val="91"/>
              </w:rPr>
              <w:t>Three months ended September 30,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4"/>
          </w:tcPr>
          <w:p>
            <w:pPr>
              <w:jc w:val="right"/>
              <w:ind w:right="49"/>
              <w:spacing w:after="0"/>
              <w:rPr>
                <w:sz w:val="20"/>
                <w:szCs w:val="20"/>
                <w:color w:val="auto"/>
              </w:rPr>
            </w:pPr>
            <w:r>
              <w:rPr>
                <w:rFonts w:ascii="Arial" w:cs="Arial" w:eastAsia="Arial" w:hAnsi="Arial"/>
                <w:sz w:val="14"/>
                <w:szCs w:val="14"/>
                <w:b w:val="1"/>
                <w:bCs w:val="1"/>
                <w:color w:val="auto"/>
                <w:w w:val="90"/>
              </w:rPr>
              <w:t>Nine months ended September 30,</w:t>
            </w:r>
          </w:p>
        </w:tc>
      </w:tr>
      <w:tr>
        <w:trPr>
          <w:trHeight w:val="204"/>
        </w:trPr>
        <w:tc>
          <w:tcPr>
            <w:tcW w:w="6540" w:type="dxa"/>
            <w:vAlign w:val="bottom"/>
            <w:tcBorders>
              <w:bottom w:val="single" w:sz="8" w:color="C0C0C0"/>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0C0C0"/>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0C0C0"/>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0C0C0"/>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2010</w:t>
            </w:r>
          </w:p>
        </w:tc>
      </w:tr>
      <w:tr>
        <w:trPr>
          <w:trHeight w:val="195"/>
        </w:trPr>
        <w:tc>
          <w:tcPr>
            <w:tcW w:w="6540" w:type="dxa"/>
            <w:vAlign w:val="bottom"/>
            <w:shd w:val="clear" w:color="auto" w:fill="C0C0C0"/>
          </w:tcPr>
          <w:p>
            <w:pPr>
              <w:spacing w:after="0"/>
              <w:rPr>
                <w:sz w:val="20"/>
                <w:szCs w:val="20"/>
                <w:color w:val="auto"/>
              </w:rPr>
            </w:pPr>
            <w:r>
              <w:rPr>
                <w:rFonts w:ascii="Arial" w:cs="Arial" w:eastAsia="Arial" w:hAnsi="Arial"/>
                <w:sz w:val="14"/>
                <w:szCs w:val="14"/>
                <w:color w:val="auto"/>
              </w:rPr>
              <w:t>Revenues</w:t>
            </w:r>
          </w:p>
        </w:tc>
        <w:tc>
          <w:tcPr>
            <w:tcW w:w="100" w:type="dxa"/>
            <w:vAlign w:val="bottom"/>
            <w:shd w:val="clear" w:color="auto" w:fill="C0C0C0"/>
          </w:tcPr>
          <w:p>
            <w:pPr>
              <w:spacing w:after="0"/>
              <w:rPr>
                <w:sz w:val="16"/>
                <w:szCs w:val="16"/>
                <w:color w:val="auto"/>
              </w:rPr>
            </w:pPr>
          </w:p>
        </w:tc>
        <w:tc>
          <w:tcPr>
            <w:tcW w:w="100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86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96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800" w:type="dxa"/>
            <w:vAlign w:val="bottom"/>
            <w:shd w:val="clear" w:color="auto" w:fill="C0C0C0"/>
          </w:tcPr>
          <w:p>
            <w:pPr>
              <w:spacing w:after="0"/>
              <w:rPr>
                <w:sz w:val="16"/>
                <w:szCs w:val="16"/>
                <w:color w:val="auto"/>
              </w:rPr>
            </w:pPr>
          </w:p>
        </w:tc>
      </w:tr>
      <w:tr>
        <w:trPr>
          <w:trHeight w:val="191"/>
        </w:trPr>
        <w:tc>
          <w:tcPr>
            <w:tcW w:w="6540" w:type="dxa"/>
            <w:vAlign w:val="bottom"/>
          </w:tcPr>
          <w:p>
            <w:pPr>
              <w:ind w:left="260"/>
              <w:spacing w:after="0"/>
              <w:rPr>
                <w:sz w:val="20"/>
                <w:szCs w:val="20"/>
                <w:color w:val="auto"/>
              </w:rPr>
            </w:pPr>
            <w:r>
              <w:rPr>
                <w:rFonts w:ascii="Arial" w:cs="Arial" w:eastAsia="Arial" w:hAnsi="Arial"/>
                <w:sz w:val="14"/>
                <w:szCs w:val="14"/>
                <w:color w:val="auto"/>
              </w:rPr>
              <w:t>Sanofi collaboration revenue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79,802</w:t>
            </w:r>
          </w:p>
        </w:tc>
        <w:tc>
          <w:tcPr>
            <w:tcW w:w="22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75,583</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249,577</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229,195</w:t>
            </w:r>
          </w:p>
        </w:tc>
      </w:tr>
      <w:tr>
        <w:trPr>
          <w:trHeight w:val="204"/>
        </w:trPr>
        <w:tc>
          <w:tcPr>
            <w:tcW w:w="6540" w:type="dxa"/>
            <w:vAlign w:val="bottom"/>
            <w:shd w:val="clear" w:color="auto" w:fill="C0C0C0"/>
          </w:tcPr>
          <w:p>
            <w:pPr>
              <w:ind w:left="260"/>
              <w:spacing w:after="0"/>
              <w:rPr>
                <w:sz w:val="20"/>
                <w:szCs w:val="20"/>
                <w:color w:val="auto"/>
              </w:rPr>
            </w:pPr>
            <w:r>
              <w:rPr>
                <w:rFonts w:ascii="Arial" w:cs="Arial" w:eastAsia="Arial" w:hAnsi="Arial"/>
                <w:sz w:val="14"/>
                <w:szCs w:val="14"/>
                <w:color w:val="auto"/>
              </w:rPr>
              <w:t>Other collaboration revenue</w:t>
            </w:r>
          </w:p>
        </w:tc>
        <w:tc>
          <w:tcPr>
            <w:tcW w:w="100" w:type="dxa"/>
            <w:vAlign w:val="bottom"/>
            <w:shd w:val="clear" w:color="auto" w:fill="C0C0C0"/>
          </w:tcPr>
          <w:p>
            <w:pPr>
              <w:spacing w:after="0"/>
              <w:rPr>
                <w:sz w:val="17"/>
                <w:szCs w:val="17"/>
                <w:color w:val="auto"/>
              </w:rPr>
            </w:pPr>
          </w:p>
        </w:tc>
        <w:tc>
          <w:tcPr>
            <w:tcW w:w="1000" w:type="dxa"/>
            <w:vAlign w:val="bottom"/>
            <w:shd w:val="clear" w:color="auto" w:fill="C0C0C0"/>
          </w:tcPr>
          <w:p>
            <w:pPr>
              <w:jc w:val="right"/>
              <w:ind w:right="9"/>
              <w:spacing w:after="0"/>
              <w:rPr>
                <w:sz w:val="20"/>
                <w:szCs w:val="20"/>
                <w:color w:val="auto"/>
              </w:rPr>
            </w:pPr>
            <w:r>
              <w:rPr>
                <w:rFonts w:ascii="Arial" w:cs="Arial" w:eastAsia="Arial" w:hAnsi="Arial"/>
                <w:sz w:val="14"/>
                <w:szCs w:val="14"/>
                <w:color w:val="auto"/>
              </w:rPr>
              <w:t>10,094</w:t>
            </w:r>
          </w:p>
        </w:tc>
        <w:tc>
          <w:tcPr>
            <w:tcW w:w="2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860" w:type="dxa"/>
            <w:vAlign w:val="bottom"/>
            <w:shd w:val="clear" w:color="auto" w:fill="C0C0C0"/>
          </w:tcPr>
          <w:p>
            <w:pPr>
              <w:jc w:val="right"/>
              <w:ind w:right="9"/>
              <w:spacing w:after="0"/>
              <w:rPr>
                <w:sz w:val="20"/>
                <w:szCs w:val="20"/>
                <w:color w:val="auto"/>
              </w:rPr>
            </w:pPr>
            <w:r>
              <w:rPr>
                <w:rFonts w:ascii="Arial" w:cs="Arial" w:eastAsia="Arial" w:hAnsi="Arial"/>
                <w:sz w:val="14"/>
                <w:szCs w:val="14"/>
                <w:color w:val="auto"/>
              </w:rPr>
              <w:t>13,761</w:t>
            </w:r>
          </w:p>
        </w:tc>
        <w:tc>
          <w:tcPr>
            <w:tcW w:w="1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960" w:type="dxa"/>
            <w:vAlign w:val="bottom"/>
            <w:shd w:val="clear" w:color="auto" w:fill="C0C0C0"/>
          </w:tcPr>
          <w:p>
            <w:pPr>
              <w:jc w:val="right"/>
              <w:ind w:right="9"/>
              <w:spacing w:after="0"/>
              <w:rPr>
                <w:sz w:val="20"/>
                <w:szCs w:val="20"/>
                <w:color w:val="auto"/>
              </w:rPr>
            </w:pPr>
            <w:r>
              <w:rPr>
                <w:rFonts w:ascii="Arial" w:cs="Arial" w:eastAsia="Arial" w:hAnsi="Arial"/>
                <w:sz w:val="14"/>
                <w:szCs w:val="14"/>
                <w:color w:val="auto"/>
              </w:rPr>
              <w:t>33,698</w:t>
            </w:r>
          </w:p>
        </w:tc>
        <w:tc>
          <w:tcPr>
            <w:tcW w:w="2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800" w:type="dxa"/>
            <w:vAlign w:val="bottom"/>
            <w:shd w:val="clear" w:color="auto" w:fill="C0C0C0"/>
          </w:tcPr>
          <w:p>
            <w:pPr>
              <w:jc w:val="right"/>
              <w:ind w:right="9"/>
              <w:spacing w:after="0"/>
              <w:rPr>
                <w:sz w:val="20"/>
                <w:szCs w:val="20"/>
                <w:color w:val="auto"/>
              </w:rPr>
            </w:pPr>
            <w:r>
              <w:rPr>
                <w:rFonts w:ascii="Arial" w:cs="Arial" w:eastAsia="Arial" w:hAnsi="Arial"/>
                <w:sz w:val="14"/>
                <w:szCs w:val="14"/>
                <w:color w:val="auto"/>
              </w:rPr>
              <w:t>40,483</w:t>
            </w:r>
          </w:p>
        </w:tc>
      </w:tr>
      <w:tr>
        <w:trPr>
          <w:trHeight w:val="191"/>
        </w:trPr>
        <w:tc>
          <w:tcPr>
            <w:tcW w:w="6540" w:type="dxa"/>
            <w:vAlign w:val="bottom"/>
          </w:tcPr>
          <w:p>
            <w:pPr>
              <w:ind w:left="260"/>
              <w:spacing w:after="0"/>
              <w:rPr>
                <w:sz w:val="20"/>
                <w:szCs w:val="20"/>
                <w:color w:val="auto"/>
              </w:rPr>
            </w:pPr>
            <w:r>
              <w:rPr>
                <w:rFonts w:ascii="Arial" w:cs="Arial" w:eastAsia="Arial" w:hAnsi="Arial"/>
                <w:sz w:val="14"/>
                <w:szCs w:val="14"/>
                <w:color w:val="auto"/>
              </w:rPr>
              <w:t>Technology licensing</w:t>
            </w:r>
          </w:p>
        </w:tc>
        <w:tc>
          <w:tcPr>
            <w:tcW w:w="1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5,893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10,037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18,966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30,112</w:t>
            </w:r>
          </w:p>
        </w:tc>
      </w:tr>
      <w:tr>
        <w:trPr>
          <w:trHeight w:val="204"/>
        </w:trPr>
        <w:tc>
          <w:tcPr>
            <w:tcW w:w="6540" w:type="dxa"/>
            <w:vAlign w:val="bottom"/>
            <w:shd w:val="clear" w:color="auto" w:fill="C0C0C0"/>
          </w:tcPr>
          <w:p>
            <w:pPr>
              <w:ind w:left="260"/>
              <w:spacing w:after="0"/>
              <w:rPr>
                <w:sz w:val="20"/>
                <w:szCs w:val="20"/>
                <w:color w:val="auto"/>
              </w:rPr>
            </w:pPr>
            <w:r>
              <w:rPr>
                <w:rFonts w:ascii="Arial" w:cs="Arial" w:eastAsia="Arial" w:hAnsi="Arial"/>
                <w:sz w:val="14"/>
                <w:szCs w:val="14"/>
                <w:color w:val="auto"/>
              </w:rPr>
              <w:t>Net product sales</w:t>
            </w:r>
          </w:p>
        </w:tc>
        <w:tc>
          <w:tcPr>
            <w:tcW w:w="100" w:type="dxa"/>
            <w:vAlign w:val="bottom"/>
            <w:shd w:val="clear" w:color="auto" w:fill="C0C0C0"/>
          </w:tcPr>
          <w:p>
            <w:pPr>
              <w:spacing w:after="0"/>
              <w:rPr>
                <w:sz w:val="17"/>
                <w:szCs w:val="17"/>
                <w:color w:val="auto"/>
              </w:rPr>
            </w:pPr>
          </w:p>
        </w:tc>
        <w:tc>
          <w:tcPr>
            <w:tcW w:w="1000" w:type="dxa"/>
            <w:vAlign w:val="bottom"/>
            <w:shd w:val="clear" w:color="auto" w:fill="C0C0C0"/>
          </w:tcPr>
          <w:p>
            <w:pPr>
              <w:jc w:val="right"/>
              <w:ind w:right="9"/>
              <w:spacing w:after="0"/>
              <w:rPr>
                <w:sz w:val="20"/>
                <w:szCs w:val="20"/>
                <w:color w:val="auto"/>
              </w:rPr>
            </w:pPr>
            <w:r>
              <w:rPr>
                <w:rFonts w:ascii="Arial" w:cs="Arial" w:eastAsia="Arial" w:hAnsi="Arial"/>
                <w:sz w:val="14"/>
                <w:szCs w:val="14"/>
                <w:color w:val="auto"/>
              </w:rPr>
              <w:t>5,468</w:t>
            </w:r>
          </w:p>
        </w:tc>
        <w:tc>
          <w:tcPr>
            <w:tcW w:w="2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860" w:type="dxa"/>
            <w:vAlign w:val="bottom"/>
            <w:shd w:val="clear" w:color="auto" w:fill="C0C0C0"/>
          </w:tcPr>
          <w:p>
            <w:pPr>
              <w:jc w:val="right"/>
              <w:ind w:right="9"/>
              <w:spacing w:after="0"/>
              <w:rPr>
                <w:sz w:val="20"/>
                <w:szCs w:val="20"/>
                <w:color w:val="auto"/>
              </w:rPr>
            </w:pPr>
            <w:r>
              <w:rPr>
                <w:rFonts w:ascii="Arial" w:cs="Arial" w:eastAsia="Arial" w:hAnsi="Arial"/>
                <w:sz w:val="14"/>
                <w:szCs w:val="14"/>
                <w:color w:val="auto"/>
              </w:rPr>
              <w:t>4,936</w:t>
            </w:r>
          </w:p>
        </w:tc>
        <w:tc>
          <w:tcPr>
            <w:tcW w:w="1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960" w:type="dxa"/>
            <w:vAlign w:val="bottom"/>
            <w:shd w:val="clear" w:color="auto" w:fill="C0C0C0"/>
          </w:tcPr>
          <w:p>
            <w:pPr>
              <w:jc w:val="right"/>
              <w:ind w:right="9"/>
              <w:spacing w:after="0"/>
              <w:rPr>
                <w:sz w:val="20"/>
                <w:szCs w:val="20"/>
                <w:color w:val="auto"/>
              </w:rPr>
            </w:pPr>
            <w:r>
              <w:rPr>
                <w:rFonts w:ascii="Arial" w:cs="Arial" w:eastAsia="Arial" w:hAnsi="Arial"/>
                <w:sz w:val="14"/>
                <w:szCs w:val="14"/>
                <w:color w:val="auto"/>
              </w:rPr>
              <w:t>14,934</w:t>
            </w:r>
          </w:p>
        </w:tc>
        <w:tc>
          <w:tcPr>
            <w:tcW w:w="2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800" w:type="dxa"/>
            <w:vAlign w:val="bottom"/>
            <w:shd w:val="clear" w:color="auto" w:fill="C0C0C0"/>
          </w:tcPr>
          <w:p>
            <w:pPr>
              <w:jc w:val="right"/>
              <w:ind w:right="9"/>
              <w:spacing w:after="0"/>
              <w:rPr>
                <w:sz w:val="20"/>
                <w:szCs w:val="20"/>
                <w:color w:val="auto"/>
              </w:rPr>
            </w:pPr>
            <w:r>
              <w:rPr>
                <w:rFonts w:ascii="Arial" w:cs="Arial" w:eastAsia="Arial" w:hAnsi="Arial"/>
                <w:sz w:val="14"/>
                <w:szCs w:val="14"/>
                <w:color w:val="auto"/>
              </w:rPr>
              <w:t>19,985</w:t>
            </w:r>
          </w:p>
        </w:tc>
      </w:tr>
      <w:tr>
        <w:trPr>
          <w:trHeight w:val="191"/>
        </w:trPr>
        <w:tc>
          <w:tcPr>
            <w:tcW w:w="6540" w:type="dxa"/>
            <w:vAlign w:val="bottom"/>
            <w:tcBorders>
              <w:bottom w:val="single" w:sz="8" w:color="C0C0C0"/>
            </w:tcBorders>
          </w:tcPr>
          <w:p>
            <w:pPr>
              <w:ind w:left="260"/>
              <w:spacing w:after="0"/>
              <w:rPr>
                <w:sz w:val="20"/>
                <w:szCs w:val="20"/>
                <w:color w:val="auto"/>
              </w:rPr>
            </w:pPr>
            <w:r>
              <w:rPr>
                <w:rFonts w:ascii="Arial" w:cs="Arial" w:eastAsia="Arial" w:hAnsi="Arial"/>
                <w:sz w:val="14"/>
                <w:szCs w:val="14"/>
                <w:color w:val="auto"/>
              </w:rPr>
              <w:t>Contract research and other</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1,576</w:t>
            </w:r>
          </w:p>
        </w:tc>
        <w:tc>
          <w:tcPr>
            <w:tcW w:w="220" w:type="dxa"/>
            <w:vAlign w:val="bottom"/>
            <w:tcBorders>
              <w:bottom w:val="single" w:sz="8" w:color="C0C0C0"/>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1,662</w:t>
            </w:r>
          </w:p>
        </w:tc>
        <w:tc>
          <w:tcPr>
            <w:tcW w:w="180" w:type="dxa"/>
            <w:vAlign w:val="bottom"/>
            <w:tcBorders>
              <w:bottom w:val="single" w:sz="8" w:color="C0C0C0"/>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5,672</w:t>
            </w:r>
          </w:p>
        </w:tc>
        <w:tc>
          <w:tcPr>
            <w:tcW w:w="220" w:type="dxa"/>
            <w:vAlign w:val="bottom"/>
            <w:tcBorders>
              <w:bottom w:val="single" w:sz="8" w:color="C0C0C0"/>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5,624</w:t>
            </w:r>
          </w:p>
        </w:tc>
      </w:tr>
      <w:tr>
        <w:trPr>
          <w:trHeight w:val="188"/>
        </w:trPr>
        <w:tc>
          <w:tcPr>
            <w:tcW w:w="6540" w:type="dxa"/>
            <w:vAlign w:val="bottom"/>
            <w:shd w:val="clear" w:color="auto" w:fill="C0C0C0"/>
          </w:tcPr>
          <w:p>
            <w:pPr>
              <w:spacing w:after="0"/>
              <w:rPr>
                <w:sz w:val="16"/>
                <w:szCs w:val="16"/>
                <w:color w:val="auto"/>
              </w:rPr>
            </w:pPr>
          </w:p>
        </w:tc>
        <w:tc>
          <w:tcPr>
            <w:tcW w:w="100" w:type="dxa"/>
            <w:vAlign w:val="bottom"/>
            <w:tcBorders>
              <w:bottom w:val="single" w:sz="8" w:color="auto"/>
            </w:tcBorders>
            <w:shd w:val="clear" w:color="auto" w:fill="C0C0C0"/>
          </w:tcPr>
          <w:p>
            <w:pPr>
              <w:spacing w:after="0"/>
              <w:rPr>
                <w:sz w:val="16"/>
                <w:szCs w:val="16"/>
                <w:color w:val="auto"/>
              </w:rPr>
            </w:pPr>
          </w:p>
        </w:tc>
        <w:tc>
          <w:tcPr>
            <w:tcW w:w="1000" w:type="dxa"/>
            <w:vAlign w:val="bottom"/>
            <w:tcBorders>
              <w:bottom w:val="single" w:sz="8" w:color="auto"/>
            </w:tcBorders>
            <w:shd w:val="clear" w:color="auto" w:fill="C0C0C0"/>
          </w:tcPr>
          <w:p>
            <w:pPr>
              <w:jc w:val="right"/>
              <w:ind w:right="9"/>
              <w:spacing w:after="0"/>
              <w:rPr>
                <w:sz w:val="20"/>
                <w:szCs w:val="20"/>
                <w:color w:val="auto"/>
              </w:rPr>
            </w:pPr>
            <w:r>
              <w:rPr>
                <w:rFonts w:ascii="Arial" w:cs="Arial" w:eastAsia="Arial" w:hAnsi="Arial"/>
                <w:sz w:val="14"/>
                <w:szCs w:val="14"/>
                <w:color w:val="auto"/>
              </w:rPr>
              <w:t>102,833</w:t>
            </w:r>
          </w:p>
        </w:tc>
        <w:tc>
          <w:tcPr>
            <w:tcW w:w="220" w:type="dxa"/>
            <w:vAlign w:val="bottom"/>
            <w:shd w:val="clear" w:color="auto" w:fill="C0C0C0"/>
          </w:tcPr>
          <w:p>
            <w:pPr>
              <w:spacing w:after="0"/>
              <w:rPr>
                <w:sz w:val="16"/>
                <w:szCs w:val="16"/>
                <w:color w:val="auto"/>
              </w:rPr>
            </w:pPr>
          </w:p>
        </w:tc>
        <w:tc>
          <w:tcPr>
            <w:tcW w:w="240" w:type="dxa"/>
            <w:vAlign w:val="bottom"/>
            <w:tcBorders>
              <w:bottom w:val="single" w:sz="8" w:color="auto"/>
            </w:tcBorders>
            <w:shd w:val="clear" w:color="auto" w:fill="C0C0C0"/>
          </w:tcPr>
          <w:p>
            <w:pPr>
              <w:spacing w:after="0"/>
              <w:rPr>
                <w:sz w:val="16"/>
                <w:szCs w:val="16"/>
                <w:color w:val="auto"/>
              </w:rPr>
            </w:pPr>
          </w:p>
        </w:tc>
        <w:tc>
          <w:tcPr>
            <w:tcW w:w="860" w:type="dxa"/>
            <w:vAlign w:val="bottom"/>
            <w:tcBorders>
              <w:bottom w:val="single" w:sz="8" w:color="auto"/>
            </w:tcBorders>
            <w:shd w:val="clear" w:color="auto" w:fill="C0C0C0"/>
          </w:tcPr>
          <w:p>
            <w:pPr>
              <w:jc w:val="right"/>
              <w:ind w:right="9"/>
              <w:spacing w:after="0"/>
              <w:rPr>
                <w:sz w:val="20"/>
                <w:szCs w:val="20"/>
                <w:color w:val="auto"/>
              </w:rPr>
            </w:pPr>
            <w:r>
              <w:rPr>
                <w:rFonts w:ascii="Arial" w:cs="Arial" w:eastAsia="Arial" w:hAnsi="Arial"/>
                <w:sz w:val="14"/>
                <w:szCs w:val="14"/>
                <w:color w:val="auto"/>
              </w:rPr>
              <w:t>105,979</w:t>
            </w:r>
          </w:p>
        </w:tc>
        <w:tc>
          <w:tcPr>
            <w:tcW w:w="180" w:type="dxa"/>
            <w:vAlign w:val="bottom"/>
            <w:shd w:val="clear" w:color="auto" w:fill="C0C0C0"/>
          </w:tcPr>
          <w:p>
            <w:pPr>
              <w:spacing w:after="0"/>
              <w:rPr>
                <w:sz w:val="16"/>
                <w:szCs w:val="16"/>
                <w:color w:val="auto"/>
              </w:rPr>
            </w:pPr>
          </w:p>
        </w:tc>
        <w:tc>
          <w:tcPr>
            <w:tcW w:w="100" w:type="dxa"/>
            <w:vAlign w:val="bottom"/>
            <w:tcBorders>
              <w:bottom w:val="single" w:sz="8" w:color="auto"/>
            </w:tcBorders>
            <w:shd w:val="clear" w:color="auto" w:fill="C0C0C0"/>
          </w:tcPr>
          <w:p>
            <w:pPr>
              <w:spacing w:after="0"/>
              <w:rPr>
                <w:sz w:val="16"/>
                <w:szCs w:val="16"/>
                <w:color w:val="auto"/>
              </w:rPr>
            </w:pPr>
          </w:p>
        </w:tc>
        <w:tc>
          <w:tcPr>
            <w:tcW w:w="960" w:type="dxa"/>
            <w:vAlign w:val="bottom"/>
            <w:tcBorders>
              <w:bottom w:val="single" w:sz="8" w:color="auto"/>
            </w:tcBorders>
            <w:shd w:val="clear" w:color="auto" w:fill="C0C0C0"/>
          </w:tcPr>
          <w:p>
            <w:pPr>
              <w:jc w:val="right"/>
              <w:ind w:right="9"/>
              <w:spacing w:after="0"/>
              <w:rPr>
                <w:sz w:val="20"/>
                <w:szCs w:val="20"/>
                <w:color w:val="auto"/>
              </w:rPr>
            </w:pPr>
            <w:r>
              <w:rPr>
                <w:rFonts w:ascii="Arial" w:cs="Arial" w:eastAsia="Arial" w:hAnsi="Arial"/>
                <w:sz w:val="14"/>
                <w:szCs w:val="14"/>
                <w:color w:val="auto"/>
              </w:rPr>
              <w:t>322,847</w:t>
            </w:r>
          </w:p>
        </w:tc>
        <w:tc>
          <w:tcPr>
            <w:tcW w:w="220" w:type="dxa"/>
            <w:vAlign w:val="bottom"/>
            <w:shd w:val="clear" w:color="auto" w:fill="C0C0C0"/>
          </w:tcPr>
          <w:p>
            <w:pPr>
              <w:spacing w:after="0"/>
              <w:rPr>
                <w:sz w:val="16"/>
                <w:szCs w:val="16"/>
                <w:color w:val="auto"/>
              </w:rPr>
            </w:pPr>
          </w:p>
        </w:tc>
        <w:tc>
          <w:tcPr>
            <w:tcW w:w="240" w:type="dxa"/>
            <w:vAlign w:val="bottom"/>
            <w:tcBorders>
              <w:bottom w:val="single" w:sz="8" w:color="auto"/>
            </w:tcBorders>
            <w:shd w:val="clear" w:color="auto" w:fill="C0C0C0"/>
          </w:tcPr>
          <w:p>
            <w:pPr>
              <w:spacing w:after="0"/>
              <w:rPr>
                <w:sz w:val="16"/>
                <w:szCs w:val="16"/>
                <w:color w:val="auto"/>
              </w:rPr>
            </w:pPr>
          </w:p>
        </w:tc>
        <w:tc>
          <w:tcPr>
            <w:tcW w:w="800" w:type="dxa"/>
            <w:vAlign w:val="bottom"/>
            <w:tcBorders>
              <w:bottom w:val="single" w:sz="8" w:color="auto"/>
            </w:tcBorders>
            <w:shd w:val="clear" w:color="auto" w:fill="C0C0C0"/>
          </w:tcPr>
          <w:p>
            <w:pPr>
              <w:jc w:val="right"/>
              <w:ind w:right="9"/>
              <w:spacing w:after="0"/>
              <w:rPr>
                <w:sz w:val="20"/>
                <w:szCs w:val="20"/>
                <w:color w:val="auto"/>
              </w:rPr>
            </w:pPr>
            <w:r>
              <w:rPr>
                <w:rFonts w:ascii="Arial" w:cs="Arial" w:eastAsia="Arial" w:hAnsi="Arial"/>
                <w:sz w:val="14"/>
                <w:szCs w:val="14"/>
                <w:color w:val="auto"/>
              </w:rPr>
              <w:t>325,399</w:t>
            </w:r>
          </w:p>
        </w:tc>
      </w:tr>
      <w:tr>
        <w:trPr>
          <w:trHeight w:val="195"/>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7"/>
        </w:trPr>
        <w:tc>
          <w:tcPr>
            <w:tcW w:w="6540" w:type="dxa"/>
            <w:vAlign w:val="bottom"/>
            <w:shd w:val="clear" w:color="auto" w:fill="C0C0C0"/>
          </w:tcPr>
          <w:p>
            <w:pPr>
              <w:spacing w:after="0"/>
              <w:rPr>
                <w:sz w:val="20"/>
                <w:szCs w:val="20"/>
                <w:color w:val="auto"/>
              </w:rPr>
            </w:pPr>
            <w:r>
              <w:rPr>
                <w:rFonts w:ascii="Arial" w:cs="Arial" w:eastAsia="Arial" w:hAnsi="Arial"/>
                <w:sz w:val="14"/>
                <w:szCs w:val="14"/>
                <w:color w:val="auto"/>
              </w:rPr>
              <w:t>Expenses</w:t>
            </w:r>
          </w:p>
        </w:tc>
        <w:tc>
          <w:tcPr>
            <w:tcW w:w="100" w:type="dxa"/>
            <w:vAlign w:val="bottom"/>
            <w:shd w:val="clear" w:color="auto" w:fill="C0C0C0"/>
          </w:tcPr>
          <w:p>
            <w:pPr>
              <w:spacing w:after="0"/>
              <w:rPr>
                <w:sz w:val="17"/>
                <w:szCs w:val="17"/>
                <w:color w:val="auto"/>
              </w:rPr>
            </w:pPr>
          </w:p>
        </w:tc>
        <w:tc>
          <w:tcPr>
            <w:tcW w:w="10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8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9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800" w:type="dxa"/>
            <w:vAlign w:val="bottom"/>
            <w:shd w:val="clear" w:color="auto" w:fill="C0C0C0"/>
          </w:tcPr>
          <w:p>
            <w:pPr>
              <w:spacing w:after="0"/>
              <w:rPr>
                <w:sz w:val="17"/>
                <w:szCs w:val="17"/>
                <w:color w:val="auto"/>
              </w:rPr>
            </w:pPr>
          </w:p>
        </w:tc>
      </w:tr>
      <w:tr>
        <w:trPr>
          <w:trHeight w:val="191"/>
        </w:trPr>
        <w:tc>
          <w:tcPr>
            <w:tcW w:w="654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1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127,924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122,043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400,465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364,040</w:t>
            </w:r>
          </w:p>
        </w:tc>
      </w:tr>
      <w:tr>
        <w:trPr>
          <w:trHeight w:val="204"/>
        </w:trPr>
        <w:tc>
          <w:tcPr>
            <w:tcW w:w="6540" w:type="dxa"/>
            <w:vAlign w:val="bottom"/>
            <w:shd w:val="clear" w:color="auto" w:fill="C0C0C0"/>
          </w:tcPr>
          <w:p>
            <w:pPr>
              <w:ind w:left="26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shd w:val="clear" w:color="auto" w:fill="C0C0C0"/>
          </w:tcPr>
          <w:p>
            <w:pPr>
              <w:spacing w:after="0"/>
              <w:rPr>
                <w:sz w:val="17"/>
                <w:szCs w:val="17"/>
                <w:color w:val="auto"/>
              </w:rPr>
            </w:pPr>
          </w:p>
        </w:tc>
        <w:tc>
          <w:tcPr>
            <w:tcW w:w="1000" w:type="dxa"/>
            <w:vAlign w:val="bottom"/>
            <w:shd w:val="clear" w:color="auto" w:fill="C0C0C0"/>
          </w:tcPr>
          <w:p>
            <w:pPr>
              <w:jc w:val="right"/>
              <w:ind w:right="9"/>
              <w:spacing w:after="0"/>
              <w:rPr>
                <w:sz w:val="20"/>
                <w:szCs w:val="20"/>
                <w:color w:val="auto"/>
              </w:rPr>
            </w:pPr>
            <w:r>
              <w:rPr>
                <w:rFonts w:ascii="Arial" w:cs="Arial" w:eastAsia="Arial" w:hAnsi="Arial"/>
                <w:sz w:val="14"/>
                <w:szCs w:val="14"/>
                <w:color w:val="auto"/>
              </w:rPr>
              <w:t>32,916</w:t>
            </w:r>
          </w:p>
        </w:tc>
        <w:tc>
          <w:tcPr>
            <w:tcW w:w="2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860" w:type="dxa"/>
            <w:vAlign w:val="bottom"/>
            <w:shd w:val="clear" w:color="auto" w:fill="C0C0C0"/>
          </w:tcPr>
          <w:p>
            <w:pPr>
              <w:jc w:val="right"/>
              <w:ind w:right="9"/>
              <w:spacing w:after="0"/>
              <w:rPr>
                <w:sz w:val="20"/>
                <w:szCs w:val="20"/>
                <w:color w:val="auto"/>
              </w:rPr>
            </w:pPr>
            <w:r>
              <w:rPr>
                <w:rFonts w:ascii="Arial" w:cs="Arial" w:eastAsia="Arial" w:hAnsi="Arial"/>
                <w:sz w:val="14"/>
                <w:szCs w:val="14"/>
                <w:color w:val="auto"/>
              </w:rPr>
              <w:t>15,658</w:t>
            </w:r>
          </w:p>
        </w:tc>
        <w:tc>
          <w:tcPr>
            <w:tcW w:w="1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960" w:type="dxa"/>
            <w:vAlign w:val="bottom"/>
            <w:shd w:val="clear" w:color="auto" w:fill="C0C0C0"/>
          </w:tcPr>
          <w:p>
            <w:pPr>
              <w:jc w:val="right"/>
              <w:ind w:right="9"/>
              <w:spacing w:after="0"/>
              <w:rPr>
                <w:sz w:val="20"/>
                <w:szCs w:val="20"/>
                <w:color w:val="auto"/>
              </w:rPr>
            </w:pPr>
            <w:r>
              <w:rPr>
                <w:rFonts w:ascii="Arial" w:cs="Arial" w:eastAsia="Arial" w:hAnsi="Arial"/>
                <w:sz w:val="14"/>
                <w:szCs w:val="14"/>
                <w:color w:val="auto"/>
              </w:rPr>
              <w:t>80,912</w:t>
            </w:r>
          </w:p>
        </w:tc>
        <w:tc>
          <w:tcPr>
            <w:tcW w:w="2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800" w:type="dxa"/>
            <w:vAlign w:val="bottom"/>
            <w:shd w:val="clear" w:color="auto" w:fill="C0C0C0"/>
          </w:tcPr>
          <w:p>
            <w:pPr>
              <w:jc w:val="right"/>
              <w:ind w:right="9"/>
              <w:spacing w:after="0"/>
              <w:rPr>
                <w:sz w:val="20"/>
                <w:szCs w:val="20"/>
                <w:color w:val="auto"/>
              </w:rPr>
            </w:pPr>
            <w:r>
              <w:rPr>
                <w:rFonts w:ascii="Arial" w:cs="Arial" w:eastAsia="Arial" w:hAnsi="Arial"/>
                <w:sz w:val="14"/>
                <w:szCs w:val="14"/>
                <w:color w:val="auto"/>
              </w:rPr>
              <w:t>44,560</w:t>
            </w:r>
          </w:p>
        </w:tc>
      </w:tr>
      <w:tr>
        <w:trPr>
          <w:trHeight w:val="191"/>
        </w:trPr>
        <w:tc>
          <w:tcPr>
            <w:tcW w:w="6540" w:type="dxa"/>
            <w:vAlign w:val="bottom"/>
            <w:tcBorders>
              <w:bottom w:val="single" w:sz="8" w:color="C0C0C0"/>
            </w:tcBorders>
          </w:tcPr>
          <w:p>
            <w:pPr>
              <w:ind w:left="260"/>
              <w:spacing w:after="0"/>
              <w:rPr>
                <w:sz w:val="20"/>
                <w:szCs w:val="20"/>
                <w:color w:val="auto"/>
              </w:rPr>
            </w:pPr>
            <w:r>
              <w:rPr>
                <w:rFonts w:ascii="Arial" w:cs="Arial" w:eastAsia="Arial" w:hAnsi="Arial"/>
                <w:sz w:val="14"/>
                <w:szCs w:val="14"/>
                <w:color w:val="auto"/>
              </w:rPr>
              <w:t>Cost of goods sold</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450</w:t>
            </w:r>
          </w:p>
        </w:tc>
        <w:tc>
          <w:tcPr>
            <w:tcW w:w="220" w:type="dxa"/>
            <w:vAlign w:val="bottom"/>
            <w:tcBorders>
              <w:bottom w:val="single" w:sz="8" w:color="C0C0C0"/>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372</w:t>
            </w:r>
          </w:p>
        </w:tc>
        <w:tc>
          <w:tcPr>
            <w:tcW w:w="180" w:type="dxa"/>
            <w:vAlign w:val="bottom"/>
            <w:tcBorders>
              <w:bottom w:val="single" w:sz="8" w:color="C0C0C0"/>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1,227</w:t>
            </w:r>
          </w:p>
        </w:tc>
        <w:tc>
          <w:tcPr>
            <w:tcW w:w="220" w:type="dxa"/>
            <w:vAlign w:val="bottom"/>
            <w:tcBorders>
              <w:bottom w:val="single" w:sz="8" w:color="C0C0C0"/>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1,494</w:t>
            </w:r>
          </w:p>
        </w:tc>
      </w:tr>
      <w:tr>
        <w:trPr>
          <w:trHeight w:val="188"/>
        </w:trPr>
        <w:tc>
          <w:tcPr>
            <w:tcW w:w="6540" w:type="dxa"/>
            <w:vAlign w:val="bottom"/>
            <w:shd w:val="clear" w:color="auto" w:fill="C0C0C0"/>
          </w:tcPr>
          <w:p>
            <w:pPr>
              <w:spacing w:after="0"/>
              <w:rPr>
                <w:sz w:val="16"/>
                <w:szCs w:val="16"/>
                <w:color w:val="auto"/>
              </w:rPr>
            </w:pPr>
          </w:p>
        </w:tc>
        <w:tc>
          <w:tcPr>
            <w:tcW w:w="100" w:type="dxa"/>
            <w:vAlign w:val="bottom"/>
            <w:tcBorders>
              <w:bottom w:val="single" w:sz="8" w:color="auto"/>
            </w:tcBorders>
            <w:shd w:val="clear" w:color="auto" w:fill="C0C0C0"/>
          </w:tcPr>
          <w:p>
            <w:pPr>
              <w:spacing w:after="0"/>
              <w:rPr>
                <w:sz w:val="16"/>
                <w:szCs w:val="16"/>
                <w:color w:val="auto"/>
              </w:rPr>
            </w:pPr>
          </w:p>
        </w:tc>
        <w:tc>
          <w:tcPr>
            <w:tcW w:w="1000" w:type="dxa"/>
            <w:vAlign w:val="bottom"/>
            <w:tcBorders>
              <w:bottom w:val="single" w:sz="8" w:color="auto"/>
            </w:tcBorders>
            <w:shd w:val="clear" w:color="auto" w:fill="C0C0C0"/>
          </w:tcPr>
          <w:p>
            <w:pPr>
              <w:jc w:val="right"/>
              <w:ind w:right="9"/>
              <w:spacing w:after="0"/>
              <w:rPr>
                <w:sz w:val="20"/>
                <w:szCs w:val="20"/>
                <w:color w:val="auto"/>
              </w:rPr>
            </w:pPr>
            <w:r>
              <w:rPr>
                <w:rFonts w:ascii="Arial" w:cs="Arial" w:eastAsia="Arial" w:hAnsi="Arial"/>
                <w:sz w:val="14"/>
                <w:szCs w:val="14"/>
                <w:color w:val="auto"/>
              </w:rPr>
              <w:t>161,290</w:t>
            </w:r>
          </w:p>
        </w:tc>
        <w:tc>
          <w:tcPr>
            <w:tcW w:w="220" w:type="dxa"/>
            <w:vAlign w:val="bottom"/>
            <w:shd w:val="clear" w:color="auto" w:fill="C0C0C0"/>
          </w:tcPr>
          <w:p>
            <w:pPr>
              <w:spacing w:after="0"/>
              <w:rPr>
                <w:sz w:val="16"/>
                <w:szCs w:val="16"/>
                <w:color w:val="auto"/>
              </w:rPr>
            </w:pPr>
          </w:p>
        </w:tc>
        <w:tc>
          <w:tcPr>
            <w:tcW w:w="240" w:type="dxa"/>
            <w:vAlign w:val="bottom"/>
            <w:tcBorders>
              <w:bottom w:val="single" w:sz="8" w:color="auto"/>
            </w:tcBorders>
            <w:shd w:val="clear" w:color="auto" w:fill="C0C0C0"/>
          </w:tcPr>
          <w:p>
            <w:pPr>
              <w:spacing w:after="0"/>
              <w:rPr>
                <w:sz w:val="16"/>
                <w:szCs w:val="16"/>
                <w:color w:val="auto"/>
              </w:rPr>
            </w:pPr>
          </w:p>
        </w:tc>
        <w:tc>
          <w:tcPr>
            <w:tcW w:w="860" w:type="dxa"/>
            <w:vAlign w:val="bottom"/>
            <w:tcBorders>
              <w:bottom w:val="single" w:sz="8" w:color="auto"/>
            </w:tcBorders>
            <w:shd w:val="clear" w:color="auto" w:fill="C0C0C0"/>
          </w:tcPr>
          <w:p>
            <w:pPr>
              <w:jc w:val="right"/>
              <w:ind w:right="9"/>
              <w:spacing w:after="0"/>
              <w:rPr>
                <w:sz w:val="20"/>
                <w:szCs w:val="20"/>
                <w:color w:val="auto"/>
              </w:rPr>
            </w:pPr>
            <w:r>
              <w:rPr>
                <w:rFonts w:ascii="Arial" w:cs="Arial" w:eastAsia="Arial" w:hAnsi="Arial"/>
                <w:sz w:val="14"/>
                <w:szCs w:val="14"/>
                <w:color w:val="auto"/>
              </w:rPr>
              <w:t>138,073</w:t>
            </w:r>
          </w:p>
        </w:tc>
        <w:tc>
          <w:tcPr>
            <w:tcW w:w="180" w:type="dxa"/>
            <w:vAlign w:val="bottom"/>
            <w:shd w:val="clear" w:color="auto" w:fill="C0C0C0"/>
          </w:tcPr>
          <w:p>
            <w:pPr>
              <w:spacing w:after="0"/>
              <w:rPr>
                <w:sz w:val="16"/>
                <w:szCs w:val="16"/>
                <w:color w:val="auto"/>
              </w:rPr>
            </w:pPr>
          </w:p>
        </w:tc>
        <w:tc>
          <w:tcPr>
            <w:tcW w:w="100" w:type="dxa"/>
            <w:vAlign w:val="bottom"/>
            <w:tcBorders>
              <w:bottom w:val="single" w:sz="8" w:color="auto"/>
            </w:tcBorders>
            <w:shd w:val="clear" w:color="auto" w:fill="C0C0C0"/>
          </w:tcPr>
          <w:p>
            <w:pPr>
              <w:spacing w:after="0"/>
              <w:rPr>
                <w:sz w:val="16"/>
                <w:szCs w:val="16"/>
                <w:color w:val="auto"/>
              </w:rPr>
            </w:pPr>
          </w:p>
        </w:tc>
        <w:tc>
          <w:tcPr>
            <w:tcW w:w="960" w:type="dxa"/>
            <w:vAlign w:val="bottom"/>
            <w:tcBorders>
              <w:bottom w:val="single" w:sz="8" w:color="auto"/>
            </w:tcBorders>
            <w:shd w:val="clear" w:color="auto" w:fill="C0C0C0"/>
          </w:tcPr>
          <w:p>
            <w:pPr>
              <w:jc w:val="right"/>
              <w:ind w:right="9"/>
              <w:spacing w:after="0"/>
              <w:rPr>
                <w:sz w:val="20"/>
                <w:szCs w:val="20"/>
                <w:color w:val="auto"/>
              </w:rPr>
            </w:pPr>
            <w:r>
              <w:rPr>
                <w:rFonts w:ascii="Arial" w:cs="Arial" w:eastAsia="Arial" w:hAnsi="Arial"/>
                <w:sz w:val="14"/>
                <w:szCs w:val="14"/>
                <w:color w:val="auto"/>
              </w:rPr>
              <w:t>482,604</w:t>
            </w:r>
          </w:p>
        </w:tc>
        <w:tc>
          <w:tcPr>
            <w:tcW w:w="220" w:type="dxa"/>
            <w:vAlign w:val="bottom"/>
            <w:shd w:val="clear" w:color="auto" w:fill="C0C0C0"/>
          </w:tcPr>
          <w:p>
            <w:pPr>
              <w:spacing w:after="0"/>
              <w:rPr>
                <w:sz w:val="16"/>
                <w:szCs w:val="16"/>
                <w:color w:val="auto"/>
              </w:rPr>
            </w:pPr>
          </w:p>
        </w:tc>
        <w:tc>
          <w:tcPr>
            <w:tcW w:w="240" w:type="dxa"/>
            <w:vAlign w:val="bottom"/>
            <w:tcBorders>
              <w:bottom w:val="single" w:sz="8" w:color="auto"/>
            </w:tcBorders>
            <w:shd w:val="clear" w:color="auto" w:fill="C0C0C0"/>
          </w:tcPr>
          <w:p>
            <w:pPr>
              <w:spacing w:after="0"/>
              <w:rPr>
                <w:sz w:val="16"/>
                <w:szCs w:val="16"/>
                <w:color w:val="auto"/>
              </w:rPr>
            </w:pPr>
          </w:p>
        </w:tc>
        <w:tc>
          <w:tcPr>
            <w:tcW w:w="800" w:type="dxa"/>
            <w:vAlign w:val="bottom"/>
            <w:tcBorders>
              <w:bottom w:val="single" w:sz="8" w:color="auto"/>
            </w:tcBorders>
            <w:shd w:val="clear" w:color="auto" w:fill="C0C0C0"/>
          </w:tcPr>
          <w:p>
            <w:pPr>
              <w:jc w:val="right"/>
              <w:ind w:right="9"/>
              <w:spacing w:after="0"/>
              <w:rPr>
                <w:sz w:val="20"/>
                <w:szCs w:val="20"/>
                <w:color w:val="auto"/>
              </w:rPr>
            </w:pPr>
            <w:r>
              <w:rPr>
                <w:rFonts w:ascii="Arial" w:cs="Arial" w:eastAsia="Arial" w:hAnsi="Arial"/>
                <w:sz w:val="14"/>
                <w:szCs w:val="14"/>
                <w:color w:val="auto"/>
              </w:rPr>
              <w:t>410,094</w:t>
            </w:r>
          </w:p>
        </w:tc>
      </w:tr>
      <w:tr>
        <w:trPr>
          <w:trHeight w:val="195"/>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6540" w:type="dxa"/>
            <w:vAlign w:val="bottom"/>
            <w:shd w:val="clear" w:color="auto" w:fill="C0C0C0"/>
          </w:tcPr>
          <w:p>
            <w:pPr>
              <w:spacing w:after="0"/>
              <w:rPr>
                <w:sz w:val="20"/>
                <w:szCs w:val="20"/>
                <w:color w:val="auto"/>
              </w:rPr>
            </w:pPr>
            <w:r>
              <w:rPr>
                <w:rFonts w:ascii="Arial" w:cs="Arial" w:eastAsia="Arial" w:hAnsi="Arial"/>
                <w:sz w:val="14"/>
                <w:szCs w:val="14"/>
                <w:color w:val="auto"/>
              </w:rPr>
              <w:t>Loss from operations</w:t>
            </w:r>
          </w:p>
        </w:tc>
        <w:tc>
          <w:tcPr>
            <w:tcW w:w="100" w:type="dxa"/>
            <w:vAlign w:val="bottom"/>
            <w:tcBorders>
              <w:bottom w:val="single" w:sz="8" w:color="auto"/>
            </w:tcBorders>
            <w:shd w:val="clear" w:color="auto" w:fill="C0C0C0"/>
          </w:tcPr>
          <w:p>
            <w:pPr>
              <w:spacing w:after="0"/>
              <w:rPr>
                <w:sz w:val="16"/>
                <w:szCs w:val="16"/>
                <w:color w:val="auto"/>
              </w:rPr>
            </w:pPr>
          </w:p>
        </w:tc>
        <w:tc>
          <w:tcPr>
            <w:tcW w:w="10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(58,457)</w:t>
            </w:r>
          </w:p>
        </w:tc>
        <w:tc>
          <w:tcPr>
            <w:tcW w:w="220" w:type="dxa"/>
            <w:vAlign w:val="bottom"/>
            <w:shd w:val="clear" w:color="auto" w:fill="C0C0C0"/>
          </w:tcPr>
          <w:p>
            <w:pPr>
              <w:spacing w:after="0"/>
              <w:rPr>
                <w:sz w:val="16"/>
                <w:szCs w:val="16"/>
                <w:color w:val="auto"/>
              </w:rPr>
            </w:pPr>
          </w:p>
        </w:tc>
        <w:tc>
          <w:tcPr>
            <w:tcW w:w="240" w:type="dxa"/>
            <w:vAlign w:val="bottom"/>
            <w:tcBorders>
              <w:bottom w:val="single" w:sz="8" w:color="auto"/>
            </w:tcBorders>
            <w:shd w:val="clear" w:color="auto" w:fill="C0C0C0"/>
          </w:tcPr>
          <w:p>
            <w:pPr>
              <w:spacing w:after="0"/>
              <w:rPr>
                <w:sz w:val="16"/>
                <w:szCs w:val="16"/>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(32,094)</w:t>
            </w:r>
          </w:p>
        </w:tc>
        <w:tc>
          <w:tcPr>
            <w:tcW w:w="180" w:type="dxa"/>
            <w:vAlign w:val="bottom"/>
            <w:shd w:val="clear" w:color="auto" w:fill="C0C0C0"/>
          </w:tcPr>
          <w:p>
            <w:pPr>
              <w:spacing w:after="0"/>
              <w:rPr>
                <w:sz w:val="16"/>
                <w:szCs w:val="16"/>
                <w:color w:val="auto"/>
              </w:rPr>
            </w:pPr>
          </w:p>
        </w:tc>
        <w:tc>
          <w:tcPr>
            <w:tcW w:w="100" w:type="dxa"/>
            <w:vAlign w:val="bottom"/>
            <w:tcBorders>
              <w:bottom w:val="single" w:sz="8" w:color="auto"/>
            </w:tcBorders>
            <w:shd w:val="clear" w:color="auto" w:fill="C0C0C0"/>
          </w:tcPr>
          <w:p>
            <w:pPr>
              <w:spacing w:after="0"/>
              <w:rPr>
                <w:sz w:val="16"/>
                <w:szCs w:val="16"/>
                <w:color w:val="auto"/>
              </w:rPr>
            </w:pP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(159,757)</w:t>
            </w:r>
          </w:p>
        </w:tc>
        <w:tc>
          <w:tcPr>
            <w:tcW w:w="220" w:type="dxa"/>
            <w:vAlign w:val="bottom"/>
            <w:shd w:val="clear" w:color="auto" w:fill="C0C0C0"/>
          </w:tcPr>
          <w:p>
            <w:pPr>
              <w:spacing w:after="0"/>
              <w:rPr>
                <w:sz w:val="16"/>
                <w:szCs w:val="16"/>
                <w:color w:val="auto"/>
              </w:rPr>
            </w:pPr>
          </w:p>
        </w:tc>
        <w:tc>
          <w:tcPr>
            <w:tcW w:w="240" w:type="dxa"/>
            <w:vAlign w:val="bottom"/>
            <w:tcBorders>
              <w:bottom w:val="single" w:sz="8" w:color="auto"/>
            </w:tcBorders>
            <w:shd w:val="clear" w:color="auto" w:fill="C0C0C0"/>
          </w:tcPr>
          <w:p>
            <w:pPr>
              <w:spacing w:after="0"/>
              <w:rPr>
                <w:sz w:val="16"/>
                <w:szCs w:val="16"/>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(84,695)</w:t>
            </w:r>
          </w:p>
        </w:tc>
      </w:tr>
      <w:tr>
        <w:trPr>
          <w:trHeight w:val="195"/>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7"/>
        </w:trPr>
        <w:tc>
          <w:tcPr>
            <w:tcW w:w="6540" w:type="dxa"/>
            <w:vAlign w:val="bottom"/>
            <w:shd w:val="clear" w:color="auto" w:fill="C0C0C0"/>
          </w:tcPr>
          <w:p>
            <w:pPr>
              <w:spacing w:after="0"/>
              <w:rPr>
                <w:sz w:val="20"/>
                <w:szCs w:val="20"/>
                <w:color w:val="auto"/>
              </w:rPr>
            </w:pPr>
            <w:r>
              <w:rPr>
                <w:rFonts w:ascii="Arial" w:cs="Arial" w:eastAsia="Arial" w:hAnsi="Arial"/>
                <w:sz w:val="14"/>
                <w:szCs w:val="14"/>
                <w:color w:val="auto"/>
              </w:rPr>
              <w:t>Other income (expense)</w:t>
            </w:r>
          </w:p>
        </w:tc>
        <w:tc>
          <w:tcPr>
            <w:tcW w:w="100" w:type="dxa"/>
            <w:vAlign w:val="bottom"/>
            <w:shd w:val="clear" w:color="auto" w:fill="C0C0C0"/>
          </w:tcPr>
          <w:p>
            <w:pPr>
              <w:spacing w:after="0"/>
              <w:rPr>
                <w:sz w:val="17"/>
                <w:szCs w:val="17"/>
                <w:color w:val="auto"/>
              </w:rPr>
            </w:pPr>
          </w:p>
        </w:tc>
        <w:tc>
          <w:tcPr>
            <w:tcW w:w="10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8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9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800" w:type="dxa"/>
            <w:vAlign w:val="bottom"/>
            <w:shd w:val="clear" w:color="auto" w:fill="C0C0C0"/>
          </w:tcPr>
          <w:p>
            <w:pPr>
              <w:spacing w:after="0"/>
              <w:rPr>
                <w:sz w:val="17"/>
                <w:szCs w:val="17"/>
                <w:color w:val="auto"/>
              </w:rPr>
            </w:pPr>
          </w:p>
        </w:tc>
      </w:tr>
      <w:tr>
        <w:trPr>
          <w:trHeight w:val="191"/>
        </w:trPr>
        <w:tc>
          <w:tcPr>
            <w:tcW w:w="6540" w:type="dxa"/>
            <w:vAlign w:val="bottom"/>
          </w:tcPr>
          <w:p>
            <w:pPr>
              <w:ind w:left="260"/>
              <w:spacing w:after="0"/>
              <w:rPr>
                <w:sz w:val="20"/>
                <w:szCs w:val="20"/>
                <w:color w:val="auto"/>
              </w:rPr>
            </w:pPr>
            <w:r>
              <w:rPr>
                <w:rFonts w:ascii="Arial" w:cs="Arial" w:eastAsia="Arial" w:hAnsi="Arial"/>
                <w:sz w:val="14"/>
                <w:szCs w:val="14"/>
                <w:color w:val="auto"/>
              </w:rPr>
              <w:t>Investment income</w:t>
            </w:r>
          </w:p>
        </w:tc>
        <w:tc>
          <w:tcPr>
            <w:tcW w:w="1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715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453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2,750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1,484</w:t>
            </w:r>
          </w:p>
        </w:tc>
      </w:tr>
      <w:tr>
        <w:trPr>
          <w:trHeight w:val="197"/>
        </w:trPr>
        <w:tc>
          <w:tcPr>
            <w:tcW w:w="6540" w:type="dxa"/>
            <w:vAlign w:val="bottom"/>
            <w:shd w:val="clear" w:color="auto" w:fill="C0C0C0"/>
          </w:tcPr>
          <w:p>
            <w:pPr>
              <w:ind w:left="260"/>
              <w:spacing w:after="0"/>
              <w:rPr>
                <w:sz w:val="20"/>
                <w:szCs w:val="20"/>
                <w:color w:val="auto"/>
              </w:rPr>
            </w:pPr>
            <w:r>
              <w:rPr>
                <w:rFonts w:ascii="Arial" w:cs="Arial" w:eastAsia="Arial" w:hAnsi="Arial"/>
                <w:sz w:val="14"/>
                <w:szCs w:val="14"/>
                <w:color w:val="auto"/>
              </w:rPr>
              <w:t>Interest expense</w:t>
            </w:r>
          </w:p>
        </w:tc>
        <w:tc>
          <w:tcPr>
            <w:tcW w:w="100" w:type="dxa"/>
            <w:vAlign w:val="bottom"/>
            <w:tcBorders>
              <w:bottom w:val="single" w:sz="8" w:color="auto"/>
            </w:tcBorders>
            <w:shd w:val="clear" w:color="auto" w:fill="C0C0C0"/>
          </w:tcPr>
          <w:p>
            <w:pPr>
              <w:spacing w:after="0"/>
              <w:rPr>
                <w:sz w:val="17"/>
                <w:szCs w:val="17"/>
                <w:color w:val="auto"/>
              </w:rPr>
            </w:pPr>
          </w:p>
        </w:tc>
        <w:tc>
          <w:tcPr>
            <w:tcW w:w="10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(4,061)</w:t>
            </w:r>
          </w:p>
        </w:tc>
        <w:tc>
          <w:tcPr>
            <w:tcW w:w="220" w:type="dxa"/>
            <w:vAlign w:val="bottom"/>
            <w:shd w:val="clear" w:color="auto" w:fill="C0C0C0"/>
          </w:tcPr>
          <w:p>
            <w:pPr>
              <w:spacing w:after="0"/>
              <w:rPr>
                <w:sz w:val="17"/>
                <w:szCs w:val="17"/>
                <w:color w:val="auto"/>
              </w:rPr>
            </w:pPr>
          </w:p>
        </w:tc>
        <w:tc>
          <w:tcPr>
            <w:tcW w:w="240" w:type="dxa"/>
            <w:vAlign w:val="bottom"/>
            <w:tcBorders>
              <w:bottom w:val="single" w:sz="8" w:color="auto"/>
            </w:tcBorders>
            <w:shd w:val="clear" w:color="auto" w:fill="C0C0C0"/>
          </w:tcPr>
          <w:p>
            <w:pPr>
              <w:spacing w:after="0"/>
              <w:rPr>
                <w:sz w:val="17"/>
                <w:szCs w:val="17"/>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(2,234)</w:t>
            </w:r>
          </w:p>
        </w:tc>
        <w:tc>
          <w:tcPr>
            <w:tcW w:w="180" w:type="dxa"/>
            <w:vAlign w:val="bottom"/>
            <w:shd w:val="clear" w:color="auto" w:fill="C0C0C0"/>
          </w:tcPr>
          <w:p>
            <w:pPr>
              <w:spacing w:after="0"/>
              <w:rPr>
                <w:sz w:val="17"/>
                <w:szCs w:val="17"/>
                <w:color w:val="auto"/>
              </w:rPr>
            </w:pPr>
          </w:p>
        </w:tc>
        <w:tc>
          <w:tcPr>
            <w:tcW w:w="100" w:type="dxa"/>
            <w:vAlign w:val="bottom"/>
            <w:tcBorders>
              <w:bottom w:val="single" w:sz="8" w:color="auto"/>
            </w:tcBorders>
            <w:shd w:val="clear" w:color="auto" w:fill="C0C0C0"/>
          </w:tcPr>
          <w:p>
            <w:pPr>
              <w:spacing w:after="0"/>
              <w:rPr>
                <w:sz w:val="17"/>
                <w:szCs w:val="17"/>
                <w:color w:val="auto"/>
              </w:rPr>
            </w:pP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(11,827)</w:t>
            </w:r>
          </w:p>
        </w:tc>
        <w:tc>
          <w:tcPr>
            <w:tcW w:w="220" w:type="dxa"/>
            <w:vAlign w:val="bottom"/>
            <w:shd w:val="clear" w:color="auto" w:fill="C0C0C0"/>
          </w:tcPr>
          <w:p>
            <w:pPr>
              <w:spacing w:after="0"/>
              <w:rPr>
                <w:sz w:val="17"/>
                <w:szCs w:val="17"/>
                <w:color w:val="auto"/>
              </w:rPr>
            </w:pPr>
          </w:p>
        </w:tc>
        <w:tc>
          <w:tcPr>
            <w:tcW w:w="240" w:type="dxa"/>
            <w:vAlign w:val="bottom"/>
            <w:tcBorders>
              <w:bottom w:val="single" w:sz="8" w:color="auto"/>
            </w:tcBorders>
            <w:shd w:val="clear" w:color="auto" w:fill="C0C0C0"/>
          </w:tcPr>
          <w:p>
            <w:pPr>
              <w:spacing w:after="0"/>
              <w:rPr>
                <w:sz w:val="17"/>
                <w:szCs w:val="17"/>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(6,660)</w:t>
            </w:r>
          </w:p>
        </w:tc>
      </w:tr>
      <w:tr>
        <w:trPr>
          <w:trHeight w:val="188"/>
        </w:trPr>
        <w:tc>
          <w:tcPr>
            <w:tcW w:w="6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(3,346)</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(1,781)</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(9,077)</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(5,176)</w:t>
            </w:r>
          </w:p>
        </w:tc>
      </w:tr>
      <w:tr>
        <w:trPr>
          <w:trHeight w:val="195"/>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7"/>
        </w:trPr>
        <w:tc>
          <w:tcPr>
            <w:tcW w:w="6540" w:type="dxa"/>
            <w:vAlign w:val="bottom"/>
            <w:shd w:val="clear" w:color="auto" w:fill="C0C0C0"/>
          </w:tcPr>
          <w:p>
            <w:pPr>
              <w:spacing w:after="0"/>
              <w:rPr>
                <w:sz w:val="20"/>
                <w:szCs w:val="20"/>
                <w:color w:val="auto"/>
              </w:rPr>
            </w:pPr>
            <w:r>
              <w:rPr>
                <w:rFonts w:ascii="Arial" w:cs="Arial" w:eastAsia="Arial" w:hAnsi="Arial"/>
                <w:sz w:val="14"/>
                <w:szCs w:val="14"/>
                <w:color w:val="auto"/>
              </w:rPr>
              <w:t>Net loss before income tax expense (benefit)</w:t>
            </w:r>
          </w:p>
        </w:tc>
        <w:tc>
          <w:tcPr>
            <w:tcW w:w="100" w:type="dxa"/>
            <w:vAlign w:val="bottom"/>
            <w:shd w:val="clear" w:color="auto" w:fill="C0C0C0"/>
          </w:tcPr>
          <w:p>
            <w:pPr>
              <w:spacing w:after="0"/>
              <w:rPr>
                <w:sz w:val="17"/>
                <w:szCs w:val="17"/>
                <w:color w:val="auto"/>
              </w:rPr>
            </w:pPr>
          </w:p>
        </w:tc>
        <w:tc>
          <w:tcPr>
            <w:tcW w:w="10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(61,803)</w:t>
            </w:r>
          </w:p>
        </w:tc>
        <w:tc>
          <w:tcPr>
            <w:tcW w:w="2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(33,875)</w:t>
            </w:r>
          </w:p>
        </w:tc>
        <w:tc>
          <w:tcPr>
            <w:tcW w:w="1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(168,834)</w:t>
            </w:r>
          </w:p>
        </w:tc>
        <w:tc>
          <w:tcPr>
            <w:tcW w:w="2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(89,871)</w:t>
            </w:r>
          </w:p>
        </w:tc>
      </w:tr>
      <w:tr>
        <w:trPr>
          <w:trHeight w:val="197"/>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1"/>
        </w:trPr>
        <w:tc>
          <w:tcPr>
            <w:tcW w:w="6540" w:type="dxa"/>
            <w:vAlign w:val="bottom"/>
            <w:shd w:val="clear" w:color="auto" w:fill="C0C0C0"/>
          </w:tcPr>
          <w:p>
            <w:pPr>
              <w:spacing w:after="0"/>
              <w:rPr>
                <w:sz w:val="20"/>
                <w:szCs w:val="20"/>
                <w:color w:val="auto"/>
              </w:rPr>
            </w:pPr>
            <w:r>
              <w:rPr>
                <w:rFonts w:ascii="Arial" w:cs="Arial" w:eastAsia="Arial" w:hAnsi="Arial"/>
                <w:sz w:val="14"/>
                <w:szCs w:val="14"/>
                <w:color w:val="auto"/>
              </w:rPr>
              <w:t>Income tax expense (benefit)</w:t>
            </w:r>
          </w:p>
        </w:tc>
        <w:tc>
          <w:tcPr>
            <w:tcW w:w="100" w:type="dxa"/>
            <w:vAlign w:val="bottom"/>
            <w:tcBorders>
              <w:bottom w:val="single" w:sz="8" w:color="auto"/>
            </w:tcBorders>
            <w:shd w:val="clear" w:color="auto" w:fill="C0C0C0"/>
          </w:tcPr>
          <w:p>
            <w:pPr>
              <w:spacing w:after="0"/>
              <w:rPr>
                <w:sz w:val="16"/>
                <w:szCs w:val="16"/>
                <w:color w:val="auto"/>
              </w:rPr>
            </w:pPr>
          </w:p>
        </w:tc>
        <w:tc>
          <w:tcPr>
            <w:tcW w:w="1000" w:type="dxa"/>
            <w:vAlign w:val="bottom"/>
            <w:tcBorders>
              <w:bottom w:val="single" w:sz="8" w:color="auto"/>
            </w:tcBorders>
            <w:shd w:val="clear" w:color="auto" w:fill="C0C0C0"/>
          </w:tcPr>
          <w:p>
            <w:pPr>
              <w:jc w:val="right"/>
              <w:ind w:right="9"/>
              <w:spacing w:after="0"/>
              <w:rPr>
                <w:sz w:val="20"/>
                <w:szCs w:val="20"/>
                <w:color w:val="auto"/>
              </w:rPr>
            </w:pPr>
            <w:r>
              <w:rPr>
                <w:rFonts w:ascii="Arial" w:cs="Arial" w:eastAsia="Arial" w:hAnsi="Arial"/>
                <w:sz w:val="14"/>
                <w:szCs w:val="14"/>
                <w:color w:val="auto"/>
              </w:rPr>
              <w:t>562</w:t>
            </w:r>
          </w:p>
        </w:tc>
        <w:tc>
          <w:tcPr>
            <w:tcW w:w="220" w:type="dxa"/>
            <w:vAlign w:val="bottom"/>
            <w:shd w:val="clear" w:color="auto" w:fill="C0C0C0"/>
          </w:tcPr>
          <w:p>
            <w:pPr>
              <w:spacing w:after="0"/>
              <w:rPr>
                <w:sz w:val="16"/>
                <w:szCs w:val="16"/>
                <w:color w:val="auto"/>
              </w:rPr>
            </w:pPr>
          </w:p>
        </w:tc>
        <w:tc>
          <w:tcPr>
            <w:tcW w:w="240" w:type="dxa"/>
            <w:vAlign w:val="bottom"/>
            <w:tcBorders>
              <w:bottom w:val="single" w:sz="8" w:color="auto"/>
            </w:tcBorders>
            <w:shd w:val="clear" w:color="auto" w:fill="C0C0C0"/>
          </w:tcPr>
          <w:p>
            <w:pPr>
              <w:spacing w:after="0"/>
              <w:rPr>
                <w:sz w:val="16"/>
                <w:szCs w:val="16"/>
                <w:color w:val="auto"/>
              </w:rPr>
            </w:pPr>
          </w:p>
        </w:tc>
        <w:tc>
          <w:tcPr>
            <w:tcW w:w="860" w:type="dxa"/>
            <w:vAlign w:val="bottom"/>
            <w:tcBorders>
              <w:bottom w:val="single" w:sz="8" w:color="auto"/>
            </w:tcBorders>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100" w:type="dxa"/>
            <w:vAlign w:val="bottom"/>
            <w:tcBorders>
              <w:bottom w:val="single" w:sz="8" w:color="auto"/>
            </w:tcBorders>
            <w:shd w:val="clear" w:color="auto" w:fill="C0C0C0"/>
          </w:tcPr>
          <w:p>
            <w:pPr>
              <w:spacing w:after="0"/>
              <w:rPr>
                <w:sz w:val="16"/>
                <w:szCs w:val="16"/>
                <w:color w:val="auto"/>
              </w:rPr>
            </w:pP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(517)</w:t>
            </w:r>
          </w:p>
        </w:tc>
        <w:tc>
          <w:tcPr>
            <w:tcW w:w="220" w:type="dxa"/>
            <w:vAlign w:val="bottom"/>
            <w:shd w:val="clear" w:color="auto" w:fill="C0C0C0"/>
          </w:tcPr>
          <w:p>
            <w:pPr>
              <w:spacing w:after="0"/>
              <w:rPr>
                <w:sz w:val="16"/>
                <w:szCs w:val="16"/>
                <w:color w:val="auto"/>
              </w:rPr>
            </w:pPr>
          </w:p>
        </w:tc>
        <w:tc>
          <w:tcPr>
            <w:tcW w:w="240" w:type="dxa"/>
            <w:vAlign w:val="bottom"/>
            <w:tcBorders>
              <w:bottom w:val="single" w:sz="8" w:color="auto"/>
            </w:tcBorders>
            <w:shd w:val="clear" w:color="auto" w:fill="C0C0C0"/>
          </w:tcPr>
          <w:p>
            <w:pPr>
              <w:spacing w:after="0"/>
              <w:rPr>
                <w:sz w:val="16"/>
                <w:szCs w:val="16"/>
                <w:color w:val="auto"/>
              </w:rPr>
            </w:pPr>
          </w:p>
        </w:tc>
        <w:tc>
          <w:tcPr>
            <w:tcW w:w="800" w:type="dxa"/>
            <w:vAlign w:val="bottom"/>
            <w:tcBorders>
              <w:bottom w:val="single" w:sz="8" w:color="auto"/>
            </w:tcBorders>
            <w:shd w:val="clear" w:color="auto" w:fill="C0C0C0"/>
          </w:tcPr>
          <w:p>
            <w:pPr>
              <w:spacing w:after="0"/>
              <w:rPr>
                <w:sz w:val="16"/>
                <w:szCs w:val="16"/>
                <w:color w:val="auto"/>
              </w:rPr>
            </w:pPr>
          </w:p>
        </w:tc>
      </w:tr>
      <w:tr>
        <w:trPr>
          <w:trHeight w:val="195"/>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9"/>
        </w:trPr>
        <w:tc>
          <w:tcPr>
            <w:tcW w:w="6540" w:type="dxa"/>
            <w:vAlign w:val="bottom"/>
            <w:shd w:val="clear" w:color="auto" w:fill="C0C0C0"/>
          </w:tcPr>
          <w:p>
            <w:pPr>
              <w:spacing w:after="0"/>
              <w:rPr>
                <w:sz w:val="20"/>
                <w:szCs w:val="20"/>
                <w:color w:val="auto"/>
              </w:rPr>
            </w:pPr>
            <w:r>
              <w:rPr>
                <w:rFonts w:ascii="Arial" w:cs="Arial" w:eastAsia="Arial" w:hAnsi="Arial"/>
                <w:sz w:val="14"/>
                <w:szCs w:val="14"/>
                <w:color w:val="auto"/>
              </w:rPr>
              <w:t>Net loss</w:t>
            </w:r>
          </w:p>
        </w:tc>
        <w:tc>
          <w:tcPr>
            <w:tcW w:w="10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(62,365)</w:t>
            </w:r>
          </w:p>
        </w:tc>
        <w:tc>
          <w:tcPr>
            <w:tcW w:w="220" w:type="dxa"/>
            <w:vAlign w:val="bottom"/>
            <w:shd w:val="clear" w:color="auto" w:fill="C0C0C0"/>
          </w:tcPr>
          <w:p>
            <w:pPr>
              <w:spacing w:after="0"/>
              <w:rPr>
                <w:sz w:val="17"/>
                <w:szCs w:val="17"/>
                <w:color w:val="auto"/>
              </w:rPr>
            </w:pPr>
          </w:p>
        </w:tc>
        <w:tc>
          <w:tcPr>
            <w:tcW w:w="240" w:type="dxa"/>
            <w:vAlign w:val="bottom"/>
            <w:shd w:val="clear" w:color="auto" w:fill="C0C0C0"/>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(33,875)</w:t>
            </w:r>
          </w:p>
        </w:tc>
        <w:tc>
          <w:tcPr>
            <w:tcW w:w="280" w:type="dxa"/>
            <w:vAlign w:val="bottom"/>
            <w:gridSpan w:val="2"/>
            <w:shd w:val="clear" w:color="auto" w:fill="C0C0C0"/>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(168,317)</w:t>
            </w:r>
          </w:p>
        </w:tc>
        <w:tc>
          <w:tcPr>
            <w:tcW w:w="460" w:type="dxa"/>
            <w:vAlign w:val="bottom"/>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(89,871)</w:t>
            </w:r>
          </w:p>
        </w:tc>
      </w:tr>
      <w:tr>
        <w:trPr>
          <w:trHeight w:val="197"/>
        </w:trPr>
        <w:tc>
          <w:tcPr>
            <w:tcW w:w="6540" w:type="dxa"/>
            <w:vAlign w:val="bottom"/>
            <w:tcBorders>
              <w:top w:val="single" w:sz="8" w:color="C0C0C0"/>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0C0C0"/>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0C0C0"/>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0C0C0"/>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197"/>
        </w:trPr>
        <w:tc>
          <w:tcPr>
            <w:tcW w:w="6540" w:type="dxa"/>
            <w:vAlign w:val="bottom"/>
            <w:shd w:val="clear" w:color="auto" w:fill="C0C0C0"/>
          </w:tcPr>
          <w:p>
            <w:pPr>
              <w:spacing w:after="0"/>
              <w:rPr>
                <w:sz w:val="20"/>
                <w:szCs w:val="20"/>
                <w:color w:val="auto"/>
              </w:rPr>
            </w:pPr>
            <w:r>
              <w:rPr>
                <w:rFonts w:ascii="Arial" w:cs="Arial" w:eastAsia="Arial" w:hAnsi="Arial"/>
                <w:sz w:val="14"/>
                <w:szCs w:val="14"/>
                <w:color w:val="auto"/>
              </w:rPr>
              <w:t>Net loss per share, basic and diluted</w:t>
            </w:r>
          </w:p>
        </w:tc>
        <w:tc>
          <w:tcPr>
            <w:tcW w:w="10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(0.68)</w:t>
            </w:r>
          </w:p>
        </w:tc>
        <w:tc>
          <w:tcPr>
            <w:tcW w:w="220" w:type="dxa"/>
            <w:vAlign w:val="bottom"/>
            <w:shd w:val="clear" w:color="auto" w:fill="C0C0C0"/>
          </w:tcPr>
          <w:p>
            <w:pPr>
              <w:spacing w:after="0"/>
              <w:rPr>
                <w:sz w:val="17"/>
                <w:szCs w:val="17"/>
                <w:color w:val="auto"/>
              </w:rPr>
            </w:pPr>
          </w:p>
        </w:tc>
        <w:tc>
          <w:tcPr>
            <w:tcW w:w="240" w:type="dxa"/>
            <w:vAlign w:val="bottom"/>
            <w:shd w:val="clear" w:color="auto" w:fill="C0C0C0"/>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(0.41)</w:t>
            </w:r>
          </w:p>
        </w:tc>
        <w:tc>
          <w:tcPr>
            <w:tcW w:w="280" w:type="dxa"/>
            <w:vAlign w:val="bottom"/>
            <w:gridSpan w:val="2"/>
            <w:shd w:val="clear" w:color="auto" w:fill="C0C0C0"/>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(1.87)</w:t>
            </w:r>
          </w:p>
        </w:tc>
        <w:tc>
          <w:tcPr>
            <w:tcW w:w="460" w:type="dxa"/>
            <w:vAlign w:val="bottom"/>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(1.10)</w:t>
            </w:r>
          </w:p>
        </w:tc>
      </w:tr>
      <w:tr>
        <w:trPr>
          <w:trHeight w:val="197"/>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7"/>
        </w:trPr>
        <w:tc>
          <w:tcPr>
            <w:tcW w:w="6540" w:type="dxa"/>
            <w:vAlign w:val="bottom"/>
            <w:shd w:val="clear" w:color="auto" w:fill="C0C0C0"/>
          </w:tcPr>
          <w:p>
            <w:pPr>
              <w:spacing w:after="0"/>
              <w:rPr>
                <w:sz w:val="20"/>
                <w:szCs w:val="20"/>
                <w:color w:val="auto"/>
              </w:rPr>
            </w:pPr>
            <w:r>
              <w:rPr>
                <w:rFonts w:ascii="Arial" w:cs="Arial" w:eastAsia="Arial" w:hAnsi="Arial"/>
                <w:sz w:val="14"/>
                <w:szCs w:val="14"/>
                <w:color w:val="auto"/>
              </w:rPr>
              <w:t>Weighted average shares outstanding, basic and diluted</w:t>
            </w:r>
          </w:p>
        </w:tc>
        <w:tc>
          <w:tcPr>
            <w:tcW w:w="100" w:type="dxa"/>
            <w:vAlign w:val="bottom"/>
            <w:shd w:val="clear" w:color="auto" w:fill="C0C0C0"/>
          </w:tcPr>
          <w:p>
            <w:pPr>
              <w:spacing w:after="0"/>
              <w:rPr>
                <w:sz w:val="17"/>
                <w:szCs w:val="17"/>
                <w:color w:val="auto"/>
              </w:rPr>
            </w:pPr>
          </w:p>
        </w:tc>
        <w:tc>
          <w:tcPr>
            <w:tcW w:w="1000" w:type="dxa"/>
            <w:vAlign w:val="bottom"/>
            <w:shd w:val="clear" w:color="auto" w:fill="C0C0C0"/>
          </w:tcPr>
          <w:p>
            <w:pPr>
              <w:jc w:val="right"/>
              <w:ind w:right="9"/>
              <w:spacing w:after="0"/>
              <w:rPr>
                <w:sz w:val="20"/>
                <w:szCs w:val="20"/>
                <w:color w:val="auto"/>
              </w:rPr>
            </w:pPr>
            <w:r>
              <w:rPr>
                <w:rFonts w:ascii="Arial" w:cs="Arial" w:eastAsia="Arial" w:hAnsi="Arial"/>
                <w:sz w:val="14"/>
                <w:szCs w:val="14"/>
                <w:color w:val="auto"/>
              </w:rPr>
              <w:t>91,046</w:t>
            </w:r>
          </w:p>
        </w:tc>
        <w:tc>
          <w:tcPr>
            <w:tcW w:w="2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860" w:type="dxa"/>
            <w:vAlign w:val="bottom"/>
            <w:shd w:val="clear" w:color="auto" w:fill="C0C0C0"/>
          </w:tcPr>
          <w:p>
            <w:pPr>
              <w:jc w:val="right"/>
              <w:ind w:right="9"/>
              <w:spacing w:after="0"/>
              <w:rPr>
                <w:sz w:val="20"/>
                <w:szCs w:val="20"/>
                <w:color w:val="auto"/>
              </w:rPr>
            </w:pPr>
            <w:r>
              <w:rPr>
                <w:rFonts w:ascii="Arial" w:cs="Arial" w:eastAsia="Arial" w:hAnsi="Arial"/>
                <w:sz w:val="14"/>
                <w:szCs w:val="14"/>
                <w:color w:val="auto"/>
              </w:rPr>
              <w:t>81,638</w:t>
            </w:r>
          </w:p>
        </w:tc>
        <w:tc>
          <w:tcPr>
            <w:tcW w:w="1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960" w:type="dxa"/>
            <w:vAlign w:val="bottom"/>
            <w:shd w:val="clear" w:color="auto" w:fill="C0C0C0"/>
          </w:tcPr>
          <w:p>
            <w:pPr>
              <w:jc w:val="right"/>
              <w:ind w:right="9"/>
              <w:spacing w:after="0"/>
              <w:rPr>
                <w:sz w:val="20"/>
                <w:szCs w:val="20"/>
                <w:color w:val="auto"/>
              </w:rPr>
            </w:pPr>
            <w:r>
              <w:rPr>
                <w:rFonts w:ascii="Arial" w:cs="Arial" w:eastAsia="Arial" w:hAnsi="Arial"/>
                <w:sz w:val="14"/>
                <w:szCs w:val="14"/>
                <w:color w:val="auto"/>
              </w:rPr>
              <w:t>90,215</w:t>
            </w:r>
          </w:p>
        </w:tc>
        <w:tc>
          <w:tcPr>
            <w:tcW w:w="2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800" w:type="dxa"/>
            <w:vAlign w:val="bottom"/>
            <w:shd w:val="clear" w:color="auto" w:fill="C0C0C0"/>
          </w:tcPr>
          <w:p>
            <w:pPr>
              <w:jc w:val="right"/>
              <w:ind w:right="9"/>
              <w:spacing w:after="0"/>
              <w:rPr>
                <w:sz w:val="20"/>
                <w:szCs w:val="20"/>
                <w:color w:val="auto"/>
              </w:rPr>
            </w:pPr>
            <w:r>
              <w:rPr>
                <w:rFonts w:ascii="Arial" w:cs="Arial" w:eastAsia="Arial" w:hAnsi="Arial"/>
                <w:sz w:val="14"/>
                <w:szCs w:val="14"/>
                <w:color w:val="auto"/>
              </w:rPr>
              <w:t>81,433</w:t>
            </w: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7202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209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color w:val="auto"/>
        </w:rPr>
        <w:t>REGENERON PHARMACEUTICALS, INC.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STATEMENTS OF STOCKHOLDERS' EQUITY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nine months ended September 30, 2011 and 2010</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Accumulated</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97"/>
        </w:trPr>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gridSpan w:val="2"/>
          </w:tcPr>
          <w:p>
            <w:pPr>
              <w:jc w:val="right"/>
              <w:ind w:right="85"/>
              <w:spacing w:after="0"/>
              <w:rPr>
                <w:sz w:val="20"/>
                <w:szCs w:val="20"/>
                <w:color w:val="auto"/>
              </w:rPr>
            </w:pPr>
            <w:r>
              <w:rPr>
                <w:rFonts w:ascii="Arial" w:cs="Arial" w:eastAsia="Arial" w:hAnsi="Arial"/>
                <w:sz w:val="11"/>
                <w:szCs w:val="11"/>
                <w:b w:val="1"/>
                <w:bCs w:val="1"/>
                <w:color w:val="auto"/>
                <w:w w:val="96"/>
              </w:rPr>
              <w:t>Additional</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17"/>
                <w:szCs w:val="17"/>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Total</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7"/>
        </w:trPr>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ind w:left="140"/>
              <w:spacing w:after="0"/>
              <w:rPr>
                <w:sz w:val="20"/>
                <w:szCs w:val="20"/>
                <w:color w:val="auto"/>
              </w:rPr>
            </w:pPr>
            <w:r>
              <w:rPr>
                <w:rFonts w:ascii="Arial" w:cs="Arial" w:eastAsia="Arial" w:hAnsi="Arial"/>
                <w:sz w:val="11"/>
                <w:szCs w:val="11"/>
                <w:b w:val="1"/>
                <w:bCs w:val="1"/>
                <w:color w:val="auto"/>
                <w:w w:val="92"/>
              </w:rPr>
              <w:t>Class A Stock</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right"/>
              <w:ind w:right="105"/>
              <w:spacing w:after="0"/>
              <w:rPr>
                <w:sz w:val="20"/>
                <w:szCs w:val="20"/>
                <w:color w:val="auto"/>
              </w:rPr>
            </w:pPr>
            <w:r>
              <w:rPr>
                <w:rFonts w:ascii="Arial" w:cs="Arial" w:eastAsia="Arial" w:hAnsi="Arial"/>
                <w:sz w:val="11"/>
                <w:szCs w:val="11"/>
                <w:b w:val="1"/>
                <w:bCs w:val="1"/>
                <w:color w:val="auto"/>
                <w:w w:val="96"/>
              </w:rPr>
              <w:t>Common Stock</w:t>
            </w:r>
          </w:p>
        </w:tc>
        <w:tc>
          <w:tcPr>
            <w:tcW w:w="80" w:type="dxa"/>
            <w:vAlign w:val="bottom"/>
          </w:tcPr>
          <w:p>
            <w:pPr>
              <w:spacing w:after="0"/>
              <w:rPr>
                <w:sz w:val="17"/>
                <w:szCs w:val="17"/>
                <w:color w:val="auto"/>
              </w:rPr>
            </w:pPr>
          </w:p>
        </w:tc>
        <w:tc>
          <w:tcPr>
            <w:tcW w:w="600" w:type="dxa"/>
            <w:vAlign w:val="bottom"/>
          </w:tcPr>
          <w:p>
            <w:pPr>
              <w:jc w:val="right"/>
              <w:ind w:right="165"/>
              <w:spacing w:after="0"/>
              <w:rPr>
                <w:sz w:val="20"/>
                <w:szCs w:val="20"/>
                <w:color w:val="auto"/>
              </w:rPr>
            </w:pPr>
            <w:r>
              <w:rPr>
                <w:rFonts w:ascii="Arial" w:cs="Arial" w:eastAsia="Arial" w:hAnsi="Arial"/>
                <w:sz w:val="11"/>
                <w:szCs w:val="11"/>
                <w:b w:val="1"/>
                <w:bCs w:val="1"/>
                <w:color w:val="auto"/>
                <w:w w:val="98"/>
              </w:rPr>
              <w:t>Paid-in</w:t>
            </w:r>
          </w:p>
        </w:tc>
        <w:tc>
          <w:tcPr>
            <w:tcW w:w="700" w:type="dxa"/>
            <w:vAlign w:val="bottom"/>
            <w:gridSpan w:val="2"/>
          </w:tcPr>
          <w:p>
            <w:pPr>
              <w:jc w:val="right"/>
              <w:spacing w:after="0"/>
              <w:rPr>
                <w:sz w:val="20"/>
                <w:szCs w:val="20"/>
                <w:color w:val="auto"/>
              </w:rPr>
            </w:pPr>
            <w:r>
              <w:rPr>
                <w:rFonts w:ascii="Arial" w:cs="Arial" w:eastAsia="Arial" w:hAnsi="Arial"/>
                <w:sz w:val="11"/>
                <w:szCs w:val="11"/>
                <w:b w:val="1"/>
                <w:bCs w:val="1"/>
                <w:color w:val="auto"/>
                <w:w w:val="92"/>
              </w:rPr>
              <w:t>Accumulated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Comprehensive</w:t>
            </w:r>
          </w:p>
        </w:tc>
        <w:tc>
          <w:tcPr>
            <w:tcW w:w="8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8"/>
              </w:rPr>
              <w:t>Stockholders'</w:t>
            </w:r>
          </w:p>
        </w:tc>
        <w:tc>
          <w:tcPr>
            <w:tcW w:w="840" w:type="dxa"/>
            <w:vAlign w:val="bottom"/>
            <w:gridSpan w:val="2"/>
          </w:tcPr>
          <w:p>
            <w:pPr>
              <w:jc w:val="right"/>
              <w:ind w:right="5"/>
              <w:spacing w:after="0"/>
              <w:rPr>
                <w:sz w:val="20"/>
                <w:szCs w:val="20"/>
                <w:color w:val="auto"/>
              </w:rPr>
            </w:pPr>
            <w:r>
              <w:rPr>
                <w:rFonts w:ascii="Arial" w:cs="Arial" w:eastAsia="Arial" w:hAnsi="Arial"/>
                <w:sz w:val="11"/>
                <w:szCs w:val="11"/>
                <w:b w:val="1"/>
                <w:bCs w:val="1"/>
                <w:color w:val="auto"/>
                <w:w w:val="92"/>
              </w:rPr>
              <w:t>Comprehensive</w:t>
            </w:r>
          </w:p>
        </w:tc>
      </w:tr>
      <w:tr>
        <w:trPr>
          <w:trHeight w:val="34"/>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55"/>
        </w:trPr>
        <w:tc>
          <w:tcPr>
            <w:tcW w:w="5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5"/>
              <w:spacing w:after="0"/>
              <w:rPr>
                <w:sz w:val="20"/>
                <w:szCs w:val="20"/>
                <w:color w:val="auto"/>
              </w:rPr>
            </w:pPr>
            <w:r>
              <w:rPr>
                <w:rFonts w:ascii="Arial" w:cs="Arial" w:eastAsia="Arial" w:hAnsi="Arial"/>
                <w:sz w:val="11"/>
                <w:szCs w:val="11"/>
                <w:b w:val="1"/>
                <w:bCs w:val="1"/>
                <w:color w:val="auto"/>
                <w:w w:val="97"/>
              </w:rPr>
              <w:t>Shares</w:t>
            </w:r>
          </w:p>
        </w:tc>
        <w:tc>
          <w:tcPr>
            <w:tcW w:w="100" w:type="dxa"/>
            <w:vAlign w:val="bottom"/>
          </w:tcPr>
          <w:p>
            <w:pPr>
              <w:spacing w:after="0"/>
              <w:rPr>
                <w:sz w:val="13"/>
                <w:szCs w:val="13"/>
                <w:color w:val="auto"/>
              </w:rPr>
            </w:pPr>
          </w:p>
        </w:tc>
        <w:tc>
          <w:tcPr>
            <w:tcW w:w="50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jc w:val="right"/>
              <w:ind w:right="65"/>
              <w:spacing w:after="0"/>
              <w:rPr>
                <w:sz w:val="20"/>
                <w:szCs w:val="20"/>
                <w:color w:val="auto"/>
              </w:rPr>
            </w:pPr>
            <w:r>
              <w:rPr>
                <w:rFonts w:ascii="Arial" w:cs="Arial" w:eastAsia="Arial" w:hAnsi="Arial"/>
                <w:sz w:val="11"/>
                <w:szCs w:val="11"/>
                <w:b w:val="1"/>
                <w:bCs w:val="1"/>
                <w:color w:val="auto"/>
                <w:w w:val="87"/>
              </w:rPr>
              <w:t>Shares</w:t>
            </w:r>
          </w:p>
        </w:tc>
        <w:tc>
          <w:tcPr>
            <w:tcW w:w="50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3"/>
                <w:szCs w:val="13"/>
                <w:color w:val="auto"/>
              </w:rPr>
            </w:pPr>
          </w:p>
        </w:tc>
        <w:tc>
          <w:tcPr>
            <w:tcW w:w="600" w:type="dxa"/>
            <w:vAlign w:val="bottom"/>
          </w:tcPr>
          <w:p>
            <w:pPr>
              <w:jc w:val="right"/>
              <w:ind w:right="165"/>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3"/>
                <w:szCs w:val="13"/>
                <w:color w:val="auto"/>
              </w:rPr>
            </w:pPr>
          </w:p>
        </w:tc>
        <w:tc>
          <w:tcPr>
            <w:tcW w:w="620" w:type="dxa"/>
            <w:vAlign w:val="bottom"/>
          </w:tcPr>
          <w:p>
            <w:pPr>
              <w:jc w:val="right"/>
              <w:ind w:right="145"/>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Income (Loss)</w:t>
            </w:r>
          </w:p>
        </w:tc>
        <w:tc>
          <w:tcPr>
            <w:tcW w:w="140" w:type="dxa"/>
            <w:vAlign w:val="bottom"/>
          </w:tcPr>
          <w:p>
            <w:pPr>
              <w:spacing w:after="0"/>
              <w:rPr>
                <w:sz w:val="13"/>
                <w:szCs w:val="13"/>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Equity</w:t>
            </w:r>
          </w:p>
        </w:tc>
        <w:tc>
          <w:tcPr>
            <w:tcW w:w="180" w:type="dxa"/>
            <w:vAlign w:val="bottom"/>
          </w:tcPr>
          <w:p>
            <w:pPr>
              <w:spacing w:after="0"/>
              <w:rPr>
                <w:sz w:val="13"/>
                <w:szCs w:val="13"/>
                <w:color w:val="auto"/>
              </w:rPr>
            </w:pPr>
          </w:p>
        </w:tc>
        <w:tc>
          <w:tcPr>
            <w:tcW w:w="660" w:type="dxa"/>
            <w:vAlign w:val="bottom"/>
          </w:tcPr>
          <w:p>
            <w:pPr>
              <w:jc w:val="right"/>
              <w:ind w:right="245"/>
              <w:spacing w:after="0"/>
              <w:rPr>
                <w:sz w:val="20"/>
                <w:szCs w:val="20"/>
                <w:color w:val="auto"/>
              </w:rPr>
            </w:pPr>
            <w:r>
              <w:rPr>
                <w:rFonts w:ascii="Arial" w:cs="Arial" w:eastAsia="Arial" w:hAnsi="Arial"/>
                <w:sz w:val="11"/>
                <w:szCs w:val="11"/>
                <w:b w:val="1"/>
                <w:bCs w:val="1"/>
                <w:color w:val="auto"/>
              </w:rPr>
              <w:t>Loss</w:t>
            </w:r>
          </w:p>
        </w:tc>
      </w:tr>
      <w:tr>
        <w:trPr>
          <w:trHeight w:val="34"/>
        </w:trPr>
        <w:tc>
          <w:tcPr>
            <w:tcW w:w="5200" w:type="dxa"/>
            <w:vAlign w:val="bottom"/>
            <w:tcBorders>
              <w:bottom w:val="single" w:sz="8" w:color="C0C0C0"/>
            </w:tcBorders>
          </w:tcPr>
          <w:p>
            <w:pPr>
              <w:spacing w:after="0"/>
              <w:rPr>
                <w:sz w:val="2"/>
                <w:szCs w:val="2"/>
                <w:color w:val="auto"/>
              </w:rPr>
            </w:pPr>
          </w:p>
        </w:tc>
        <w:tc>
          <w:tcPr>
            <w:tcW w:w="100" w:type="dxa"/>
            <w:vAlign w:val="bottom"/>
            <w:tcBorders>
              <w:bottom w:val="single" w:sz="8" w:color="C0C0C0"/>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0C0C0"/>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0C0C0"/>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0C0C0"/>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0C0C0"/>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0C0C0"/>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68"/>
        </w:trPr>
        <w:tc>
          <w:tcPr>
            <w:tcW w:w="52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1"/>
                <w:szCs w:val="11"/>
                <w:b w:val="1"/>
                <w:bCs w:val="1"/>
                <w:color w:val="auto"/>
              </w:rPr>
              <w:t>Balance, December 31, 2010</w:t>
            </w:r>
          </w:p>
        </w:tc>
        <w:tc>
          <w:tcPr>
            <w:tcW w:w="540" w:type="dxa"/>
            <w:vAlign w:val="bottom"/>
            <w:tcBorders>
              <w:bottom w:val="single" w:sz="8" w:color="C0C0C0"/>
            </w:tcBorders>
            <w:gridSpan w:val="2"/>
            <w:shd w:val="clear" w:color="auto" w:fill="C0C0C0"/>
          </w:tcPr>
          <w:p>
            <w:pPr>
              <w:jc w:val="right"/>
              <w:ind w:right="45"/>
              <w:spacing w:after="0"/>
              <w:rPr>
                <w:sz w:val="20"/>
                <w:szCs w:val="20"/>
                <w:color w:val="auto"/>
              </w:rPr>
            </w:pPr>
            <w:r>
              <w:rPr>
                <w:rFonts w:ascii="Arial" w:cs="Arial" w:eastAsia="Arial" w:hAnsi="Arial"/>
                <w:sz w:val="11"/>
                <w:szCs w:val="11"/>
                <w:color w:val="auto"/>
              </w:rPr>
              <w:t>2,182</w:t>
            </w:r>
          </w:p>
        </w:tc>
        <w:tc>
          <w:tcPr>
            <w:tcW w:w="400" w:type="dxa"/>
            <w:vAlign w:val="bottom"/>
            <w:tcBorders>
              <w:bottom w:val="single" w:sz="8" w:color="C0C0C0"/>
            </w:tcBorders>
            <w:gridSpan w:val="2"/>
            <w:shd w:val="clear" w:color="auto" w:fill="C0C0C0"/>
          </w:tcPr>
          <w:p>
            <w:pPr>
              <w:ind w:left="1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0C0C0"/>
            </w:tcBorders>
            <w:shd w:val="clear" w:color="auto" w:fill="C0C0C0"/>
          </w:tcPr>
          <w:p>
            <w:pPr>
              <w:spacing w:after="0"/>
              <w:rPr>
                <w:sz w:val="14"/>
                <w:szCs w:val="14"/>
                <w:color w:val="auto"/>
              </w:rPr>
            </w:pPr>
          </w:p>
        </w:tc>
        <w:tc>
          <w:tcPr>
            <w:tcW w:w="460" w:type="dxa"/>
            <w:vAlign w:val="bottom"/>
            <w:tcBorders>
              <w:bottom w:val="single" w:sz="8" w:color="C0C0C0"/>
              <w:right w:val="single" w:sz="8" w:color="C0C0C0"/>
            </w:tcBorders>
            <w:shd w:val="clear" w:color="auto" w:fill="C0C0C0"/>
          </w:tcPr>
          <w:p>
            <w:pPr>
              <w:jc w:val="right"/>
              <w:ind w:right="65"/>
              <w:spacing w:after="0"/>
              <w:rPr>
                <w:sz w:val="20"/>
                <w:szCs w:val="20"/>
                <w:color w:val="auto"/>
              </w:rPr>
            </w:pPr>
            <w:r>
              <w:rPr>
                <w:rFonts w:ascii="Arial" w:cs="Arial" w:eastAsia="Arial" w:hAnsi="Arial"/>
                <w:sz w:val="11"/>
                <w:szCs w:val="11"/>
                <w:color w:val="auto"/>
                <w:w w:val="94"/>
              </w:rPr>
              <w:t>87,238</w:t>
            </w:r>
          </w:p>
        </w:tc>
        <w:tc>
          <w:tcPr>
            <w:tcW w:w="1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0C0C0"/>
              <w:right w:val="single" w:sz="8" w:color="C0C0C0"/>
            </w:tcBorders>
            <w:shd w:val="clear" w:color="auto" w:fill="C0C0C0"/>
          </w:tcPr>
          <w:p>
            <w:pPr>
              <w:jc w:val="right"/>
              <w:ind w:right="45"/>
              <w:spacing w:after="0"/>
              <w:rPr>
                <w:sz w:val="20"/>
                <w:szCs w:val="20"/>
                <w:color w:val="auto"/>
              </w:rPr>
            </w:pPr>
            <w:r>
              <w:rPr>
                <w:rFonts w:ascii="Arial" w:cs="Arial" w:eastAsia="Arial" w:hAnsi="Arial"/>
                <w:sz w:val="11"/>
                <w:szCs w:val="11"/>
                <w:color w:val="auto"/>
              </w:rPr>
              <w:t>87</w:t>
            </w:r>
          </w:p>
        </w:tc>
        <w:tc>
          <w:tcPr>
            <w:tcW w:w="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0C0C0"/>
              <w:right w:val="single" w:sz="8" w:color="C0C0C0"/>
            </w:tcBorders>
            <w:shd w:val="clear" w:color="auto" w:fill="C0C0C0"/>
          </w:tcPr>
          <w:p>
            <w:pPr>
              <w:jc w:val="right"/>
              <w:ind w:right="65"/>
              <w:spacing w:after="0"/>
              <w:rPr>
                <w:sz w:val="20"/>
                <w:szCs w:val="20"/>
                <w:color w:val="auto"/>
              </w:rPr>
            </w:pPr>
            <w:r>
              <w:rPr>
                <w:rFonts w:ascii="Arial" w:cs="Arial" w:eastAsia="Arial" w:hAnsi="Arial"/>
                <w:sz w:val="11"/>
                <w:szCs w:val="11"/>
                <w:color w:val="auto"/>
                <w:w w:val="93"/>
              </w:rPr>
              <w:t>1,575,780</w:t>
            </w:r>
          </w:p>
        </w:tc>
        <w:tc>
          <w:tcPr>
            <w:tcW w:w="80" w:type="dxa"/>
            <w:vAlign w:val="bottom"/>
            <w:tcBorders>
              <w:bottom w:val="single" w:sz="8" w:color="C0C0C0"/>
            </w:tcBorders>
            <w:shd w:val="clear" w:color="auto" w:fill="C0C0C0"/>
          </w:tcPr>
          <w:p>
            <w:pPr>
              <w:jc w:val="right"/>
              <w:ind w:right="7"/>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C0C0C0"/>
            </w:tcBorders>
            <w:shd w:val="clear" w:color="auto" w:fill="C0C0C0"/>
          </w:tcPr>
          <w:p>
            <w:pPr>
              <w:jc w:val="right"/>
              <w:ind w:right="25"/>
              <w:spacing w:after="0"/>
              <w:rPr>
                <w:sz w:val="20"/>
                <w:szCs w:val="20"/>
                <w:color w:val="auto"/>
              </w:rPr>
            </w:pPr>
            <w:r>
              <w:rPr>
                <w:rFonts w:ascii="Arial" w:cs="Arial" w:eastAsia="Arial" w:hAnsi="Arial"/>
                <w:sz w:val="11"/>
                <w:szCs w:val="11"/>
                <w:color w:val="auto"/>
                <w:w w:val="92"/>
              </w:rPr>
              <w:t>(1,045,563)</w:t>
            </w:r>
          </w:p>
        </w:tc>
        <w:tc>
          <w:tcPr>
            <w:tcW w:w="180" w:type="dxa"/>
            <w:vAlign w:val="bottom"/>
            <w:tcBorders>
              <w:bottom w:val="single" w:sz="8" w:color="C0C0C0"/>
            </w:tcBorders>
            <w:gridSpan w:val="2"/>
            <w:shd w:val="clear" w:color="auto" w:fill="C0C0C0"/>
          </w:tcPr>
          <w:p>
            <w:pPr>
              <w:jc w:val="right"/>
              <w:ind w:right="2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C0C0C0"/>
            </w:tcBorders>
            <w:shd w:val="clear" w:color="auto" w:fill="C0C0C0"/>
          </w:tcPr>
          <w:p>
            <w:pPr>
              <w:jc w:val="right"/>
              <w:ind w:right="165"/>
              <w:spacing w:after="0"/>
              <w:rPr>
                <w:sz w:val="20"/>
                <w:szCs w:val="20"/>
                <w:color w:val="auto"/>
              </w:rPr>
            </w:pPr>
            <w:r>
              <w:rPr>
                <w:rFonts w:ascii="Arial" w:cs="Arial" w:eastAsia="Arial" w:hAnsi="Arial"/>
                <w:sz w:val="11"/>
                <w:szCs w:val="11"/>
                <w:color w:val="auto"/>
              </w:rPr>
              <w:t>(2,491)</w:t>
            </w:r>
          </w:p>
        </w:tc>
        <w:tc>
          <w:tcPr>
            <w:tcW w:w="100" w:type="dxa"/>
            <w:vAlign w:val="bottom"/>
            <w:tcBorders>
              <w:bottom w:val="single" w:sz="8" w:color="C0C0C0"/>
            </w:tcBorders>
            <w:shd w:val="clear" w:color="auto" w:fill="C0C0C0"/>
          </w:tcPr>
          <w:p>
            <w:pPr>
              <w:spacing w:after="0"/>
              <w:rPr>
                <w:sz w:val="14"/>
                <w:szCs w:val="14"/>
                <w:color w:val="auto"/>
              </w:rPr>
            </w:pPr>
          </w:p>
        </w:tc>
        <w:tc>
          <w:tcPr>
            <w:tcW w:w="140" w:type="dxa"/>
            <w:vAlign w:val="bottom"/>
            <w:tcBorders>
              <w:bottom w:val="single" w:sz="8" w:color="C0C0C0"/>
            </w:tcBorders>
            <w:shd w:val="clear" w:color="auto" w:fill="C0C0C0"/>
          </w:tcPr>
          <w:p>
            <w:pPr>
              <w:jc w:val="right"/>
              <w:ind w:right="3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0C0C0"/>
            </w:tcBorders>
            <w:shd w:val="clear" w:color="auto" w:fill="C0C0C0"/>
          </w:tcPr>
          <w:p>
            <w:pPr>
              <w:jc w:val="right"/>
              <w:ind w:right="45"/>
              <w:spacing w:after="0"/>
              <w:rPr>
                <w:sz w:val="20"/>
                <w:szCs w:val="20"/>
                <w:color w:val="auto"/>
              </w:rPr>
            </w:pPr>
            <w:r>
              <w:rPr>
                <w:rFonts w:ascii="Arial" w:cs="Arial" w:eastAsia="Arial" w:hAnsi="Arial"/>
                <w:sz w:val="11"/>
                <w:szCs w:val="11"/>
                <w:color w:val="auto"/>
              </w:rPr>
              <w:t>527,815</w:t>
            </w:r>
          </w:p>
        </w:tc>
        <w:tc>
          <w:tcPr>
            <w:tcW w:w="100" w:type="dxa"/>
            <w:vAlign w:val="bottom"/>
            <w:tcBorders>
              <w:bottom w:val="single" w:sz="8" w:color="C0C0C0"/>
            </w:tcBorders>
            <w:shd w:val="clear" w:color="auto" w:fill="C0C0C0"/>
          </w:tcPr>
          <w:p>
            <w:pPr>
              <w:spacing w:after="0"/>
              <w:rPr>
                <w:sz w:val="14"/>
                <w:szCs w:val="14"/>
                <w:color w:val="auto"/>
              </w:rPr>
            </w:pPr>
          </w:p>
        </w:tc>
        <w:tc>
          <w:tcPr>
            <w:tcW w:w="180" w:type="dxa"/>
            <w:vAlign w:val="bottom"/>
            <w:tcBorders>
              <w:bottom w:val="single" w:sz="8" w:color="C0C0C0"/>
            </w:tcBorders>
            <w:shd w:val="clear" w:color="auto" w:fill="C0C0C0"/>
          </w:tcPr>
          <w:p>
            <w:pPr>
              <w:spacing w:after="0"/>
              <w:rPr>
                <w:sz w:val="14"/>
                <w:szCs w:val="14"/>
                <w:color w:val="auto"/>
              </w:rPr>
            </w:pPr>
          </w:p>
        </w:tc>
        <w:tc>
          <w:tcPr>
            <w:tcW w:w="660" w:type="dxa"/>
            <w:vAlign w:val="bottom"/>
            <w:tcBorders>
              <w:bottom w:val="single" w:sz="8" w:color="C0C0C0"/>
            </w:tcBorders>
            <w:shd w:val="clear" w:color="auto" w:fill="C0C0C0"/>
          </w:tcPr>
          <w:p>
            <w:pPr>
              <w:spacing w:after="0"/>
              <w:rPr>
                <w:sz w:val="14"/>
                <w:szCs w:val="14"/>
                <w:color w:val="auto"/>
              </w:rPr>
            </w:pPr>
          </w:p>
        </w:tc>
      </w:tr>
      <w:tr>
        <w:trPr>
          <w:trHeight w:val="164"/>
        </w:trPr>
        <w:tc>
          <w:tcPr>
            <w:tcW w:w="5200" w:type="dxa"/>
            <w:vAlign w:val="bottom"/>
          </w:tcPr>
          <w:p>
            <w:pPr>
              <w:spacing w:after="0"/>
              <w:rPr>
                <w:sz w:val="20"/>
                <w:szCs w:val="20"/>
                <w:color w:val="auto"/>
              </w:rPr>
            </w:pPr>
            <w:r>
              <w:rPr>
                <w:rFonts w:ascii="Arial" w:cs="Arial" w:eastAsia="Arial" w:hAnsi="Arial"/>
                <w:sz w:val="11"/>
                <w:szCs w:val="11"/>
                <w:color w:val="auto"/>
              </w:rPr>
              <w:t>Issuance of Common Stock in connection</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7"/>
        </w:trPr>
        <w:tc>
          <w:tcPr>
            <w:tcW w:w="5200" w:type="dxa"/>
            <w:vAlign w:val="bottom"/>
          </w:tcPr>
          <w:p>
            <w:pPr>
              <w:ind w:left="200"/>
              <w:spacing w:after="0"/>
              <w:rPr>
                <w:sz w:val="20"/>
                <w:szCs w:val="20"/>
                <w:color w:val="auto"/>
              </w:rPr>
            </w:pPr>
            <w:r>
              <w:rPr>
                <w:rFonts w:ascii="Arial" w:cs="Arial" w:eastAsia="Arial" w:hAnsi="Arial"/>
                <w:sz w:val="11"/>
                <w:szCs w:val="11"/>
                <w:color w:val="auto"/>
              </w:rPr>
              <w:t>with exercise of stock options, net of</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7"/>
        </w:trPr>
        <w:tc>
          <w:tcPr>
            <w:tcW w:w="5200" w:type="dxa"/>
            <w:vAlign w:val="bottom"/>
          </w:tcPr>
          <w:p>
            <w:pPr>
              <w:ind w:left="200"/>
              <w:spacing w:after="0"/>
              <w:rPr>
                <w:sz w:val="20"/>
                <w:szCs w:val="20"/>
                <w:color w:val="auto"/>
              </w:rPr>
            </w:pPr>
            <w:r>
              <w:rPr>
                <w:rFonts w:ascii="Arial" w:cs="Arial" w:eastAsia="Arial" w:hAnsi="Arial"/>
                <w:sz w:val="11"/>
                <w:szCs w:val="11"/>
                <w:color w:val="auto"/>
              </w:rPr>
              <w:t>shares tendered</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ind w:right="65"/>
              <w:spacing w:after="0"/>
              <w:rPr>
                <w:sz w:val="20"/>
                <w:szCs w:val="20"/>
                <w:color w:val="auto"/>
              </w:rPr>
            </w:pPr>
            <w:r>
              <w:rPr>
                <w:rFonts w:ascii="Arial" w:cs="Arial" w:eastAsia="Arial" w:hAnsi="Arial"/>
                <w:sz w:val="11"/>
                <w:szCs w:val="11"/>
                <w:color w:val="auto"/>
              </w:rPr>
              <w:t>3,000</w:t>
            </w:r>
          </w:p>
        </w:tc>
        <w:tc>
          <w:tcPr>
            <w:tcW w:w="160" w:type="dxa"/>
            <w:vAlign w:val="bottom"/>
          </w:tcPr>
          <w:p>
            <w:pPr>
              <w:spacing w:after="0"/>
              <w:rPr>
                <w:sz w:val="17"/>
                <w:szCs w:val="17"/>
                <w:color w:val="auto"/>
              </w:rPr>
            </w:pPr>
          </w:p>
        </w:tc>
        <w:tc>
          <w:tcPr>
            <w:tcW w:w="340" w:type="dxa"/>
            <w:vAlign w:val="bottom"/>
          </w:tcPr>
          <w:p>
            <w:pPr>
              <w:jc w:val="right"/>
              <w:ind w:right="45"/>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7"/>
                <w:szCs w:val="17"/>
                <w:color w:val="auto"/>
              </w:rPr>
            </w:pPr>
          </w:p>
        </w:tc>
        <w:tc>
          <w:tcPr>
            <w:tcW w:w="600" w:type="dxa"/>
            <w:vAlign w:val="bottom"/>
          </w:tcPr>
          <w:p>
            <w:pPr>
              <w:jc w:val="right"/>
              <w:ind w:right="65"/>
              <w:spacing w:after="0"/>
              <w:rPr>
                <w:sz w:val="20"/>
                <w:szCs w:val="20"/>
                <w:color w:val="auto"/>
              </w:rPr>
            </w:pPr>
            <w:r>
              <w:rPr>
                <w:rFonts w:ascii="Arial" w:cs="Arial" w:eastAsia="Arial" w:hAnsi="Arial"/>
                <w:sz w:val="11"/>
                <w:szCs w:val="11"/>
                <w:color w:val="auto"/>
              </w:rPr>
              <w:t>23,819</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45"/>
              <w:spacing w:after="0"/>
              <w:rPr>
                <w:sz w:val="20"/>
                <w:szCs w:val="20"/>
                <w:color w:val="auto"/>
              </w:rPr>
            </w:pPr>
            <w:r>
              <w:rPr>
                <w:rFonts w:ascii="Arial" w:cs="Arial" w:eastAsia="Arial" w:hAnsi="Arial"/>
                <w:sz w:val="11"/>
                <w:szCs w:val="11"/>
                <w:color w:val="auto"/>
              </w:rPr>
              <w:t>23,822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34"/>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64"/>
        </w:trPr>
        <w:tc>
          <w:tcPr>
            <w:tcW w:w="5200" w:type="dxa"/>
            <w:vAlign w:val="bottom"/>
            <w:shd w:val="clear" w:color="auto" w:fill="C0C0C0"/>
          </w:tcPr>
          <w:p>
            <w:pPr>
              <w:spacing w:after="0"/>
              <w:rPr>
                <w:sz w:val="20"/>
                <w:szCs w:val="20"/>
                <w:color w:val="auto"/>
              </w:rPr>
            </w:pPr>
            <w:r>
              <w:rPr>
                <w:rFonts w:ascii="Arial" w:cs="Arial" w:eastAsia="Arial" w:hAnsi="Arial"/>
                <w:sz w:val="11"/>
                <w:szCs w:val="11"/>
                <w:color w:val="auto"/>
              </w:rPr>
              <w:t>Issuance of Common Stock in connection with</w:t>
            </w:r>
          </w:p>
        </w:tc>
        <w:tc>
          <w:tcPr>
            <w:tcW w:w="100" w:type="dxa"/>
            <w:vAlign w:val="bottom"/>
            <w:shd w:val="clear" w:color="auto" w:fill="C0C0C0"/>
          </w:tcPr>
          <w:p>
            <w:pPr>
              <w:spacing w:after="0"/>
              <w:rPr>
                <w:sz w:val="14"/>
                <w:szCs w:val="14"/>
                <w:color w:val="auto"/>
              </w:rPr>
            </w:pPr>
          </w:p>
        </w:tc>
        <w:tc>
          <w:tcPr>
            <w:tcW w:w="44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30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460" w:type="dxa"/>
            <w:vAlign w:val="bottom"/>
            <w:tcBorders>
              <w:right w:val="single" w:sz="8" w:color="C0C0C0"/>
            </w:tcBorders>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340" w:type="dxa"/>
            <w:vAlign w:val="bottom"/>
            <w:tcBorders>
              <w:right w:val="single" w:sz="8" w:color="C0C0C0"/>
            </w:tcBorders>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600" w:type="dxa"/>
            <w:vAlign w:val="bottom"/>
            <w:tcBorders>
              <w:right w:val="single" w:sz="8" w:color="C0C0C0"/>
            </w:tcBorders>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62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84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40" w:type="dxa"/>
            <w:vAlign w:val="bottom"/>
            <w:shd w:val="clear" w:color="auto" w:fill="C0C0C0"/>
          </w:tcPr>
          <w:p>
            <w:pPr>
              <w:spacing w:after="0"/>
              <w:rPr>
                <w:sz w:val="14"/>
                <w:szCs w:val="14"/>
                <w:color w:val="auto"/>
              </w:rPr>
            </w:pPr>
          </w:p>
        </w:tc>
        <w:tc>
          <w:tcPr>
            <w:tcW w:w="58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80" w:type="dxa"/>
            <w:vAlign w:val="bottom"/>
            <w:shd w:val="clear" w:color="auto" w:fill="C0C0C0"/>
          </w:tcPr>
          <w:p>
            <w:pPr>
              <w:spacing w:after="0"/>
              <w:rPr>
                <w:sz w:val="14"/>
                <w:szCs w:val="14"/>
                <w:color w:val="auto"/>
              </w:rPr>
            </w:pPr>
          </w:p>
        </w:tc>
        <w:tc>
          <w:tcPr>
            <w:tcW w:w="660" w:type="dxa"/>
            <w:vAlign w:val="bottom"/>
            <w:shd w:val="clear" w:color="auto" w:fill="C0C0C0"/>
          </w:tcPr>
          <w:p>
            <w:pPr>
              <w:spacing w:after="0"/>
              <w:rPr>
                <w:sz w:val="14"/>
                <w:szCs w:val="14"/>
                <w:color w:val="auto"/>
              </w:rPr>
            </w:pPr>
          </w:p>
        </w:tc>
      </w:tr>
      <w:tr>
        <w:trPr>
          <w:trHeight w:val="211"/>
        </w:trPr>
        <w:tc>
          <w:tcPr>
            <w:tcW w:w="5200" w:type="dxa"/>
            <w:vAlign w:val="bottom"/>
            <w:tcBorders>
              <w:bottom w:val="single" w:sz="8" w:color="C0C0C0"/>
            </w:tcBorders>
            <w:shd w:val="clear" w:color="auto" w:fill="C0C0C0"/>
          </w:tcPr>
          <w:p>
            <w:pPr>
              <w:ind w:left="200"/>
              <w:spacing w:after="0"/>
              <w:rPr>
                <w:sz w:val="20"/>
                <w:szCs w:val="20"/>
                <w:color w:val="auto"/>
              </w:rPr>
            </w:pPr>
            <w:r>
              <w:rPr>
                <w:rFonts w:ascii="Arial" w:cs="Arial" w:eastAsia="Arial" w:hAnsi="Arial"/>
                <w:sz w:val="11"/>
                <w:szCs w:val="11"/>
                <w:color w:val="auto"/>
              </w:rPr>
              <w:t>Company 401(k) Savings Plan contribution</w:t>
            </w:r>
          </w:p>
        </w:tc>
        <w:tc>
          <w:tcPr>
            <w:tcW w:w="100" w:type="dxa"/>
            <w:vAlign w:val="bottom"/>
            <w:tcBorders>
              <w:bottom w:val="single" w:sz="8" w:color="C0C0C0"/>
            </w:tcBorders>
            <w:shd w:val="clear" w:color="auto" w:fill="C0C0C0"/>
          </w:tcPr>
          <w:p>
            <w:pPr>
              <w:spacing w:after="0"/>
              <w:rPr>
                <w:sz w:val="18"/>
                <w:szCs w:val="18"/>
                <w:color w:val="auto"/>
              </w:rPr>
            </w:pPr>
          </w:p>
        </w:tc>
        <w:tc>
          <w:tcPr>
            <w:tcW w:w="44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30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right w:val="single" w:sz="8" w:color="C0C0C0"/>
            </w:tcBorders>
            <w:shd w:val="clear" w:color="auto" w:fill="C0C0C0"/>
          </w:tcPr>
          <w:p>
            <w:pPr>
              <w:jc w:val="right"/>
              <w:ind w:right="65"/>
              <w:spacing w:after="0"/>
              <w:rPr>
                <w:sz w:val="20"/>
                <w:szCs w:val="20"/>
                <w:color w:val="auto"/>
              </w:rPr>
            </w:pPr>
            <w:r>
              <w:rPr>
                <w:rFonts w:ascii="Arial" w:cs="Arial" w:eastAsia="Arial" w:hAnsi="Arial"/>
                <w:sz w:val="11"/>
                <w:szCs w:val="11"/>
                <w:color w:val="auto"/>
              </w:rPr>
              <w:t>92</w:t>
            </w:r>
          </w:p>
        </w:tc>
        <w:tc>
          <w:tcPr>
            <w:tcW w:w="160" w:type="dxa"/>
            <w:vAlign w:val="bottom"/>
            <w:tcBorders>
              <w:bottom w:val="single" w:sz="8" w:color="C0C0C0"/>
            </w:tcBorders>
            <w:shd w:val="clear" w:color="auto" w:fill="C0C0C0"/>
          </w:tcPr>
          <w:p>
            <w:pPr>
              <w:spacing w:after="0"/>
              <w:rPr>
                <w:sz w:val="18"/>
                <w:szCs w:val="18"/>
                <w:color w:val="auto"/>
              </w:rPr>
            </w:pPr>
          </w:p>
        </w:tc>
        <w:tc>
          <w:tcPr>
            <w:tcW w:w="340" w:type="dxa"/>
            <w:vAlign w:val="bottom"/>
            <w:tcBorders>
              <w:bottom w:val="single" w:sz="8" w:color="C0C0C0"/>
              <w:right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600" w:type="dxa"/>
            <w:vAlign w:val="bottom"/>
            <w:tcBorders>
              <w:bottom w:val="single" w:sz="8" w:color="C0C0C0"/>
              <w:right w:val="single" w:sz="8" w:color="C0C0C0"/>
            </w:tcBorders>
            <w:shd w:val="clear" w:color="auto" w:fill="C0C0C0"/>
          </w:tcPr>
          <w:p>
            <w:pPr>
              <w:jc w:val="right"/>
              <w:ind w:right="65"/>
              <w:spacing w:after="0"/>
              <w:rPr>
                <w:sz w:val="20"/>
                <w:szCs w:val="20"/>
                <w:color w:val="auto"/>
              </w:rPr>
            </w:pPr>
            <w:r>
              <w:rPr>
                <w:rFonts w:ascii="Arial" w:cs="Arial" w:eastAsia="Arial" w:hAnsi="Arial"/>
                <w:sz w:val="11"/>
                <w:szCs w:val="11"/>
                <w:color w:val="auto"/>
              </w:rPr>
              <w:t>3,405</w:t>
            </w:r>
          </w:p>
        </w:tc>
        <w:tc>
          <w:tcPr>
            <w:tcW w:w="80" w:type="dxa"/>
            <w:vAlign w:val="bottom"/>
            <w:tcBorders>
              <w:bottom w:val="single" w:sz="8" w:color="C0C0C0"/>
            </w:tcBorders>
            <w:shd w:val="clear" w:color="auto" w:fill="C0C0C0"/>
          </w:tcPr>
          <w:p>
            <w:pPr>
              <w:spacing w:after="0"/>
              <w:rPr>
                <w:sz w:val="18"/>
                <w:szCs w:val="18"/>
                <w:color w:val="auto"/>
              </w:rPr>
            </w:pPr>
          </w:p>
        </w:tc>
        <w:tc>
          <w:tcPr>
            <w:tcW w:w="62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84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580" w:type="dxa"/>
            <w:vAlign w:val="bottom"/>
            <w:tcBorders>
              <w:bottom w:val="single" w:sz="8" w:color="C0C0C0"/>
            </w:tcBorders>
            <w:shd w:val="clear" w:color="auto" w:fill="C0C0C0"/>
          </w:tcPr>
          <w:p>
            <w:pPr>
              <w:jc w:val="right"/>
              <w:ind w:right="45"/>
              <w:spacing w:after="0"/>
              <w:rPr>
                <w:sz w:val="20"/>
                <w:szCs w:val="20"/>
                <w:color w:val="auto"/>
              </w:rPr>
            </w:pPr>
            <w:r>
              <w:rPr>
                <w:rFonts w:ascii="Arial" w:cs="Arial" w:eastAsia="Arial" w:hAnsi="Arial"/>
                <w:sz w:val="11"/>
                <w:szCs w:val="11"/>
                <w:color w:val="auto"/>
              </w:rPr>
              <w:t>3,405</w:t>
            </w:r>
          </w:p>
        </w:tc>
        <w:tc>
          <w:tcPr>
            <w:tcW w:w="100" w:type="dxa"/>
            <w:vAlign w:val="bottom"/>
            <w:tcBorders>
              <w:bottom w:val="single" w:sz="8" w:color="C0C0C0"/>
            </w:tcBorders>
            <w:shd w:val="clear" w:color="auto" w:fill="C0C0C0"/>
          </w:tcPr>
          <w:p>
            <w:pPr>
              <w:spacing w:after="0"/>
              <w:rPr>
                <w:sz w:val="18"/>
                <w:szCs w:val="18"/>
                <w:color w:val="auto"/>
              </w:rPr>
            </w:pPr>
          </w:p>
        </w:tc>
        <w:tc>
          <w:tcPr>
            <w:tcW w:w="180" w:type="dxa"/>
            <w:vAlign w:val="bottom"/>
            <w:tcBorders>
              <w:bottom w:val="single" w:sz="8" w:color="C0C0C0"/>
            </w:tcBorders>
            <w:shd w:val="clear" w:color="auto" w:fill="C0C0C0"/>
          </w:tcPr>
          <w:p>
            <w:pPr>
              <w:spacing w:after="0"/>
              <w:rPr>
                <w:sz w:val="18"/>
                <w:szCs w:val="18"/>
                <w:color w:val="auto"/>
              </w:rPr>
            </w:pPr>
          </w:p>
        </w:tc>
        <w:tc>
          <w:tcPr>
            <w:tcW w:w="660" w:type="dxa"/>
            <w:vAlign w:val="bottom"/>
            <w:tcBorders>
              <w:bottom w:val="single" w:sz="8" w:color="C0C0C0"/>
            </w:tcBorders>
            <w:shd w:val="clear" w:color="auto" w:fill="C0C0C0"/>
          </w:tcPr>
          <w:p>
            <w:pPr>
              <w:spacing w:after="0"/>
              <w:rPr>
                <w:sz w:val="18"/>
                <w:szCs w:val="18"/>
                <w:color w:val="auto"/>
              </w:rPr>
            </w:pPr>
          </w:p>
        </w:tc>
      </w:tr>
      <w:tr>
        <w:trPr>
          <w:trHeight w:val="164"/>
        </w:trPr>
        <w:tc>
          <w:tcPr>
            <w:tcW w:w="5200" w:type="dxa"/>
            <w:vAlign w:val="bottom"/>
          </w:tcPr>
          <w:p>
            <w:pPr>
              <w:spacing w:after="0"/>
              <w:rPr>
                <w:sz w:val="20"/>
                <w:szCs w:val="20"/>
                <w:color w:val="auto"/>
              </w:rPr>
            </w:pPr>
            <w:r>
              <w:rPr>
                <w:rFonts w:ascii="Arial" w:cs="Arial" w:eastAsia="Arial" w:hAnsi="Arial"/>
                <w:sz w:val="11"/>
                <w:szCs w:val="11"/>
                <w:color w:val="auto"/>
              </w:rPr>
              <w:t>Issuance of restricted Common Stock under</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7"/>
        </w:trPr>
        <w:tc>
          <w:tcPr>
            <w:tcW w:w="5200" w:type="dxa"/>
            <w:vAlign w:val="bottom"/>
          </w:tcPr>
          <w:p>
            <w:pPr>
              <w:ind w:left="200"/>
              <w:spacing w:after="0"/>
              <w:rPr>
                <w:sz w:val="20"/>
                <w:szCs w:val="20"/>
                <w:color w:val="auto"/>
              </w:rPr>
            </w:pPr>
            <w:r>
              <w:rPr>
                <w:rFonts w:ascii="Arial" w:cs="Arial" w:eastAsia="Arial" w:hAnsi="Arial"/>
                <w:sz w:val="11"/>
                <w:szCs w:val="11"/>
                <w:color w:val="auto"/>
              </w:rPr>
              <w:t>Long-Term Incentive Plan</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ind w:right="65"/>
              <w:spacing w:after="0"/>
              <w:rPr>
                <w:sz w:val="20"/>
                <w:szCs w:val="20"/>
                <w:color w:val="auto"/>
              </w:rPr>
            </w:pPr>
            <w:r>
              <w:rPr>
                <w:rFonts w:ascii="Arial" w:cs="Arial" w:eastAsia="Arial" w:hAnsi="Arial"/>
                <w:sz w:val="11"/>
                <w:szCs w:val="11"/>
                <w:color w:val="auto"/>
              </w:rPr>
              <w:t>16</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34"/>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77"/>
        </w:trPr>
        <w:tc>
          <w:tcPr>
            <w:tcW w:w="52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1"/>
                <w:szCs w:val="11"/>
                <w:color w:val="auto"/>
              </w:rPr>
              <w:t>Conversion of Class A Stock to Common Stock</w:t>
            </w:r>
          </w:p>
        </w:tc>
        <w:tc>
          <w:tcPr>
            <w:tcW w:w="540" w:type="dxa"/>
            <w:vAlign w:val="bottom"/>
            <w:tcBorders>
              <w:bottom w:val="single" w:sz="8" w:color="C0C0C0"/>
            </w:tcBorders>
            <w:gridSpan w:val="2"/>
            <w:shd w:val="clear" w:color="auto" w:fill="C0C0C0"/>
          </w:tcPr>
          <w:p>
            <w:pPr>
              <w:jc w:val="right"/>
              <w:ind w:right="5"/>
              <w:spacing w:after="0"/>
              <w:rPr>
                <w:sz w:val="20"/>
                <w:szCs w:val="20"/>
                <w:color w:val="auto"/>
              </w:rPr>
            </w:pPr>
            <w:r>
              <w:rPr>
                <w:rFonts w:ascii="Arial" w:cs="Arial" w:eastAsia="Arial" w:hAnsi="Arial"/>
                <w:sz w:val="11"/>
                <w:szCs w:val="11"/>
                <w:color w:val="auto"/>
              </w:rPr>
              <w:t>(73)</w:t>
            </w:r>
          </w:p>
        </w:tc>
        <w:tc>
          <w:tcPr>
            <w:tcW w:w="100" w:type="dxa"/>
            <w:vAlign w:val="bottom"/>
            <w:tcBorders>
              <w:bottom w:val="single" w:sz="8" w:color="C0C0C0"/>
            </w:tcBorders>
            <w:shd w:val="clear" w:color="auto" w:fill="C0C0C0"/>
          </w:tcPr>
          <w:p>
            <w:pPr>
              <w:spacing w:after="0"/>
              <w:rPr>
                <w:sz w:val="15"/>
                <w:szCs w:val="15"/>
                <w:color w:val="auto"/>
              </w:rPr>
            </w:pPr>
          </w:p>
        </w:tc>
        <w:tc>
          <w:tcPr>
            <w:tcW w:w="30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460" w:type="dxa"/>
            <w:vAlign w:val="bottom"/>
            <w:tcBorders>
              <w:bottom w:val="single" w:sz="8" w:color="C0C0C0"/>
              <w:right w:val="single" w:sz="8" w:color="C0C0C0"/>
            </w:tcBorders>
            <w:shd w:val="clear" w:color="auto" w:fill="C0C0C0"/>
          </w:tcPr>
          <w:p>
            <w:pPr>
              <w:jc w:val="right"/>
              <w:ind w:right="65"/>
              <w:spacing w:after="0"/>
              <w:rPr>
                <w:sz w:val="20"/>
                <w:szCs w:val="20"/>
                <w:color w:val="auto"/>
              </w:rPr>
            </w:pPr>
            <w:r>
              <w:rPr>
                <w:rFonts w:ascii="Arial" w:cs="Arial" w:eastAsia="Arial" w:hAnsi="Arial"/>
                <w:sz w:val="11"/>
                <w:szCs w:val="11"/>
                <w:color w:val="auto"/>
              </w:rPr>
              <w:t>73</w:t>
            </w:r>
          </w:p>
        </w:tc>
        <w:tc>
          <w:tcPr>
            <w:tcW w:w="160" w:type="dxa"/>
            <w:vAlign w:val="bottom"/>
            <w:tcBorders>
              <w:bottom w:val="single" w:sz="8" w:color="C0C0C0"/>
            </w:tcBorders>
            <w:shd w:val="clear" w:color="auto" w:fill="C0C0C0"/>
          </w:tcPr>
          <w:p>
            <w:pPr>
              <w:spacing w:after="0"/>
              <w:rPr>
                <w:sz w:val="15"/>
                <w:szCs w:val="15"/>
                <w:color w:val="auto"/>
              </w:rPr>
            </w:pPr>
          </w:p>
        </w:tc>
        <w:tc>
          <w:tcPr>
            <w:tcW w:w="340" w:type="dxa"/>
            <w:vAlign w:val="bottom"/>
            <w:tcBorders>
              <w:bottom w:val="single" w:sz="8" w:color="C0C0C0"/>
              <w:right w:val="single" w:sz="8" w:color="C0C0C0"/>
            </w:tcBorders>
            <w:shd w:val="clear" w:color="auto" w:fill="C0C0C0"/>
          </w:tcPr>
          <w:p>
            <w:pPr>
              <w:spacing w:after="0"/>
              <w:rPr>
                <w:sz w:val="15"/>
                <w:szCs w:val="15"/>
                <w:color w:val="auto"/>
              </w:rPr>
            </w:pPr>
          </w:p>
        </w:tc>
        <w:tc>
          <w:tcPr>
            <w:tcW w:w="80" w:type="dxa"/>
            <w:vAlign w:val="bottom"/>
            <w:tcBorders>
              <w:bottom w:val="single" w:sz="8" w:color="C0C0C0"/>
            </w:tcBorders>
            <w:shd w:val="clear" w:color="auto" w:fill="C0C0C0"/>
          </w:tcPr>
          <w:p>
            <w:pPr>
              <w:spacing w:after="0"/>
              <w:rPr>
                <w:sz w:val="15"/>
                <w:szCs w:val="15"/>
                <w:color w:val="auto"/>
              </w:rPr>
            </w:pPr>
          </w:p>
        </w:tc>
        <w:tc>
          <w:tcPr>
            <w:tcW w:w="600" w:type="dxa"/>
            <w:vAlign w:val="bottom"/>
            <w:tcBorders>
              <w:bottom w:val="single" w:sz="8" w:color="C0C0C0"/>
              <w:right w:val="single" w:sz="8" w:color="C0C0C0"/>
            </w:tcBorders>
            <w:shd w:val="clear" w:color="auto" w:fill="C0C0C0"/>
          </w:tcPr>
          <w:p>
            <w:pPr>
              <w:spacing w:after="0"/>
              <w:rPr>
                <w:sz w:val="15"/>
                <w:szCs w:val="15"/>
                <w:color w:val="auto"/>
              </w:rPr>
            </w:pPr>
          </w:p>
        </w:tc>
        <w:tc>
          <w:tcPr>
            <w:tcW w:w="80" w:type="dxa"/>
            <w:vAlign w:val="bottom"/>
            <w:tcBorders>
              <w:bottom w:val="single" w:sz="8" w:color="C0C0C0"/>
            </w:tcBorders>
            <w:shd w:val="clear" w:color="auto" w:fill="C0C0C0"/>
          </w:tcPr>
          <w:p>
            <w:pPr>
              <w:spacing w:after="0"/>
              <w:rPr>
                <w:sz w:val="15"/>
                <w:szCs w:val="15"/>
                <w:color w:val="auto"/>
              </w:rPr>
            </w:pPr>
          </w:p>
        </w:tc>
        <w:tc>
          <w:tcPr>
            <w:tcW w:w="62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80" w:type="dxa"/>
            <w:vAlign w:val="bottom"/>
            <w:tcBorders>
              <w:bottom w:val="single" w:sz="8" w:color="C0C0C0"/>
            </w:tcBorders>
            <w:shd w:val="clear" w:color="auto" w:fill="C0C0C0"/>
          </w:tcPr>
          <w:p>
            <w:pPr>
              <w:spacing w:after="0"/>
              <w:rPr>
                <w:sz w:val="15"/>
                <w:szCs w:val="15"/>
                <w:color w:val="auto"/>
              </w:rPr>
            </w:pPr>
          </w:p>
        </w:tc>
        <w:tc>
          <w:tcPr>
            <w:tcW w:w="84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140" w:type="dxa"/>
            <w:vAlign w:val="bottom"/>
            <w:tcBorders>
              <w:bottom w:val="single" w:sz="8" w:color="C0C0C0"/>
            </w:tcBorders>
            <w:shd w:val="clear" w:color="auto" w:fill="C0C0C0"/>
          </w:tcPr>
          <w:p>
            <w:pPr>
              <w:spacing w:after="0"/>
              <w:rPr>
                <w:sz w:val="15"/>
                <w:szCs w:val="15"/>
                <w:color w:val="auto"/>
              </w:rPr>
            </w:pPr>
          </w:p>
        </w:tc>
        <w:tc>
          <w:tcPr>
            <w:tcW w:w="58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180" w:type="dxa"/>
            <w:vAlign w:val="bottom"/>
            <w:tcBorders>
              <w:bottom w:val="single" w:sz="8" w:color="C0C0C0"/>
            </w:tcBorders>
            <w:shd w:val="clear" w:color="auto" w:fill="C0C0C0"/>
          </w:tcPr>
          <w:p>
            <w:pPr>
              <w:spacing w:after="0"/>
              <w:rPr>
                <w:sz w:val="15"/>
                <w:szCs w:val="15"/>
                <w:color w:val="auto"/>
              </w:rPr>
            </w:pPr>
          </w:p>
        </w:tc>
        <w:tc>
          <w:tcPr>
            <w:tcW w:w="660" w:type="dxa"/>
            <w:vAlign w:val="bottom"/>
            <w:tcBorders>
              <w:bottom w:val="single" w:sz="8" w:color="C0C0C0"/>
            </w:tcBorders>
            <w:shd w:val="clear" w:color="auto" w:fill="C0C0C0"/>
          </w:tcPr>
          <w:p>
            <w:pPr>
              <w:spacing w:after="0"/>
              <w:rPr>
                <w:sz w:val="15"/>
                <w:szCs w:val="15"/>
                <w:color w:val="auto"/>
              </w:rPr>
            </w:pPr>
          </w:p>
        </w:tc>
      </w:tr>
      <w:tr>
        <w:trPr>
          <w:trHeight w:val="164"/>
        </w:trPr>
        <w:tc>
          <w:tcPr>
            <w:tcW w:w="5200" w:type="dxa"/>
            <w:vAlign w:val="bottom"/>
          </w:tcPr>
          <w:p>
            <w:pPr>
              <w:spacing w:after="0"/>
              <w:rPr>
                <w:sz w:val="20"/>
                <w:szCs w:val="20"/>
                <w:color w:val="auto"/>
              </w:rPr>
            </w:pPr>
            <w:r>
              <w:rPr>
                <w:rFonts w:ascii="Arial" w:cs="Arial" w:eastAsia="Arial" w:hAnsi="Arial"/>
                <w:sz w:val="11"/>
                <w:szCs w:val="11"/>
                <w:color w:val="auto"/>
              </w:rPr>
              <w:t>Stock-based compensation charges</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65"/>
              <w:spacing w:after="0"/>
              <w:rPr>
                <w:sz w:val="20"/>
                <w:szCs w:val="20"/>
                <w:color w:val="auto"/>
              </w:rPr>
            </w:pPr>
            <w:r>
              <w:rPr>
                <w:rFonts w:ascii="Arial" w:cs="Arial" w:eastAsia="Arial" w:hAnsi="Arial"/>
                <w:sz w:val="11"/>
                <w:szCs w:val="11"/>
                <w:color w:val="auto"/>
              </w:rPr>
              <w:t>40,768</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Arial" w:cs="Arial" w:eastAsia="Arial" w:hAnsi="Arial"/>
                <w:sz w:val="11"/>
                <w:szCs w:val="11"/>
                <w:color w:val="auto"/>
              </w:rPr>
              <w:t>40,768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4"/>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77"/>
        </w:trPr>
        <w:tc>
          <w:tcPr>
            <w:tcW w:w="52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1"/>
                <w:szCs w:val="11"/>
                <w:color w:val="auto"/>
              </w:rPr>
              <w:t>Net loss</w:t>
            </w:r>
          </w:p>
        </w:tc>
        <w:tc>
          <w:tcPr>
            <w:tcW w:w="100" w:type="dxa"/>
            <w:vAlign w:val="bottom"/>
            <w:tcBorders>
              <w:bottom w:val="single" w:sz="8" w:color="C0C0C0"/>
            </w:tcBorders>
            <w:shd w:val="clear" w:color="auto" w:fill="C0C0C0"/>
          </w:tcPr>
          <w:p>
            <w:pPr>
              <w:spacing w:after="0"/>
              <w:rPr>
                <w:sz w:val="15"/>
                <w:szCs w:val="15"/>
                <w:color w:val="auto"/>
              </w:rPr>
            </w:pPr>
          </w:p>
        </w:tc>
        <w:tc>
          <w:tcPr>
            <w:tcW w:w="44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30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460" w:type="dxa"/>
            <w:vAlign w:val="bottom"/>
            <w:tcBorders>
              <w:bottom w:val="single" w:sz="8" w:color="C0C0C0"/>
              <w:right w:val="single" w:sz="8" w:color="C0C0C0"/>
            </w:tcBorders>
            <w:shd w:val="clear" w:color="auto" w:fill="C0C0C0"/>
          </w:tcPr>
          <w:p>
            <w:pPr>
              <w:spacing w:after="0"/>
              <w:rPr>
                <w:sz w:val="15"/>
                <w:szCs w:val="15"/>
                <w:color w:val="auto"/>
              </w:rPr>
            </w:pPr>
          </w:p>
        </w:tc>
        <w:tc>
          <w:tcPr>
            <w:tcW w:w="160" w:type="dxa"/>
            <w:vAlign w:val="bottom"/>
            <w:tcBorders>
              <w:bottom w:val="single" w:sz="8" w:color="C0C0C0"/>
            </w:tcBorders>
            <w:shd w:val="clear" w:color="auto" w:fill="C0C0C0"/>
          </w:tcPr>
          <w:p>
            <w:pPr>
              <w:spacing w:after="0"/>
              <w:rPr>
                <w:sz w:val="15"/>
                <w:szCs w:val="15"/>
                <w:color w:val="auto"/>
              </w:rPr>
            </w:pPr>
          </w:p>
        </w:tc>
        <w:tc>
          <w:tcPr>
            <w:tcW w:w="340" w:type="dxa"/>
            <w:vAlign w:val="bottom"/>
            <w:tcBorders>
              <w:bottom w:val="single" w:sz="8" w:color="C0C0C0"/>
              <w:right w:val="single" w:sz="8" w:color="C0C0C0"/>
            </w:tcBorders>
            <w:shd w:val="clear" w:color="auto" w:fill="C0C0C0"/>
          </w:tcPr>
          <w:p>
            <w:pPr>
              <w:spacing w:after="0"/>
              <w:rPr>
                <w:sz w:val="15"/>
                <w:szCs w:val="15"/>
                <w:color w:val="auto"/>
              </w:rPr>
            </w:pPr>
          </w:p>
        </w:tc>
        <w:tc>
          <w:tcPr>
            <w:tcW w:w="80" w:type="dxa"/>
            <w:vAlign w:val="bottom"/>
            <w:tcBorders>
              <w:bottom w:val="single" w:sz="8" w:color="C0C0C0"/>
            </w:tcBorders>
            <w:shd w:val="clear" w:color="auto" w:fill="C0C0C0"/>
          </w:tcPr>
          <w:p>
            <w:pPr>
              <w:spacing w:after="0"/>
              <w:rPr>
                <w:sz w:val="15"/>
                <w:szCs w:val="15"/>
                <w:color w:val="auto"/>
              </w:rPr>
            </w:pPr>
          </w:p>
        </w:tc>
        <w:tc>
          <w:tcPr>
            <w:tcW w:w="600" w:type="dxa"/>
            <w:vAlign w:val="bottom"/>
            <w:tcBorders>
              <w:bottom w:val="single" w:sz="8" w:color="C0C0C0"/>
              <w:right w:val="single" w:sz="8" w:color="C0C0C0"/>
            </w:tcBorders>
            <w:shd w:val="clear" w:color="auto" w:fill="C0C0C0"/>
          </w:tcPr>
          <w:p>
            <w:pPr>
              <w:spacing w:after="0"/>
              <w:rPr>
                <w:sz w:val="15"/>
                <w:szCs w:val="15"/>
                <w:color w:val="auto"/>
              </w:rPr>
            </w:pPr>
          </w:p>
        </w:tc>
        <w:tc>
          <w:tcPr>
            <w:tcW w:w="80" w:type="dxa"/>
            <w:vAlign w:val="bottom"/>
            <w:tcBorders>
              <w:bottom w:val="single" w:sz="8" w:color="C0C0C0"/>
            </w:tcBorders>
            <w:shd w:val="clear" w:color="auto" w:fill="C0C0C0"/>
          </w:tcPr>
          <w:p>
            <w:pPr>
              <w:spacing w:after="0"/>
              <w:rPr>
                <w:sz w:val="15"/>
                <w:szCs w:val="15"/>
                <w:color w:val="auto"/>
              </w:rPr>
            </w:pPr>
          </w:p>
        </w:tc>
        <w:tc>
          <w:tcPr>
            <w:tcW w:w="620" w:type="dxa"/>
            <w:vAlign w:val="bottom"/>
            <w:tcBorders>
              <w:bottom w:val="single" w:sz="8" w:color="C0C0C0"/>
            </w:tcBorders>
            <w:shd w:val="clear" w:color="auto" w:fill="C0C0C0"/>
          </w:tcPr>
          <w:p>
            <w:pPr>
              <w:jc w:val="right"/>
              <w:ind w:right="25"/>
              <w:spacing w:after="0"/>
              <w:rPr>
                <w:sz w:val="20"/>
                <w:szCs w:val="20"/>
                <w:color w:val="auto"/>
              </w:rPr>
            </w:pPr>
            <w:r>
              <w:rPr>
                <w:rFonts w:ascii="Arial" w:cs="Arial" w:eastAsia="Arial" w:hAnsi="Arial"/>
                <w:sz w:val="11"/>
                <w:szCs w:val="11"/>
                <w:color w:val="auto"/>
              </w:rPr>
              <w:t>(168,317)</w:t>
            </w:r>
          </w:p>
        </w:tc>
        <w:tc>
          <w:tcPr>
            <w:tcW w:w="100" w:type="dxa"/>
            <w:vAlign w:val="bottom"/>
            <w:tcBorders>
              <w:bottom w:val="single" w:sz="8" w:color="C0C0C0"/>
            </w:tcBorders>
            <w:shd w:val="clear" w:color="auto" w:fill="C0C0C0"/>
          </w:tcPr>
          <w:p>
            <w:pPr>
              <w:spacing w:after="0"/>
              <w:rPr>
                <w:sz w:val="15"/>
                <w:szCs w:val="15"/>
                <w:color w:val="auto"/>
              </w:rPr>
            </w:pPr>
          </w:p>
        </w:tc>
        <w:tc>
          <w:tcPr>
            <w:tcW w:w="80" w:type="dxa"/>
            <w:vAlign w:val="bottom"/>
            <w:tcBorders>
              <w:bottom w:val="single" w:sz="8" w:color="C0C0C0"/>
            </w:tcBorders>
            <w:shd w:val="clear" w:color="auto" w:fill="C0C0C0"/>
          </w:tcPr>
          <w:p>
            <w:pPr>
              <w:spacing w:after="0"/>
              <w:rPr>
                <w:sz w:val="15"/>
                <w:szCs w:val="15"/>
                <w:color w:val="auto"/>
              </w:rPr>
            </w:pPr>
          </w:p>
        </w:tc>
        <w:tc>
          <w:tcPr>
            <w:tcW w:w="84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140" w:type="dxa"/>
            <w:vAlign w:val="bottom"/>
            <w:tcBorders>
              <w:bottom w:val="single" w:sz="8" w:color="C0C0C0"/>
            </w:tcBorders>
            <w:shd w:val="clear" w:color="auto" w:fill="C0C0C0"/>
          </w:tcPr>
          <w:p>
            <w:pPr>
              <w:spacing w:after="0"/>
              <w:rPr>
                <w:sz w:val="15"/>
                <w:szCs w:val="15"/>
                <w:color w:val="auto"/>
              </w:rPr>
            </w:pPr>
          </w:p>
        </w:tc>
        <w:tc>
          <w:tcPr>
            <w:tcW w:w="580" w:type="dxa"/>
            <w:vAlign w:val="bottom"/>
            <w:tcBorders>
              <w:bottom w:val="single" w:sz="8" w:color="C0C0C0"/>
            </w:tcBorders>
            <w:shd w:val="clear" w:color="auto" w:fill="C0C0C0"/>
          </w:tcPr>
          <w:p>
            <w:pPr>
              <w:jc w:val="right"/>
              <w:ind w:right="5"/>
              <w:spacing w:after="0"/>
              <w:rPr>
                <w:sz w:val="20"/>
                <w:szCs w:val="20"/>
                <w:color w:val="auto"/>
              </w:rPr>
            </w:pPr>
            <w:r>
              <w:rPr>
                <w:rFonts w:ascii="Arial" w:cs="Arial" w:eastAsia="Arial" w:hAnsi="Arial"/>
                <w:sz w:val="11"/>
                <w:szCs w:val="11"/>
                <w:color w:val="auto"/>
              </w:rPr>
              <w:t>(168,317)</w:t>
            </w:r>
          </w:p>
        </w:tc>
        <w:tc>
          <w:tcPr>
            <w:tcW w:w="100" w:type="dxa"/>
            <w:vAlign w:val="bottom"/>
            <w:tcBorders>
              <w:bottom w:val="single" w:sz="8" w:color="C0C0C0"/>
            </w:tcBorders>
            <w:shd w:val="clear" w:color="auto" w:fill="C0C0C0"/>
          </w:tcPr>
          <w:p>
            <w:pPr>
              <w:spacing w:after="0"/>
              <w:rPr>
                <w:sz w:val="15"/>
                <w:szCs w:val="15"/>
                <w:color w:val="auto"/>
              </w:rPr>
            </w:pPr>
          </w:p>
        </w:tc>
        <w:tc>
          <w:tcPr>
            <w:tcW w:w="180" w:type="dxa"/>
            <w:vAlign w:val="bottom"/>
            <w:tcBorders>
              <w:bottom w:val="single" w:sz="8" w:color="C0C0C0"/>
            </w:tcBorders>
            <w:shd w:val="clear" w:color="auto" w:fill="C0C0C0"/>
          </w:tcPr>
          <w:p>
            <w:pPr>
              <w:jc w:val="right"/>
              <w:ind w:right="7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0C0C0"/>
            </w:tcBorders>
            <w:shd w:val="clear" w:color="auto" w:fill="C0C0C0"/>
          </w:tcPr>
          <w:p>
            <w:pPr>
              <w:jc w:val="right"/>
              <w:ind w:right="45"/>
              <w:spacing w:after="0"/>
              <w:rPr>
                <w:sz w:val="20"/>
                <w:szCs w:val="20"/>
                <w:color w:val="auto"/>
              </w:rPr>
            </w:pPr>
            <w:r>
              <w:rPr>
                <w:rFonts w:ascii="Arial" w:cs="Arial" w:eastAsia="Arial" w:hAnsi="Arial"/>
                <w:sz w:val="11"/>
                <w:szCs w:val="11"/>
                <w:color w:val="auto"/>
              </w:rPr>
              <w:t>(168,317)</w:t>
            </w:r>
          </w:p>
        </w:tc>
      </w:tr>
      <w:tr>
        <w:trPr>
          <w:trHeight w:val="164"/>
        </w:trPr>
        <w:tc>
          <w:tcPr>
            <w:tcW w:w="5200" w:type="dxa"/>
            <w:vAlign w:val="bottom"/>
          </w:tcPr>
          <w:p>
            <w:pPr>
              <w:spacing w:after="0"/>
              <w:rPr>
                <w:sz w:val="20"/>
                <w:szCs w:val="20"/>
                <w:color w:val="auto"/>
              </w:rPr>
            </w:pPr>
            <w:r>
              <w:rPr>
                <w:rFonts w:ascii="Arial" w:cs="Arial" w:eastAsia="Arial" w:hAnsi="Arial"/>
                <w:sz w:val="11"/>
                <w:szCs w:val="11"/>
                <w:color w:val="auto"/>
              </w:rPr>
              <w:t>Change in net unrealized gain (loss) on marketable</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7"/>
        </w:trPr>
        <w:tc>
          <w:tcPr>
            <w:tcW w:w="5200" w:type="dxa"/>
            <w:vAlign w:val="bottom"/>
          </w:tcPr>
          <w:p>
            <w:pPr>
              <w:ind w:left="200"/>
              <w:spacing w:after="0"/>
              <w:rPr>
                <w:sz w:val="20"/>
                <w:szCs w:val="20"/>
                <w:color w:val="auto"/>
              </w:rPr>
            </w:pPr>
            <w:r>
              <w:rPr>
                <w:rFonts w:ascii="Arial" w:cs="Arial" w:eastAsia="Arial" w:hAnsi="Arial"/>
                <w:sz w:val="11"/>
                <w:szCs w:val="11"/>
                <w:color w:val="auto"/>
              </w:rPr>
              <w:t>securities, net of tax effect of $0.5 million</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185"/>
              <w:spacing w:after="0"/>
              <w:rPr>
                <w:sz w:val="20"/>
                <w:szCs w:val="20"/>
                <w:color w:val="auto"/>
              </w:rPr>
            </w:pPr>
            <w:r>
              <w:rPr>
                <w:rFonts w:ascii="Arial" w:cs="Arial" w:eastAsia="Arial" w:hAnsi="Arial"/>
                <w:sz w:val="11"/>
                <w:szCs w:val="11"/>
                <w:color w:val="auto"/>
              </w:rPr>
              <w:t>760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45"/>
              <w:spacing w:after="0"/>
              <w:rPr>
                <w:sz w:val="20"/>
                <w:szCs w:val="20"/>
                <w:color w:val="auto"/>
              </w:rPr>
            </w:pPr>
            <w:r>
              <w:rPr>
                <w:rFonts w:ascii="Arial" w:cs="Arial" w:eastAsia="Arial" w:hAnsi="Arial"/>
                <w:sz w:val="11"/>
                <w:szCs w:val="11"/>
                <w:color w:val="auto"/>
              </w:rPr>
              <w:t>760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85"/>
              <w:spacing w:after="0"/>
              <w:rPr>
                <w:sz w:val="20"/>
                <w:szCs w:val="20"/>
                <w:color w:val="auto"/>
              </w:rPr>
            </w:pPr>
            <w:r>
              <w:rPr>
                <w:rFonts w:ascii="Arial" w:cs="Arial" w:eastAsia="Arial" w:hAnsi="Arial"/>
                <w:sz w:val="11"/>
                <w:szCs w:val="11"/>
                <w:color w:val="auto"/>
              </w:rPr>
              <w:t>760</w:t>
            </w:r>
          </w:p>
        </w:tc>
      </w:tr>
      <w:tr>
        <w:trPr>
          <w:trHeight w:val="34"/>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4"/>
        </w:trPr>
        <w:tc>
          <w:tcPr>
            <w:tcW w:w="52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1"/>
                <w:szCs w:val="11"/>
                <w:b w:val="1"/>
                <w:bCs w:val="1"/>
                <w:color w:val="auto"/>
              </w:rPr>
              <w:t>Balance, September 30, 2011</w:t>
            </w:r>
          </w:p>
        </w:tc>
        <w:tc>
          <w:tcPr>
            <w:tcW w:w="540" w:type="dxa"/>
            <w:vAlign w:val="bottom"/>
            <w:tcBorders>
              <w:bottom w:val="single" w:sz="8" w:color="C0C0C0"/>
            </w:tcBorders>
            <w:gridSpan w:val="2"/>
            <w:shd w:val="clear" w:color="auto" w:fill="C0C0C0"/>
          </w:tcPr>
          <w:p>
            <w:pPr>
              <w:jc w:val="right"/>
              <w:ind w:right="45"/>
              <w:spacing w:after="0"/>
              <w:rPr>
                <w:sz w:val="20"/>
                <w:szCs w:val="20"/>
                <w:color w:val="auto"/>
              </w:rPr>
            </w:pPr>
            <w:r>
              <w:rPr>
                <w:rFonts w:ascii="Arial" w:cs="Arial" w:eastAsia="Arial" w:hAnsi="Arial"/>
                <w:sz w:val="11"/>
                <w:szCs w:val="11"/>
                <w:color w:val="auto"/>
              </w:rPr>
              <w:t>2,109</w:t>
            </w:r>
          </w:p>
        </w:tc>
        <w:tc>
          <w:tcPr>
            <w:tcW w:w="400" w:type="dxa"/>
            <w:vAlign w:val="bottom"/>
            <w:tcBorders>
              <w:bottom w:val="single" w:sz="8" w:color="C0C0C0"/>
            </w:tcBorders>
            <w:gridSpan w:val="2"/>
            <w:shd w:val="clear" w:color="auto" w:fill="C0C0C0"/>
          </w:tcPr>
          <w:p>
            <w:pPr>
              <w:ind w:left="1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0C0C0"/>
            </w:tcBorders>
            <w:shd w:val="clear" w:color="auto" w:fill="C0C0C0"/>
          </w:tcPr>
          <w:p>
            <w:pPr>
              <w:spacing w:after="0"/>
              <w:rPr>
                <w:sz w:val="17"/>
                <w:szCs w:val="17"/>
                <w:color w:val="auto"/>
              </w:rPr>
            </w:pPr>
          </w:p>
        </w:tc>
        <w:tc>
          <w:tcPr>
            <w:tcW w:w="460" w:type="dxa"/>
            <w:vAlign w:val="bottom"/>
            <w:tcBorders>
              <w:bottom w:val="single" w:sz="8" w:color="C0C0C0"/>
              <w:right w:val="single" w:sz="8" w:color="C0C0C0"/>
            </w:tcBorders>
            <w:shd w:val="clear" w:color="auto" w:fill="C0C0C0"/>
          </w:tcPr>
          <w:p>
            <w:pPr>
              <w:jc w:val="right"/>
              <w:ind w:right="65"/>
              <w:spacing w:after="0"/>
              <w:rPr>
                <w:sz w:val="20"/>
                <w:szCs w:val="20"/>
                <w:color w:val="auto"/>
              </w:rPr>
            </w:pPr>
            <w:r>
              <w:rPr>
                <w:rFonts w:ascii="Arial" w:cs="Arial" w:eastAsia="Arial" w:hAnsi="Arial"/>
                <w:sz w:val="11"/>
                <w:szCs w:val="11"/>
                <w:color w:val="auto"/>
                <w:w w:val="94"/>
              </w:rPr>
              <w:t>90,419</w:t>
            </w:r>
          </w:p>
        </w:tc>
        <w:tc>
          <w:tcPr>
            <w:tcW w:w="1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0C0C0"/>
              <w:right w:val="single" w:sz="8" w:color="C0C0C0"/>
            </w:tcBorders>
            <w:shd w:val="clear" w:color="auto" w:fill="C0C0C0"/>
          </w:tcPr>
          <w:p>
            <w:pPr>
              <w:jc w:val="right"/>
              <w:ind w:right="45"/>
              <w:spacing w:after="0"/>
              <w:rPr>
                <w:sz w:val="20"/>
                <w:szCs w:val="20"/>
                <w:color w:val="auto"/>
              </w:rPr>
            </w:pPr>
            <w:r>
              <w:rPr>
                <w:rFonts w:ascii="Arial" w:cs="Arial" w:eastAsia="Arial" w:hAnsi="Arial"/>
                <w:sz w:val="11"/>
                <w:szCs w:val="11"/>
                <w:color w:val="auto"/>
              </w:rPr>
              <w:t>90</w:t>
            </w:r>
          </w:p>
        </w:tc>
        <w:tc>
          <w:tcPr>
            <w:tcW w:w="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0C0C0"/>
              <w:right w:val="single" w:sz="8" w:color="C0C0C0"/>
            </w:tcBorders>
            <w:shd w:val="clear" w:color="auto" w:fill="C0C0C0"/>
          </w:tcPr>
          <w:p>
            <w:pPr>
              <w:jc w:val="right"/>
              <w:ind w:right="65"/>
              <w:spacing w:after="0"/>
              <w:rPr>
                <w:sz w:val="20"/>
                <w:szCs w:val="20"/>
                <w:color w:val="auto"/>
              </w:rPr>
            </w:pPr>
            <w:r>
              <w:rPr>
                <w:rFonts w:ascii="Arial" w:cs="Arial" w:eastAsia="Arial" w:hAnsi="Arial"/>
                <w:sz w:val="11"/>
                <w:szCs w:val="11"/>
                <w:color w:val="auto"/>
                <w:w w:val="93"/>
              </w:rPr>
              <w:t>1,643,772</w:t>
            </w:r>
          </w:p>
        </w:tc>
        <w:tc>
          <w:tcPr>
            <w:tcW w:w="80" w:type="dxa"/>
            <w:vAlign w:val="bottom"/>
            <w:tcBorders>
              <w:bottom w:val="single" w:sz="8" w:color="C0C0C0"/>
            </w:tcBorders>
            <w:shd w:val="clear" w:color="auto" w:fill="C0C0C0"/>
          </w:tcPr>
          <w:p>
            <w:pPr>
              <w:jc w:val="right"/>
              <w:ind w:right="7"/>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C0C0C0"/>
            </w:tcBorders>
            <w:shd w:val="clear" w:color="auto" w:fill="C0C0C0"/>
          </w:tcPr>
          <w:p>
            <w:pPr>
              <w:jc w:val="right"/>
              <w:ind w:right="25"/>
              <w:spacing w:after="0"/>
              <w:rPr>
                <w:sz w:val="20"/>
                <w:szCs w:val="20"/>
                <w:color w:val="auto"/>
              </w:rPr>
            </w:pPr>
            <w:r>
              <w:rPr>
                <w:rFonts w:ascii="Arial" w:cs="Arial" w:eastAsia="Arial" w:hAnsi="Arial"/>
                <w:sz w:val="11"/>
                <w:szCs w:val="11"/>
                <w:color w:val="auto"/>
                <w:w w:val="92"/>
              </w:rPr>
              <w:t>(1,213,880)</w:t>
            </w:r>
          </w:p>
        </w:tc>
        <w:tc>
          <w:tcPr>
            <w:tcW w:w="180" w:type="dxa"/>
            <w:vAlign w:val="bottom"/>
            <w:tcBorders>
              <w:bottom w:val="single" w:sz="8" w:color="C0C0C0"/>
            </w:tcBorders>
            <w:gridSpan w:val="2"/>
            <w:shd w:val="clear" w:color="auto" w:fill="C0C0C0"/>
          </w:tcPr>
          <w:p>
            <w:pPr>
              <w:jc w:val="right"/>
              <w:ind w:right="2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C0C0C0"/>
            </w:tcBorders>
            <w:shd w:val="clear" w:color="auto" w:fill="C0C0C0"/>
          </w:tcPr>
          <w:p>
            <w:pPr>
              <w:jc w:val="right"/>
              <w:ind w:right="165"/>
              <w:spacing w:after="0"/>
              <w:rPr>
                <w:sz w:val="20"/>
                <w:szCs w:val="20"/>
                <w:color w:val="auto"/>
              </w:rPr>
            </w:pPr>
            <w:r>
              <w:rPr>
                <w:rFonts w:ascii="Arial" w:cs="Arial" w:eastAsia="Arial" w:hAnsi="Arial"/>
                <w:sz w:val="11"/>
                <w:szCs w:val="11"/>
                <w:color w:val="auto"/>
              </w:rPr>
              <w:t>(1,731)</w:t>
            </w:r>
          </w:p>
        </w:tc>
        <w:tc>
          <w:tcPr>
            <w:tcW w:w="100" w:type="dxa"/>
            <w:vAlign w:val="bottom"/>
            <w:tcBorders>
              <w:bottom w:val="single" w:sz="8" w:color="C0C0C0"/>
            </w:tcBorders>
            <w:shd w:val="clear" w:color="auto" w:fill="C0C0C0"/>
          </w:tcPr>
          <w:p>
            <w:pPr>
              <w:spacing w:after="0"/>
              <w:rPr>
                <w:sz w:val="17"/>
                <w:szCs w:val="17"/>
                <w:color w:val="auto"/>
              </w:rPr>
            </w:pPr>
          </w:p>
        </w:tc>
        <w:tc>
          <w:tcPr>
            <w:tcW w:w="140" w:type="dxa"/>
            <w:vAlign w:val="bottom"/>
            <w:tcBorders>
              <w:bottom w:val="single" w:sz="8" w:color="C0C0C0"/>
            </w:tcBorders>
            <w:shd w:val="clear" w:color="auto" w:fill="C0C0C0"/>
          </w:tcPr>
          <w:p>
            <w:pPr>
              <w:jc w:val="right"/>
              <w:ind w:right="3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0C0C0"/>
            </w:tcBorders>
            <w:shd w:val="clear" w:color="auto" w:fill="C0C0C0"/>
          </w:tcPr>
          <w:p>
            <w:pPr>
              <w:jc w:val="right"/>
              <w:ind w:right="45"/>
              <w:spacing w:after="0"/>
              <w:rPr>
                <w:sz w:val="20"/>
                <w:szCs w:val="20"/>
                <w:color w:val="auto"/>
              </w:rPr>
            </w:pPr>
            <w:r>
              <w:rPr>
                <w:rFonts w:ascii="Arial" w:cs="Arial" w:eastAsia="Arial" w:hAnsi="Arial"/>
                <w:sz w:val="11"/>
                <w:szCs w:val="11"/>
                <w:color w:val="auto"/>
              </w:rPr>
              <w:t>428,253</w:t>
            </w:r>
          </w:p>
        </w:tc>
        <w:tc>
          <w:tcPr>
            <w:tcW w:w="100" w:type="dxa"/>
            <w:vAlign w:val="bottom"/>
            <w:tcBorders>
              <w:bottom w:val="single" w:sz="8" w:color="C0C0C0"/>
            </w:tcBorders>
            <w:shd w:val="clear" w:color="auto" w:fill="C0C0C0"/>
          </w:tcPr>
          <w:p>
            <w:pPr>
              <w:spacing w:after="0"/>
              <w:rPr>
                <w:sz w:val="17"/>
                <w:szCs w:val="17"/>
                <w:color w:val="auto"/>
              </w:rPr>
            </w:pPr>
          </w:p>
        </w:tc>
        <w:tc>
          <w:tcPr>
            <w:tcW w:w="180" w:type="dxa"/>
            <w:vAlign w:val="bottom"/>
            <w:tcBorders>
              <w:bottom w:val="single" w:sz="8" w:color="C0C0C0"/>
            </w:tcBorders>
            <w:shd w:val="clear" w:color="auto" w:fill="C0C0C0"/>
          </w:tcPr>
          <w:p>
            <w:pPr>
              <w:jc w:val="right"/>
              <w:ind w:right="7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0C0C0"/>
            </w:tcBorders>
            <w:shd w:val="clear" w:color="auto" w:fill="C0C0C0"/>
          </w:tcPr>
          <w:p>
            <w:pPr>
              <w:jc w:val="right"/>
              <w:ind w:right="45"/>
              <w:spacing w:after="0"/>
              <w:rPr>
                <w:sz w:val="20"/>
                <w:szCs w:val="20"/>
                <w:color w:val="auto"/>
              </w:rPr>
            </w:pPr>
            <w:r>
              <w:rPr>
                <w:rFonts w:ascii="Arial" w:cs="Arial" w:eastAsia="Arial" w:hAnsi="Arial"/>
                <w:sz w:val="11"/>
                <w:szCs w:val="11"/>
                <w:color w:val="auto"/>
              </w:rPr>
              <w:t>(167,557)</w:t>
            </w:r>
          </w:p>
        </w:tc>
      </w:tr>
      <w:tr>
        <w:trPr>
          <w:trHeight w:val="197"/>
        </w:trPr>
        <w:tc>
          <w:tcPr>
            <w:tcW w:w="5200" w:type="dxa"/>
            <w:vAlign w:val="bottom"/>
            <w:tcBorders>
              <w:top w:val="single" w:sz="8" w:color="C0C0C0"/>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177"/>
        </w:trPr>
        <w:tc>
          <w:tcPr>
            <w:tcW w:w="52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1"/>
                <w:szCs w:val="11"/>
                <w:b w:val="1"/>
                <w:bCs w:val="1"/>
                <w:color w:val="auto"/>
              </w:rPr>
              <w:t>Balance, December 31, 2009</w:t>
            </w:r>
          </w:p>
        </w:tc>
        <w:tc>
          <w:tcPr>
            <w:tcW w:w="540" w:type="dxa"/>
            <w:vAlign w:val="bottom"/>
            <w:tcBorders>
              <w:bottom w:val="single" w:sz="8" w:color="C0C0C0"/>
            </w:tcBorders>
            <w:gridSpan w:val="2"/>
            <w:shd w:val="clear" w:color="auto" w:fill="C0C0C0"/>
          </w:tcPr>
          <w:p>
            <w:pPr>
              <w:jc w:val="right"/>
              <w:ind w:right="45"/>
              <w:spacing w:after="0"/>
              <w:rPr>
                <w:sz w:val="20"/>
                <w:szCs w:val="20"/>
                <w:color w:val="auto"/>
              </w:rPr>
            </w:pPr>
            <w:r>
              <w:rPr>
                <w:rFonts w:ascii="Arial" w:cs="Arial" w:eastAsia="Arial" w:hAnsi="Arial"/>
                <w:sz w:val="11"/>
                <w:szCs w:val="11"/>
                <w:color w:val="auto"/>
              </w:rPr>
              <w:t>2,245</w:t>
            </w:r>
          </w:p>
        </w:tc>
        <w:tc>
          <w:tcPr>
            <w:tcW w:w="400" w:type="dxa"/>
            <w:vAlign w:val="bottom"/>
            <w:tcBorders>
              <w:bottom w:val="single" w:sz="8" w:color="C0C0C0"/>
            </w:tcBorders>
            <w:gridSpan w:val="2"/>
            <w:shd w:val="clear" w:color="auto" w:fill="C0C0C0"/>
          </w:tcPr>
          <w:p>
            <w:pPr>
              <w:ind w:left="1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0C0C0"/>
            </w:tcBorders>
            <w:shd w:val="clear" w:color="auto" w:fill="C0C0C0"/>
          </w:tcPr>
          <w:p>
            <w:pPr>
              <w:spacing w:after="0"/>
              <w:rPr>
                <w:sz w:val="15"/>
                <w:szCs w:val="15"/>
                <w:color w:val="auto"/>
              </w:rPr>
            </w:pPr>
          </w:p>
        </w:tc>
        <w:tc>
          <w:tcPr>
            <w:tcW w:w="460" w:type="dxa"/>
            <w:vAlign w:val="bottom"/>
            <w:tcBorders>
              <w:bottom w:val="single" w:sz="8" w:color="C0C0C0"/>
              <w:right w:val="single" w:sz="8" w:color="C0C0C0"/>
            </w:tcBorders>
            <w:shd w:val="clear" w:color="auto" w:fill="C0C0C0"/>
          </w:tcPr>
          <w:p>
            <w:pPr>
              <w:jc w:val="right"/>
              <w:ind w:right="65"/>
              <w:spacing w:after="0"/>
              <w:rPr>
                <w:sz w:val="20"/>
                <w:szCs w:val="20"/>
                <w:color w:val="auto"/>
              </w:rPr>
            </w:pPr>
            <w:r>
              <w:rPr>
                <w:rFonts w:ascii="Arial" w:cs="Arial" w:eastAsia="Arial" w:hAnsi="Arial"/>
                <w:sz w:val="11"/>
                <w:szCs w:val="11"/>
                <w:color w:val="auto"/>
                <w:w w:val="94"/>
              </w:rPr>
              <w:t>78,861</w:t>
            </w:r>
          </w:p>
        </w:tc>
        <w:tc>
          <w:tcPr>
            <w:tcW w:w="1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0C0C0"/>
              <w:right w:val="single" w:sz="8" w:color="C0C0C0"/>
            </w:tcBorders>
            <w:shd w:val="clear" w:color="auto" w:fill="C0C0C0"/>
          </w:tcPr>
          <w:p>
            <w:pPr>
              <w:jc w:val="right"/>
              <w:ind w:right="45"/>
              <w:spacing w:after="0"/>
              <w:rPr>
                <w:sz w:val="20"/>
                <w:szCs w:val="20"/>
                <w:color w:val="auto"/>
              </w:rPr>
            </w:pPr>
            <w:r>
              <w:rPr>
                <w:rFonts w:ascii="Arial" w:cs="Arial" w:eastAsia="Arial" w:hAnsi="Arial"/>
                <w:sz w:val="11"/>
                <w:szCs w:val="11"/>
                <w:color w:val="auto"/>
              </w:rPr>
              <w:t>79</w:t>
            </w:r>
          </w:p>
        </w:tc>
        <w:tc>
          <w:tcPr>
            <w:tcW w:w="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0C0C0"/>
              <w:right w:val="single" w:sz="8" w:color="C0C0C0"/>
            </w:tcBorders>
            <w:shd w:val="clear" w:color="auto" w:fill="C0C0C0"/>
          </w:tcPr>
          <w:p>
            <w:pPr>
              <w:jc w:val="right"/>
              <w:ind w:right="65"/>
              <w:spacing w:after="0"/>
              <w:rPr>
                <w:sz w:val="20"/>
                <w:szCs w:val="20"/>
                <w:color w:val="auto"/>
              </w:rPr>
            </w:pPr>
            <w:r>
              <w:rPr>
                <w:rFonts w:ascii="Arial" w:cs="Arial" w:eastAsia="Arial" w:hAnsi="Arial"/>
                <w:sz w:val="11"/>
                <w:szCs w:val="11"/>
                <w:color w:val="auto"/>
                <w:w w:val="93"/>
              </w:rPr>
              <w:t>1,336,732</w:t>
            </w:r>
          </w:p>
        </w:tc>
        <w:tc>
          <w:tcPr>
            <w:tcW w:w="80" w:type="dxa"/>
            <w:vAlign w:val="bottom"/>
            <w:tcBorders>
              <w:bottom w:val="single" w:sz="8" w:color="C0C0C0"/>
            </w:tcBorders>
            <w:shd w:val="clear" w:color="auto" w:fill="C0C0C0"/>
          </w:tcPr>
          <w:p>
            <w:pPr>
              <w:jc w:val="right"/>
              <w:ind w:right="7"/>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C0C0C0"/>
            </w:tcBorders>
            <w:shd w:val="clear" w:color="auto" w:fill="C0C0C0"/>
          </w:tcPr>
          <w:p>
            <w:pPr>
              <w:jc w:val="right"/>
              <w:ind w:right="25"/>
              <w:spacing w:after="0"/>
              <w:rPr>
                <w:sz w:val="20"/>
                <w:szCs w:val="20"/>
                <w:color w:val="auto"/>
              </w:rPr>
            </w:pPr>
            <w:r>
              <w:rPr>
                <w:rFonts w:ascii="Arial" w:cs="Arial" w:eastAsia="Arial" w:hAnsi="Arial"/>
                <w:sz w:val="11"/>
                <w:szCs w:val="11"/>
                <w:color w:val="auto"/>
              </w:rPr>
              <w:t>(941,095)</w:t>
            </w:r>
          </w:p>
        </w:tc>
        <w:tc>
          <w:tcPr>
            <w:tcW w:w="180" w:type="dxa"/>
            <w:vAlign w:val="bottom"/>
            <w:tcBorders>
              <w:bottom w:val="single" w:sz="8" w:color="C0C0C0"/>
            </w:tcBorders>
            <w:gridSpan w:val="2"/>
            <w:shd w:val="clear" w:color="auto" w:fill="C0C0C0"/>
          </w:tcPr>
          <w:p>
            <w:pPr>
              <w:jc w:val="right"/>
              <w:ind w:right="2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C0C0C0"/>
            </w:tcBorders>
            <w:shd w:val="clear" w:color="auto" w:fill="C0C0C0"/>
          </w:tcPr>
          <w:p>
            <w:pPr>
              <w:jc w:val="right"/>
              <w:ind w:right="185"/>
              <w:spacing w:after="0"/>
              <w:rPr>
                <w:sz w:val="20"/>
                <w:szCs w:val="20"/>
                <w:color w:val="auto"/>
              </w:rPr>
            </w:pPr>
            <w:r>
              <w:rPr>
                <w:rFonts w:ascii="Arial" w:cs="Arial" w:eastAsia="Arial" w:hAnsi="Arial"/>
                <w:sz w:val="11"/>
                <w:szCs w:val="11"/>
                <w:color w:val="auto"/>
              </w:rPr>
              <w:t>1,044</w:t>
            </w:r>
          </w:p>
        </w:tc>
        <w:tc>
          <w:tcPr>
            <w:tcW w:w="100" w:type="dxa"/>
            <w:vAlign w:val="bottom"/>
            <w:tcBorders>
              <w:bottom w:val="single" w:sz="8" w:color="C0C0C0"/>
            </w:tcBorders>
            <w:shd w:val="clear" w:color="auto" w:fill="C0C0C0"/>
          </w:tcPr>
          <w:p>
            <w:pPr>
              <w:spacing w:after="0"/>
              <w:rPr>
                <w:sz w:val="15"/>
                <w:szCs w:val="15"/>
                <w:color w:val="auto"/>
              </w:rPr>
            </w:pPr>
          </w:p>
        </w:tc>
        <w:tc>
          <w:tcPr>
            <w:tcW w:w="140" w:type="dxa"/>
            <w:vAlign w:val="bottom"/>
            <w:tcBorders>
              <w:bottom w:val="single" w:sz="8" w:color="C0C0C0"/>
            </w:tcBorders>
            <w:shd w:val="clear" w:color="auto" w:fill="C0C0C0"/>
          </w:tcPr>
          <w:p>
            <w:pPr>
              <w:jc w:val="right"/>
              <w:ind w:right="3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0C0C0"/>
            </w:tcBorders>
            <w:shd w:val="clear" w:color="auto" w:fill="C0C0C0"/>
          </w:tcPr>
          <w:p>
            <w:pPr>
              <w:jc w:val="right"/>
              <w:ind w:right="45"/>
              <w:spacing w:after="0"/>
              <w:rPr>
                <w:sz w:val="20"/>
                <w:szCs w:val="20"/>
                <w:color w:val="auto"/>
              </w:rPr>
            </w:pPr>
            <w:r>
              <w:rPr>
                <w:rFonts w:ascii="Arial" w:cs="Arial" w:eastAsia="Arial" w:hAnsi="Arial"/>
                <w:sz w:val="11"/>
                <w:szCs w:val="11"/>
                <w:color w:val="auto"/>
              </w:rPr>
              <w:t>396,762</w:t>
            </w:r>
          </w:p>
        </w:tc>
        <w:tc>
          <w:tcPr>
            <w:tcW w:w="100" w:type="dxa"/>
            <w:vAlign w:val="bottom"/>
            <w:tcBorders>
              <w:bottom w:val="single" w:sz="8" w:color="C0C0C0"/>
            </w:tcBorders>
            <w:shd w:val="clear" w:color="auto" w:fill="C0C0C0"/>
          </w:tcPr>
          <w:p>
            <w:pPr>
              <w:spacing w:after="0"/>
              <w:rPr>
                <w:sz w:val="15"/>
                <w:szCs w:val="15"/>
                <w:color w:val="auto"/>
              </w:rPr>
            </w:pPr>
          </w:p>
        </w:tc>
        <w:tc>
          <w:tcPr>
            <w:tcW w:w="180" w:type="dxa"/>
            <w:vAlign w:val="bottom"/>
            <w:tcBorders>
              <w:bottom w:val="single" w:sz="8" w:color="C0C0C0"/>
            </w:tcBorders>
            <w:shd w:val="clear" w:color="auto" w:fill="C0C0C0"/>
          </w:tcPr>
          <w:p>
            <w:pPr>
              <w:spacing w:after="0"/>
              <w:rPr>
                <w:sz w:val="15"/>
                <w:szCs w:val="15"/>
                <w:color w:val="auto"/>
              </w:rPr>
            </w:pPr>
          </w:p>
        </w:tc>
        <w:tc>
          <w:tcPr>
            <w:tcW w:w="660" w:type="dxa"/>
            <w:vAlign w:val="bottom"/>
            <w:tcBorders>
              <w:bottom w:val="single" w:sz="8" w:color="C0C0C0"/>
            </w:tcBorders>
            <w:shd w:val="clear" w:color="auto" w:fill="C0C0C0"/>
          </w:tcPr>
          <w:p>
            <w:pPr>
              <w:spacing w:after="0"/>
              <w:rPr>
                <w:sz w:val="15"/>
                <w:szCs w:val="15"/>
                <w:color w:val="auto"/>
              </w:rPr>
            </w:pPr>
          </w:p>
        </w:tc>
      </w:tr>
      <w:tr>
        <w:trPr>
          <w:trHeight w:val="164"/>
        </w:trPr>
        <w:tc>
          <w:tcPr>
            <w:tcW w:w="5200" w:type="dxa"/>
            <w:vAlign w:val="bottom"/>
          </w:tcPr>
          <w:p>
            <w:pPr>
              <w:spacing w:after="0"/>
              <w:rPr>
                <w:sz w:val="20"/>
                <w:szCs w:val="20"/>
                <w:color w:val="auto"/>
              </w:rPr>
            </w:pPr>
            <w:r>
              <w:rPr>
                <w:rFonts w:ascii="Arial" w:cs="Arial" w:eastAsia="Arial" w:hAnsi="Arial"/>
                <w:sz w:val="11"/>
                <w:szCs w:val="11"/>
                <w:color w:val="auto"/>
              </w:rPr>
              <w:t>Issuance of Common Stock in connection</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7"/>
        </w:trPr>
        <w:tc>
          <w:tcPr>
            <w:tcW w:w="5200" w:type="dxa"/>
            <w:vAlign w:val="bottom"/>
          </w:tcPr>
          <w:p>
            <w:pPr>
              <w:ind w:left="200"/>
              <w:spacing w:after="0"/>
              <w:rPr>
                <w:sz w:val="20"/>
                <w:szCs w:val="20"/>
                <w:color w:val="auto"/>
              </w:rPr>
            </w:pPr>
            <w:r>
              <w:rPr>
                <w:rFonts w:ascii="Arial" w:cs="Arial" w:eastAsia="Arial" w:hAnsi="Arial"/>
                <w:sz w:val="11"/>
                <w:szCs w:val="11"/>
                <w:color w:val="auto"/>
              </w:rPr>
              <w:t>with exercise of stock options, net of</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7"/>
        </w:trPr>
        <w:tc>
          <w:tcPr>
            <w:tcW w:w="5200" w:type="dxa"/>
            <w:vAlign w:val="bottom"/>
          </w:tcPr>
          <w:p>
            <w:pPr>
              <w:ind w:left="200"/>
              <w:spacing w:after="0"/>
              <w:rPr>
                <w:sz w:val="20"/>
                <w:szCs w:val="20"/>
                <w:color w:val="auto"/>
              </w:rPr>
            </w:pPr>
            <w:r>
              <w:rPr>
                <w:rFonts w:ascii="Arial" w:cs="Arial" w:eastAsia="Arial" w:hAnsi="Arial"/>
                <w:sz w:val="11"/>
                <w:szCs w:val="11"/>
                <w:color w:val="auto"/>
              </w:rPr>
              <w:t>shares tendered</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ind w:right="65"/>
              <w:spacing w:after="0"/>
              <w:rPr>
                <w:sz w:val="20"/>
                <w:szCs w:val="20"/>
                <w:color w:val="auto"/>
              </w:rPr>
            </w:pPr>
            <w:r>
              <w:rPr>
                <w:rFonts w:ascii="Arial" w:cs="Arial" w:eastAsia="Arial" w:hAnsi="Arial"/>
                <w:sz w:val="11"/>
                <w:szCs w:val="11"/>
                <w:color w:val="auto"/>
              </w:rPr>
              <w:t>993</w:t>
            </w:r>
          </w:p>
        </w:tc>
        <w:tc>
          <w:tcPr>
            <w:tcW w:w="160" w:type="dxa"/>
            <w:vAlign w:val="bottom"/>
          </w:tcPr>
          <w:p>
            <w:pPr>
              <w:spacing w:after="0"/>
              <w:rPr>
                <w:sz w:val="17"/>
                <w:szCs w:val="17"/>
                <w:color w:val="auto"/>
              </w:rPr>
            </w:pPr>
          </w:p>
        </w:tc>
        <w:tc>
          <w:tcPr>
            <w:tcW w:w="340" w:type="dxa"/>
            <w:vAlign w:val="bottom"/>
          </w:tcPr>
          <w:p>
            <w:pPr>
              <w:jc w:val="right"/>
              <w:ind w:right="45"/>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7"/>
                <w:szCs w:val="17"/>
                <w:color w:val="auto"/>
              </w:rPr>
            </w:pPr>
          </w:p>
        </w:tc>
        <w:tc>
          <w:tcPr>
            <w:tcW w:w="600" w:type="dxa"/>
            <w:vAlign w:val="bottom"/>
          </w:tcPr>
          <w:p>
            <w:pPr>
              <w:jc w:val="right"/>
              <w:ind w:right="65"/>
              <w:spacing w:after="0"/>
              <w:rPr>
                <w:sz w:val="20"/>
                <w:szCs w:val="20"/>
                <w:color w:val="auto"/>
              </w:rPr>
            </w:pPr>
            <w:r>
              <w:rPr>
                <w:rFonts w:ascii="Arial" w:cs="Arial" w:eastAsia="Arial" w:hAnsi="Arial"/>
                <w:sz w:val="11"/>
                <w:szCs w:val="11"/>
                <w:color w:val="auto"/>
              </w:rPr>
              <w:t>13,193</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45"/>
              <w:spacing w:after="0"/>
              <w:rPr>
                <w:sz w:val="20"/>
                <w:szCs w:val="20"/>
                <w:color w:val="auto"/>
              </w:rPr>
            </w:pPr>
            <w:r>
              <w:rPr>
                <w:rFonts w:ascii="Arial" w:cs="Arial" w:eastAsia="Arial" w:hAnsi="Arial"/>
                <w:sz w:val="11"/>
                <w:szCs w:val="11"/>
                <w:color w:val="auto"/>
              </w:rPr>
              <w:t>13,194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34"/>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64"/>
        </w:trPr>
        <w:tc>
          <w:tcPr>
            <w:tcW w:w="5200" w:type="dxa"/>
            <w:vAlign w:val="bottom"/>
            <w:shd w:val="clear" w:color="auto" w:fill="C0C0C0"/>
          </w:tcPr>
          <w:p>
            <w:pPr>
              <w:spacing w:after="0"/>
              <w:rPr>
                <w:sz w:val="20"/>
                <w:szCs w:val="20"/>
                <w:color w:val="auto"/>
              </w:rPr>
            </w:pPr>
            <w:r>
              <w:rPr>
                <w:rFonts w:ascii="Arial" w:cs="Arial" w:eastAsia="Arial" w:hAnsi="Arial"/>
                <w:sz w:val="11"/>
                <w:szCs w:val="11"/>
                <w:color w:val="auto"/>
              </w:rPr>
              <w:t>Issuance of Common Stock in connection with</w:t>
            </w:r>
          </w:p>
        </w:tc>
        <w:tc>
          <w:tcPr>
            <w:tcW w:w="100" w:type="dxa"/>
            <w:vAlign w:val="bottom"/>
            <w:shd w:val="clear" w:color="auto" w:fill="C0C0C0"/>
          </w:tcPr>
          <w:p>
            <w:pPr>
              <w:spacing w:after="0"/>
              <w:rPr>
                <w:sz w:val="14"/>
                <w:szCs w:val="14"/>
                <w:color w:val="auto"/>
              </w:rPr>
            </w:pPr>
          </w:p>
        </w:tc>
        <w:tc>
          <w:tcPr>
            <w:tcW w:w="44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30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460" w:type="dxa"/>
            <w:vAlign w:val="bottom"/>
            <w:tcBorders>
              <w:right w:val="single" w:sz="8" w:color="C0C0C0"/>
            </w:tcBorders>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340" w:type="dxa"/>
            <w:vAlign w:val="bottom"/>
            <w:tcBorders>
              <w:right w:val="single" w:sz="8" w:color="C0C0C0"/>
            </w:tcBorders>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600" w:type="dxa"/>
            <w:vAlign w:val="bottom"/>
            <w:tcBorders>
              <w:right w:val="single" w:sz="8" w:color="C0C0C0"/>
            </w:tcBorders>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62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84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40" w:type="dxa"/>
            <w:vAlign w:val="bottom"/>
            <w:shd w:val="clear" w:color="auto" w:fill="C0C0C0"/>
          </w:tcPr>
          <w:p>
            <w:pPr>
              <w:spacing w:after="0"/>
              <w:rPr>
                <w:sz w:val="14"/>
                <w:szCs w:val="14"/>
                <w:color w:val="auto"/>
              </w:rPr>
            </w:pPr>
          </w:p>
        </w:tc>
        <w:tc>
          <w:tcPr>
            <w:tcW w:w="58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80" w:type="dxa"/>
            <w:vAlign w:val="bottom"/>
            <w:shd w:val="clear" w:color="auto" w:fill="C0C0C0"/>
          </w:tcPr>
          <w:p>
            <w:pPr>
              <w:spacing w:after="0"/>
              <w:rPr>
                <w:sz w:val="14"/>
                <w:szCs w:val="14"/>
                <w:color w:val="auto"/>
              </w:rPr>
            </w:pPr>
          </w:p>
        </w:tc>
        <w:tc>
          <w:tcPr>
            <w:tcW w:w="660" w:type="dxa"/>
            <w:vAlign w:val="bottom"/>
            <w:shd w:val="clear" w:color="auto" w:fill="C0C0C0"/>
          </w:tcPr>
          <w:p>
            <w:pPr>
              <w:spacing w:after="0"/>
              <w:rPr>
                <w:sz w:val="14"/>
                <w:szCs w:val="14"/>
                <w:color w:val="auto"/>
              </w:rPr>
            </w:pPr>
          </w:p>
        </w:tc>
      </w:tr>
      <w:tr>
        <w:trPr>
          <w:trHeight w:val="211"/>
        </w:trPr>
        <w:tc>
          <w:tcPr>
            <w:tcW w:w="5200" w:type="dxa"/>
            <w:vAlign w:val="bottom"/>
            <w:tcBorders>
              <w:bottom w:val="single" w:sz="8" w:color="C0C0C0"/>
            </w:tcBorders>
            <w:shd w:val="clear" w:color="auto" w:fill="C0C0C0"/>
          </w:tcPr>
          <w:p>
            <w:pPr>
              <w:ind w:left="200"/>
              <w:spacing w:after="0"/>
              <w:rPr>
                <w:sz w:val="20"/>
                <w:szCs w:val="20"/>
                <w:color w:val="auto"/>
              </w:rPr>
            </w:pPr>
            <w:r>
              <w:rPr>
                <w:rFonts w:ascii="Arial" w:cs="Arial" w:eastAsia="Arial" w:hAnsi="Arial"/>
                <w:sz w:val="11"/>
                <w:szCs w:val="11"/>
                <w:color w:val="auto"/>
              </w:rPr>
              <w:t>Company 401(k) Savings Plan contribution</w:t>
            </w:r>
          </w:p>
        </w:tc>
        <w:tc>
          <w:tcPr>
            <w:tcW w:w="100" w:type="dxa"/>
            <w:vAlign w:val="bottom"/>
            <w:tcBorders>
              <w:bottom w:val="single" w:sz="8" w:color="C0C0C0"/>
            </w:tcBorders>
            <w:shd w:val="clear" w:color="auto" w:fill="C0C0C0"/>
          </w:tcPr>
          <w:p>
            <w:pPr>
              <w:spacing w:after="0"/>
              <w:rPr>
                <w:sz w:val="18"/>
                <w:szCs w:val="18"/>
                <w:color w:val="auto"/>
              </w:rPr>
            </w:pPr>
          </w:p>
        </w:tc>
        <w:tc>
          <w:tcPr>
            <w:tcW w:w="44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30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right w:val="single" w:sz="8" w:color="C0C0C0"/>
            </w:tcBorders>
            <w:shd w:val="clear" w:color="auto" w:fill="C0C0C0"/>
          </w:tcPr>
          <w:p>
            <w:pPr>
              <w:jc w:val="right"/>
              <w:ind w:right="65"/>
              <w:spacing w:after="0"/>
              <w:rPr>
                <w:sz w:val="20"/>
                <w:szCs w:val="20"/>
                <w:color w:val="auto"/>
              </w:rPr>
            </w:pPr>
            <w:r>
              <w:rPr>
                <w:rFonts w:ascii="Arial" w:cs="Arial" w:eastAsia="Arial" w:hAnsi="Arial"/>
                <w:sz w:val="11"/>
                <w:szCs w:val="11"/>
                <w:color w:val="auto"/>
              </w:rPr>
              <w:t>111</w:t>
            </w:r>
          </w:p>
        </w:tc>
        <w:tc>
          <w:tcPr>
            <w:tcW w:w="160" w:type="dxa"/>
            <w:vAlign w:val="bottom"/>
            <w:tcBorders>
              <w:bottom w:val="single" w:sz="8" w:color="C0C0C0"/>
            </w:tcBorders>
            <w:shd w:val="clear" w:color="auto" w:fill="C0C0C0"/>
          </w:tcPr>
          <w:p>
            <w:pPr>
              <w:spacing w:after="0"/>
              <w:rPr>
                <w:sz w:val="18"/>
                <w:szCs w:val="18"/>
                <w:color w:val="auto"/>
              </w:rPr>
            </w:pPr>
          </w:p>
        </w:tc>
        <w:tc>
          <w:tcPr>
            <w:tcW w:w="340" w:type="dxa"/>
            <w:vAlign w:val="bottom"/>
            <w:tcBorders>
              <w:bottom w:val="single" w:sz="8" w:color="C0C0C0"/>
              <w:right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600" w:type="dxa"/>
            <w:vAlign w:val="bottom"/>
            <w:tcBorders>
              <w:bottom w:val="single" w:sz="8" w:color="C0C0C0"/>
              <w:right w:val="single" w:sz="8" w:color="C0C0C0"/>
            </w:tcBorders>
            <w:shd w:val="clear" w:color="auto" w:fill="C0C0C0"/>
          </w:tcPr>
          <w:p>
            <w:pPr>
              <w:jc w:val="right"/>
              <w:ind w:right="65"/>
              <w:spacing w:after="0"/>
              <w:rPr>
                <w:sz w:val="20"/>
                <w:szCs w:val="20"/>
                <w:color w:val="auto"/>
              </w:rPr>
            </w:pPr>
            <w:r>
              <w:rPr>
                <w:rFonts w:ascii="Arial" w:cs="Arial" w:eastAsia="Arial" w:hAnsi="Arial"/>
                <w:sz w:val="11"/>
                <w:szCs w:val="11"/>
                <w:color w:val="auto"/>
              </w:rPr>
              <w:t>2,867</w:t>
            </w:r>
          </w:p>
        </w:tc>
        <w:tc>
          <w:tcPr>
            <w:tcW w:w="80" w:type="dxa"/>
            <w:vAlign w:val="bottom"/>
            <w:tcBorders>
              <w:bottom w:val="single" w:sz="8" w:color="C0C0C0"/>
            </w:tcBorders>
            <w:shd w:val="clear" w:color="auto" w:fill="C0C0C0"/>
          </w:tcPr>
          <w:p>
            <w:pPr>
              <w:spacing w:after="0"/>
              <w:rPr>
                <w:sz w:val="18"/>
                <w:szCs w:val="18"/>
                <w:color w:val="auto"/>
              </w:rPr>
            </w:pPr>
          </w:p>
        </w:tc>
        <w:tc>
          <w:tcPr>
            <w:tcW w:w="62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84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580" w:type="dxa"/>
            <w:vAlign w:val="bottom"/>
            <w:tcBorders>
              <w:bottom w:val="single" w:sz="8" w:color="C0C0C0"/>
            </w:tcBorders>
            <w:shd w:val="clear" w:color="auto" w:fill="C0C0C0"/>
          </w:tcPr>
          <w:p>
            <w:pPr>
              <w:jc w:val="right"/>
              <w:ind w:right="45"/>
              <w:spacing w:after="0"/>
              <w:rPr>
                <w:sz w:val="20"/>
                <w:szCs w:val="20"/>
                <w:color w:val="auto"/>
              </w:rPr>
            </w:pPr>
            <w:r>
              <w:rPr>
                <w:rFonts w:ascii="Arial" w:cs="Arial" w:eastAsia="Arial" w:hAnsi="Arial"/>
                <w:sz w:val="11"/>
                <w:szCs w:val="11"/>
                <w:color w:val="auto"/>
              </w:rPr>
              <w:t>2,867</w:t>
            </w:r>
          </w:p>
        </w:tc>
        <w:tc>
          <w:tcPr>
            <w:tcW w:w="100" w:type="dxa"/>
            <w:vAlign w:val="bottom"/>
            <w:tcBorders>
              <w:bottom w:val="single" w:sz="8" w:color="C0C0C0"/>
            </w:tcBorders>
            <w:shd w:val="clear" w:color="auto" w:fill="C0C0C0"/>
          </w:tcPr>
          <w:p>
            <w:pPr>
              <w:spacing w:after="0"/>
              <w:rPr>
                <w:sz w:val="18"/>
                <w:szCs w:val="18"/>
                <w:color w:val="auto"/>
              </w:rPr>
            </w:pPr>
          </w:p>
        </w:tc>
        <w:tc>
          <w:tcPr>
            <w:tcW w:w="180" w:type="dxa"/>
            <w:vAlign w:val="bottom"/>
            <w:tcBorders>
              <w:bottom w:val="single" w:sz="8" w:color="C0C0C0"/>
            </w:tcBorders>
            <w:shd w:val="clear" w:color="auto" w:fill="C0C0C0"/>
          </w:tcPr>
          <w:p>
            <w:pPr>
              <w:spacing w:after="0"/>
              <w:rPr>
                <w:sz w:val="18"/>
                <w:szCs w:val="18"/>
                <w:color w:val="auto"/>
              </w:rPr>
            </w:pPr>
          </w:p>
        </w:tc>
        <w:tc>
          <w:tcPr>
            <w:tcW w:w="660" w:type="dxa"/>
            <w:vAlign w:val="bottom"/>
            <w:tcBorders>
              <w:bottom w:val="single" w:sz="8" w:color="C0C0C0"/>
            </w:tcBorders>
            <w:shd w:val="clear" w:color="auto" w:fill="C0C0C0"/>
          </w:tcPr>
          <w:p>
            <w:pPr>
              <w:spacing w:after="0"/>
              <w:rPr>
                <w:sz w:val="18"/>
                <w:szCs w:val="18"/>
                <w:color w:val="auto"/>
              </w:rPr>
            </w:pPr>
          </w:p>
        </w:tc>
      </w:tr>
      <w:tr>
        <w:trPr>
          <w:trHeight w:val="164"/>
        </w:trPr>
        <w:tc>
          <w:tcPr>
            <w:tcW w:w="5200" w:type="dxa"/>
            <w:vAlign w:val="bottom"/>
          </w:tcPr>
          <w:p>
            <w:pPr>
              <w:spacing w:after="0"/>
              <w:rPr>
                <w:sz w:val="20"/>
                <w:szCs w:val="20"/>
                <w:color w:val="auto"/>
              </w:rPr>
            </w:pPr>
            <w:r>
              <w:rPr>
                <w:rFonts w:ascii="Arial" w:cs="Arial" w:eastAsia="Arial" w:hAnsi="Arial"/>
                <w:sz w:val="11"/>
                <w:szCs w:val="11"/>
                <w:color w:val="auto"/>
              </w:rPr>
              <w:t>Issuance of restricted Common Stock under</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7"/>
        </w:trPr>
        <w:tc>
          <w:tcPr>
            <w:tcW w:w="5200" w:type="dxa"/>
            <w:vAlign w:val="bottom"/>
          </w:tcPr>
          <w:p>
            <w:pPr>
              <w:ind w:left="200"/>
              <w:spacing w:after="0"/>
              <w:rPr>
                <w:sz w:val="20"/>
                <w:szCs w:val="20"/>
                <w:color w:val="auto"/>
              </w:rPr>
            </w:pPr>
            <w:r>
              <w:rPr>
                <w:rFonts w:ascii="Arial" w:cs="Arial" w:eastAsia="Arial" w:hAnsi="Arial"/>
                <w:sz w:val="11"/>
                <w:szCs w:val="11"/>
                <w:color w:val="auto"/>
              </w:rPr>
              <w:t>Long-Term Incentive Plan</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ind w:right="65"/>
              <w:spacing w:after="0"/>
              <w:rPr>
                <w:sz w:val="20"/>
                <w:szCs w:val="20"/>
                <w:color w:val="auto"/>
              </w:rPr>
            </w:pPr>
            <w:r>
              <w:rPr>
                <w:rFonts w:ascii="Arial" w:cs="Arial" w:eastAsia="Arial" w:hAnsi="Arial"/>
                <w:sz w:val="11"/>
                <w:szCs w:val="11"/>
                <w:color w:val="auto"/>
              </w:rPr>
              <w:t>15</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34"/>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77"/>
        </w:trPr>
        <w:tc>
          <w:tcPr>
            <w:tcW w:w="52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1"/>
                <w:szCs w:val="11"/>
                <w:color w:val="auto"/>
              </w:rPr>
              <w:t>Conversion of Class A Stock to Common Stock</w:t>
            </w:r>
          </w:p>
        </w:tc>
        <w:tc>
          <w:tcPr>
            <w:tcW w:w="540" w:type="dxa"/>
            <w:vAlign w:val="bottom"/>
            <w:tcBorders>
              <w:bottom w:val="single" w:sz="8" w:color="C0C0C0"/>
            </w:tcBorders>
            <w:gridSpan w:val="2"/>
            <w:shd w:val="clear" w:color="auto" w:fill="C0C0C0"/>
          </w:tcPr>
          <w:p>
            <w:pPr>
              <w:jc w:val="right"/>
              <w:ind w:right="5"/>
              <w:spacing w:after="0"/>
              <w:rPr>
                <w:sz w:val="20"/>
                <w:szCs w:val="20"/>
                <w:color w:val="auto"/>
              </w:rPr>
            </w:pPr>
            <w:r>
              <w:rPr>
                <w:rFonts w:ascii="Arial" w:cs="Arial" w:eastAsia="Arial" w:hAnsi="Arial"/>
                <w:sz w:val="11"/>
                <w:szCs w:val="11"/>
                <w:color w:val="auto"/>
              </w:rPr>
              <w:t>(63)</w:t>
            </w:r>
          </w:p>
        </w:tc>
        <w:tc>
          <w:tcPr>
            <w:tcW w:w="100" w:type="dxa"/>
            <w:vAlign w:val="bottom"/>
            <w:tcBorders>
              <w:bottom w:val="single" w:sz="8" w:color="C0C0C0"/>
            </w:tcBorders>
            <w:shd w:val="clear" w:color="auto" w:fill="C0C0C0"/>
          </w:tcPr>
          <w:p>
            <w:pPr>
              <w:spacing w:after="0"/>
              <w:rPr>
                <w:sz w:val="15"/>
                <w:szCs w:val="15"/>
                <w:color w:val="auto"/>
              </w:rPr>
            </w:pPr>
          </w:p>
        </w:tc>
        <w:tc>
          <w:tcPr>
            <w:tcW w:w="30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460" w:type="dxa"/>
            <w:vAlign w:val="bottom"/>
            <w:tcBorders>
              <w:bottom w:val="single" w:sz="8" w:color="C0C0C0"/>
              <w:right w:val="single" w:sz="8" w:color="C0C0C0"/>
            </w:tcBorders>
            <w:shd w:val="clear" w:color="auto" w:fill="C0C0C0"/>
          </w:tcPr>
          <w:p>
            <w:pPr>
              <w:jc w:val="right"/>
              <w:ind w:right="65"/>
              <w:spacing w:after="0"/>
              <w:rPr>
                <w:sz w:val="20"/>
                <w:szCs w:val="20"/>
                <w:color w:val="auto"/>
              </w:rPr>
            </w:pPr>
            <w:r>
              <w:rPr>
                <w:rFonts w:ascii="Arial" w:cs="Arial" w:eastAsia="Arial" w:hAnsi="Arial"/>
                <w:sz w:val="11"/>
                <w:szCs w:val="11"/>
                <w:color w:val="auto"/>
              </w:rPr>
              <w:t>63</w:t>
            </w:r>
          </w:p>
        </w:tc>
        <w:tc>
          <w:tcPr>
            <w:tcW w:w="160" w:type="dxa"/>
            <w:vAlign w:val="bottom"/>
            <w:tcBorders>
              <w:bottom w:val="single" w:sz="8" w:color="C0C0C0"/>
            </w:tcBorders>
            <w:shd w:val="clear" w:color="auto" w:fill="C0C0C0"/>
          </w:tcPr>
          <w:p>
            <w:pPr>
              <w:spacing w:after="0"/>
              <w:rPr>
                <w:sz w:val="15"/>
                <w:szCs w:val="15"/>
                <w:color w:val="auto"/>
              </w:rPr>
            </w:pPr>
          </w:p>
        </w:tc>
        <w:tc>
          <w:tcPr>
            <w:tcW w:w="340" w:type="dxa"/>
            <w:vAlign w:val="bottom"/>
            <w:tcBorders>
              <w:bottom w:val="single" w:sz="8" w:color="C0C0C0"/>
              <w:right w:val="single" w:sz="8" w:color="C0C0C0"/>
            </w:tcBorders>
            <w:shd w:val="clear" w:color="auto" w:fill="C0C0C0"/>
          </w:tcPr>
          <w:p>
            <w:pPr>
              <w:spacing w:after="0"/>
              <w:rPr>
                <w:sz w:val="15"/>
                <w:szCs w:val="15"/>
                <w:color w:val="auto"/>
              </w:rPr>
            </w:pPr>
          </w:p>
        </w:tc>
        <w:tc>
          <w:tcPr>
            <w:tcW w:w="80" w:type="dxa"/>
            <w:vAlign w:val="bottom"/>
            <w:tcBorders>
              <w:bottom w:val="single" w:sz="8" w:color="C0C0C0"/>
            </w:tcBorders>
            <w:shd w:val="clear" w:color="auto" w:fill="C0C0C0"/>
          </w:tcPr>
          <w:p>
            <w:pPr>
              <w:spacing w:after="0"/>
              <w:rPr>
                <w:sz w:val="15"/>
                <w:szCs w:val="15"/>
                <w:color w:val="auto"/>
              </w:rPr>
            </w:pPr>
          </w:p>
        </w:tc>
        <w:tc>
          <w:tcPr>
            <w:tcW w:w="600" w:type="dxa"/>
            <w:vAlign w:val="bottom"/>
            <w:tcBorders>
              <w:bottom w:val="single" w:sz="8" w:color="C0C0C0"/>
              <w:right w:val="single" w:sz="8" w:color="C0C0C0"/>
            </w:tcBorders>
            <w:shd w:val="clear" w:color="auto" w:fill="C0C0C0"/>
          </w:tcPr>
          <w:p>
            <w:pPr>
              <w:spacing w:after="0"/>
              <w:rPr>
                <w:sz w:val="15"/>
                <w:szCs w:val="15"/>
                <w:color w:val="auto"/>
              </w:rPr>
            </w:pPr>
          </w:p>
        </w:tc>
        <w:tc>
          <w:tcPr>
            <w:tcW w:w="80" w:type="dxa"/>
            <w:vAlign w:val="bottom"/>
            <w:tcBorders>
              <w:bottom w:val="single" w:sz="8" w:color="C0C0C0"/>
            </w:tcBorders>
            <w:shd w:val="clear" w:color="auto" w:fill="C0C0C0"/>
          </w:tcPr>
          <w:p>
            <w:pPr>
              <w:spacing w:after="0"/>
              <w:rPr>
                <w:sz w:val="15"/>
                <w:szCs w:val="15"/>
                <w:color w:val="auto"/>
              </w:rPr>
            </w:pPr>
          </w:p>
        </w:tc>
        <w:tc>
          <w:tcPr>
            <w:tcW w:w="62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80" w:type="dxa"/>
            <w:vAlign w:val="bottom"/>
            <w:tcBorders>
              <w:bottom w:val="single" w:sz="8" w:color="C0C0C0"/>
            </w:tcBorders>
            <w:shd w:val="clear" w:color="auto" w:fill="C0C0C0"/>
          </w:tcPr>
          <w:p>
            <w:pPr>
              <w:spacing w:after="0"/>
              <w:rPr>
                <w:sz w:val="15"/>
                <w:szCs w:val="15"/>
                <w:color w:val="auto"/>
              </w:rPr>
            </w:pPr>
          </w:p>
        </w:tc>
        <w:tc>
          <w:tcPr>
            <w:tcW w:w="84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140" w:type="dxa"/>
            <w:vAlign w:val="bottom"/>
            <w:tcBorders>
              <w:bottom w:val="single" w:sz="8" w:color="C0C0C0"/>
            </w:tcBorders>
            <w:shd w:val="clear" w:color="auto" w:fill="C0C0C0"/>
          </w:tcPr>
          <w:p>
            <w:pPr>
              <w:spacing w:after="0"/>
              <w:rPr>
                <w:sz w:val="15"/>
                <w:szCs w:val="15"/>
                <w:color w:val="auto"/>
              </w:rPr>
            </w:pPr>
          </w:p>
        </w:tc>
        <w:tc>
          <w:tcPr>
            <w:tcW w:w="58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180" w:type="dxa"/>
            <w:vAlign w:val="bottom"/>
            <w:tcBorders>
              <w:bottom w:val="single" w:sz="8" w:color="C0C0C0"/>
            </w:tcBorders>
            <w:shd w:val="clear" w:color="auto" w:fill="C0C0C0"/>
          </w:tcPr>
          <w:p>
            <w:pPr>
              <w:spacing w:after="0"/>
              <w:rPr>
                <w:sz w:val="15"/>
                <w:szCs w:val="15"/>
                <w:color w:val="auto"/>
              </w:rPr>
            </w:pPr>
          </w:p>
        </w:tc>
        <w:tc>
          <w:tcPr>
            <w:tcW w:w="660" w:type="dxa"/>
            <w:vAlign w:val="bottom"/>
            <w:tcBorders>
              <w:bottom w:val="single" w:sz="8" w:color="C0C0C0"/>
            </w:tcBorders>
            <w:shd w:val="clear" w:color="auto" w:fill="C0C0C0"/>
          </w:tcPr>
          <w:p>
            <w:pPr>
              <w:spacing w:after="0"/>
              <w:rPr>
                <w:sz w:val="15"/>
                <w:szCs w:val="15"/>
                <w:color w:val="auto"/>
              </w:rPr>
            </w:pPr>
          </w:p>
        </w:tc>
      </w:tr>
      <w:tr>
        <w:trPr>
          <w:trHeight w:val="164"/>
        </w:trPr>
        <w:tc>
          <w:tcPr>
            <w:tcW w:w="5200" w:type="dxa"/>
            <w:vAlign w:val="bottom"/>
          </w:tcPr>
          <w:p>
            <w:pPr>
              <w:spacing w:after="0"/>
              <w:rPr>
                <w:sz w:val="20"/>
                <w:szCs w:val="20"/>
                <w:color w:val="auto"/>
              </w:rPr>
            </w:pPr>
            <w:r>
              <w:rPr>
                <w:rFonts w:ascii="Arial" w:cs="Arial" w:eastAsia="Arial" w:hAnsi="Arial"/>
                <w:sz w:val="11"/>
                <w:szCs w:val="11"/>
                <w:color w:val="auto"/>
              </w:rPr>
              <w:t>Stock-based compensation charges</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65"/>
              <w:spacing w:after="0"/>
              <w:rPr>
                <w:sz w:val="20"/>
                <w:szCs w:val="20"/>
                <w:color w:val="auto"/>
              </w:rPr>
            </w:pPr>
            <w:r>
              <w:rPr>
                <w:rFonts w:ascii="Arial" w:cs="Arial" w:eastAsia="Arial" w:hAnsi="Arial"/>
                <w:sz w:val="11"/>
                <w:szCs w:val="11"/>
                <w:color w:val="auto"/>
              </w:rPr>
              <w:t>26,331</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Arial" w:cs="Arial" w:eastAsia="Arial" w:hAnsi="Arial"/>
                <w:sz w:val="11"/>
                <w:szCs w:val="11"/>
                <w:color w:val="auto"/>
              </w:rPr>
              <w:t>26,331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4"/>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77"/>
        </w:trPr>
        <w:tc>
          <w:tcPr>
            <w:tcW w:w="52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1"/>
                <w:szCs w:val="11"/>
                <w:color w:val="auto"/>
              </w:rPr>
              <w:t>Net loss</w:t>
            </w:r>
          </w:p>
        </w:tc>
        <w:tc>
          <w:tcPr>
            <w:tcW w:w="100" w:type="dxa"/>
            <w:vAlign w:val="bottom"/>
            <w:tcBorders>
              <w:bottom w:val="single" w:sz="8" w:color="C0C0C0"/>
            </w:tcBorders>
            <w:shd w:val="clear" w:color="auto" w:fill="C0C0C0"/>
          </w:tcPr>
          <w:p>
            <w:pPr>
              <w:spacing w:after="0"/>
              <w:rPr>
                <w:sz w:val="15"/>
                <w:szCs w:val="15"/>
                <w:color w:val="auto"/>
              </w:rPr>
            </w:pPr>
          </w:p>
        </w:tc>
        <w:tc>
          <w:tcPr>
            <w:tcW w:w="44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30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460" w:type="dxa"/>
            <w:vAlign w:val="bottom"/>
            <w:tcBorders>
              <w:bottom w:val="single" w:sz="8" w:color="C0C0C0"/>
              <w:right w:val="single" w:sz="8" w:color="C0C0C0"/>
            </w:tcBorders>
            <w:shd w:val="clear" w:color="auto" w:fill="C0C0C0"/>
          </w:tcPr>
          <w:p>
            <w:pPr>
              <w:spacing w:after="0"/>
              <w:rPr>
                <w:sz w:val="15"/>
                <w:szCs w:val="15"/>
                <w:color w:val="auto"/>
              </w:rPr>
            </w:pPr>
          </w:p>
        </w:tc>
        <w:tc>
          <w:tcPr>
            <w:tcW w:w="160" w:type="dxa"/>
            <w:vAlign w:val="bottom"/>
            <w:tcBorders>
              <w:bottom w:val="single" w:sz="8" w:color="C0C0C0"/>
            </w:tcBorders>
            <w:shd w:val="clear" w:color="auto" w:fill="C0C0C0"/>
          </w:tcPr>
          <w:p>
            <w:pPr>
              <w:spacing w:after="0"/>
              <w:rPr>
                <w:sz w:val="15"/>
                <w:szCs w:val="15"/>
                <w:color w:val="auto"/>
              </w:rPr>
            </w:pPr>
          </w:p>
        </w:tc>
        <w:tc>
          <w:tcPr>
            <w:tcW w:w="340" w:type="dxa"/>
            <w:vAlign w:val="bottom"/>
            <w:tcBorders>
              <w:bottom w:val="single" w:sz="8" w:color="C0C0C0"/>
              <w:right w:val="single" w:sz="8" w:color="C0C0C0"/>
            </w:tcBorders>
            <w:shd w:val="clear" w:color="auto" w:fill="C0C0C0"/>
          </w:tcPr>
          <w:p>
            <w:pPr>
              <w:spacing w:after="0"/>
              <w:rPr>
                <w:sz w:val="15"/>
                <w:szCs w:val="15"/>
                <w:color w:val="auto"/>
              </w:rPr>
            </w:pPr>
          </w:p>
        </w:tc>
        <w:tc>
          <w:tcPr>
            <w:tcW w:w="80" w:type="dxa"/>
            <w:vAlign w:val="bottom"/>
            <w:tcBorders>
              <w:bottom w:val="single" w:sz="8" w:color="C0C0C0"/>
            </w:tcBorders>
            <w:shd w:val="clear" w:color="auto" w:fill="C0C0C0"/>
          </w:tcPr>
          <w:p>
            <w:pPr>
              <w:spacing w:after="0"/>
              <w:rPr>
                <w:sz w:val="15"/>
                <w:szCs w:val="15"/>
                <w:color w:val="auto"/>
              </w:rPr>
            </w:pPr>
          </w:p>
        </w:tc>
        <w:tc>
          <w:tcPr>
            <w:tcW w:w="600" w:type="dxa"/>
            <w:vAlign w:val="bottom"/>
            <w:tcBorders>
              <w:bottom w:val="single" w:sz="8" w:color="C0C0C0"/>
              <w:right w:val="single" w:sz="8" w:color="C0C0C0"/>
            </w:tcBorders>
            <w:shd w:val="clear" w:color="auto" w:fill="C0C0C0"/>
          </w:tcPr>
          <w:p>
            <w:pPr>
              <w:spacing w:after="0"/>
              <w:rPr>
                <w:sz w:val="15"/>
                <w:szCs w:val="15"/>
                <w:color w:val="auto"/>
              </w:rPr>
            </w:pPr>
          </w:p>
        </w:tc>
        <w:tc>
          <w:tcPr>
            <w:tcW w:w="80" w:type="dxa"/>
            <w:vAlign w:val="bottom"/>
            <w:tcBorders>
              <w:bottom w:val="single" w:sz="8" w:color="C0C0C0"/>
            </w:tcBorders>
            <w:shd w:val="clear" w:color="auto" w:fill="C0C0C0"/>
          </w:tcPr>
          <w:p>
            <w:pPr>
              <w:spacing w:after="0"/>
              <w:rPr>
                <w:sz w:val="15"/>
                <w:szCs w:val="15"/>
                <w:color w:val="auto"/>
              </w:rPr>
            </w:pPr>
          </w:p>
        </w:tc>
        <w:tc>
          <w:tcPr>
            <w:tcW w:w="620" w:type="dxa"/>
            <w:vAlign w:val="bottom"/>
            <w:tcBorders>
              <w:bottom w:val="single" w:sz="8" w:color="C0C0C0"/>
            </w:tcBorders>
            <w:shd w:val="clear" w:color="auto" w:fill="C0C0C0"/>
          </w:tcPr>
          <w:p>
            <w:pPr>
              <w:jc w:val="right"/>
              <w:ind w:right="25"/>
              <w:spacing w:after="0"/>
              <w:rPr>
                <w:sz w:val="20"/>
                <w:szCs w:val="20"/>
                <w:color w:val="auto"/>
              </w:rPr>
            </w:pPr>
            <w:r>
              <w:rPr>
                <w:rFonts w:ascii="Arial" w:cs="Arial" w:eastAsia="Arial" w:hAnsi="Arial"/>
                <w:sz w:val="11"/>
                <w:szCs w:val="11"/>
                <w:color w:val="auto"/>
              </w:rPr>
              <w:t>(89,871)</w:t>
            </w:r>
          </w:p>
        </w:tc>
        <w:tc>
          <w:tcPr>
            <w:tcW w:w="100" w:type="dxa"/>
            <w:vAlign w:val="bottom"/>
            <w:tcBorders>
              <w:bottom w:val="single" w:sz="8" w:color="C0C0C0"/>
            </w:tcBorders>
            <w:shd w:val="clear" w:color="auto" w:fill="C0C0C0"/>
          </w:tcPr>
          <w:p>
            <w:pPr>
              <w:spacing w:after="0"/>
              <w:rPr>
                <w:sz w:val="15"/>
                <w:szCs w:val="15"/>
                <w:color w:val="auto"/>
              </w:rPr>
            </w:pPr>
          </w:p>
        </w:tc>
        <w:tc>
          <w:tcPr>
            <w:tcW w:w="80" w:type="dxa"/>
            <w:vAlign w:val="bottom"/>
            <w:tcBorders>
              <w:bottom w:val="single" w:sz="8" w:color="C0C0C0"/>
            </w:tcBorders>
            <w:shd w:val="clear" w:color="auto" w:fill="C0C0C0"/>
          </w:tcPr>
          <w:p>
            <w:pPr>
              <w:spacing w:after="0"/>
              <w:rPr>
                <w:sz w:val="15"/>
                <w:szCs w:val="15"/>
                <w:color w:val="auto"/>
              </w:rPr>
            </w:pPr>
          </w:p>
        </w:tc>
        <w:tc>
          <w:tcPr>
            <w:tcW w:w="84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140" w:type="dxa"/>
            <w:vAlign w:val="bottom"/>
            <w:tcBorders>
              <w:bottom w:val="single" w:sz="8" w:color="C0C0C0"/>
            </w:tcBorders>
            <w:shd w:val="clear" w:color="auto" w:fill="C0C0C0"/>
          </w:tcPr>
          <w:p>
            <w:pPr>
              <w:spacing w:after="0"/>
              <w:rPr>
                <w:sz w:val="15"/>
                <w:szCs w:val="15"/>
                <w:color w:val="auto"/>
              </w:rPr>
            </w:pPr>
          </w:p>
        </w:tc>
        <w:tc>
          <w:tcPr>
            <w:tcW w:w="580" w:type="dxa"/>
            <w:vAlign w:val="bottom"/>
            <w:tcBorders>
              <w:bottom w:val="single" w:sz="8" w:color="C0C0C0"/>
            </w:tcBorders>
            <w:shd w:val="clear" w:color="auto" w:fill="C0C0C0"/>
          </w:tcPr>
          <w:p>
            <w:pPr>
              <w:jc w:val="right"/>
              <w:ind w:right="5"/>
              <w:spacing w:after="0"/>
              <w:rPr>
                <w:sz w:val="20"/>
                <w:szCs w:val="20"/>
                <w:color w:val="auto"/>
              </w:rPr>
            </w:pPr>
            <w:r>
              <w:rPr>
                <w:rFonts w:ascii="Arial" w:cs="Arial" w:eastAsia="Arial" w:hAnsi="Arial"/>
                <w:sz w:val="11"/>
                <w:szCs w:val="11"/>
                <w:color w:val="auto"/>
              </w:rPr>
              <w:t>(89,871)</w:t>
            </w:r>
          </w:p>
        </w:tc>
        <w:tc>
          <w:tcPr>
            <w:tcW w:w="100" w:type="dxa"/>
            <w:vAlign w:val="bottom"/>
            <w:tcBorders>
              <w:bottom w:val="single" w:sz="8" w:color="C0C0C0"/>
            </w:tcBorders>
            <w:shd w:val="clear" w:color="auto" w:fill="C0C0C0"/>
          </w:tcPr>
          <w:p>
            <w:pPr>
              <w:spacing w:after="0"/>
              <w:rPr>
                <w:sz w:val="15"/>
                <w:szCs w:val="15"/>
                <w:color w:val="auto"/>
              </w:rPr>
            </w:pPr>
          </w:p>
        </w:tc>
        <w:tc>
          <w:tcPr>
            <w:tcW w:w="180" w:type="dxa"/>
            <w:vAlign w:val="bottom"/>
            <w:tcBorders>
              <w:bottom w:val="single" w:sz="8" w:color="C0C0C0"/>
            </w:tcBorders>
            <w:shd w:val="clear" w:color="auto" w:fill="C0C0C0"/>
          </w:tcPr>
          <w:p>
            <w:pPr>
              <w:jc w:val="right"/>
              <w:ind w:right="7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0C0C0"/>
            </w:tcBorders>
            <w:shd w:val="clear" w:color="auto" w:fill="C0C0C0"/>
          </w:tcPr>
          <w:p>
            <w:pPr>
              <w:jc w:val="right"/>
              <w:ind w:right="45"/>
              <w:spacing w:after="0"/>
              <w:rPr>
                <w:sz w:val="20"/>
                <w:szCs w:val="20"/>
                <w:color w:val="auto"/>
              </w:rPr>
            </w:pPr>
            <w:r>
              <w:rPr>
                <w:rFonts w:ascii="Arial" w:cs="Arial" w:eastAsia="Arial" w:hAnsi="Arial"/>
                <w:sz w:val="11"/>
                <w:szCs w:val="11"/>
                <w:color w:val="auto"/>
              </w:rPr>
              <w:t>(89,871)</w:t>
            </w:r>
          </w:p>
        </w:tc>
      </w:tr>
      <w:tr>
        <w:trPr>
          <w:trHeight w:val="164"/>
        </w:trPr>
        <w:tc>
          <w:tcPr>
            <w:tcW w:w="5200" w:type="dxa"/>
            <w:vAlign w:val="bottom"/>
          </w:tcPr>
          <w:p>
            <w:pPr>
              <w:spacing w:after="0"/>
              <w:rPr>
                <w:sz w:val="20"/>
                <w:szCs w:val="20"/>
                <w:color w:val="auto"/>
              </w:rPr>
            </w:pPr>
            <w:r>
              <w:rPr>
                <w:rFonts w:ascii="Arial" w:cs="Arial" w:eastAsia="Arial" w:hAnsi="Arial"/>
                <w:sz w:val="11"/>
                <w:szCs w:val="11"/>
                <w:color w:val="auto"/>
              </w:rPr>
              <w:t>Change in net unrealized gain (loss) on</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7"/>
        </w:trPr>
        <w:tc>
          <w:tcPr>
            <w:tcW w:w="5200" w:type="dxa"/>
            <w:vAlign w:val="bottom"/>
          </w:tcPr>
          <w:p>
            <w:pPr>
              <w:ind w:left="200"/>
              <w:spacing w:after="0"/>
              <w:rPr>
                <w:sz w:val="20"/>
                <w:szCs w:val="20"/>
                <w:color w:val="auto"/>
              </w:rPr>
            </w:pPr>
            <w:r>
              <w:rPr>
                <w:rFonts w:ascii="Arial" w:cs="Arial" w:eastAsia="Arial" w:hAnsi="Arial"/>
                <w:sz w:val="11"/>
                <w:szCs w:val="11"/>
                <w:color w:val="auto"/>
              </w:rPr>
              <w:t>marketable securities</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165"/>
              <w:spacing w:after="0"/>
              <w:rPr>
                <w:sz w:val="20"/>
                <w:szCs w:val="20"/>
                <w:color w:val="auto"/>
              </w:rPr>
            </w:pPr>
            <w:r>
              <w:rPr>
                <w:rFonts w:ascii="Arial" w:cs="Arial" w:eastAsia="Arial" w:hAnsi="Arial"/>
                <w:sz w:val="11"/>
                <w:szCs w:val="11"/>
                <w:color w:val="auto"/>
              </w:rPr>
              <w:t>(1,219)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(1,219)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45"/>
              <w:spacing w:after="0"/>
              <w:rPr>
                <w:sz w:val="20"/>
                <w:szCs w:val="20"/>
                <w:color w:val="auto"/>
              </w:rPr>
            </w:pPr>
            <w:r>
              <w:rPr>
                <w:rFonts w:ascii="Arial" w:cs="Arial" w:eastAsia="Arial" w:hAnsi="Arial"/>
                <w:sz w:val="11"/>
                <w:szCs w:val="11"/>
                <w:color w:val="auto"/>
              </w:rPr>
              <w:t>(1,219)</w:t>
            </w:r>
          </w:p>
        </w:tc>
      </w:tr>
      <w:tr>
        <w:trPr>
          <w:trHeight w:val="34"/>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77"/>
        </w:trPr>
        <w:tc>
          <w:tcPr>
            <w:tcW w:w="52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1"/>
                <w:szCs w:val="11"/>
                <w:b w:val="1"/>
                <w:bCs w:val="1"/>
                <w:color w:val="auto"/>
              </w:rPr>
              <w:t>Balance, September 30, 2010</w:t>
            </w:r>
          </w:p>
        </w:tc>
        <w:tc>
          <w:tcPr>
            <w:tcW w:w="100" w:type="dxa"/>
            <w:vAlign w:val="bottom"/>
            <w:tcBorders>
              <w:bottom w:val="single" w:sz="8" w:color="C0C0C0"/>
            </w:tcBorders>
            <w:shd w:val="clear" w:color="auto" w:fill="C0C0C0"/>
          </w:tcPr>
          <w:p>
            <w:pPr>
              <w:spacing w:after="0"/>
              <w:rPr>
                <w:sz w:val="15"/>
                <w:szCs w:val="15"/>
                <w:color w:val="auto"/>
              </w:rPr>
            </w:pPr>
          </w:p>
        </w:tc>
        <w:tc>
          <w:tcPr>
            <w:tcW w:w="440" w:type="dxa"/>
            <w:vAlign w:val="bottom"/>
            <w:tcBorders>
              <w:bottom w:val="single" w:sz="8" w:color="C0C0C0"/>
            </w:tcBorders>
            <w:shd w:val="clear" w:color="auto" w:fill="C0C0C0"/>
          </w:tcPr>
          <w:p>
            <w:pPr>
              <w:jc w:val="right"/>
              <w:ind w:right="45"/>
              <w:spacing w:after="0"/>
              <w:rPr>
                <w:sz w:val="20"/>
                <w:szCs w:val="20"/>
                <w:color w:val="auto"/>
              </w:rPr>
            </w:pPr>
            <w:r>
              <w:rPr>
                <w:rFonts w:ascii="Arial" w:cs="Arial" w:eastAsia="Arial" w:hAnsi="Arial"/>
                <w:sz w:val="11"/>
                <w:szCs w:val="11"/>
                <w:color w:val="auto"/>
              </w:rPr>
              <w:t>2,182</w:t>
            </w:r>
          </w:p>
        </w:tc>
        <w:tc>
          <w:tcPr>
            <w:tcW w:w="400" w:type="dxa"/>
            <w:vAlign w:val="bottom"/>
            <w:tcBorders>
              <w:bottom w:val="single" w:sz="8" w:color="C0C0C0"/>
            </w:tcBorders>
            <w:gridSpan w:val="2"/>
            <w:shd w:val="clear" w:color="auto" w:fill="C0C0C0"/>
          </w:tcPr>
          <w:p>
            <w:pPr>
              <w:ind w:left="1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0C0C0"/>
            </w:tcBorders>
            <w:shd w:val="clear" w:color="auto" w:fill="C0C0C0"/>
          </w:tcPr>
          <w:p>
            <w:pPr>
              <w:spacing w:after="0"/>
              <w:rPr>
                <w:sz w:val="15"/>
                <w:szCs w:val="15"/>
                <w:color w:val="auto"/>
              </w:rPr>
            </w:pPr>
          </w:p>
        </w:tc>
        <w:tc>
          <w:tcPr>
            <w:tcW w:w="460" w:type="dxa"/>
            <w:vAlign w:val="bottom"/>
            <w:tcBorders>
              <w:bottom w:val="single" w:sz="8" w:color="C0C0C0"/>
              <w:right w:val="single" w:sz="8" w:color="C0C0C0"/>
            </w:tcBorders>
            <w:shd w:val="clear" w:color="auto" w:fill="C0C0C0"/>
          </w:tcPr>
          <w:p>
            <w:pPr>
              <w:jc w:val="right"/>
              <w:ind w:right="65"/>
              <w:spacing w:after="0"/>
              <w:rPr>
                <w:sz w:val="20"/>
                <w:szCs w:val="20"/>
                <w:color w:val="auto"/>
              </w:rPr>
            </w:pPr>
            <w:r>
              <w:rPr>
                <w:rFonts w:ascii="Arial" w:cs="Arial" w:eastAsia="Arial" w:hAnsi="Arial"/>
                <w:sz w:val="11"/>
                <w:szCs w:val="11"/>
                <w:color w:val="auto"/>
                <w:w w:val="94"/>
              </w:rPr>
              <w:t>80,043</w:t>
            </w:r>
          </w:p>
        </w:tc>
        <w:tc>
          <w:tcPr>
            <w:tcW w:w="1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0C0C0"/>
              <w:right w:val="single" w:sz="8" w:color="C0C0C0"/>
            </w:tcBorders>
            <w:shd w:val="clear" w:color="auto" w:fill="C0C0C0"/>
          </w:tcPr>
          <w:p>
            <w:pPr>
              <w:jc w:val="right"/>
              <w:ind w:right="45"/>
              <w:spacing w:after="0"/>
              <w:rPr>
                <w:sz w:val="20"/>
                <w:szCs w:val="20"/>
                <w:color w:val="auto"/>
              </w:rPr>
            </w:pPr>
            <w:r>
              <w:rPr>
                <w:rFonts w:ascii="Arial" w:cs="Arial" w:eastAsia="Arial" w:hAnsi="Arial"/>
                <w:sz w:val="11"/>
                <w:szCs w:val="11"/>
                <w:color w:val="auto"/>
              </w:rPr>
              <w:t>80</w:t>
            </w:r>
          </w:p>
        </w:tc>
        <w:tc>
          <w:tcPr>
            <w:tcW w:w="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0C0C0"/>
              <w:right w:val="single" w:sz="8" w:color="C0C0C0"/>
            </w:tcBorders>
            <w:shd w:val="clear" w:color="auto" w:fill="C0C0C0"/>
          </w:tcPr>
          <w:p>
            <w:pPr>
              <w:jc w:val="right"/>
              <w:ind w:right="65"/>
              <w:spacing w:after="0"/>
              <w:rPr>
                <w:sz w:val="20"/>
                <w:szCs w:val="20"/>
                <w:color w:val="auto"/>
              </w:rPr>
            </w:pPr>
            <w:r>
              <w:rPr>
                <w:rFonts w:ascii="Arial" w:cs="Arial" w:eastAsia="Arial" w:hAnsi="Arial"/>
                <w:sz w:val="11"/>
                <w:szCs w:val="11"/>
                <w:color w:val="auto"/>
                <w:w w:val="93"/>
              </w:rPr>
              <w:t>1,379,123</w:t>
            </w:r>
          </w:p>
        </w:tc>
        <w:tc>
          <w:tcPr>
            <w:tcW w:w="80" w:type="dxa"/>
            <w:vAlign w:val="bottom"/>
            <w:tcBorders>
              <w:bottom w:val="single" w:sz="8" w:color="C0C0C0"/>
            </w:tcBorders>
            <w:shd w:val="clear" w:color="auto" w:fill="C0C0C0"/>
          </w:tcPr>
          <w:p>
            <w:pPr>
              <w:jc w:val="right"/>
              <w:ind w:right="7"/>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C0C0C0"/>
            </w:tcBorders>
            <w:shd w:val="clear" w:color="auto" w:fill="C0C0C0"/>
          </w:tcPr>
          <w:p>
            <w:pPr>
              <w:jc w:val="right"/>
              <w:ind w:right="25"/>
              <w:spacing w:after="0"/>
              <w:rPr>
                <w:sz w:val="20"/>
                <w:szCs w:val="20"/>
                <w:color w:val="auto"/>
              </w:rPr>
            </w:pPr>
            <w:r>
              <w:rPr>
                <w:rFonts w:ascii="Arial" w:cs="Arial" w:eastAsia="Arial" w:hAnsi="Arial"/>
                <w:sz w:val="11"/>
                <w:szCs w:val="11"/>
                <w:color w:val="auto"/>
                <w:w w:val="92"/>
              </w:rPr>
              <w:t>(1,030,966)</w:t>
            </w:r>
          </w:p>
        </w:tc>
        <w:tc>
          <w:tcPr>
            <w:tcW w:w="180" w:type="dxa"/>
            <w:vAlign w:val="bottom"/>
            <w:tcBorders>
              <w:bottom w:val="single" w:sz="8" w:color="C0C0C0"/>
            </w:tcBorders>
            <w:gridSpan w:val="2"/>
            <w:shd w:val="clear" w:color="auto" w:fill="C0C0C0"/>
          </w:tcPr>
          <w:p>
            <w:pPr>
              <w:jc w:val="right"/>
              <w:ind w:right="2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C0C0C0"/>
            </w:tcBorders>
            <w:shd w:val="clear" w:color="auto" w:fill="C0C0C0"/>
          </w:tcPr>
          <w:p>
            <w:pPr>
              <w:jc w:val="right"/>
              <w:ind w:right="165"/>
              <w:spacing w:after="0"/>
              <w:rPr>
                <w:sz w:val="20"/>
                <w:szCs w:val="20"/>
                <w:color w:val="auto"/>
              </w:rPr>
            </w:pPr>
            <w:r>
              <w:rPr>
                <w:rFonts w:ascii="Arial" w:cs="Arial" w:eastAsia="Arial" w:hAnsi="Arial"/>
                <w:sz w:val="11"/>
                <w:szCs w:val="11"/>
                <w:color w:val="auto"/>
              </w:rPr>
              <w:t>(175)</w:t>
            </w:r>
          </w:p>
        </w:tc>
        <w:tc>
          <w:tcPr>
            <w:tcW w:w="100" w:type="dxa"/>
            <w:vAlign w:val="bottom"/>
            <w:tcBorders>
              <w:bottom w:val="single" w:sz="8" w:color="C0C0C0"/>
            </w:tcBorders>
            <w:shd w:val="clear" w:color="auto" w:fill="C0C0C0"/>
          </w:tcPr>
          <w:p>
            <w:pPr>
              <w:spacing w:after="0"/>
              <w:rPr>
                <w:sz w:val="15"/>
                <w:szCs w:val="15"/>
                <w:color w:val="auto"/>
              </w:rPr>
            </w:pPr>
          </w:p>
        </w:tc>
        <w:tc>
          <w:tcPr>
            <w:tcW w:w="140" w:type="dxa"/>
            <w:vAlign w:val="bottom"/>
            <w:tcBorders>
              <w:bottom w:val="single" w:sz="8" w:color="C0C0C0"/>
            </w:tcBorders>
            <w:shd w:val="clear" w:color="auto" w:fill="C0C0C0"/>
          </w:tcPr>
          <w:p>
            <w:pPr>
              <w:jc w:val="right"/>
              <w:ind w:right="3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0C0C0"/>
            </w:tcBorders>
            <w:shd w:val="clear" w:color="auto" w:fill="C0C0C0"/>
          </w:tcPr>
          <w:p>
            <w:pPr>
              <w:jc w:val="right"/>
              <w:ind w:right="45"/>
              <w:spacing w:after="0"/>
              <w:rPr>
                <w:sz w:val="20"/>
                <w:szCs w:val="20"/>
                <w:color w:val="auto"/>
              </w:rPr>
            </w:pPr>
            <w:r>
              <w:rPr>
                <w:rFonts w:ascii="Arial" w:cs="Arial" w:eastAsia="Arial" w:hAnsi="Arial"/>
                <w:sz w:val="11"/>
                <w:szCs w:val="11"/>
                <w:color w:val="auto"/>
              </w:rPr>
              <w:t>348,064</w:t>
            </w:r>
          </w:p>
        </w:tc>
        <w:tc>
          <w:tcPr>
            <w:tcW w:w="100" w:type="dxa"/>
            <w:vAlign w:val="bottom"/>
            <w:tcBorders>
              <w:bottom w:val="single" w:sz="8" w:color="C0C0C0"/>
            </w:tcBorders>
            <w:shd w:val="clear" w:color="auto" w:fill="C0C0C0"/>
          </w:tcPr>
          <w:p>
            <w:pPr>
              <w:spacing w:after="0"/>
              <w:rPr>
                <w:sz w:val="15"/>
                <w:szCs w:val="15"/>
                <w:color w:val="auto"/>
              </w:rPr>
            </w:pPr>
          </w:p>
        </w:tc>
        <w:tc>
          <w:tcPr>
            <w:tcW w:w="180" w:type="dxa"/>
            <w:vAlign w:val="bottom"/>
            <w:tcBorders>
              <w:bottom w:val="single" w:sz="8" w:color="C0C0C0"/>
            </w:tcBorders>
            <w:shd w:val="clear" w:color="auto" w:fill="C0C0C0"/>
          </w:tcPr>
          <w:p>
            <w:pPr>
              <w:jc w:val="right"/>
              <w:ind w:right="7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0C0C0"/>
            </w:tcBorders>
            <w:shd w:val="clear" w:color="auto" w:fill="C0C0C0"/>
          </w:tcPr>
          <w:p>
            <w:pPr>
              <w:jc w:val="right"/>
              <w:ind w:right="45"/>
              <w:spacing w:after="0"/>
              <w:rPr>
                <w:sz w:val="20"/>
                <w:szCs w:val="20"/>
                <w:color w:val="auto"/>
              </w:rPr>
            </w:pPr>
            <w:r>
              <w:rPr>
                <w:rFonts w:ascii="Arial" w:cs="Arial" w:eastAsia="Arial" w:hAnsi="Arial"/>
                <w:sz w:val="11"/>
                <w:szCs w:val="11"/>
                <w:color w:val="auto"/>
              </w:rPr>
              <w:t>(91,090)</w:t>
            </w:r>
          </w:p>
        </w:tc>
      </w:tr>
      <w:tr>
        <w:trPr>
          <w:trHeight w:val="22"/>
        </w:trPr>
        <w:tc>
          <w:tcPr>
            <w:tcW w:w="520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460" w:type="dxa"/>
            <w:vAlign w:val="bottom"/>
            <w:tcBorders>
              <w:right w:val="single" w:sz="8" w:color="C0C0C0"/>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tcBorders>
              <w:right w:val="single" w:sz="8" w:color="C0C0C0"/>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0C0C0"/>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7202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209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auto"/>
        </w:rPr>
        <w:t>REGENERON PHARMACEUTICALS, INC.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STATEMENTS OF CASH FLOWS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4"/>
          </w:tcPr>
          <w:p>
            <w:pPr>
              <w:jc w:val="right"/>
              <w:ind w:right="49"/>
              <w:spacing w:after="0"/>
              <w:rPr>
                <w:sz w:val="20"/>
                <w:szCs w:val="20"/>
                <w:color w:val="auto"/>
              </w:rPr>
            </w:pPr>
            <w:r>
              <w:rPr>
                <w:rFonts w:ascii="Arial" w:cs="Arial" w:eastAsia="Arial" w:hAnsi="Arial"/>
                <w:sz w:val="14"/>
                <w:szCs w:val="14"/>
                <w:b w:val="1"/>
                <w:bCs w:val="1"/>
                <w:color w:val="auto"/>
                <w:w w:val="90"/>
              </w:rPr>
              <w:t>Nine months ended September 30,</w:t>
            </w:r>
          </w:p>
        </w:tc>
        <w:tc>
          <w:tcPr>
            <w:tcW w:w="20" w:type="dxa"/>
            <w:vAlign w:val="bottom"/>
          </w:tcPr>
          <w:p>
            <w:pPr>
              <w:spacing w:after="0"/>
              <w:rPr>
                <w:sz w:val="16"/>
                <w:szCs w:val="16"/>
                <w:color w:val="auto"/>
              </w:rPr>
            </w:pPr>
          </w:p>
        </w:tc>
      </w:tr>
      <w:tr>
        <w:trPr>
          <w:trHeight w:val="204"/>
        </w:trPr>
        <w:tc>
          <w:tcPr>
            <w:tcW w:w="8920" w:type="dxa"/>
            <w:vAlign w:val="bottom"/>
            <w:tcBorders>
              <w:bottom w:val="single" w:sz="8" w:color="C0C0C0"/>
            </w:tcBorders>
          </w:tcPr>
          <w:p>
            <w:pPr>
              <w:spacing w:after="0"/>
              <w:rPr>
                <w:sz w:val="17"/>
                <w:szCs w:val="17"/>
                <w:color w:val="auto"/>
              </w:rPr>
            </w:pPr>
          </w:p>
        </w:tc>
        <w:tc>
          <w:tcPr>
            <w:tcW w:w="220" w:type="dxa"/>
            <w:vAlign w:val="bottom"/>
            <w:tcBorders>
              <w:bottom w:val="single" w:sz="8" w:color="C0C0C0"/>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0C0C0"/>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7"/>
                <w:szCs w:val="17"/>
                <w:color w:val="auto"/>
              </w:rPr>
            </w:pPr>
          </w:p>
        </w:tc>
      </w:tr>
      <w:tr>
        <w:trPr>
          <w:trHeight w:val="195"/>
        </w:trPr>
        <w:tc>
          <w:tcPr>
            <w:tcW w:w="8920" w:type="dxa"/>
            <w:vAlign w:val="bottom"/>
            <w:shd w:val="clear" w:color="auto" w:fill="C0C0C0"/>
          </w:tcPr>
          <w:p>
            <w:pPr>
              <w:spacing w:after="0"/>
              <w:rPr>
                <w:sz w:val="20"/>
                <w:szCs w:val="20"/>
                <w:color w:val="auto"/>
              </w:rPr>
            </w:pPr>
            <w:r>
              <w:rPr>
                <w:rFonts w:ascii="Arial" w:cs="Arial" w:eastAsia="Arial" w:hAnsi="Arial"/>
                <w:sz w:val="14"/>
                <w:szCs w:val="14"/>
                <w:color w:val="auto"/>
              </w:rPr>
              <w:t>Cash flows from operating activities</w:t>
            </w:r>
          </w:p>
        </w:tc>
        <w:tc>
          <w:tcPr>
            <w:tcW w:w="2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94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820" w:type="dxa"/>
            <w:vAlign w:val="bottom"/>
            <w:shd w:val="clear" w:color="auto" w:fill="C0C0C0"/>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8920" w:type="dxa"/>
            <w:vAlign w:val="bottom"/>
          </w:tcPr>
          <w:p>
            <w:pPr>
              <w:ind w:left="260"/>
              <w:spacing w:after="0"/>
              <w:rPr>
                <w:sz w:val="20"/>
                <w:szCs w:val="20"/>
                <w:color w:val="auto"/>
              </w:rPr>
            </w:pPr>
            <w:r>
              <w:rPr>
                <w:rFonts w:ascii="Arial" w:cs="Arial" w:eastAsia="Arial" w:hAnsi="Arial"/>
                <w:sz w:val="14"/>
                <w:szCs w:val="14"/>
                <w:color w:val="auto"/>
              </w:rPr>
              <w:t>Net loss</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(168,317)</w:t>
            </w:r>
          </w:p>
        </w:tc>
        <w:tc>
          <w:tcPr>
            <w:tcW w:w="22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(89,871)</w:t>
            </w:r>
          </w:p>
        </w:tc>
        <w:tc>
          <w:tcPr>
            <w:tcW w:w="20" w:type="dxa"/>
            <w:vAlign w:val="bottom"/>
          </w:tcPr>
          <w:p>
            <w:pPr>
              <w:spacing w:after="0"/>
              <w:rPr>
                <w:sz w:val="16"/>
                <w:szCs w:val="16"/>
                <w:color w:val="auto"/>
              </w:rPr>
            </w:pPr>
          </w:p>
        </w:tc>
      </w:tr>
      <w:tr>
        <w:trPr>
          <w:trHeight w:val="182"/>
        </w:trPr>
        <w:tc>
          <w:tcPr>
            <w:tcW w:w="8920" w:type="dxa"/>
            <w:vAlign w:val="bottom"/>
            <w:tcBorders>
              <w:top w:val="single" w:sz="8" w:color="C0C0C0"/>
            </w:tcBorders>
            <w:shd w:val="clear" w:color="auto" w:fill="C0C0C0"/>
          </w:tcPr>
          <w:p>
            <w:pPr>
              <w:ind w:left="260"/>
              <w:spacing w:after="0"/>
              <w:rPr>
                <w:sz w:val="20"/>
                <w:szCs w:val="20"/>
                <w:color w:val="auto"/>
              </w:rPr>
            </w:pPr>
            <w:r>
              <w:rPr>
                <w:rFonts w:ascii="Arial" w:cs="Arial" w:eastAsia="Arial" w:hAnsi="Arial"/>
                <w:sz w:val="14"/>
                <w:szCs w:val="14"/>
                <w:color w:val="auto"/>
              </w:rPr>
              <w:t>Adjustments to reconcile net loss to net cash</w:t>
            </w:r>
          </w:p>
        </w:tc>
        <w:tc>
          <w:tcPr>
            <w:tcW w:w="220" w:type="dxa"/>
            <w:vAlign w:val="bottom"/>
            <w:tcBorders>
              <w:top w:val="single" w:sz="8" w:color="C0C0C0"/>
            </w:tcBorders>
            <w:shd w:val="clear" w:color="auto" w:fill="C0C0C0"/>
          </w:tcPr>
          <w:p>
            <w:pPr>
              <w:spacing w:after="0"/>
              <w:rPr>
                <w:sz w:val="15"/>
                <w:szCs w:val="15"/>
                <w:color w:val="auto"/>
              </w:rPr>
            </w:pPr>
          </w:p>
        </w:tc>
        <w:tc>
          <w:tcPr>
            <w:tcW w:w="100" w:type="dxa"/>
            <w:vAlign w:val="bottom"/>
            <w:tcBorders>
              <w:top w:val="single" w:sz="8" w:color="auto"/>
            </w:tcBorders>
            <w:shd w:val="clear" w:color="auto" w:fill="C0C0C0"/>
          </w:tcPr>
          <w:p>
            <w:pPr>
              <w:spacing w:after="0"/>
              <w:rPr>
                <w:sz w:val="15"/>
                <w:szCs w:val="15"/>
                <w:color w:val="auto"/>
              </w:rPr>
            </w:pPr>
          </w:p>
        </w:tc>
        <w:tc>
          <w:tcPr>
            <w:tcW w:w="940" w:type="dxa"/>
            <w:vAlign w:val="bottom"/>
            <w:tcBorders>
              <w:top w:val="single" w:sz="8" w:color="auto"/>
            </w:tcBorders>
            <w:shd w:val="clear" w:color="auto" w:fill="C0C0C0"/>
          </w:tcPr>
          <w:p>
            <w:pPr>
              <w:spacing w:after="0"/>
              <w:rPr>
                <w:sz w:val="15"/>
                <w:szCs w:val="15"/>
                <w:color w:val="auto"/>
              </w:rPr>
            </w:pPr>
          </w:p>
        </w:tc>
        <w:tc>
          <w:tcPr>
            <w:tcW w:w="220" w:type="dxa"/>
            <w:vAlign w:val="bottom"/>
            <w:tcBorders>
              <w:top w:val="single" w:sz="8" w:color="C0C0C0"/>
            </w:tcBorders>
            <w:shd w:val="clear" w:color="auto" w:fill="C0C0C0"/>
          </w:tcPr>
          <w:p>
            <w:pPr>
              <w:spacing w:after="0"/>
              <w:rPr>
                <w:sz w:val="15"/>
                <w:szCs w:val="15"/>
                <w:color w:val="auto"/>
              </w:rPr>
            </w:pPr>
          </w:p>
        </w:tc>
        <w:tc>
          <w:tcPr>
            <w:tcW w:w="240" w:type="dxa"/>
            <w:vAlign w:val="bottom"/>
            <w:tcBorders>
              <w:top w:val="single" w:sz="8" w:color="auto"/>
            </w:tcBorders>
            <w:shd w:val="clear" w:color="auto" w:fill="C0C0C0"/>
          </w:tcPr>
          <w:p>
            <w:pPr>
              <w:spacing w:after="0"/>
              <w:rPr>
                <w:sz w:val="15"/>
                <w:szCs w:val="15"/>
                <w:color w:val="auto"/>
              </w:rPr>
            </w:pPr>
          </w:p>
        </w:tc>
        <w:tc>
          <w:tcPr>
            <w:tcW w:w="820" w:type="dxa"/>
            <w:vAlign w:val="bottom"/>
            <w:tcBorders>
              <w:top w:val="single" w:sz="8" w:color="auto"/>
            </w:tcBorders>
            <w:shd w:val="clear" w:color="auto" w:fill="C0C0C0"/>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8920" w:type="dxa"/>
            <w:vAlign w:val="bottom"/>
            <w:shd w:val="clear" w:color="auto" w:fill="C0C0C0"/>
          </w:tcPr>
          <w:p>
            <w:pPr>
              <w:ind w:left="500"/>
              <w:spacing w:after="0"/>
              <w:rPr>
                <w:sz w:val="20"/>
                <w:szCs w:val="20"/>
                <w:color w:val="auto"/>
              </w:rPr>
            </w:pPr>
            <w:r>
              <w:rPr>
                <w:rFonts w:ascii="Arial" w:cs="Arial" w:eastAsia="Arial" w:hAnsi="Arial"/>
                <w:sz w:val="14"/>
                <w:szCs w:val="14"/>
                <w:color w:val="auto"/>
              </w:rPr>
              <w:t>(used in) provided by operating activities</w:t>
            </w:r>
          </w:p>
        </w:tc>
        <w:tc>
          <w:tcPr>
            <w:tcW w:w="2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94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82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8920" w:type="dxa"/>
            <w:vAlign w:val="bottom"/>
          </w:tcPr>
          <w:p>
            <w:pPr>
              <w:ind w:left="50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23,156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13,601</w:t>
            </w:r>
          </w:p>
        </w:tc>
        <w:tc>
          <w:tcPr>
            <w:tcW w:w="20" w:type="dxa"/>
            <w:vAlign w:val="bottom"/>
          </w:tcPr>
          <w:p>
            <w:pPr>
              <w:spacing w:after="0"/>
              <w:rPr>
                <w:sz w:val="16"/>
                <w:szCs w:val="16"/>
                <w:color w:val="auto"/>
              </w:rPr>
            </w:pPr>
          </w:p>
        </w:tc>
      </w:tr>
      <w:tr>
        <w:trPr>
          <w:trHeight w:val="204"/>
        </w:trPr>
        <w:tc>
          <w:tcPr>
            <w:tcW w:w="8920" w:type="dxa"/>
            <w:vAlign w:val="bottom"/>
            <w:shd w:val="clear" w:color="auto" w:fill="C0C0C0"/>
          </w:tcPr>
          <w:p>
            <w:pPr>
              <w:ind w:left="500"/>
              <w:spacing w:after="0"/>
              <w:rPr>
                <w:sz w:val="20"/>
                <w:szCs w:val="20"/>
                <w:color w:val="auto"/>
              </w:rPr>
            </w:pPr>
            <w:r>
              <w:rPr>
                <w:rFonts w:ascii="Arial" w:cs="Arial" w:eastAsia="Arial" w:hAnsi="Arial"/>
                <w:sz w:val="14"/>
                <w:szCs w:val="14"/>
                <w:color w:val="auto"/>
              </w:rPr>
              <w:t>Non-cash compensation expense</w:t>
            </w: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94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40,561</w:t>
            </w:r>
          </w:p>
        </w:tc>
        <w:tc>
          <w:tcPr>
            <w:tcW w:w="2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8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26,331</w:t>
            </w:r>
          </w:p>
        </w:tc>
        <w:tc>
          <w:tcPr>
            <w:tcW w:w="20" w:type="dxa"/>
            <w:vAlign w:val="bottom"/>
          </w:tcPr>
          <w:p>
            <w:pPr>
              <w:spacing w:after="0"/>
              <w:rPr>
                <w:sz w:val="17"/>
                <w:szCs w:val="17"/>
                <w:color w:val="auto"/>
              </w:rPr>
            </w:pPr>
          </w:p>
        </w:tc>
      </w:tr>
      <w:tr>
        <w:trPr>
          <w:trHeight w:val="191"/>
        </w:trPr>
        <w:tc>
          <w:tcPr>
            <w:tcW w:w="8920" w:type="dxa"/>
            <w:vAlign w:val="bottom"/>
          </w:tcPr>
          <w:p>
            <w:pPr>
              <w:ind w:left="500"/>
              <w:spacing w:after="0"/>
              <w:rPr>
                <w:sz w:val="20"/>
                <w:szCs w:val="20"/>
                <w:color w:val="auto"/>
              </w:rPr>
            </w:pPr>
            <w:r>
              <w:rPr>
                <w:rFonts w:ascii="Arial" w:cs="Arial" w:eastAsia="Arial" w:hAnsi="Arial"/>
                <w:sz w:val="14"/>
                <w:szCs w:val="14"/>
                <w:color w:val="auto"/>
              </w:rPr>
              <w:t>Other non-cash charges and expenses, net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2,121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2,627</w:t>
            </w:r>
          </w:p>
        </w:tc>
        <w:tc>
          <w:tcPr>
            <w:tcW w:w="20" w:type="dxa"/>
            <w:vAlign w:val="bottom"/>
          </w:tcPr>
          <w:p>
            <w:pPr>
              <w:spacing w:after="0"/>
              <w:rPr>
                <w:sz w:val="16"/>
                <w:szCs w:val="16"/>
                <w:color w:val="auto"/>
              </w:rPr>
            </w:pPr>
          </w:p>
        </w:tc>
      </w:tr>
      <w:tr>
        <w:trPr>
          <w:trHeight w:val="204"/>
        </w:trPr>
        <w:tc>
          <w:tcPr>
            <w:tcW w:w="8920" w:type="dxa"/>
            <w:vAlign w:val="bottom"/>
            <w:shd w:val="clear" w:color="auto" w:fill="C0C0C0"/>
          </w:tcPr>
          <w:p>
            <w:pPr>
              <w:ind w:left="500"/>
              <w:spacing w:after="0"/>
              <w:rPr>
                <w:sz w:val="20"/>
                <w:szCs w:val="20"/>
                <w:color w:val="auto"/>
              </w:rPr>
            </w:pPr>
            <w:r>
              <w:rPr>
                <w:rFonts w:ascii="Arial" w:cs="Arial" w:eastAsia="Arial" w:hAnsi="Arial"/>
                <w:sz w:val="14"/>
                <w:szCs w:val="14"/>
                <w:color w:val="auto"/>
              </w:rPr>
              <w:t>Changes in assets and liabilities</w:t>
            </w: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9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820" w:type="dxa"/>
            <w:vAlign w:val="bottom"/>
            <w:shd w:val="clear" w:color="auto" w:fill="C0C0C0"/>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8920" w:type="dxa"/>
            <w:vAlign w:val="bottom"/>
          </w:tcPr>
          <w:p>
            <w:pPr>
              <w:ind w:left="760"/>
              <w:spacing w:after="0"/>
              <w:rPr>
                <w:sz w:val="20"/>
                <w:szCs w:val="20"/>
                <w:color w:val="auto"/>
              </w:rPr>
            </w:pPr>
            <w:r>
              <w:rPr>
                <w:rFonts w:ascii="Arial" w:cs="Arial" w:eastAsia="Arial" w:hAnsi="Arial"/>
                <w:sz w:val="14"/>
                <w:szCs w:val="14"/>
                <w:color w:val="auto"/>
              </w:rPr>
              <w:t>Decrease (increase) in accounts receivable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14,665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(16,719)</w:t>
            </w:r>
          </w:p>
        </w:tc>
        <w:tc>
          <w:tcPr>
            <w:tcW w:w="20" w:type="dxa"/>
            <w:vAlign w:val="bottom"/>
          </w:tcPr>
          <w:p>
            <w:pPr>
              <w:spacing w:after="0"/>
              <w:rPr>
                <w:sz w:val="16"/>
                <w:szCs w:val="16"/>
                <w:color w:val="auto"/>
              </w:rPr>
            </w:pPr>
          </w:p>
        </w:tc>
      </w:tr>
      <w:tr>
        <w:trPr>
          <w:trHeight w:val="204"/>
        </w:trPr>
        <w:tc>
          <w:tcPr>
            <w:tcW w:w="8920" w:type="dxa"/>
            <w:vAlign w:val="bottom"/>
            <w:shd w:val="clear" w:color="auto" w:fill="C0C0C0"/>
          </w:tcPr>
          <w:p>
            <w:pPr>
              <w:ind w:left="760"/>
              <w:spacing w:after="0"/>
              <w:rPr>
                <w:sz w:val="20"/>
                <w:szCs w:val="20"/>
                <w:color w:val="auto"/>
              </w:rPr>
            </w:pPr>
            <w:r>
              <w:rPr>
                <w:rFonts w:ascii="Arial" w:cs="Arial" w:eastAsia="Arial" w:hAnsi="Arial"/>
                <w:sz w:val="14"/>
                <w:szCs w:val="14"/>
                <w:color w:val="auto"/>
              </w:rPr>
              <w:t>(Increase) decrease in prepaid expenses and other assets</w:t>
            </w: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(6,307)</w:t>
            </w:r>
          </w:p>
        </w:tc>
        <w:tc>
          <w:tcPr>
            <w:tcW w:w="2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8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3,446</w:t>
            </w:r>
          </w:p>
        </w:tc>
        <w:tc>
          <w:tcPr>
            <w:tcW w:w="20" w:type="dxa"/>
            <w:vAlign w:val="bottom"/>
          </w:tcPr>
          <w:p>
            <w:pPr>
              <w:spacing w:after="0"/>
              <w:rPr>
                <w:sz w:val="17"/>
                <w:szCs w:val="17"/>
                <w:color w:val="auto"/>
              </w:rPr>
            </w:pPr>
          </w:p>
        </w:tc>
      </w:tr>
      <w:tr>
        <w:trPr>
          <w:trHeight w:val="191"/>
        </w:trPr>
        <w:tc>
          <w:tcPr>
            <w:tcW w:w="8920" w:type="dxa"/>
            <w:vAlign w:val="bottom"/>
          </w:tcPr>
          <w:p>
            <w:pPr>
              <w:ind w:left="760"/>
              <w:spacing w:after="0"/>
              <w:rPr>
                <w:sz w:val="20"/>
                <w:szCs w:val="20"/>
                <w:color w:val="auto"/>
              </w:rPr>
            </w:pPr>
            <w:r>
              <w:rPr>
                <w:rFonts w:ascii="Arial" w:cs="Arial" w:eastAsia="Arial" w:hAnsi="Arial"/>
                <w:sz w:val="14"/>
                <w:szCs w:val="14"/>
                <w:color w:val="auto"/>
              </w:rPr>
              <w:t>(Decrease) increase in deferred revenue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(32,498)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172,660</w:t>
            </w:r>
          </w:p>
        </w:tc>
        <w:tc>
          <w:tcPr>
            <w:tcW w:w="20" w:type="dxa"/>
            <w:vAlign w:val="bottom"/>
          </w:tcPr>
          <w:p>
            <w:pPr>
              <w:spacing w:after="0"/>
              <w:rPr>
                <w:sz w:val="16"/>
                <w:szCs w:val="16"/>
                <w:color w:val="auto"/>
              </w:rPr>
            </w:pPr>
          </w:p>
        </w:tc>
      </w:tr>
      <w:tr>
        <w:trPr>
          <w:trHeight w:val="191"/>
        </w:trPr>
        <w:tc>
          <w:tcPr>
            <w:tcW w:w="8920" w:type="dxa"/>
            <w:vAlign w:val="bottom"/>
            <w:shd w:val="clear" w:color="auto" w:fill="C0C0C0"/>
          </w:tcPr>
          <w:p>
            <w:pPr>
              <w:ind w:left="760"/>
              <w:spacing w:after="0"/>
              <w:rPr>
                <w:sz w:val="20"/>
                <w:szCs w:val="20"/>
                <w:color w:val="auto"/>
              </w:rPr>
            </w:pPr>
            <w:r>
              <w:rPr>
                <w:rFonts w:ascii="Arial" w:cs="Arial" w:eastAsia="Arial" w:hAnsi="Arial"/>
                <w:sz w:val="14"/>
                <w:szCs w:val="14"/>
                <w:color w:val="auto"/>
              </w:rPr>
              <w:t>Increase in accounts payable, accrued expenses,</w:t>
            </w:r>
          </w:p>
        </w:tc>
        <w:tc>
          <w:tcPr>
            <w:tcW w:w="2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94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820" w:type="dxa"/>
            <w:vAlign w:val="bottom"/>
            <w:shd w:val="clear" w:color="auto" w:fill="C0C0C0"/>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8920" w:type="dxa"/>
            <w:vAlign w:val="bottom"/>
            <w:shd w:val="clear" w:color="auto" w:fill="C0C0C0"/>
          </w:tcPr>
          <w:p>
            <w:pPr>
              <w:ind w:left="1000"/>
              <w:spacing w:after="0"/>
              <w:rPr>
                <w:sz w:val="20"/>
                <w:szCs w:val="20"/>
                <w:color w:val="auto"/>
              </w:rPr>
            </w:pPr>
            <w:r>
              <w:rPr>
                <w:rFonts w:ascii="Arial" w:cs="Arial" w:eastAsia="Arial" w:hAnsi="Arial"/>
                <w:sz w:val="14"/>
                <w:szCs w:val="14"/>
                <w:color w:val="auto"/>
              </w:rPr>
              <w:t>and other liabilities</w:t>
            </w:r>
          </w:p>
        </w:tc>
        <w:tc>
          <w:tcPr>
            <w:tcW w:w="22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940" w:type="dxa"/>
            <w:vAlign w:val="bottom"/>
            <w:tcBorders>
              <w:bottom w:val="single" w:sz="8" w:color="auto"/>
            </w:tcBorders>
            <w:shd w:val="clear" w:color="auto" w:fill="C0C0C0"/>
          </w:tcPr>
          <w:p>
            <w:pPr>
              <w:jc w:val="right"/>
              <w:ind w:right="29"/>
              <w:spacing w:after="0"/>
              <w:rPr>
                <w:sz w:val="20"/>
                <w:szCs w:val="20"/>
                <w:color w:val="auto"/>
              </w:rPr>
            </w:pPr>
            <w:r>
              <w:rPr>
                <w:rFonts w:ascii="Arial" w:cs="Arial" w:eastAsia="Arial" w:hAnsi="Arial"/>
                <w:sz w:val="14"/>
                <w:szCs w:val="14"/>
                <w:color w:val="auto"/>
              </w:rPr>
              <w:t>35,254</w:t>
            </w:r>
          </w:p>
        </w:tc>
        <w:tc>
          <w:tcPr>
            <w:tcW w:w="220" w:type="dxa"/>
            <w:vAlign w:val="bottom"/>
            <w:shd w:val="clear" w:color="auto" w:fill="C0C0C0"/>
          </w:tcPr>
          <w:p>
            <w:pPr>
              <w:spacing w:after="0"/>
              <w:rPr>
                <w:sz w:val="18"/>
                <w:szCs w:val="18"/>
                <w:color w:val="auto"/>
              </w:rPr>
            </w:pPr>
          </w:p>
        </w:tc>
        <w:tc>
          <w:tcPr>
            <w:tcW w:w="240" w:type="dxa"/>
            <w:vAlign w:val="bottom"/>
            <w:tcBorders>
              <w:bottom w:val="single" w:sz="8" w:color="auto"/>
            </w:tcBorders>
            <w:shd w:val="clear" w:color="auto" w:fill="C0C0C0"/>
          </w:tcPr>
          <w:p>
            <w:pPr>
              <w:spacing w:after="0"/>
              <w:rPr>
                <w:sz w:val="18"/>
                <w:szCs w:val="18"/>
                <w:color w:val="auto"/>
              </w:rPr>
            </w:pPr>
          </w:p>
        </w:tc>
        <w:tc>
          <w:tcPr>
            <w:tcW w:w="820" w:type="dxa"/>
            <w:vAlign w:val="bottom"/>
            <w:tcBorders>
              <w:bottom w:val="single" w:sz="8" w:color="auto"/>
            </w:tcBorders>
            <w:shd w:val="clear" w:color="auto" w:fill="C0C0C0"/>
          </w:tcPr>
          <w:p>
            <w:pPr>
              <w:jc w:val="right"/>
              <w:ind w:right="29"/>
              <w:spacing w:after="0"/>
              <w:rPr>
                <w:sz w:val="20"/>
                <w:szCs w:val="20"/>
                <w:color w:val="auto"/>
              </w:rPr>
            </w:pPr>
            <w:r>
              <w:rPr>
                <w:rFonts w:ascii="Arial" w:cs="Arial" w:eastAsia="Arial" w:hAnsi="Arial"/>
                <w:sz w:val="14"/>
                <w:szCs w:val="14"/>
                <w:color w:val="auto"/>
              </w:rPr>
              <w:t>27,998</w:t>
            </w:r>
          </w:p>
        </w:tc>
        <w:tc>
          <w:tcPr>
            <w:tcW w:w="20" w:type="dxa"/>
            <w:vAlign w:val="bottom"/>
          </w:tcPr>
          <w:p>
            <w:pPr>
              <w:spacing w:after="0"/>
              <w:rPr>
                <w:sz w:val="18"/>
                <w:szCs w:val="18"/>
                <w:color w:val="auto"/>
              </w:rPr>
            </w:pPr>
          </w:p>
        </w:tc>
      </w:tr>
      <w:tr>
        <w:trPr>
          <w:trHeight w:val="182"/>
        </w:trPr>
        <w:tc>
          <w:tcPr>
            <w:tcW w:w="8920" w:type="dxa"/>
            <w:vAlign w:val="bottom"/>
            <w:tcBorders>
              <w:bottom w:val="single" w:sz="8" w:color="C0C0C0"/>
            </w:tcBorders>
          </w:tcPr>
          <w:p>
            <w:pPr>
              <w:ind w:left="1000"/>
              <w:spacing w:after="0"/>
              <w:rPr>
                <w:sz w:val="20"/>
                <w:szCs w:val="20"/>
                <w:color w:val="auto"/>
              </w:rPr>
            </w:pPr>
            <w:r>
              <w:rPr>
                <w:rFonts w:ascii="Arial" w:cs="Arial" w:eastAsia="Arial" w:hAnsi="Arial"/>
                <w:sz w:val="14"/>
                <w:szCs w:val="14"/>
                <w:color w:val="auto"/>
              </w:rPr>
              <w:t>Total adjustments</w:t>
            </w:r>
          </w:p>
        </w:tc>
        <w:tc>
          <w:tcPr>
            <w:tcW w:w="220" w:type="dxa"/>
            <w:vAlign w:val="bottom"/>
            <w:tcBorders>
              <w:bottom w:val="single" w:sz="8" w:color="C0C0C0"/>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76,952</w:t>
            </w:r>
          </w:p>
        </w:tc>
        <w:tc>
          <w:tcPr>
            <w:tcW w:w="220" w:type="dxa"/>
            <w:vAlign w:val="bottom"/>
            <w:tcBorders>
              <w:bottom w:val="single" w:sz="8" w:color="C0C0C0"/>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229,944</w:t>
            </w:r>
          </w:p>
        </w:tc>
        <w:tc>
          <w:tcPr>
            <w:tcW w:w="20" w:type="dxa"/>
            <w:vAlign w:val="bottom"/>
          </w:tcPr>
          <w:p>
            <w:pPr>
              <w:spacing w:after="0"/>
              <w:rPr>
                <w:sz w:val="15"/>
                <w:szCs w:val="15"/>
                <w:color w:val="auto"/>
              </w:rPr>
            </w:pPr>
          </w:p>
        </w:tc>
      </w:tr>
      <w:tr>
        <w:trPr>
          <w:trHeight w:val="188"/>
        </w:trPr>
        <w:tc>
          <w:tcPr>
            <w:tcW w:w="8920" w:type="dxa"/>
            <w:vAlign w:val="bottom"/>
            <w:shd w:val="clear" w:color="auto" w:fill="C0C0C0"/>
          </w:tcPr>
          <w:p>
            <w:pPr>
              <w:ind w:left="1000"/>
              <w:spacing w:after="0"/>
              <w:rPr>
                <w:sz w:val="20"/>
                <w:szCs w:val="20"/>
                <w:color w:val="auto"/>
              </w:rPr>
            </w:pPr>
            <w:r>
              <w:rPr>
                <w:rFonts w:ascii="Arial" w:cs="Arial" w:eastAsia="Arial" w:hAnsi="Arial"/>
                <w:sz w:val="14"/>
                <w:szCs w:val="14"/>
                <w:color w:val="auto"/>
              </w:rPr>
              <w:t>Net cash (used in) provided by operating activities</w:t>
            </w:r>
          </w:p>
        </w:tc>
        <w:tc>
          <w:tcPr>
            <w:tcW w:w="220" w:type="dxa"/>
            <w:vAlign w:val="bottom"/>
            <w:shd w:val="clear" w:color="auto" w:fill="C0C0C0"/>
          </w:tcPr>
          <w:p>
            <w:pPr>
              <w:spacing w:after="0"/>
              <w:rPr>
                <w:sz w:val="16"/>
                <w:szCs w:val="16"/>
                <w:color w:val="auto"/>
              </w:rPr>
            </w:pPr>
          </w:p>
        </w:tc>
        <w:tc>
          <w:tcPr>
            <w:tcW w:w="100" w:type="dxa"/>
            <w:vAlign w:val="bottom"/>
            <w:tcBorders>
              <w:bottom w:val="single" w:sz="8" w:color="auto"/>
            </w:tcBorders>
            <w:shd w:val="clear" w:color="auto" w:fill="C0C0C0"/>
          </w:tcPr>
          <w:p>
            <w:pPr>
              <w:spacing w:after="0"/>
              <w:rPr>
                <w:sz w:val="16"/>
                <w:szCs w:val="16"/>
                <w:color w:val="auto"/>
              </w:rPr>
            </w:pPr>
          </w:p>
        </w:tc>
        <w:tc>
          <w:tcPr>
            <w:tcW w:w="9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(91,365)</w:t>
            </w:r>
          </w:p>
        </w:tc>
        <w:tc>
          <w:tcPr>
            <w:tcW w:w="220" w:type="dxa"/>
            <w:vAlign w:val="bottom"/>
            <w:shd w:val="clear" w:color="auto" w:fill="C0C0C0"/>
          </w:tcPr>
          <w:p>
            <w:pPr>
              <w:spacing w:after="0"/>
              <w:rPr>
                <w:sz w:val="16"/>
                <w:szCs w:val="16"/>
                <w:color w:val="auto"/>
              </w:rPr>
            </w:pPr>
          </w:p>
        </w:tc>
        <w:tc>
          <w:tcPr>
            <w:tcW w:w="240" w:type="dxa"/>
            <w:vAlign w:val="bottom"/>
            <w:tcBorders>
              <w:bottom w:val="single" w:sz="8" w:color="auto"/>
            </w:tcBorders>
            <w:shd w:val="clear" w:color="auto" w:fill="C0C0C0"/>
          </w:tcPr>
          <w:p>
            <w:pPr>
              <w:spacing w:after="0"/>
              <w:rPr>
                <w:sz w:val="16"/>
                <w:szCs w:val="16"/>
                <w:color w:val="auto"/>
              </w:rPr>
            </w:pPr>
          </w:p>
        </w:tc>
        <w:tc>
          <w:tcPr>
            <w:tcW w:w="820" w:type="dxa"/>
            <w:vAlign w:val="bottom"/>
            <w:tcBorders>
              <w:bottom w:val="single" w:sz="8" w:color="auto"/>
            </w:tcBorders>
            <w:shd w:val="clear" w:color="auto" w:fill="C0C0C0"/>
          </w:tcPr>
          <w:p>
            <w:pPr>
              <w:jc w:val="right"/>
              <w:ind w:right="29"/>
              <w:spacing w:after="0"/>
              <w:rPr>
                <w:sz w:val="20"/>
                <w:szCs w:val="20"/>
                <w:color w:val="auto"/>
              </w:rPr>
            </w:pPr>
            <w:r>
              <w:rPr>
                <w:rFonts w:ascii="Arial" w:cs="Arial" w:eastAsia="Arial" w:hAnsi="Arial"/>
                <w:sz w:val="14"/>
                <w:szCs w:val="14"/>
                <w:color w:val="auto"/>
              </w:rPr>
              <w:t>140,073</w:t>
            </w:r>
          </w:p>
        </w:tc>
        <w:tc>
          <w:tcPr>
            <w:tcW w:w="20" w:type="dxa"/>
            <w:vAlign w:val="bottom"/>
          </w:tcPr>
          <w:p>
            <w:pPr>
              <w:spacing w:after="0"/>
              <w:rPr>
                <w:sz w:val="16"/>
                <w:szCs w:val="16"/>
                <w:color w:val="auto"/>
              </w:rPr>
            </w:pPr>
          </w:p>
        </w:tc>
      </w:tr>
      <w:tr>
        <w:trPr>
          <w:trHeight w:val="195"/>
        </w:trPr>
        <w:tc>
          <w:tcPr>
            <w:tcW w:w="8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7"/>
        </w:trPr>
        <w:tc>
          <w:tcPr>
            <w:tcW w:w="8920" w:type="dxa"/>
            <w:vAlign w:val="bottom"/>
            <w:shd w:val="clear" w:color="auto" w:fill="C0C0C0"/>
          </w:tcPr>
          <w:p>
            <w:pPr>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9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820" w:type="dxa"/>
            <w:vAlign w:val="bottom"/>
            <w:shd w:val="clear" w:color="auto" w:fill="C0C0C0"/>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8920" w:type="dxa"/>
            <w:vAlign w:val="bottom"/>
          </w:tcPr>
          <w:p>
            <w:pPr>
              <w:ind w:left="260"/>
              <w:spacing w:after="0"/>
              <w:rPr>
                <w:sz w:val="20"/>
                <w:szCs w:val="20"/>
                <w:color w:val="auto"/>
              </w:rPr>
            </w:pPr>
            <w:r>
              <w:rPr>
                <w:rFonts w:ascii="Arial" w:cs="Arial" w:eastAsia="Arial" w:hAnsi="Arial"/>
                <w:sz w:val="14"/>
                <w:szCs w:val="14"/>
                <w:color w:val="auto"/>
              </w:rPr>
              <w:t>Purchases of marketable securities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(115,538)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(241,665)</w:t>
            </w:r>
          </w:p>
        </w:tc>
        <w:tc>
          <w:tcPr>
            <w:tcW w:w="20" w:type="dxa"/>
            <w:vAlign w:val="bottom"/>
          </w:tcPr>
          <w:p>
            <w:pPr>
              <w:spacing w:after="0"/>
              <w:rPr>
                <w:sz w:val="16"/>
                <w:szCs w:val="16"/>
                <w:color w:val="auto"/>
              </w:rPr>
            </w:pPr>
          </w:p>
        </w:tc>
      </w:tr>
      <w:tr>
        <w:trPr>
          <w:trHeight w:val="204"/>
        </w:trPr>
        <w:tc>
          <w:tcPr>
            <w:tcW w:w="8920" w:type="dxa"/>
            <w:vAlign w:val="bottom"/>
            <w:shd w:val="clear" w:color="auto" w:fill="C0C0C0"/>
          </w:tcPr>
          <w:p>
            <w:pPr>
              <w:ind w:left="260"/>
              <w:spacing w:after="0"/>
              <w:rPr>
                <w:sz w:val="20"/>
                <w:szCs w:val="20"/>
                <w:color w:val="auto"/>
              </w:rPr>
            </w:pPr>
            <w:r>
              <w:rPr>
                <w:rFonts w:ascii="Arial" w:cs="Arial" w:eastAsia="Arial" w:hAnsi="Arial"/>
                <w:sz w:val="14"/>
                <w:szCs w:val="14"/>
                <w:color w:val="auto"/>
              </w:rPr>
              <w:t>Sales or maturities of marketable securities</w:t>
            </w: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94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324,530</w:t>
            </w:r>
          </w:p>
        </w:tc>
        <w:tc>
          <w:tcPr>
            <w:tcW w:w="2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8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228,483</w:t>
            </w:r>
          </w:p>
        </w:tc>
        <w:tc>
          <w:tcPr>
            <w:tcW w:w="20" w:type="dxa"/>
            <w:vAlign w:val="bottom"/>
          </w:tcPr>
          <w:p>
            <w:pPr>
              <w:spacing w:after="0"/>
              <w:rPr>
                <w:sz w:val="17"/>
                <w:szCs w:val="17"/>
                <w:color w:val="auto"/>
              </w:rPr>
            </w:pPr>
          </w:p>
        </w:tc>
      </w:tr>
      <w:tr>
        <w:trPr>
          <w:trHeight w:val="191"/>
        </w:trPr>
        <w:tc>
          <w:tcPr>
            <w:tcW w:w="8920" w:type="dxa"/>
            <w:vAlign w:val="bottom"/>
          </w:tcPr>
          <w:p>
            <w:pPr>
              <w:ind w:left="260"/>
              <w:spacing w:after="0"/>
              <w:rPr>
                <w:sz w:val="20"/>
                <w:szCs w:val="20"/>
                <w:color w:val="auto"/>
              </w:rPr>
            </w:pPr>
            <w:r>
              <w:rPr>
                <w:rFonts w:ascii="Arial" w:cs="Arial" w:eastAsia="Arial" w:hAnsi="Arial"/>
                <w:sz w:val="14"/>
                <w:szCs w:val="14"/>
                <w:color w:val="auto"/>
              </w:rPr>
              <w:t>Capital expenditures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(45,928)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(67,427)</w:t>
            </w:r>
          </w:p>
        </w:tc>
        <w:tc>
          <w:tcPr>
            <w:tcW w:w="20" w:type="dxa"/>
            <w:vAlign w:val="bottom"/>
          </w:tcPr>
          <w:p>
            <w:pPr>
              <w:spacing w:after="0"/>
              <w:rPr>
                <w:sz w:val="16"/>
                <w:szCs w:val="16"/>
                <w:color w:val="auto"/>
              </w:rPr>
            </w:pPr>
          </w:p>
        </w:tc>
      </w:tr>
      <w:tr>
        <w:trPr>
          <w:trHeight w:val="204"/>
        </w:trPr>
        <w:tc>
          <w:tcPr>
            <w:tcW w:w="8920" w:type="dxa"/>
            <w:vAlign w:val="bottom"/>
            <w:shd w:val="clear" w:color="auto" w:fill="C0C0C0"/>
          </w:tcPr>
          <w:p>
            <w:pPr>
              <w:ind w:left="260"/>
              <w:spacing w:after="0"/>
              <w:rPr>
                <w:sz w:val="20"/>
                <w:szCs w:val="20"/>
                <w:color w:val="auto"/>
              </w:rPr>
            </w:pPr>
            <w:r>
              <w:rPr>
                <w:rFonts w:ascii="Arial" w:cs="Arial" w:eastAsia="Arial" w:hAnsi="Arial"/>
                <w:sz w:val="14"/>
                <w:szCs w:val="14"/>
                <w:color w:val="auto"/>
              </w:rPr>
              <w:t>Increase in restricted cash</w:t>
            </w:r>
          </w:p>
        </w:tc>
        <w:tc>
          <w:tcPr>
            <w:tcW w:w="220" w:type="dxa"/>
            <w:vAlign w:val="bottom"/>
            <w:shd w:val="clear" w:color="auto" w:fill="C0C0C0"/>
          </w:tcPr>
          <w:p>
            <w:pPr>
              <w:spacing w:after="0"/>
              <w:rPr>
                <w:sz w:val="17"/>
                <w:szCs w:val="17"/>
                <w:color w:val="auto"/>
              </w:rPr>
            </w:pPr>
          </w:p>
        </w:tc>
        <w:tc>
          <w:tcPr>
            <w:tcW w:w="100" w:type="dxa"/>
            <w:vAlign w:val="bottom"/>
            <w:tcBorders>
              <w:bottom w:val="single" w:sz="8" w:color="auto"/>
            </w:tcBorders>
            <w:shd w:val="clear" w:color="auto" w:fill="C0C0C0"/>
          </w:tcPr>
          <w:p>
            <w:pPr>
              <w:spacing w:after="0"/>
              <w:rPr>
                <w:sz w:val="17"/>
                <w:szCs w:val="17"/>
                <w:color w:val="auto"/>
              </w:rPr>
            </w:pPr>
          </w:p>
        </w:tc>
        <w:tc>
          <w:tcPr>
            <w:tcW w:w="9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(685)</w:t>
            </w:r>
          </w:p>
        </w:tc>
        <w:tc>
          <w:tcPr>
            <w:tcW w:w="220" w:type="dxa"/>
            <w:vAlign w:val="bottom"/>
            <w:shd w:val="clear" w:color="auto" w:fill="C0C0C0"/>
          </w:tcPr>
          <w:p>
            <w:pPr>
              <w:spacing w:after="0"/>
              <w:rPr>
                <w:sz w:val="17"/>
                <w:szCs w:val="17"/>
                <w:color w:val="auto"/>
              </w:rPr>
            </w:pPr>
          </w:p>
        </w:tc>
        <w:tc>
          <w:tcPr>
            <w:tcW w:w="240" w:type="dxa"/>
            <w:vAlign w:val="bottom"/>
            <w:tcBorders>
              <w:bottom w:val="single" w:sz="8" w:color="auto"/>
            </w:tcBorders>
            <w:shd w:val="clear" w:color="auto" w:fill="C0C0C0"/>
          </w:tcPr>
          <w:p>
            <w:pPr>
              <w:spacing w:after="0"/>
              <w:rPr>
                <w:sz w:val="17"/>
                <w:szCs w:val="17"/>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(1,800)</w:t>
            </w:r>
          </w:p>
        </w:tc>
        <w:tc>
          <w:tcPr>
            <w:tcW w:w="20" w:type="dxa"/>
            <w:vAlign w:val="bottom"/>
          </w:tcPr>
          <w:p>
            <w:pPr>
              <w:spacing w:after="0"/>
              <w:rPr>
                <w:sz w:val="17"/>
                <w:szCs w:val="17"/>
                <w:color w:val="auto"/>
              </w:rPr>
            </w:pPr>
          </w:p>
        </w:tc>
      </w:tr>
      <w:tr>
        <w:trPr>
          <w:trHeight w:val="182"/>
        </w:trPr>
        <w:tc>
          <w:tcPr>
            <w:tcW w:w="8920" w:type="dxa"/>
            <w:vAlign w:val="bottom"/>
          </w:tcPr>
          <w:p>
            <w:pPr>
              <w:ind w:left="1000"/>
              <w:spacing w:after="0"/>
              <w:rPr>
                <w:sz w:val="20"/>
                <w:szCs w:val="20"/>
                <w:color w:val="auto"/>
              </w:rPr>
            </w:pPr>
            <w:r>
              <w:rPr>
                <w:rFonts w:ascii="Arial" w:cs="Arial" w:eastAsia="Arial" w:hAnsi="Arial"/>
                <w:sz w:val="14"/>
                <w:szCs w:val="14"/>
                <w:color w:val="auto"/>
              </w:rPr>
              <w:t>Net cash provided by (used in) investing activities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162,379</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(82,409)</w:t>
            </w:r>
          </w:p>
        </w:tc>
        <w:tc>
          <w:tcPr>
            <w:tcW w:w="20" w:type="dxa"/>
            <w:vAlign w:val="bottom"/>
          </w:tcPr>
          <w:p>
            <w:pPr>
              <w:spacing w:after="0"/>
              <w:rPr>
                <w:sz w:val="15"/>
                <w:szCs w:val="15"/>
                <w:color w:val="auto"/>
              </w:rPr>
            </w:pPr>
          </w:p>
        </w:tc>
      </w:tr>
      <w:tr>
        <w:trPr>
          <w:trHeight w:val="195"/>
        </w:trPr>
        <w:tc>
          <w:tcPr>
            <w:tcW w:w="8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7"/>
        </w:trPr>
        <w:tc>
          <w:tcPr>
            <w:tcW w:w="8920" w:type="dxa"/>
            <w:vAlign w:val="bottom"/>
            <w:shd w:val="clear" w:color="auto" w:fill="C0C0C0"/>
          </w:tcPr>
          <w:p>
            <w:pPr>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9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820" w:type="dxa"/>
            <w:vAlign w:val="bottom"/>
            <w:shd w:val="clear" w:color="auto" w:fill="C0C0C0"/>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8920" w:type="dxa"/>
            <w:vAlign w:val="bottom"/>
          </w:tcPr>
          <w:p>
            <w:pPr>
              <w:ind w:left="260"/>
              <w:spacing w:after="0"/>
              <w:rPr>
                <w:sz w:val="20"/>
                <w:szCs w:val="20"/>
                <w:color w:val="auto"/>
              </w:rPr>
            </w:pPr>
            <w:r>
              <w:rPr>
                <w:rFonts w:ascii="Arial" w:cs="Arial" w:eastAsia="Arial" w:hAnsi="Arial"/>
                <w:sz w:val="14"/>
                <w:szCs w:val="14"/>
                <w:color w:val="auto"/>
              </w:rPr>
              <w:t>Proceeds in connection with facility lease obligations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47,544</w:t>
            </w:r>
          </w:p>
        </w:tc>
        <w:tc>
          <w:tcPr>
            <w:tcW w:w="20" w:type="dxa"/>
            <w:vAlign w:val="bottom"/>
          </w:tcPr>
          <w:p>
            <w:pPr>
              <w:spacing w:after="0"/>
              <w:rPr>
                <w:sz w:val="16"/>
                <w:szCs w:val="16"/>
                <w:color w:val="auto"/>
              </w:rPr>
            </w:pPr>
          </w:p>
        </w:tc>
      </w:tr>
      <w:tr>
        <w:trPr>
          <w:trHeight w:val="204"/>
        </w:trPr>
        <w:tc>
          <w:tcPr>
            <w:tcW w:w="8920" w:type="dxa"/>
            <w:vAlign w:val="bottom"/>
            <w:shd w:val="clear" w:color="auto" w:fill="C0C0C0"/>
          </w:tcPr>
          <w:p>
            <w:pPr>
              <w:ind w:left="260"/>
              <w:spacing w:after="0"/>
              <w:rPr>
                <w:sz w:val="20"/>
                <w:szCs w:val="20"/>
                <w:color w:val="auto"/>
              </w:rPr>
            </w:pPr>
            <w:r>
              <w:rPr>
                <w:rFonts w:ascii="Arial" w:cs="Arial" w:eastAsia="Arial" w:hAnsi="Arial"/>
                <w:sz w:val="14"/>
                <w:szCs w:val="14"/>
                <w:color w:val="auto"/>
              </w:rPr>
              <w:t>Payments in connection with facility lease obligations</w:t>
            </w: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(468)</w:t>
            </w:r>
          </w:p>
        </w:tc>
        <w:tc>
          <w:tcPr>
            <w:tcW w:w="2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4"/>
                <w:szCs w:val="14"/>
                <w:color w:val="auto"/>
              </w:rPr>
              <w:t>(757)</w:t>
            </w:r>
          </w:p>
        </w:tc>
        <w:tc>
          <w:tcPr>
            <w:tcW w:w="20" w:type="dxa"/>
            <w:vAlign w:val="bottom"/>
          </w:tcPr>
          <w:p>
            <w:pPr>
              <w:spacing w:after="0"/>
              <w:rPr>
                <w:sz w:val="17"/>
                <w:szCs w:val="17"/>
                <w:color w:val="auto"/>
              </w:rPr>
            </w:pPr>
          </w:p>
        </w:tc>
      </w:tr>
      <w:tr>
        <w:trPr>
          <w:trHeight w:val="191"/>
        </w:trPr>
        <w:tc>
          <w:tcPr>
            <w:tcW w:w="8920" w:type="dxa"/>
            <w:vAlign w:val="bottom"/>
          </w:tcPr>
          <w:p>
            <w:pPr>
              <w:ind w:left="260"/>
              <w:spacing w:after="0"/>
              <w:rPr>
                <w:sz w:val="20"/>
                <w:szCs w:val="20"/>
                <w:color w:val="auto"/>
              </w:rPr>
            </w:pPr>
            <w:r>
              <w:rPr>
                <w:rFonts w:ascii="Arial" w:cs="Arial" w:eastAsia="Arial" w:hAnsi="Arial"/>
                <w:sz w:val="14"/>
                <w:szCs w:val="14"/>
                <w:color w:val="auto"/>
              </w:rPr>
              <w:t>Net proceeds from the issuance of Common Stock</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23,989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13,760</w:t>
            </w:r>
          </w:p>
        </w:tc>
        <w:tc>
          <w:tcPr>
            <w:tcW w:w="20" w:type="dxa"/>
            <w:vAlign w:val="bottom"/>
          </w:tcPr>
          <w:p>
            <w:pPr>
              <w:spacing w:after="0"/>
              <w:rPr>
                <w:sz w:val="16"/>
                <w:szCs w:val="16"/>
                <w:color w:val="auto"/>
              </w:rPr>
            </w:pPr>
          </w:p>
        </w:tc>
      </w:tr>
      <w:tr>
        <w:trPr>
          <w:trHeight w:val="204"/>
        </w:trPr>
        <w:tc>
          <w:tcPr>
            <w:tcW w:w="8920" w:type="dxa"/>
            <w:vAlign w:val="bottom"/>
            <w:shd w:val="clear" w:color="auto" w:fill="C0C0C0"/>
          </w:tcPr>
          <w:p>
            <w:pPr>
              <w:ind w:left="260"/>
              <w:spacing w:after="0"/>
              <w:rPr>
                <w:sz w:val="20"/>
                <w:szCs w:val="20"/>
                <w:color w:val="auto"/>
              </w:rPr>
            </w:pPr>
            <w:r>
              <w:rPr>
                <w:rFonts w:ascii="Arial" w:cs="Arial" w:eastAsia="Arial" w:hAnsi="Arial"/>
                <w:sz w:val="14"/>
                <w:szCs w:val="14"/>
                <w:color w:val="auto"/>
              </w:rPr>
              <w:t>Payments in connection with capital lease obligations</w:t>
            </w:r>
          </w:p>
        </w:tc>
        <w:tc>
          <w:tcPr>
            <w:tcW w:w="220" w:type="dxa"/>
            <w:vAlign w:val="bottom"/>
            <w:shd w:val="clear" w:color="auto" w:fill="C0C0C0"/>
          </w:tcPr>
          <w:p>
            <w:pPr>
              <w:spacing w:after="0"/>
              <w:rPr>
                <w:sz w:val="17"/>
                <w:szCs w:val="17"/>
                <w:color w:val="auto"/>
              </w:rPr>
            </w:pPr>
          </w:p>
        </w:tc>
        <w:tc>
          <w:tcPr>
            <w:tcW w:w="100" w:type="dxa"/>
            <w:vAlign w:val="bottom"/>
            <w:tcBorders>
              <w:bottom w:val="single" w:sz="8" w:color="auto"/>
            </w:tcBorders>
            <w:shd w:val="clear" w:color="auto" w:fill="C0C0C0"/>
          </w:tcPr>
          <w:p>
            <w:pPr>
              <w:spacing w:after="0"/>
              <w:rPr>
                <w:sz w:val="17"/>
                <w:szCs w:val="17"/>
                <w:color w:val="auto"/>
              </w:rPr>
            </w:pPr>
          </w:p>
        </w:tc>
        <w:tc>
          <w:tcPr>
            <w:tcW w:w="9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(712)</w:t>
            </w:r>
          </w:p>
        </w:tc>
        <w:tc>
          <w:tcPr>
            <w:tcW w:w="220" w:type="dxa"/>
            <w:vAlign w:val="bottom"/>
            <w:shd w:val="clear" w:color="auto" w:fill="C0C0C0"/>
          </w:tcPr>
          <w:p>
            <w:pPr>
              <w:spacing w:after="0"/>
              <w:rPr>
                <w:sz w:val="17"/>
                <w:szCs w:val="17"/>
                <w:color w:val="auto"/>
              </w:rPr>
            </w:pPr>
          </w:p>
        </w:tc>
        <w:tc>
          <w:tcPr>
            <w:tcW w:w="240" w:type="dxa"/>
            <w:vAlign w:val="bottom"/>
            <w:tcBorders>
              <w:bottom w:val="single" w:sz="8" w:color="auto"/>
            </w:tcBorders>
            <w:shd w:val="clear" w:color="auto" w:fill="C0C0C0"/>
          </w:tcPr>
          <w:p>
            <w:pPr>
              <w:spacing w:after="0"/>
              <w:rPr>
                <w:sz w:val="17"/>
                <w:szCs w:val="17"/>
                <w:color w:val="auto"/>
              </w:rPr>
            </w:pPr>
          </w:p>
        </w:tc>
        <w:tc>
          <w:tcPr>
            <w:tcW w:w="820" w:type="dxa"/>
            <w:vAlign w:val="bottom"/>
            <w:tcBorders>
              <w:bottom w:val="single" w:sz="8" w:color="auto"/>
            </w:tcBorders>
            <w:shd w:val="clear" w:color="auto" w:fill="C0C0C0"/>
          </w:tcPr>
          <w:p>
            <w:pPr>
              <w:spacing w:after="0"/>
              <w:rPr>
                <w:sz w:val="17"/>
                <w:szCs w:val="17"/>
                <w:color w:val="auto"/>
              </w:rPr>
            </w:pPr>
          </w:p>
        </w:tc>
        <w:tc>
          <w:tcPr>
            <w:tcW w:w="20" w:type="dxa"/>
            <w:vAlign w:val="bottom"/>
          </w:tcPr>
          <w:p>
            <w:pPr>
              <w:spacing w:after="0"/>
              <w:rPr>
                <w:sz w:val="17"/>
                <w:szCs w:val="17"/>
                <w:color w:val="auto"/>
              </w:rPr>
            </w:pPr>
          </w:p>
        </w:tc>
      </w:tr>
      <w:tr>
        <w:trPr>
          <w:trHeight w:val="182"/>
        </w:trPr>
        <w:tc>
          <w:tcPr>
            <w:tcW w:w="8920" w:type="dxa"/>
            <w:vAlign w:val="bottom"/>
          </w:tcPr>
          <w:p>
            <w:pPr>
              <w:ind w:left="1000"/>
              <w:spacing w:after="0"/>
              <w:rPr>
                <w:sz w:val="20"/>
                <w:szCs w:val="20"/>
                <w:color w:val="auto"/>
              </w:rPr>
            </w:pPr>
            <w:r>
              <w:rPr>
                <w:rFonts w:ascii="Arial" w:cs="Arial" w:eastAsia="Arial" w:hAnsi="Arial"/>
                <w:sz w:val="14"/>
                <w:szCs w:val="14"/>
                <w:color w:val="auto"/>
              </w:rPr>
              <w:t>Net cash provided by financing activities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22,809</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60,547</w:t>
            </w:r>
          </w:p>
        </w:tc>
        <w:tc>
          <w:tcPr>
            <w:tcW w:w="20" w:type="dxa"/>
            <w:vAlign w:val="bottom"/>
          </w:tcPr>
          <w:p>
            <w:pPr>
              <w:spacing w:after="0"/>
              <w:rPr>
                <w:sz w:val="15"/>
                <w:szCs w:val="15"/>
                <w:color w:val="auto"/>
              </w:rPr>
            </w:pPr>
          </w:p>
        </w:tc>
      </w:tr>
      <w:tr>
        <w:trPr>
          <w:trHeight w:val="195"/>
        </w:trPr>
        <w:tc>
          <w:tcPr>
            <w:tcW w:w="8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7"/>
        </w:trPr>
        <w:tc>
          <w:tcPr>
            <w:tcW w:w="8920" w:type="dxa"/>
            <w:vAlign w:val="bottom"/>
            <w:shd w:val="clear" w:color="auto" w:fill="C0C0C0"/>
          </w:tcPr>
          <w:p>
            <w:pPr>
              <w:spacing w:after="0"/>
              <w:rPr>
                <w:sz w:val="20"/>
                <w:szCs w:val="20"/>
                <w:color w:val="auto"/>
              </w:rPr>
            </w:pPr>
            <w:r>
              <w:rPr>
                <w:rFonts w:ascii="Arial" w:cs="Arial" w:eastAsia="Arial" w:hAnsi="Arial"/>
                <w:sz w:val="14"/>
                <w:szCs w:val="14"/>
                <w:color w:val="auto"/>
              </w:rPr>
              <w:t>Net increase in cash and cash equivalents</w:t>
            </w: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94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93,823</w:t>
            </w:r>
          </w:p>
        </w:tc>
        <w:tc>
          <w:tcPr>
            <w:tcW w:w="2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8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118,211</w:t>
            </w:r>
          </w:p>
        </w:tc>
        <w:tc>
          <w:tcPr>
            <w:tcW w:w="20" w:type="dxa"/>
            <w:vAlign w:val="bottom"/>
          </w:tcPr>
          <w:p>
            <w:pPr>
              <w:spacing w:after="0"/>
              <w:rPr>
                <w:sz w:val="17"/>
                <w:szCs w:val="17"/>
                <w:color w:val="auto"/>
              </w:rPr>
            </w:pPr>
          </w:p>
        </w:tc>
      </w:tr>
      <w:tr>
        <w:trPr>
          <w:trHeight w:val="197"/>
        </w:trPr>
        <w:tc>
          <w:tcPr>
            <w:tcW w:w="8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8920" w:type="dxa"/>
            <w:vAlign w:val="bottom"/>
            <w:shd w:val="clear" w:color="auto" w:fill="C0C0C0"/>
          </w:tcPr>
          <w:p>
            <w:pPr>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shd w:val="clear" w:color="auto" w:fill="C0C0C0"/>
          </w:tcPr>
          <w:p>
            <w:pPr>
              <w:spacing w:after="0"/>
              <w:rPr>
                <w:sz w:val="16"/>
                <w:szCs w:val="16"/>
                <w:color w:val="auto"/>
              </w:rPr>
            </w:pPr>
          </w:p>
        </w:tc>
        <w:tc>
          <w:tcPr>
            <w:tcW w:w="100" w:type="dxa"/>
            <w:vAlign w:val="bottom"/>
            <w:tcBorders>
              <w:bottom w:val="single" w:sz="8" w:color="auto"/>
            </w:tcBorders>
            <w:shd w:val="clear" w:color="auto" w:fill="C0C0C0"/>
          </w:tcPr>
          <w:p>
            <w:pPr>
              <w:spacing w:after="0"/>
              <w:rPr>
                <w:sz w:val="16"/>
                <w:szCs w:val="16"/>
                <w:color w:val="auto"/>
              </w:rPr>
            </w:pPr>
          </w:p>
        </w:tc>
        <w:tc>
          <w:tcPr>
            <w:tcW w:w="940" w:type="dxa"/>
            <w:vAlign w:val="bottom"/>
            <w:tcBorders>
              <w:bottom w:val="single" w:sz="8" w:color="auto"/>
            </w:tcBorders>
            <w:shd w:val="clear" w:color="auto" w:fill="C0C0C0"/>
          </w:tcPr>
          <w:p>
            <w:pPr>
              <w:jc w:val="right"/>
              <w:ind w:right="29"/>
              <w:spacing w:after="0"/>
              <w:rPr>
                <w:sz w:val="20"/>
                <w:szCs w:val="20"/>
                <w:color w:val="auto"/>
              </w:rPr>
            </w:pPr>
            <w:r>
              <w:rPr>
                <w:rFonts w:ascii="Arial" w:cs="Arial" w:eastAsia="Arial" w:hAnsi="Arial"/>
                <w:sz w:val="14"/>
                <w:szCs w:val="14"/>
                <w:color w:val="auto"/>
              </w:rPr>
              <w:t>112,572</w:t>
            </w:r>
          </w:p>
        </w:tc>
        <w:tc>
          <w:tcPr>
            <w:tcW w:w="220" w:type="dxa"/>
            <w:vAlign w:val="bottom"/>
            <w:shd w:val="clear" w:color="auto" w:fill="C0C0C0"/>
          </w:tcPr>
          <w:p>
            <w:pPr>
              <w:spacing w:after="0"/>
              <w:rPr>
                <w:sz w:val="16"/>
                <w:szCs w:val="16"/>
                <w:color w:val="auto"/>
              </w:rPr>
            </w:pPr>
          </w:p>
        </w:tc>
        <w:tc>
          <w:tcPr>
            <w:tcW w:w="240" w:type="dxa"/>
            <w:vAlign w:val="bottom"/>
            <w:tcBorders>
              <w:bottom w:val="single" w:sz="8" w:color="auto"/>
            </w:tcBorders>
            <w:shd w:val="clear" w:color="auto" w:fill="C0C0C0"/>
          </w:tcPr>
          <w:p>
            <w:pPr>
              <w:spacing w:after="0"/>
              <w:rPr>
                <w:sz w:val="16"/>
                <w:szCs w:val="16"/>
                <w:color w:val="auto"/>
              </w:rPr>
            </w:pPr>
          </w:p>
        </w:tc>
        <w:tc>
          <w:tcPr>
            <w:tcW w:w="820" w:type="dxa"/>
            <w:vAlign w:val="bottom"/>
            <w:tcBorders>
              <w:bottom w:val="single" w:sz="8" w:color="auto"/>
            </w:tcBorders>
            <w:shd w:val="clear" w:color="auto" w:fill="C0C0C0"/>
          </w:tcPr>
          <w:p>
            <w:pPr>
              <w:jc w:val="right"/>
              <w:ind w:right="29"/>
              <w:spacing w:after="0"/>
              <w:rPr>
                <w:sz w:val="20"/>
                <w:szCs w:val="20"/>
                <w:color w:val="auto"/>
              </w:rPr>
            </w:pPr>
            <w:r>
              <w:rPr>
                <w:rFonts w:ascii="Arial" w:cs="Arial" w:eastAsia="Arial" w:hAnsi="Arial"/>
                <w:sz w:val="14"/>
                <w:szCs w:val="14"/>
                <w:color w:val="auto"/>
              </w:rPr>
              <w:t>207,075</w:t>
            </w:r>
          </w:p>
        </w:tc>
        <w:tc>
          <w:tcPr>
            <w:tcW w:w="20" w:type="dxa"/>
            <w:vAlign w:val="bottom"/>
          </w:tcPr>
          <w:p>
            <w:pPr>
              <w:spacing w:after="0"/>
              <w:rPr>
                <w:sz w:val="16"/>
                <w:szCs w:val="16"/>
                <w:color w:val="auto"/>
              </w:rPr>
            </w:pPr>
          </w:p>
        </w:tc>
      </w:tr>
      <w:tr>
        <w:trPr>
          <w:trHeight w:val="195"/>
        </w:trPr>
        <w:tc>
          <w:tcPr>
            <w:tcW w:w="8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7"/>
        </w:trPr>
        <w:tc>
          <w:tcPr>
            <w:tcW w:w="8920" w:type="dxa"/>
            <w:vAlign w:val="bottom"/>
            <w:shd w:val="clear" w:color="auto" w:fill="C0C0C0"/>
          </w:tcPr>
          <w:p>
            <w:pPr>
              <w:spacing w:after="0"/>
              <w:rPr>
                <w:sz w:val="20"/>
                <w:szCs w:val="20"/>
                <w:color w:val="auto"/>
              </w:rPr>
            </w:pPr>
            <w:r>
              <w:rPr>
                <w:rFonts w:ascii="Arial" w:cs="Arial" w:eastAsia="Arial" w:hAnsi="Arial"/>
                <w:sz w:val="14"/>
                <w:szCs w:val="14"/>
                <w:color w:val="auto"/>
              </w:rPr>
              <w:t>Cash and cash equivalents at end of period</w:t>
            </w:r>
          </w:p>
        </w:tc>
        <w:tc>
          <w:tcPr>
            <w:tcW w:w="320" w:type="dxa"/>
            <w:vAlign w:val="bottom"/>
            <w:gridSpan w:val="2"/>
            <w:shd w:val="clear" w:color="auto" w:fill="C0C0C0"/>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206,395</w:t>
            </w:r>
          </w:p>
        </w:tc>
        <w:tc>
          <w:tcPr>
            <w:tcW w:w="220" w:type="dxa"/>
            <w:vAlign w:val="bottom"/>
            <w:shd w:val="clear" w:color="auto" w:fill="C0C0C0"/>
          </w:tcPr>
          <w:p>
            <w:pPr>
              <w:spacing w:after="0"/>
              <w:rPr>
                <w:sz w:val="18"/>
                <w:szCs w:val="18"/>
                <w:color w:val="auto"/>
              </w:rPr>
            </w:pPr>
          </w:p>
        </w:tc>
        <w:tc>
          <w:tcPr>
            <w:tcW w:w="240" w:type="dxa"/>
            <w:vAlign w:val="bottom"/>
            <w:shd w:val="clear" w:color="auto" w:fill="C0C0C0"/>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325,286</w:t>
            </w:r>
          </w:p>
        </w:tc>
        <w:tc>
          <w:tcPr>
            <w:tcW w:w="20" w:type="dxa"/>
            <w:vAlign w:val="bottom"/>
          </w:tcPr>
          <w:p>
            <w:pPr>
              <w:spacing w:after="0"/>
              <w:rPr>
                <w:sz w:val="18"/>
                <w:szCs w:val="18"/>
                <w:color w:val="auto"/>
              </w:rPr>
            </w:pPr>
          </w:p>
        </w:tc>
      </w:tr>
      <w:tr>
        <w:trPr>
          <w:trHeight w:val="354"/>
        </w:trPr>
        <w:tc>
          <w:tcPr>
            <w:tcW w:w="8920" w:type="dxa"/>
            <w:vAlign w:val="bottom"/>
            <w:tcBorders>
              <w:top w:val="single" w:sz="8" w:color="C0C0C0"/>
            </w:tcBorders>
          </w:tcPr>
          <w:p>
            <w:pPr>
              <w:ind w:left="3540"/>
              <w:spacing w:after="0"/>
              <w:rPr>
                <w:sz w:val="20"/>
                <w:szCs w:val="20"/>
                <w:color w:val="auto"/>
              </w:rPr>
            </w:pPr>
            <w:r>
              <w:rPr>
                <w:rFonts w:ascii="Arial" w:cs="Arial" w:eastAsia="Arial" w:hAnsi="Arial"/>
                <w:sz w:val="14"/>
                <w:szCs w:val="14"/>
                <w:b w:val="1"/>
                <w:bCs w:val="1"/>
                <w:color w:val="auto"/>
              </w:rPr>
              <w:t>The accompanying notes are an integral part of the financial statements.</w:t>
            </w:r>
          </w:p>
        </w:tc>
        <w:tc>
          <w:tcPr>
            <w:tcW w:w="22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0C0C0"/>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2"/>
        </w:trPr>
        <w:tc>
          <w:tcPr>
            <w:tcW w:w="8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415"/>
        </w:trPr>
        <w:tc>
          <w:tcPr>
            <w:tcW w:w="8920" w:type="dxa"/>
            <w:vAlign w:val="bottom"/>
          </w:tcPr>
          <w:p>
            <w:pPr>
              <w:ind w:left="5700"/>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4"/>
        </w:trPr>
        <w:tc>
          <w:tcPr>
            <w:tcW w:w="89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-12700</wp:posOffset>
            </wp:positionV>
            <wp:extent cx="1270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80"/>
          </w:cols>
          <w:pgMar w:left="220" w:top="523" w:right="19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REGENERON PHARMACEUTICALS, INC.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Condensed Financial Statements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(Unless otherwise noted, dollars in thousands, except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Interim Financial Statements</w:t>
      </w:r>
    </w:p>
    <w:p>
      <w:pPr>
        <w:spacing w:after="0" w:line="238" w:lineRule="exact"/>
        <w:rPr>
          <w:sz w:val="20"/>
          <w:szCs w:val="20"/>
          <w:color w:val="auto"/>
        </w:rPr>
      </w:pPr>
    </w:p>
    <w:p>
      <w:pPr>
        <w:jc w:val="both"/>
        <w:ind w:firstLine="285"/>
        <w:spacing w:after="0" w:line="266" w:lineRule="auto"/>
        <w:rPr>
          <w:sz w:val="20"/>
          <w:szCs w:val="20"/>
          <w:color w:val="auto"/>
        </w:rPr>
      </w:pPr>
      <w:r>
        <w:rPr>
          <w:rFonts w:ascii="Arial" w:cs="Arial" w:eastAsia="Arial" w:hAnsi="Arial"/>
          <w:sz w:val="14"/>
          <w:szCs w:val="14"/>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adjustments, consisting only of normal recurring accruals, necessary for a fair statement of the Company’s financial position, results of operations, and cash flows for such periods. The results of operations for any interim periods are not necessarily indicative of the results for the full year. The December 31, 2010 Condensed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2010.</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Certain reclassifications have been made to the financial statements for the nine months ended September 30, 2010 to conform with the current period’s presentation.</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ARCALYST</w:t>
      </w:r>
      <w:r>
        <w:rPr>
          <w:rFonts w:ascii="Arial" w:cs="Arial" w:eastAsia="Arial" w:hAnsi="Arial"/>
          <w:sz w:val="19"/>
          <w:szCs w:val="19"/>
          <w:b w:val="1"/>
          <w:bCs w:val="1"/>
          <w:color w:val="auto"/>
          <w:vertAlign w:val="superscript"/>
        </w:rPr>
        <w:t>®</w:t>
      </w:r>
      <w:r>
        <w:rPr>
          <w:rFonts w:ascii="Arial" w:cs="Arial" w:eastAsia="Arial" w:hAnsi="Arial"/>
          <w:sz w:val="14"/>
          <w:szCs w:val="14"/>
          <w:b w:val="1"/>
          <w:bCs w:val="1"/>
          <w:color w:val="auto"/>
        </w:rPr>
        <w:t xml:space="preserve"> (rilonacept) Product Revenue</w:t>
      </w:r>
    </w:p>
    <w:p>
      <w:pPr>
        <w:spacing w:after="0" w:line="179" w:lineRule="exact"/>
        <w:rPr>
          <w:sz w:val="20"/>
          <w:szCs w:val="20"/>
          <w:color w:val="auto"/>
        </w:rPr>
      </w:pPr>
    </w:p>
    <w:p>
      <w:pPr>
        <w:jc w:val="both"/>
        <w:ind w:firstLine="307"/>
        <w:spacing w:after="0" w:line="203" w:lineRule="auto"/>
        <w:rPr>
          <w:sz w:val="20"/>
          <w:szCs w:val="20"/>
          <w:color w:val="auto"/>
        </w:rPr>
      </w:pPr>
      <w:r>
        <w:rPr>
          <w:rFonts w:ascii="Arial" w:cs="Arial" w:eastAsia="Arial" w:hAnsi="Arial"/>
          <w:sz w:val="14"/>
          <w:szCs w:val="14"/>
          <w:color w:val="auto"/>
        </w:rPr>
        <w:t>In February 2008, the Company received marketing approval from the U.S. Food and Drug Administration (“FDA”) for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Injection for Subcutaneous Use for the treatment of Cryopyrin-Associated Periodic Syndromes (“CAPS”). The Company had limited historical return experience for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beginning with initial sales in 2008 through the end of 2009; therefore,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net product sales were deferred until the right of return no longer existed and rebates could be reasonably estimated. Effective in the first quarter of 2010, the Company determined that it had accumulated sufficient historical data to reasonably estimate both product returns and rebates of ARCALYST</w:t>
      </w:r>
      <w:r>
        <w:rPr>
          <w:rFonts w:ascii="Arial" w:cs="Arial" w:eastAsia="Arial" w:hAnsi="Arial"/>
          <w:sz w:val="19"/>
          <w:szCs w:val="19"/>
          <w:color w:val="auto"/>
          <w:vertAlign w:val="superscript"/>
        </w:rPr>
        <w:t>®</w:t>
      </w:r>
      <w:r>
        <w:rPr>
          <w:rFonts w:ascii="Arial" w:cs="Arial" w:eastAsia="Arial" w:hAnsi="Arial"/>
          <w:sz w:val="14"/>
          <w:szCs w:val="14"/>
          <w:color w:val="auto"/>
        </w:rPr>
        <w:t>. As a result, $4.8 million of previously deferred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net product sales were recognized as revenue in the first quarter of 2010. The effect of this change in estimate related to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net product sales revenue was to lower the Company’s net loss per share by $0.06 for the nine months ended September 30, 2010.</w:t>
      </w:r>
    </w:p>
    <w:p>
      <w:pPr>
        <w:spacing w:after="0" w:line="212" w:lineRule="exact"/>
        <w:rPr>
          <w:sz w:val="20"/>
          <w:szCs w:val="20"/>
          <w:color w:val="auto"/>
        </w:rPr>
      </w:pPr>
    </w:p>
    <w:p>
      <w:pPr>
        <w:jc w:val="both"/>
        <w:ind w:firstLine="274"/>
        <w:spacing w:after="0" w:line="255" w:lineRule="auto"/>
        <w:rPr>
          <w:sz w:val="20"/>
          <w:szCs w:val="20"/>
          <w:color w:val="auto"/>
        </w:rPr>
      </w:pPr>
      <w:r>
        <w:rPr>
          <w:rFonts w:ascii="Arial" w:cs="Arial" w:eastAsia="Arial" w:hAnsi="Arial"/>
          <w:sz w:val="13"/>
          <w:szCs w:val="13"/>
          <w:color w:val="auto"/>
        </w:rPr>
        <w:t>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net product sales totaled $5.5 million and $4.9 million for the three months ended September 30, 2011 and 2010, respectively, and $14.9 million and $20.0 million for the nine months ended September 30, 2011 and 2010, respectively.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net product sales during the first nine months of 2010 included $15.2 million of net product sales made during this period and $4.8 million of previously deferred net product sales, as described above. There was no deferred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net product sales revenue at September 30, 2011 or 2010.</w:t>
      </w:r>
    </w:p>
    <w:p>
      <w:pPr>
        <w:spacing w:after="0" w:line="123" w:lineRule="exact"/>
        <w:rPr>
          <w:sz w:val="20"/>
          <w:szCs w:val="20"/>
          <w:color w:val="auto"/>
        </w:rPr>
      </w:pPr>
    </w:p>
    <w:p>
      <w:pPr>
        <w:jc w:val="both"/>
        <w:ind w:firstLine="318"/>
        <w:spacing w:after="0" w:line="226" w:lineRule="auto"/>
        <w:rPr>
          <w:sz w:val="20"/>
          <w:szCs w:val="20"/>
          <w:color w:val="auto"/>
        </w:rPr>
      </w:pPr>
      <w:r>
        <w:rPr>
          <w:rFonts w:ascii="Arial" w:cs="Arial" w:eastAsia="Arial" w:hAnsi="Arial"/>
          <w:sz w:val="14"/>
          <w:szCs w:val="14"/>
          <w:color w:val="auto"/>
        </w:rPr>
        <w:t>Cost of goods sold related to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sales, which consisted primarily of royalties, totaled $0.5 million and $0.4 million for the three months ended September 30, 2011 and 2010, respectively, and $1.2 million and $1.5 million for the nine months ended September 30, 2011 and 2010, respectively.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REGENERON PHARMACEUTICALS, INC.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Condensed Financial Statements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(Unless otherwise noted, dollars in thousands, except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Per Share Data</w:t>
      </w:r>
    </w:p>
    <w:p>
      <w:pPr>
        <w:spacing w:after="0" w:line="238" w:lineRule="exact"/>
        <w:rPr>
          <w:sz w:val="20"/>
          <w:szCs w:val="20"/>
          <w:color w:val="auto"/>
        </w:rPr>
      </w:pPr>
    </w:p>
    <w:p>
      <w:pPr>
        <w:jc w:val="both"/>
        <w:ind w:firstLine="219"/>
        <w:spacing w:after="0" w:line="271" w:lineRule="auto"/>
        <w:rPr>
          <w:sz w:val="20"/>
          <w:szCs w:val="20"/>
          <w:color w:val="auto"/>
        </w:rPr>
      </w:pPr>
      <w:r>
        <w:rPr>
          <w:rFonts w:ascii="Arial" w:cs="Arial" w:eastAsia="Arial" w:hAnsi="Arial"/>
          <w:sz w:val="14"/>
          <w:szCs w:val="14"/>
          <w:color w:val="auto"/>
        </w:rPr>
        <w:t>The Company’s basic and diluted net loss per share amounts have been computed by dividing net loss by the weighted average number of shares of Common Stock and Class A Stock outstanding. Net loss per share is presented on a combined basis, inclusive of Common Stock and Class A Stock outstanding, as each class of stock has equivalent economic rights. For the three and nine months ended September 30, 2011 and 2010, the Company reported net losses; therefore, no common stock equivalents were included in the computation of diluted net loss per share for these periods, since such inclusion would have been antidilutive. The calculations of basic and diluted net loss per share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69"/>
              <w:spacing w:after="0"/>
              <w:rPr>
                <w:sz w:val="20"/>
                <w:szCs w:val="20"/>
                <w:color w:val="auto"/>
              </w:rPr>
            </w:pPr>
            <w:r>
              <w:rPr>
                <w:rFonts w:ascii="Arial" w:cs="Arial" w:eastAsia="Arial" w:hAnsi="Arial"/>
                <w:sz w:val="14"/>
                <w:szCs w:val="14"/>
                <w:b w:val="1"/>
                <w:bCs w:val="1"/>
                <w:color w:val="auto"/>
                <w:w w:val="93"/>
              </w:rPr>
              <w:t>Three Months Ended September 30,</w:t>
            </w:r>
          </w:p>
        </w:tc>
      </w:tr>
      <w:tr>
        <w:trPr>
          <w:trHeight w:val="189"/>
        </w:trPr>
        <w:tc>
          <w:tcPr>
            <w:tcW w:w="6040" w:type="dxa"/>
            <w:vAlign w:val="bottom"/>
            <w:tcBorders>
              <w:bottom w:val="single" w:sz="8" w:color="C0C0C0"/>
            </w:tcBorders>
          </w:tcPr>
          <w:p>
            <w:pPr>
              <w:spacing w:after="0"/>
              <w:rPr>
                <w:sz w:val="16"/>
                <w:szCs w:val="16"/>
                <w:color w:val="auto"/>
              </w:rPr>
            </w:pPr>
          </w:p>
        </w:tc>
        <w:tc>
          <w:tcPr>
            <w:tcW w:w="2940" w:type="dxa"/>
            <w:vAlign w:val="bottom"/>
            <w:tcBorders>
              <w:bottom w:val="single" w:sz="8" w:color="C0C0C0"/>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0C0C0"/>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2010</w:t>
            </w:r>
          </w:p>
        </w:tc>
      </w:tr>
      <w:tr>
        <w:trPr>
          <w:trHeight w:val="195"/>
        </w:trPr>
        <w:tc>
          <w:tcPr>
            <w:tcW w:w="6040" w:type="dxa"/>
            <w:vAlign w:val="bottom"/>
            <w:shd w:val="clear" w:color="auto" w:fill="C0C0C0"/>
          </w:tcPr>
          <w:p>
            <w:pPr>
              <w:spacing w:after="0"/>
              <w:rPr>
                <w:sz w:val="20"/>
                <w:szCs w:val="20"/>
                <w:color w:val="auto"/>
              </w:rPr>
            </w:pPr>
            <w:r>
              <w:rPr>
                <w:rFonts w:ascii="Arial" w:cs="Arial" w:eastAsia="Arial" w:hAnsi="Arial"/>
                <w:sz w:val="14"/>
                <w:szCs w:val="14"/>
                <w:color w:val="auto"/>
              </w:rPr>
              <w:t>Net loss (Numerator)</w:t>
            </w:r>
          </w:p>
        </w:tc>
        <w:tc>
          <w:tcPr>
            <w:tcW w:w="3040" w:type="dxa"/>
            <w:vAlign w:val="bottom"/>
            <w:gridSpan w:val="2"/>
            <w:shd w:val="clear" w:color="auto" w:fill="C0C0C0"/>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(62,365)</w:t>
            </w:r>
          </w:p>
        </w:tc>
        <w:tc>
          <w:tcPr>
            <w:tcW w:w="460" w:type="dxa"/>
            <w:vAlign w:val="bottom"/>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(33,875)</w:t>
            </w:r>
          </w:p>
        </w:tc>
      </w:tr>
      <w:tr>
        <w:trPr>
          <w:trHeight w:val="197"/>
        </w:trPr>
        <w:tc>
          <w:tcPr>
            <w:tcW w:w="60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7"/>
        </w:trPr>
        <w:tc>
          <w:tcPr>
            <w:tcW w:w="6040" w:type="dxa"/>
            <w:vAlign w:val="bottom"/>
            <w:shd w:val="clear" w:color="auto" w:fill="C0C0C0"/>
          </w:tcPr>
          <w:p>
            <w:pPr>
              <w:spacing w:after="0"/>
              <w:rPr>
                <w:sz w:val="20"/>
                <w:szCs w:val="20"/>
                <w:color w:val="auto"/>
              </w:rPr>
            </w:pPr>
            <w:r>
              <w:rPr>
                <w:rFonts w:ascii="Arial" w:cs="Arial" w:eastAsia="Arial" w:hAnsi="Arial"/>
                <w:sz w:val="14"/>
                <w:szCs w:val="14"/>
                <w:color w:val="auto"/>
              </w:rPr>
              <w:t>Weighted-average shares, in thousands (Denominator)</w:t>
            </w:r>
          </w:p>
        </w:tc>
        <w:tc>
          <w:tcPr>
            <w:tcW w:w="294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06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91,046</w:t>
            </w:r>
          </w:p>
        </w:tc>
        <w:tc>
          <w:tcPr>
            <w:tcW w:w="2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86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81,638</w:t>
            </w:r>
          </w:p>
        </w:tc>
      </w:tr>
      <w:tr>
        <w:trPr>
          <w:trHeight w:val="197"/>
        </w:trPr>
        <w:tc>
          <w:tcPr>
            <w:tcW w:w="60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7"/>
        </w:trPr>
        <w:tc>
          <w:tcPr>
            <w:tcW w:w="6040" w:type="dxa"/>
            <w:vAlign w:val="bottom"/>
            <w:shd w:val="clear" w:color="auto" w:fill="C0C0C0"/>
          </w:tcPr>
          <w:p>
            <w:pPr>
              <w:spacing w:after="0"/>
              <w:rPr>
                <w:sz w:val="20"/>
                <w:szCs w:val="20"/>
                <w:color w:val="auto"/>
              </w:rPr>
            </w:pPr>
            <w:r>
              <w:rPr>
                <w:rFonts w:ascii="Arial" w:cs="Arial" w:eastAsia="Arial" w:hAnsi="Arial"/>
                <w:sz w:val="14"/>
                <w:szCs w:val="14"/>
                <w:color w:val="auto"/>
              </w:rPr>
              <w:t>Basic and diluted net loss per share</w:t>
            </w:r>
          </w:p>
        </w:tc>
        <w:tc>
          <w:tcPr>
            <w:tcW w:w="3040" w:type="dxa"/>
            <w:vAlign w:val="bottom"/>
            <w:gridSpan w:val="2"/>
            <w:shd w:val="clear" w:color="auto" w:fill="C0C0C0"/>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(0.68)</w:t>
            </w:r>
          </w:p>
        </w:tc>
        <w:tc>
          <w:tcPr>
            <w:tcW w:w="460" w:type="dxa"/>
            <w:vAlign w:val="bottom"/>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(0.41)</w:t>
            </w:r>
          </w:p>
        </w:tc>
      </w:tr>
      <w:tr>
        <w:trPr>
          <w:trHeight w:val="388"/>
        </w:trPr>
        <w:tc>
          <w:tcPr>
            <w:tcW w:w="60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109"/>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89"/>
        </w:trPr>
        <w:tc>
          <w:tcPr>
            <w:tcW w:w="6040" w:type="dxa"/>
            <w:vAlign w:val="bottom"/>
            <w:tcBorders>
              <w:bottom w:val="single" w:sz="8" w:color="C0C0C0"/>
            </w:tcBorders>
          </w:tcPr>
          <w:p>
            <w:pPr>
              <w:spacing w:after="0"/>
              <w:rPr>
                <w:sz w:val="16"/>
                <w:szCs w:val="16"/>
                <w:color w:val="auto"/>
              </w:rPr>
            </w:pPr>
          </w:p>
        </w:tc>
        <w:tc>
          <w:tcPr>
            <w:tcW w:w="2940" w:type="dxa"/>
            <w:vAlign w:val="bottom"/>
            <w:tcBorders>
              <w:bottom w:val="single" w:sz="8" w:color="C0C0C0"/>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0C0C0"/>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2010</w:t>
            </w:r>
          </w:p>
        </w:tc>
      </w:tr>
      <w:tr>
        <w:trPr>
          <w:trHeight w:val="195"/>
        </w:trPr>
        <w:tc>
          <w:tcPr>
            <w:tcW w:w="6040" w:type="dxa"/>
            <w:vAlign w:val="bottom"/>
            <w:shd w:val="clear" w:color="auto" w:fill="C0C0C0"/>
          </w:tcPr>
          <w:p>
            <w:pPr>
              <w:spacing w:after="0"/>
              <w:rPr>
                <w:sz w:val="20"/>
                <w:szCs w:val="20"/>
                <w:color w:val="auto"/>
              </w:rPr>
            </w:pPr>
            <w:r>
              <w:rPr>
                <w:rFonts w:ascii="Arial" w:cs="Arial" w:eastAsia="Arial" w:hAnsi="Arial"/>
                <w:sz w:val="14"/>
                <w:szCs w:val="14"/>
                <w:color w:val="auto"/>
              </w:rPr>
              <w:t>Net loss (Numerator)</w:t>
            </w:r>
          </w:p>
        </w:tc>
        <w:tc>
          <w:tcPr>
            <w:tcW w:w="3040" w:type="dxa"/>
            <w:vAlign w:val="bottom"/>
            <w:gridSpan w:val="2"/>
            <w:shd w:val="clear" w:color="auto" w:fill="C0C0C0"/>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(168,317)</w:t>
            </w:r>
          </w:p>
        </w:tc>
        <w:tc>
          <w:tcPr>
            <w:tcW w:w="460" w:type="dxa"/>
            <w:vAlign w:val="bottom"/>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(89,871)</w:t>
            </w:r>
          </w:p>
        </w:tc>
      </w:tr>
      <w:tr>
        <w:trPr>
          <w:trHeight w:val="197"/>
        </w:trPr>
        <w:tc>
          <w:tcPr>
            <w:tcW w:w="60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7"/>
        </w:trPr>
        <w:tc>
          <w:tcPr>
            <w:tcW w:w="6040" w:type="dxa"/>
            <w:vAlign w:val="bottom"/>
            <w:shd w:val="clear" w:color="auto" w:fill="C0C0C0"/>
          </w:tcPr>
          <w:p>
            <w:pPr>
              <w:spacing w:after="0"/>
              <w:rPr>
                <w:sz w:val="20"/>
                <w:szCs w:val="20"/>
                <w:color w:val="auto"/>
              </w:rPr>
            </w:pPr>
            <w:r>
              <w:rPr>
                <w:rFonts w:ascii="Arial" w:cs="Arial" w:eastAsia="Arial" w:hAnsi="Arial"/>
                <w:sz w:val="14"/>
                <w:szCs w:val="14"/>
                <w:color w:val="auto"/>
              </w:rPr>
              <w:t>Weighted-average shares, in thousands (Denominator)</w:t>
            </w:r>
          </w:p>
        </w:tc>
        <w:tc>
          <w:tcPr>
            <w:tcW w:w="294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06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90,215</w:t>
            </w:r>
          </w:p>
        </w:tc>
        <w:tc>
          <w:tcPr>
            <w:tcW w:w="2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86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81,433</w:t>
            </w:r>
          </w:p>
        </w:tc>
      </w:tr>
      <w:tr>
        <w:trPr>
          <w:trHeight w:val="197"/>
        </w:trPr>
        <w:tc>
          <w:tcPr>
            <w:tcW w:w="60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7"/>
        </w:trPr>
        <w:tc>
          <w:tcPr>
            <w:tcW w:w="6040" w:type="dxa"/>
            <w:vAlign w:val="bottom"/>
            <w:shd w:val="clear" w:color="auto" w:fill="C0C0C0"/>
          </w:tcPr>
          <w:p>
            <w:pPr>
              <w:spacing w:after="0"/>
              <w:rPr>
                <w:sz w:val="20"/>
                <w:szCs w:val="20"/>
                <w:color w:val="auto"/>
              </w:rPr>
            </w:pPr>
            <w:r>
              <w:rPr>
                <w:rFonts w:ascii="Arial" w:cs="Arial" w:eastAsia="Arial" w:hAnsi="Arial"/>
                <w:sz w:val="14"/>
                <w:szCs w:val="14"/>
                <w:color w:val="auto"/>
              </w:rPr>
              <w:t>Basic and diluted net loss per share</w:t>
            </w:r>
          </w:p>
        </w:tc>
        <w:tc>
          <w:tcPr>
            <w:tcW w:w="3040" w:type="dxa"/>
            <w:vAlign w:val="bottom"/>
            <w:gridSpan w:val="2"/>
            <w:shd w:val="clear" w:color="auto" w:fill="C0C0C0"/>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(1.87)</w:t>
            </w:r>
          </w:p>
        </w:tc>
        <w:tc>
          <w:tcPr>
            <w:tcW w:w="460" w:type="dxa"/>
            <w:vAlign w:val="bottom"/>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(1.10)</w:t>
            </w:r>
          </w:p>
        </w:tc>
      </w:tr>
    </w:tbl>
    <w:p>
      <w:pPr>
        <w:spacing w:after="0" w:line="212" w:lineRule="exact"/>
        <w:rPr>
          <w:sz w:val="20"/>
          <w:szCs w:val="20"/>
          <w:color w:val="auto"/>
        </w:rPr>
      </w:pPr>
    </w:p>
    <w:p>
      <w:pPr>
        <w:jc w:val="both"/>
        <w:ind w:firstLine="219"/>
        <w:spacing w:after="0" w:line="291" w:lineRule="auto"/>
        <w:rPr>
          <w:sz w:val="20"/>
          <w:szCs w:val="20"/>
          <w:color w:val="auto"/>
        </w:rPr>
      </w:pPr>
      <w:r>
        <w:rPr>
          <w:rFonts w:ascii="Arial" w:cs="Arial" w:eastAsia="Arial" w:hAnsi="Arial"/>
          <w:sz w:val="14"/>
          <w:szCs w:val="14"/>
          <w:color w:val="auto"/>
        </w:rPr>
        <w:t>Shares issuable upon the exercise of stock options and vesting of restricted stock awards, which have been excluded from the September 30, 2011 and 2010 diluted per share amounts because their effect would have been antidilutive, include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320" w:type="dxa"/>
            <w:vAlign w:val="bottom"/>
          </w:tcPr>
          <w:p>
            <w:pPr>
              <w:spacing w:after="0"/>
              <w:rPr>
                <w:sz w:val="16"/>
                <w:szCs w:val="16"/>
                <w:color w:val="auto"/>
              </w:rPr>
            </w:pPr>
          </w:p>
        </w:tc>
        <w:tc>
          <w:tcPr>
            <w:tcW w:w="21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89"/>
              </w:rPr>
              <w:t>Three months ended September 30,</w:t>
            </w:r>
          </w:p>
        </w:tc>
      </w:tr>
      <w:tr>
        <w:trPr>
          <w:trHeight w:val="189"/>
        </w:trPr>
        <w:tc>
          <w:tcPr>
            <w:tcW w:w="9320" w:type="dxa"/>
            <w:vAlign w:val="bottom"/>
            <w:tcBorders>
              <w:bottom w:val="single" w:sz="8" w:color="C0C0C0"/>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0C0C0"/>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2010</w:t>
            </w:r>
          </w:p>
        </w:tc>
      </w:tr>
      <w:tr>
        <w:trPr>
          <w:trHeight w:val="195"/>
        </w:trPr>
        <w:tc>
          <w:tcPr>
            <w:tcW w:w="9320" w:type="dxa"/>
            <w:vAlign w:val="bottom"/>
            <w:shd w:val="clear" w:color="auto" w:fill="C0C0C0"/>
          </w:tcPr>
          <w:p>
            <w:pPr>
              <w:spacing w:after="0"/>
              <w:rPr>
                <w:sz w:val="20"/>
                <w:szCs w:val="20"/>
                <w:color w:val="auto"/>
              </w:rPr>
            </w:pPr>
            <w:r>
              <w:rPr>
                <w:rFonts w:ascii="Arial" w:cs="Arial" w:eastAsia="Arial" w:hAnsi="Arial"/>
                <w:sz w:val="14"/>
                <w:szCs w:val="14"/>
                <w:color w:val="auto"/>
              </w:rPr>
              <w:t>Stock Options:</w:t>
            </w:r>
          </w:p>
        </w:tc>
        <w:tc>
          <w:tcPr>
            <w:tcW w:w="180" w:type="dxa"/>
            <w:vAlign w:val="bottom"/>
            <w:shd w:val="clear" w:color="auto" w:fill="C0C0C0"/>
          </w:tcPr>
          <w:p>
            <w:pPr>
              <w:spacing w:after="0"/>
              <w:rPr>
                <w:sz w:val="16"/>
                <w:szCs w:val="16"/>
                <w:color w:val="auto"/>
              </w:rPr>
            </w:pPr>
          </w:p>
        </w:tc>
        <w:tc>
          <w:tcPr>
            <w:tcW w:w="740" w:type="dxa"/>
            <w:vAlign w:val="bottom"/>
            <w:shd w:val="clear" w:color="auto" w:fill="C0C0C0"/>
          </w:tcPr>
          <w:p>
            <w:pPr>
              <w:spacing w:after="0"/>
              <w:rPr>
                <w:sz w:val="16"/>
                <w:szCs w:val="16"/>
                <w:color w:val="auto"/>
              </w:rPr>
            </w:pPr>
          </w:p>
        </w:tc>
        <w:tc>
          <w:tcPr>
            <w:tcW w:w="300" w:type="dxa"/>
            <w:vAlign w:val="bottom"/>
            <w:shd w:val="clear" w:color="auto" w:fill="C0C0C0"/>
          </w:tcPr>
          <w:p>
            <w:pPr>
              <w:spacing w:after="0"/>
              <w:rPr>
                <w:sz w:val="16"/>
                <w:szCs w:val="16"/>
                <w:color w:val="auto"/>
              </w:rPr>
            </w:pPr>
          </w:p>
        </w:tc>
        <w:tc>
          <w:tcPr>
            <w:tcW w:w="200" w:type="dxa"/>
            <w:vAlign w:val="bottom"/>
            <w:shd w:val="clear" w:color="auto" w:fill="C0C0C0"/>
          </w:tcPr>
          <w:p>
            <w:pPr>
              <w:spacing w:after="0"/>
              <w:rPr>
                <w:sz w:val="16"/>
                <w:szCs w:val="16"/>
                <w:color w:val="auto"/>
              </w:rPr>
            </w:pPr>
          </w:p>
        </w:tc>
        <w:tc>
          <w:tcPr>
            <w:tcW w:w="720" w:type="dxa"/>
            <w:vAlign w:val="bottom"/>
            <w:shd w:val="clear" w:color="auto" w:fill="C0C0C0"/>
          </w:tcPr>
          <w:p>
            <w:pPr>
              <w:spacing w:after="0"/>
              <w:rPr>
                <w:sz w:val="16"/>
                <w:szCs w:val="16"/>
                <w:color w:val="auto"/>
              </w:rPr>
            </w:pPr>
          </w:p>
        </w:tc>
      </w:tr>
      <w:tr>
        <w:trPr>
          <w:trHeight w:val="191"/>
        </w:trPr>
        <w:tc>
          <w:tcPr>
            <w:tcW w:w="9320" w:type="dxa"/>
            <w:vAlign w:val="bottom"/>
          </w:tcPr>
          <w:p>
            <w:pPr>
              <w:ind w:left="260"/>
              <w:spacing w:after="0"/>
              <w:rPr>
                <w:sz w:val="20"/>
                <w:szCs w:val="20"/>
                <w:color w:val="auto"/>
              </w:rPr>
            </w:pPr>
            <w:r>
              <w:rPr>
                <w:rFonts w:ascii="Arial" w:cs="Arial" w:eastAsia="Arial" w:hAnsi="Arial"/>
                <w:sz w:val="14"/>
                <w:szCs w:val="14"/>
                <w:color w:val="auto"/>
              </w:rPr>
              <w:t>Weighted average number, in thousands</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20,395</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21,265</w:t>
            </w:r>
          </w:p>
        </w:tc>
      </w:tr>
      <w:tr>
        <w:trPr>
          <w:trHeight w:val="204"/>
        </w:trPr>
        <w:tc>
          <w:tcPr>
            <w:tcW w:w="9320" w:type="dxa"/>
            <w:vAlign w:val="bottom"/>
            <w:shd w:val="clear" w:color="auto" w:fill="C0C0C0"/>
          </w:tcPr>
          <w:p>
            <w:pPr>
              <w:ind w:left="260"/>
              <w:spacing w:after="0"/>
              <w:rPr>
                <w:sz w:val="20"/>
                <w:szCs w:val="20"/>
                <w:color w:val="auto"/>
              </w:rPr>
            </w:pPr>
            <w:r>
              <w:rPr>
                <w:rFonts w:ascii="Arial" w:cs="Arial" w:eastAsia="Arial" w:hAnsi="Arial"/>
                <w:sz w:val="14"/>
                <w:szCs w:val="14"/>
                <w:color w:val="auto"/>
              </w:rPr>
              <w:t>Weighted average exercise price</w:t>
            </w:r>
          </w:p>
        </w:tc>
        <w:tc>
          <w:tcPr>
            <w:tcW w:w="180" w:type="dxa"/>
            <w:vAlign w:val="bottom"/>
            <w:shd w:val="clear" w:color="auto" w:fill="C0C0C0"/>
          </w:tcPr>
          <w:p>
            <w:pPr>
              <w:spacing w:after="0"/>
              <w:rPr>
                <w:sz w:val="20"/>
                <w:szCs w:val="20"/>
                <w:color w:val="auto"/>
              </w:rPr>
            </w:pPr>
            <w:r>
              <w:rPr>
                <w:rFonts w:ascii="Arial" w:cs="Arial" w:eastAsia="Arial" w:hAnsi="Arial"/>
                <w:sz w:val="14"/>
                <w:szCs w:val="14"/>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21.24</w:t>
            </w:r>
          </w:p>
        </w:tc>
        <w:tc>
          <w:tcPr>
            <w:tcW w:w="300" w:type="dxa"/>
            <w:vAlign w:val="bottom"/>
            <w:shd w:val="clear" w:color="auto" w:fill="C0C0C0"/>
          </w:tcPr>
          <w:p>
            <w:pPr>
              <w:spacing w:after="0"/>
              <w:rPr>
                <w:sz w:val="17"/>
                <w:szCs w:val="17"/>
                <w:color w:val="auto"/>
              </w:rPr>
            </w:pPr>
          </w:p>
        </w:tc>
        <w:tc>
          <w:tcPr>
            <w:tcW w:w="200" w:type="dxa"/>
            <w:vAlign w:val="bottom"/>
            <w:shd w:val="clear" w:color="auto" w:fill="C0C0C0"/>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18.76</w:t>
            </w:r>
          </w:p>
        </w:tc>
      </w:tr>
      <w:tr>
        <w:trPr>
          <w:trHeight w:val="197"/>
        </w:trPr>
        <w:tc>
          <w:tcPr>
            <w:tcW w:w="9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7"/>
        </w:trPr>
        <w:tc>
          <w:tcPr>
            <w:tcW w:w="9320" w:type="dxa"/>
            <w:vAlign w:val="bottom"/>
            <w:shd w:val="clear" w:color="auto" w:fill="C0C0C0"/>
          </w:tcPr>
          <w:p>
            <w:pPr>
              <w:spacing w:after="0"/>
              <w:rPr>
                <w:sz w:val="20"/>
                <w:szCs w:val="20"/>
                <w:color w:val="auto"/>
              </w:rPr>
            </w:pPr>
            <w:r>
              <w:rPr>
                <w:rFonts w:ascii="Arial" w:cs="Arial" w:eastAsia="Arial" w:hAnsi="Arial"/>
                <w:sz w:val="14"/>
                <w:szCs w:val="14"/>
                <w:color w:val="auto"/>
              </w:rPr>
              <w:t>Restricted Stock:</w:t>
            </w:r>
          </w:p>
        </w:tc>
        <w:tc>
          <w:tcPr>
            <w:tcW w:w="180" w:type="dxa"/>
            <w:vAlign w:val="bottom"/>
            <w:shd w:val="clear" w:color="auto" w:fill="C0C0C0"/>
          </w:tcPr>
          <w:p>
            <w:pPr>
              <w:spacing w:after="0"/>
              <w:rPr>
                <w:sz w:val="17"/>
                <w:szCs w:val="17"/>
                <w:color w:val="auto"/>
              </w:rPr>
            </w:pPr>
          </w:p>
        </w:tc>
        <w:tc>
          <w:tcPr>
            <w:tcW w:w="74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20" w:type="dxa"/>
            <w:vAlign w:val="bottom"/>
            <w:shd w:val="clear" w:color="auto" w:fill="C0C0C0"/>
          </w:tcPr>
          <w:p>
            <w:pPr>
              <w:spacing w:after="0"/>
              <w:rPr>
                <w:sz w:val="17"/>
                <w:szCs w:val="17"/>
                <w:color w:val="auto"/>
              </w:rPr>
            </w:pPr>
          </w:p>
        </w:tc>
      </w:tr>
      <w:tr>
        <w:trPr>
          <w:trHeight w:val="185"/>
        </w:trPr>
        <w:tc>
          <w:tcPr>
            <w:tcW w:w="9320" w:type="dxa"/>
            <w:vAlign w:val="bottom"/>
          </w:tcPr>
          <w:p>
            <w:pPr>
              <w:ind w:left="260"/>
              <w:spacing w:after="0"/>
              <w:rPr>
                <w:sz w:val="20"/>
                <w:szCs w:val="20"/>
                <w:color w:val="auto"/>
              </w:rPr>
            </w:pPr>
            <w:r>
              <w:rPr>
                <w:rFonts w:ascii="Arial" w:cs="Arial" w:eastAsia="Arial" w:hAnsi="Arial"/>
                <w:sz w:val="14"/>
                <w:szCs w:val="14"/>
                <w:color w:val="auto"/>
              </w:rPr>
              <w:t>Weighted average number, in thousands</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854</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511</w:t>
            </w:r>
          </w:p>
        </w:tc>
      </w:tr>
      <w:tr>
        <w:trPr>
          <w:trHeight w:val="401"/>
        </w:trPr>
        <w:tc>
          <w:tcPr>
            <w:tcW w:w="9320" w:type="dxa"/>
            <w:vAlign w:val="bottom"/>
          </w:tcPr>
          <w:p>
            <w:pPr>
              <w:spacing w:after="0"/>
              <w:rPr>
                <w:sz w:val="24"/>
                <w:szCs w:val="24"/>
                <w:color w:val="auto"/>
              </w:rPr>
            </w:pPr>
          </w:p>
        </w:tc>
        <w:tc>
          <w:tcPr>
            <w:tcW w:w="21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Nine months ended September 30,</w:t>
            </w:r>
          </w:p>
        </w:tc>
      </w:tr>
      <w:tr>
        <w:trPr>
          <w:trHeight w:val="189"/>
        </w:trPr>
        <w:tc>
          <w:tcPr>
            <w:tcW w:w="9320" w:type="dxa"/>
            <w:vAlign w:val="bottom"/>
            <w:tcBorders>
              <w:bottom w:val="single" w:sz="8" w:color="C0C0C0"/>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0C0C0"/>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2010</w:t>
            </w:r>
          </w:p>
        </w:tc>
      </w:tr>
      <w:tr>
        <w:trPr>
          <w:trHeight w:val="195"/>
        </w:trPr>
        <w:tc>
          <w:tcPr>
            <w:tcW w:w="9320" w:type="dxa"/>
            <w:vAlign w:val="bottom"/>
            <w:shd w:val="clear" w:color="auto" w:fill="C0C0C0"/>
          </w:tcPr>
          <w:p>
            <w:pPr>
              <w:spacing w:after="0"/>
              <w:rPr>
                <w:sz w:val="20"/>
                <w:szCs w:val="20"/>
                <w:color w:val="auto"/>
              </w:rPr>
            </w:pPr>
            <w:r>
              <w:rPr>
                <w:rFonts w:ascii="Arial" w:cs="Arial" w:eastAsia="Arial" w:hAnsi="Arial"/>
                <w:sz w:val="14"/>
                <w:szCs w:val="14"/>
                <w:color w:val="auto"/>
              </w:rPr>
              <w:t>Stock Options:</w:t>
            </w:r>
          </w:p>
        </w:tc>
        <w:tc>
          <w:tcPr>
            <w:tcW w:w="180" w:type="dxa"/>
            <w:vAlign w:val="bottom"/>
            <w:shd w:val="clear" w:color="auto" w:fill="C0C0C0"/>
          </w:tcPr>
          <w:p>
            <w:pPr>
              <w:spacing w:after="0"/>
              <w:rPr>
                <w:sz w:val="16"/>
                <w:szCs w:val="16"/>
                <w:color w:val="auto"/>
              </w:rPr>
            </w:pPr>
          </w:p>
        </w:tc>
        <w:tc>
          <w:tcPr>
            <w:tcW w:w="740" w:type="dxa"/>
            <w:vAlign w:val="bottom"/>
            <w:shd w:val="clear" w:color="auto" w:fill="C0C0C0"/>
          </w:tcPr>
          <w:p>
            <w:pPr>
              <w:spacing w:after="0"/>
              <w:rPr>
                <w:sz w:val="16"/>
                <w:szCs w:val="16"/>
                <w:color w:val="auto"/>
              </w:rPr>
            </w:pPr>
          </w:p>
        </w:tc>
        <w:tc>
          <w:tcPr>
            <w:tcW w:w="300" w:type="dxa"/>
            <w:vAlign w:val="bottom"/>
            <w:shd w:val="clear" w:color="auto" w:fill="C0C0C0"/>
          </w:tcPr>
          <w:p>
            <w:pPr>
              <w:spacing w:after="0"/>
              <w:rPr>
                <w:sz w:val="16"/>
                <w:szCs w:val="16"/>
                <w:color w:val="auto"/>
              </w:rPr>
            </w:pPr>
          </w:p>
        </w:tc>
        <w:tc>
          <w:tcPr>
            <w:tcW w:w="200" w:type="dxa"/>
            <w:vAlign w:val="bottom"/>
            <w:shd w:val="clear" w:color="auto" w:fill="C0C0C0"/>
          </w:tcPr>
          <w:p>
            <w:pPr>
              <w:spacing w:after="0"/>
              <w:rPr>
                <w:sz w:val="16"/>
                <w:szCs w:val="16"/>
                <w:color w:val="auto"/>
              </w:rPr>
            </w:pPr>
          </w:p>
        </w:tc>
        <w:tc>
          <w:tcPr>
            <w:tcW w:w="720" w:type="dxa"/>
            <w:vAlign w:val="bottom"/>
            <w:shd w:val="clear" w:color="auto" w:fill="C0C0C0"/>
          </w:tcPr>
          <w:p>
            <w:pPr>
              <w:spacing w:after="0"/>
              <w:rPr>
                <w:sz w:val="16"/>
                <w:szCs w:val="16"/>
                <w:color w:val="auto"/>
              </w:rPr>
            </w:pPr>
          </w:p>
        </w:tc>
      </w:tr>
      <w:tr>
        <w:trPr>
          <w:trHeight w:val="191"/>
        </w:trPr>
        <w:tc>
          <w:tcPr>
            <w:tcW w:w="9320" w:type="dxa"/>
            <w:vAlign w:val="bottom"/>
          </w:tcPr>
          <w:p>
            <w:pPr>
              <w:ind w:left="260"/>
              <w:spacing w:after="0"/>
              <w:rPr>
                <w:sz w:val="20"/>
                <w:szCs w:val="20"/>
                <w:color w:val="auto"/>
              </w:rPr>
            </w:pPr>
            <w:r>
              <w:rPr>
                <w:rFonts w:ascii="Arial" w:cs="Arial" w:eastAsia="Arial" w:hAnsi="Arial"/>
                <w:sz w:val="14"/>
                <w:szCs w:val="14"/>
                <w:color w:val="auto"/>
              </w:rPr>
              <w:t>Weighted average number, in thousands</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21,239</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21,317</w:t>
            </w:r>
          </w:p>
        </w:tc>
      </w:tr>
      <w:tr>
        <w:trPr>
          <w:trHeight w:val="204"/>
        </w:trPr>
        <w:tc>
          <w:tcPr>
            <w:tcW w:w="9320" w:type="dxa"/>
            <w:vAlign w:val="bottom"/>
            <w:shd w:val="clear" w:color="auto" w:fill="C0C0C0"/>
          </w:tcPr>
          <w:p>
            <w:pPr>
              <w:ind w:left="260"/>
              <w:spacing w:after="0"/>
              <w:rPr>
                <w:sz w:val="20"/>
                <w:szCs w:val="20"/>
                <w:color w:val="auto"/>
              </w:rPr>
            </w:pPr>
            <w:r>
              <w:rPr>
                <w:rFonts w:ascii="Arial" w:cs="Arial" w:eastAsia="Arial" w:hAnsi="Arial"/>
                <w:sz w:val="14"/>
                <w:szCs w:val="14"/>
                <w:color w:val="auto"/>
              </w:rPr>
              <w:t>Weighted average exercise price</w:t>
            </w:r>
          </w:p>
        </w:tc>
        <w:tc>
          <w:tcPr>
            <w:tcW w:w="180" w:type="dxa"/>
            <w:vAlign w:val="bottom"/>
            <w:shd w:val="clear" w:color="auto" w:fill="C0C0C0"/>
          </w:tcPr>
          <w:p>
            <w:pPr>
              <w:spacing w:after="0"/>
              <w:rPr>
                <w:sz w:val="20"/>
                <w:szCs w:val="20"/>
                <w:color w:val="auto"/>
              </w:rPr>
            </w:pPr>
            <w:r>
              <w:rPr>
                <w:rFonts w:ascii="Arial" w:cs="Arial" w:eastAsia="Arial" w:hAnsi="Arial"/>
                <w:sz w:val="14"/>
                <w:szCs w:val="14"/>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20.72</w:t>
            </w:r>
          </w:p>
        </w:tc>
        <w:tc>
          <w:tcPr>
            <w:tcW w:w="300" w:type="dxa"/>
            <w:vAlign w:val="bottom"/>
            <w:shd w:val="clear" w:color="auto" w:fill="C0C0C0"/>
          </w:tcPr>
          <w:p>
            <w:pPr>
              <w:spacing w:after="0"/>
              <w:rPr>
                <w:sz w:val="17"/>
                <w:szCs w:val="17"/>
                <w:color w:val="auto"/>
              </w:rPr>
            </w:pPr>
          </w:p>
        </w:tc>
        <w:tc>
          <w:tcPr>
            <w:tcW w:w="200" w:type="dxa"/>
            <w:vAlign w:val="bottom"/>
            <w:shd w:val="clear" w:color="auto" w:fill="C0C0C0"/>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18.67</w:t>
            </w:r>
          </w:p>
        </w:tc>
      </w:tr>
      <w:tr>
        <w:trPr>
          <w:trHeight w:val="197"/>
        </w:trPr>
        <w:tc>
          <w:tcPr>
            <w:tcW w:w="9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7"/>
        </w:trPr>
        <w:tc>
          <w:tcPr>
            <w:tcW w:w="9320" w:type="dxa"/>
            <w:vAlign w:val="bottom"/>
            <w:shd w:val="clear" w:color="auto" w:fill="C0C0C0"/>
          </w:tcPr>
          <w:p>
            <w:pPr>
              <w:spacing w:after="0"/>
              <w:rPr>
                <w:sz w:val="20"/>
                <w:szCs w:val="20"/>
                <w:color w:val="auto"/>
              </w:rPr>
            </w:pPr>
            <w:r>
              <w:rPr>
                <w:rFonts w:ascii="Arial" w:cs="Arial" w:eastAsia="Arial" w:hAnsi="Arial"/>
                <w:sz w:val="14"/>
                <w:szCs w:val="14"/>
                <w:color w:val="auto"/>
              </w:rPr>
              <w:t>Restricted Stock:</w:t>
            </w:r>
          </w:p>
        </w:tc>
        <w:tc>
          <w:tcPr>
            <w:tcW w:w="180" w:type="dxa"/>
            <w:vAlign w:val="bottom"/>
            <w:shd w:val="clear" w:color="auto" w:fill="C0C0C0"/>
          </w:tcPr>
          <w:p>
            <w:pPr>
              <w:spacing w:after="0"/>
              <w:rPr>
                <w:sz w:val="17"/>
                <w:szCs w:val="17"/>
                <w:color w:val="auto"/>
              </w:rPr>
            </w:pPr>
          </w:p>
        </w:tc>
        <w:tc>
          <w:tcPr>
            <w:tcW w:w="74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20" w:type="dxa"/>
            <w:vAlign w:val="bottom"/>
            <w:shd w:val="clear" w:color="auto" w:fill="C0C0C0"/>
          </w:tcPr>
          <w:p>
            <w:pPr>
              <w:spacing w:after="0"/>
              <w:rPr>
                <w:sz w:val="17"/>
                <w:szCs w:val="17"/>
                <w:color w:val="auto"/>
              </w:rPr>
            </w:pPr>
          </w:p>
        </w:tc>
      </w:tr>
      <w:tr>
        <w:trPr>
          <w:trHeight w:val="185"/>
        </w:trPr>
        <w:tc>
          <w:tcPr>
            <w:tcW w:w="9320" w:type="dxa"/>
            <w:vAlign w:val="bottom"/>
          </w:tcPr>
          <w:p>
            <w:pPr>
              <w:ind w:left="260"/>
              <w:spacing w:after="0"/>
              <w:rPr>
                <w:sz w:val="20"/>
                <w:szCs w:val="20"/>
                <w:color w:val="auto"/>
              </w:rPr>
            </w:pPr>
            <w:r>
              <w:rPr>
                <w:rFonts w:ascii="Arial" w:cs="Arial" w:eastAsia="Arial" w:hAnsi="Arial"/>
                <w:sz w:val="14"/>
                <w:szCs w:val="14"/>
                <w:color w:val="auto"/>
              </w:rPr>
              <w:t>Weighted average number, in thousands</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848</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507</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Statement of Cash Flows</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Supplemental disclosure of noncash investing and financing activities:</w:t>
      </w:r>
    </w:p>
    <w:p>
      <w:pPr>
        <w:spacing w:after="0" w:line="234" w:lineRule="exact"/>
        <w:rPr>
          <w:sz w:val="20"/>
          <w:szCs w:val="20"/>
          <w:color w:val="auto"/>
        </w:rPr>
      </w:pPr>
    </w:p>
    <w:p>
      <w:pPr>
        <w:jc w:val="both"/>
        <w:ind w:firstLine="241"/>
        <w:spacing w:after="0" w:line="332" w:lineRule="auto"/>
        <w:rPr>
          <w:sz w:val="20"/>
          <w:szCs w:val="20"/>
          <w:color w:val="auto"/>
        </w:rPr>
      </w:pPr>
      <w:r>
        <w:rPr>
          <w:rFonts w:ascii="Arial" w:cs="Arial" w:eastAsia="Arial" w:hAnsi="Arial"/>
          <w:sz w:val="13"/>
          <w:szCs w:val="13"/>
          <w:color w:val="auto"/>
        </w:rPr>
        <w:t>Included in accounts payable and accrued expenses at September 30, 2011 and December 31, 2010 were $4.9 million and $10.7 million, respectively, of accrued capital expenditures. Included in accounts payable and accrued expenses at September 30, 2010 and December 31, 2009 were $12.0 million and $9.8 million, respectively, of accrued capital expenditures.</w:t>
      </w:r>
    </w:p>
    <w:p>
      <w:pPr>
        <w:spacing w:after="0" w:line="157" w:lineRule="exact"/>
        <w:rPr>
          <w:sz w:val="20"/>
          <w:szCs w:val="20"/>
          <w:color w:val="auto"/>
        </w:rPr>
      </w:pPr>
    </w:p>
    <w:p>
      <w:pPr>
        <w:jc w:val="both"/>
        <w:ind w:firstLine="296"/>
        <w:spacing w:after="0" w:line="332" w:lineRule="auto"/>
        <w:rPr>
          <w:sz w:val="20"/>
          <w:szCs w:val="20"/>
          <w:color w:val="auto"/>
        </w:rPr>
      </w:pPr>
      <w:r>
        <w:rPr>
          <w:rFonts w:ascii="Arial" w:cs="Arial" w:eastAsia="Arial" w:hAnsi="Arial"/>
          <w:sz w:val="13"/>
          <w:szCs w:val="13"/>
          <w:color w:val="auto"/>
        </w:rPr>
        <w:t>Included in accounts payable and accrued expenses at December 31, 2010 and 2009 were $2.9 million and $2.6 million, respectively, of accrued Company 401(k) Savings Plan contribution expense. In the first quarter of 2011 and 2010, the Company contributed 91,761 and 111,419 shares, respectively, of Common Stock to the 401(k) Savings Plan in satisfaction of these obligations.</w:t>
      </w:r>
    </w:p>
    <w:p>
      <w:pPr>
        <w:spacing w:after="0" w:line="157" w:lineRule="exact"/>
        <w:rPr>
          <w:sz w:val="20"/>
          <w:szCs w:val="20"/>
          <w:color w:val="auto"/>
        </w:rPr>
      </w:pPr>
    </w:p>
    <w:p>
      <w:pPr>
        <w:jc w:val="both"/>
        <w:ind w:firstLine="219"/>
        <w:spacing w:after="0" w:line="291" w:lineRule="auto"/>
        <w:rPr>
          <w:sz w:val="20"/>
          <w:szCs w:val="20"/>
          <w:color w:val="auto"/>
        </w:rPr>
      </w:pPr>
      <w:r>
        <w:rPr>
          <w:rFonts w:ascii="Arial" w:cs="Arial" w:eastAsia="Arial" w:hAnsi="Arial"/>
          <w:sz w:val="14"/>
          <w:szCs w:val="14"/>
          <w:color w:val="auto"/>
        </w:rPr>
        <w:t>Included in facility lease obligations and property, plant, and equipment at September 30, 2010 was $2.6 million of capitalized and deferred interest for the nine months ended September 30, 2010, as the related facilities being leased by the Company were under construction and lease payments on these facilities did not commence until January 2011.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REGENERON PHARMACEUTICALS, INC.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Condensed Financial Statements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(Unless otherwise noted, dollars in thousands, except per share data)</w:t>
      </w:r>
    </w:p>
    <w:p>
      <w:pPr>
        <w:spacing w:after="0" w:line="22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The Company incurred capital lease obligations of $0.7 million during the nine months ended September 30, 2011 in connection with acquisitions of equipment.</w:t>
      </w:r>
    </w:p>
    <w:p>
      <w:pPr>
        <w:spacing w:after="0" w:line="234" w:lineRule="exact"/>
        <w:rPr>
          <w:sz w:val="20"/>
          <w:szCs w:val="20"/>
          <w:color w:val="auto"/>
        </w:rPr>
      </w:pPr>
    </w:p>
    <w:p>
      <w:pPr>
        <w:jc w:val="both"/>
        <w:ind w:right="20" w:firstLine="239"/>
        <w:spacing w:after="0" w:line="291" w:lineRule="auto"/>
        <w:rPr>
          <w:sz w:val="20"/>
          <w:szCs w:val="20"/>
          <w:color w:val="auto"/>
        </w:rPr>
      </w:pPr>
      <w:r>
        <w:rPr>
          <w:rFonts w:ascii="Arial" w:cs="Arial" w:eastAsia="Arial" w:hAnsi="Arial"/>
          <w:sz w:val="14"/>
          <w:szCs w:val="14"/>
          <w:color w:val="auto"/>
        </w:rPr>
        <w:t>Included in marketable securities at September 30, 2011 and December 31, 2010 were $1.1 million and $1.4 million, respectively, of accrued interest income. Included in marketable securities at September 30, 2010 and December 31, 2009 were $1.3 million and $0.6 million, respectively, of accrued interest income.</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Marketable Securities</w:t>
      </w:r>
    </w:p>
    <w:p>
      <w:pPr>
        <w:spacing w:after="0" w:line="238" w:lineRule="exact"/>
        <w:rPr>
          <w:sz w:val="20"/>
          <w:szCs w:val="20"/>
          <w:color w:val="auto"/>
        </w:rPr>
      </w:pPr>
    </w:p>
    <w:p>
      <w:pPr>
        <w:jc w:val="both"/>
        <w:ind w:right="20" w:firstLine="225"/>
        <w:spacing w:after="0" w:line="271" w:lineRule="auto"/>
        <w:rPr>
          <w:sz w:val="20"/>
          <w:szCs w:val="20"/>
          <w:color w:val="auto"/>
        </w:rPr>
      </w:pPr>
      <w:r>
        <w:rPr>
          <w:rFonts w:ascii="Arial" w:cs="Arial" w:eastAsia="Arial" w:hAnsi="Arial"/>
          <w:sz w:val="14"/>
          <w:szCs w:val="14"/>
          <w:color w:val="auto"/>
        </w:rPr>
        <w:t>Marketable securities at September 30, 2011 and December 31, 2010 consisted of debt securities, as detailed below, and equity securities. The aggregate fair value of the equity securities was $3.1 million and $3.6 million at September 30, 2011 and December 31, 2010, respectively, and the aggregate cost basis was $4.0 million at both September 30, 2011 and December 31, 2010. The Company also held restricted marketable securities at both September 30, 2011 and December 31, 2010, which consisted of debt securities, as detailed below, that collateralize letters of credit and lease obligations.</w:t>
      </w:r>
    </w:p>
    <w:p>
      <w:pPr>
        <w:spacing w:after="0" w:line="194" w:lineRule="exact"/>
        <w:rPr>
          <w:sz w:val="20"/>
          <w:szCs w:val="20"/>
          <w:color w:val="auto"/>
        </w:rPr>
      </w:pPr>
    </w:p>
    <w:p>
      <w:pPr>
        <w:jc w:val="both"/>
        <w:ind w:right="20" w:firstLine="239"/>
        <w:spacing w:after="0" w:line="307" w:lineRule="auto"/>
        <w:rPr>
          <w:sz w:val="20"/>
          <w:szCs w:val="20"/>
          <w:color w:val="auto"/>
        </w:rPr>
      </w:pPr>
      <w:r>
        <w:rPr>
          <w:rFonts w:ascii="Arial" w:cs="Arial" w:eastAsia="Arial" w:hAnsi="Arial"/>
          <w:sz w:val="13"/>
          <w:szCs w:val="13"/>
          <w:color w:val="auto"/>
        </w:rPr>
        <w:t>The following tables summarize the amortized cost basis of debt securities included in marketable securities, the aggregate fair value of those securities, and gross unrealized gains and losses on those securities at September 30, 2011 and December 31, 2010. The Company classifies its debt securities, other than mortgage-backed securities, based on their contractual maturity dates. Maturities of mortgage-backed securities have been estimated based primarily on repayment characteristics and experience of the senior tranches that the Company holds.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Amortized</w:t>
            </w: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Fair</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Unrealized</w:t>
            </w:r>
          </w:p>
        </w:tc>
        <w:tc>
          <w:tcPr>
            <w:tcW w:w="3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4100" w:type="dxa"/>
            <w:vAlign w:val="bottom"/>
          </w:tcPr>
          <w:p>
            <w:pPr>
              <w:spacing w:after="0"/>
              <w:rPr>
                <w:sz w:val="20"/>
                <w:szCs w:val="20"/>
                <w:color w:val="auto"/>
              </w:rPr>
            </w:pPr>
            <w:r>
              <w:rPr>
                <w:rFonts w:ascii="Arial" w:cs="Arial" w:eastAsia="Arial" w:hAnsi="Arial"/>
                <w:sz w:val="14"/>
                <w:szCs w:val="14"/>
                <w:b w:val="1"/>
                <w:bCs w:val="1"/>
                <w:color w:val="auto"/>
              </w:rPr>
              <w:t>At September 30, 2011</w:t>
            </w:r>
          </w:p>
        </w:tc>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 Basis</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Value</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6"/>
                <w:szCs w:val="16"/>
                <w:color w:val="auto"/>
              </w:rPr>
            </w:pP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rPr>
              <w:t>(Losses)</w:t>
            </w:r>
          </w:p>
        </w:tc>
        <w:tc>
          <w:tcPr>
            <w:tcW w:w="380" w:type="dxa"/>
            <w:vAlign w:val="bottom"/>
          </w:tcPr>
          <w:p>
            <w:pPr>
              <w:jc w:val="right"/>
              <w:ind w:right="49"/>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6"/>
                <w:szCs w:val="16"/>
                <w:color w:val="auto"/>
              </w:rPr>
            </w:pPr>
          </w:p>
        </w:tc>
      </w:tr>
      <w:tr>
        <w:trPr>
          <w:trHeight w:val="195"/>
        </w:trPr>
        <w:tc>
          <w:tcPr>
            <w:tcW w:w="410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4"/>
                <w:szCs w:val="14"/>
                <w:i w:val="1"/>
                <w:iCs w:val="1"/>
                <w:color w:val="auto"/>
              </w:rPr>
              <w:t>Unrestricted</w:t>
            </w:r>
          </w:p>
        </w:tc>
        <w:tc>
          <w:tcPr>
            <w:tcW w:w="3540" w:type="dxa"/>
            <w:vAlign w:val="bottom"/>
            <w:tcBorders>
              <w:top w:val="single" w:sz="8" w:color="auto"/>
            </w:tcBorders>
            <w:shd w:val="clear" w:color="auto" w:fill="C0C0C0"/>
          </w:tcPr>
          <w:p>
            <w:pPr>
              <w:spacing w:after="0"/>
              <w:rPr>
                <w:sz w:val="16"/>
                <w:szCs w:val="16"/>
                <w:color w:val="auto"/>
              </w:rPr>
            </w:pPr>
          </w:p>
        </w:tc>
        <w:tc>
          <w:tcPr>
            <w:tcW w:w="220" w:type="dxa"/>
            <w:vAlign w:val="bottom"/>
            <w:tcBorders>
              <w:top w:val="single" w:sz="8" w:color="C0C0C0"/>
            </w:tcBorders>
            <w:shd w:val="clear" w:color="auto" w:fill="C0C0C0"/>
          </w:tcPr>
          <w:p>
            <w:pPr>
              <w:spacing w:after="0"/>
              <w:rPr>
                <w:sz w:val="16"/>
                <w:szCs w:val="16"/>
                <w:color w:val="auto"/>
              </w:rPr>
            </w:pPr>
          </w:p>
        </w:tc>
        <w:tc>
          <w:tcPr>
            <w:tcW w:w="140" w:type="dxa"/>
            <w:vAlign w:val="bottom"/>
            <w:tcBorders>
              <w:top w:val="single" w:sz="8" w:color="auto"/>
            </w:tcBorders>
            <w:shd w:val="clear" w:color="auto" w:fill="C0C0C0"/>
          </w:tcPr>
          <w:p>
            <w:pPr>
              <w:spacing w:after="0"/>
              <w:rPr>
                <w:sz w:val="16"/>
                <w:szCs w:val="16"/>
                <w:color w:val="auto"/>
              </w:rPr>
            </w:pPr>
          </w:p>
        </w:tc>
        <w:tc>
          <w:tcPr>
            <w:tcW w:w="520" w:type="dxa"/>
            <w:vAlign w:val="bottom"/>
            <w:tcBorders>
              <w:top w:val="single" w:sz="8" w:color="auto"/>
            </w:tcBorders>
            <w:shd w:val="clear" w:color="auto" w:fill="C0C0C0"/>
          </w:tcPr>
          <w:p>
            <w:pPr>
              <w:spacing w:after="0"/>
              <w:rPr>
                <w:sz w:val="16"/>
                <w:szCs w:val="16"/>
                <w:color w:val="auto"/>
              </w:rPr>
            </w:pPr>
          </w:p>
        </w:tc>
        <w:tc>
          <w:tcPr>
            <w:tcW w:w="220" w:type="dxa"/>
            <w:vAlign w:val="bottom"/>
            <w:tcBorders>
              <w:top w:val="single" w:sz="8" w:color="C0C0C0"/>
            </w:tcBorders>
            <w:shd w:val="clear" w:color="auto" w:fill="C0C0C0"/>
          </w:tcPr>
          <w:p>
            <w:pPr>
              <w:spacing w:after="0"/>
              <w:rPr>
                <w:sz w:val="16"/>
                <w:szCs w:val="16"/>
                <w:color w:val="auto"/>
              </w:rPr>
            </w:pPr>
          </w:p>
        </w:tc>
        <w:tc>
          <w:tcPr>
            <w:tcW w:w="580" w:type="dxa"/>
            <w:vAlign w:val="bottom"/>
            <w:tcBorders>
              <w:top w:val="single" w:sz="8" w:color="auto"/>
            </w:tcBorders>
            <w:shd w:val="clear" w:color="auto" w:fill="C0C0C0"/>
          </w:tcPr>
          <w:p>
            <w:pPr>
              <w:spacing w:after="0"/>
              <w:rPr>
                <w:sz w:val="16"/>
                <w:szCs w:val="16"/>
                <w:color w:val="auto"/>
              </w:rPr>
            </w:pPr>
          </w:p>
        </w:tc>
        <w:tc>
          <w:tcPr>
            <w:tcW w:w="220" w:type="dxa"/>
            <w:vAlign w:val="bottom"/>
            <w:tcBorders>
              <w:top w:val="single" w:sz="8" w:color="C0C0C0"/>
            </w:tcBorders>
            <w:shd w:val="clear" w:color="auto" w:fill="C0C0C0"/>
          </w:tcPr>
          <w:p>
            <w:pPr>
              <w:spacing w:after="0"/>
              <w:rPr>
                <w:sz w:val="16"/>
                <w:szCs w:val="16"/>
                <w:color w:val="auto"/>
              </w:rPr>
            </w:pPr>
          </w:p>
        </w:tc>
        <w:tc>
          <w:tcPr>
            <w:tcW w:w="120" w:type="dxa"/>
            <w:vAlign w:val="bottom"/>
            <w:tcBorders>
              <w:top w:val="single" w:sz="8" w:color="auto"/>
            </w:tcBorders>
            <w:shd w:val="clear" w:color="auto" w:fill="C0C0C0"/>
          </w:tcPr>
          <w:p>
            <w:pPr>
              <w:spacing w:after="0"/>
              <w:rPr>
                <w:sz w:val="16"/>
                <w:szCs w:val="16"/>
                <w:color w:val="auto"/>
              </w:rPr>
            </w:pPr>
          </w:p>
        </w:tc>
        <w:tc>
          <w:tcPr>
            <w:tcW w:w="280" w:type="dxa"/>
            <w:vAlign w:val="bottom"/>
            <w:tcBorders>
              <w:top w:val="single" w:sz="8" w:color="auto"/>
            </w:tcBorders>
            <w:shd w:val="clear" w:color="auto" w:fill="C0C0C0"/>
          </w:tcPr>
          <w:p>
            <w:pPr>
              <w:spacing w:after="0"/>
              <w:rPr>
                <w:sz w:val="16"/>
                <w:szCs w:val="16"/>
                <w:color w:val="auto"/>
              </w:rPr>
            </w:pPr>
          </w:p>
        </w:tc>
        <w:tc>
          <w:tcPr>
            <w:tcW w:w="220" w:type="dxa"/>
            <w:vAlign w:val="bottom"/>
            <w:tcBorders>
              <w:top w:val="single" w:sz="8" w:color="C0C0C0"/>
            </w:tcBorders>
            <w:shd w:val="clear" w:color="auto" w:fill="C0C0C0"/>
          </w:tcPr>
          <w:p>
            <w:pPr>
              <w:spacing w:after="0"/>
              <w:rPr>
                <w:sz w:val="16"/>
                <w:szCs w:val="16"/>
                <w:color w:val="auto"/>
              </w:rPr>
            </w:pPr>
          </w:p>
        </w:tc>
        <w:tc>
          <w:tcPr>
            <w:tcW w:w="160" w:type="dxa"/>
            <w:vAlign w:val="bottom"/>
            <w:tcBorders>
              <w:top w:val="single" w:sz="8" w:color="auto"/>
            </w:tcBorders>
            <w:shd w:val="clear" w:color="auto" w:fill="C0C0C0"/>
          </w:tcPr>
          <w:p>
            <w:pPr>
              <w:spacing w:after="0"/>
              <w:rPr>
                <w:sz w:val="16"/>
                <w:szCs w:val="16"/>
                <w:color w:val="auto"/>
              </w:rPr>
            </w:pPr>
          </w:p>
        </w:tc>
        <w:tc>
          <w:tcPr>
            <w:tcW w:w="440" w:type="dxa"/>
            <w:vAlign w:val="bottom"/>
            <w:tcBorders>
              <w:top w:val="single" w:sz="8" w:color="auto"/>
            </w:tcBorders>
            <w:shd w:val="clear" w:color="auto" w:fill="C0C0C0"/>
          </w:tcPr>
          <w:p>
            <w:pPr>
              <w:spacing w:after="0"/>
              <w:rPr>
                <w:sz w:val="16"/>
                <w:szCs w:val="16"/>
                <w:color w:val="auto"/>
              </w:rPr>
            </w:pPr>
          </w:p>
        </w:tc>
        <w:tc>
          <w:tcPr>
            <w:tcW w:w="220" w:type="dxa"/>
            <w:vAlign w:val="bottom"/>
            <w:tcBorders>
              <w:top w:val="single" w:sz="8" w:color="C0C0C0"/>
            </w:tcBorders>
            <w:shd w:val="clear" w:color="auto" w:fill="C0C0C0"/>
          </w:tcPr>
          <w:p>
            <w:pPr>
              <w:spacing w:after="0"/>
              <w:rPr>
                <w:sz w:val="16"/>
                <w:szCs w:val="16"/>
                <w:color w:val="auto"/>
              </w:rPr>
            </w:pPr>
          </w:p>
        </w:tc>
        <w:tc>
          <w:tcPr>
            <w:tcW w:w="100" w:type="dxa"/>
            <w:vAlign w:val="bottom"/>
            <w:tcBorders>
              <w:top w:val="single" w:sz="8" w:color="auto"/>
            </w:tcBorders>
            <w:shd w:val="clear" w:color="auto" w:fill="C0C0C0"/>
          </w:tcPr>
          <w:p>
            <w:pPr>
              <w:spacing w:after="0"/>
              <w:rPr>
                <w:sz w:val="16"/>
                <w:szCs w:val="16"/>
                <w:color w:val="auto"/>
              </w:rPr>
            </w:pPr>
          </w:p>
        </w:tc>
        <w:tc>
          <w:tcPr>
            <w:tcW w:w="380" w:type="dxa"/>
            <w:vAlign w:val="bottom"/>
            <w:tcBorders>
              <w:top w:val="single" w:sz="8" w:color="auto"/>
            </w:tcBorders>
            <w:shd w:val="clear" w:color="auto" w:fill="C0C0C0"/>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4100" w:type="dxa"/>
            <w:vAlign w:val="bottom"/>
          </w:tcPr>
          <w:p>
            <w:pPr>
              <w:spacing w:after="0"/>
              <w:rPr>
                <w:sz w:val="20"/>
                <w:szCs w:val="20"/>
                <w:color w:val="auto"/>
              </w:rPr>
            </w:pPr>
            <w:r>
              <w:rPr>
                <w:rFonts w:ascii="Arial" w:cs="Arial" w:eastAsia="Arial" w:hAnsi="Arial"/>
                <w:sz w:val="14"/>
                <w:szCs w:val="14"/>
                <w:color w:val="auto"/>
              </w:rPr>
              <w:t>Maturities within one year</w:t>
            </w:r>
          </w:p>
        </w:tc>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4"/>
        </w:trPr>
        <w:tc>
          <w:tcPr>
            <w:tcW w:w="4100" w:type="dxa"/>
            <w:vAlign w:val="bottom"/>
            <w:shd w:val="clear" w:color="auto" w:fill="C0C0C0"/>
          </w:tcPr>
          <w:p>
            <w:pPr>
              <w:ind w:left="260"/>
              <w:spacing w:after="0"/>
              <w:rPr>
                <w:sz w:val="20"/>
                <w:szCs w:val="20"/>
                <w:color w:val="auto"/>
              </w:rPr>
            </w:pPr>
            <w:r>
              <w:rPr>
                <w:rFonts w:ascii="Arial" w:cs="Arial" w:eastAsia="Arial" w:hAnsi="Arial"/>
                <w:sz w:val="14"/>
                <w:szCs w:val="14"/>
                <w:color w:val="auto"/>
              </w:rPr>
              <w:t>U.S. government obligations</w:t>
            </w:r>
          </w:p>
        </w:tc>
        <w:tc>
          <w:tcPr>
            <w:tcW w:w="3900" w:type="dxa"/>
            <w:vAlign w:val="bottom"/>
            <w:gridSpan w:val="3"/>
            <w:shd w:val="clear" w:color="auto" w:fill="C0C0C0"/>
          </w:tcPr>
          <w:p>
            <w:pPr>
              <w:ind w:left="37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2,028</w:t>
            </w:r>
          </w:p>
        </w:tc>
        <w:tc>
          <w:tcPr>
            <w:tcW w:w="8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   2,033</w:t>
            </w:r>
          </w:p>
        </w:tc>
        <w:tc>
          <w:tcPr>
            <w:tcW w:w="12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60" w:type="dxa"/>
            <w:vAlign w:val="bottom"/>
            <w:gridSpan w:val="3"/>
            <w:shd w:val="clear" w:color="auto" w:fill="C0C0C0"/>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7"/>
                <w:szCs w:val="17"/>
                <w:color w:val="auto"/>
              </w:rPr>
            </w:pPr>
          </w:p>
        </w:tc>
      </w:tr>
      <w:tr>
        <w:trPr>
          <w:trHeight w:val="185"/>
        </w:trPr>
        <w:tc>
          <w:tcPr>
            <w:tcW w:w="4100" w:type="dxa"/>
            <w:vAlign w:val="bottom"/>
          </w:tcPr>
          <w:p>
            <w:pPr>
              <w:ind w:left="260"/>
              <w:spacing w:after="0"/>
              <w:rPr>
                <w:sz w:val="20"/>
                <w:szCs w:val="20"/>
                <w:color w:val="auto"/>
              </w:rPr>
            </w:pPr>
            <w:r>
              <w:rPr>
                <w:rFonts w:ascii="Arial" w:cs="Arial" w:eastAsia="Arial" w:hAnsi="Arial"/>
                <w:sz w:val="14"/>
                <w:szCs w:val="14"/>
                <w:color w:val="auto"/>
              </w:rPr>
              <w:t>U.S. government guaranteed corporate</w:t>
            </w:r>
          </w:p>
        </w:tc>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4"/>
        </w:trPr>
        <w:tc>
          <w:tcPr>
            <w:tcW w:w="4100" w:type="dxa"/>
            <w:vAlign w:val="bottom"/>
          </w:tcPr>
          <w:p>
            <w:pPr>
              <w:ind w:left="500"/>
              <w:spacing w:after="0"/>
              <w:rPr>
                <w:sz w:val="20"/>
                <w:szCs w:val="20"/>
                <w:color w:val="auto"/>
              </w:rPr>
            </w:pPr>
            <w:r>
              <w:rPr>
                <w:rFonts w:ascii="Arial" w:cs="Arial" w:eastAsia="Arial" w:hAnsi="Arial"/>
                <w:sz w:val="14"/>
                <w:szCs w:val="14"/>
                <w:color w:val="auto"/>
              </w:rPr>
              <w:t>bonds</w:t>
            </w:r>
          </w:p>
        </w:tc>
        <w:tc>
          <w:tcPr>
            <w:tcW w:w="3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21,249</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21,309</w:t>
            </w:r>
          </w:p>
        </w:tc>
        <w:tc>
          <w:tcPr>
            <w:tcW w:w="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60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ind w:right="29"/>
              <w:spacing w:after="0"/>
              <w:rPr>
                <w:sz w:val="20"/>
                <w:szCs w:val="20"/>
                <w:color w:val="auto"/>
              </w:rPr>
            </w:pPr>
            <w:r>
              <w:rPr>
                <w:rFonts w:ascii="Arial" w:cs="Arial" w:eastAsia="Arial" w:hAnsi="Arial"/>
                <w:sz w:val="14"/>
                <w:szCs w:val="14"/>
                <w:color w:val="auto"/>
              </w:rPr>
              <w:t>60</w:t>
            </w:r>
          </w:p>
        </w:tc>
        <w:tc>
          <w:tcPr>
            <w:tcW w:w="20" w:type="dxa"/>
            <w:vAlign w:val="bottom"/>
          </w:tcPr>
          <w:p>
            <w:pPr>
              <w:spacing w:after="0"/>
              <w:rPr>
                <w:sz w:val="17"/>
                <w:szCs w:val="17"/>
                <w:color w:val="auto"/>
              </w:rPr>
            </w:pPr>
          </w:p>
        </w:tc>
      </w:tr>
      <w:tr>
        <w:trPr>
          <w:trHeight w:val="191"/>
        </w:trPr>
        <w:tc>
          <w:tcPr>
            <w:tcW w:w="4100" w:type="dxa"/>
            <w:vAlign w:val="bottom"/>
            <w:shd w:val="clear" w:color="auto" w:fill="C0C0C0"/>
          </w:tcPr>
          <w:p>
            <w:pPr>
              <w:ind w:left="260"/>
              <w:spacing w:after="0"/>
              <w:rPr>
                <w:sz w:val="20"/>
                <w:szCs w:val="20"/>
                <w:color w:val="auto"/>
              </w:rPr>
            </w:pPr>
            <w:r>
              <w:rPr>
                <w:rFonts w:ascii="Arial" w:cs="Arial" w:eastAsia="Arial" w:hAnsi="Arial"/>
                <w:sz w:val="14"/>
                <w:szCs w:val="14"/>
                <w:color w:val="auto"/>
              </w:rPr>
              <w:t>U.S. government guaranteed</w:t>
            </w:r>
          </w:p>
        </w:tc>
        <w:tc>
          <w:tcPr>
            <w:tcW w:w="354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58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44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380" w:type="dxa"/>
            <w:vAlign w:val="bottom"/>
            <w:shd w:val="clear" w:color="auto" w:fill="C0C0C0"/>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4100" w:type="dxa"/>
            <w:vAlign w:val="bottom"/>
            <w:shd w:val="clear" w:color="auto" w:fill="C0C0C0"/>
          </w:tcPr>
          <w:p>
            <w:pPr>
              <w:ind w:left="500"/>
              <w:spacing w:after="0"/>
              <w:rPr>
                <w:sz w:val="20"/>
                <w:szCs w:val="20"/>
                <w:color w:val="auto"/>
              </w:rPr>
            </w:pPr>
            <w:r>
              <w:rPr>
                <w:rFonts w:ascii="Arial" w:cs="Arial" w:eastAsia="Arial" w:hAnsi="Arial"/>
                <w:sz w:val="14"/>
                <w:szCs w:val="14"/>
                <w:color w:val="auto"/>
              </w:rPr>
              <w:t>collateralized mortgage obligations</w:t>
            </w:r>
          </w:p>
        </w:tc>
        <w:tc>
          <w:tcPr>
            <w:tcW w:w="354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74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986</w:t>
            </w:r>
          </w:p>
        </w:tc>
        <w:tc>
          <w:tcPr>
            <w:tcW w:w="8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986</w:t>
            </w:r>
          </w:p>
        </w:tc>
        <w:tc>
          <w:tcPr>
            <w:tcW w:w="1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44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4100" w:type="dxa"/>
            <w:vAlign w:val="bottom"/>
          </w:tcPr>
          <w:p>
            <w:pPr>
              <w:ind w:left="260"/>
              <w:spacing w:after="0"/>
              <w:rPr>
                <w:sz w:val="20"/>
                <w:szCs w:val="20"/>
                <w:color w:val="auto"/>
              </w:rPr>
            </w:pPr>
            <w:r>
              <w:rPr>
                <w:rFonts w:ascii="Arial" w:cs="Arial" w:eastAsia="Arial" w:hAnsi="Arial"/>
                <w:sz w:val="14"/>
                <w:szCs w:val="14"/>
                <w:color w:val="auto"/>
              </w:rPr>
              <w:t>Municipal bonds</w:t>
            </w:r>
          </w:p>
        </w:tc>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14,722</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14,749</w:t>
            </w:r>
          </w:p>
        </w:tc>
        <w:tc>
          <w:tcPr>
            <w:tcW w:w="1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27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ind w:right="29"/>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16"/>
                <w:szCs w:val="16"/>
                <w:color w:val="auto"/>
              </w:rPr>
            </w:pPr>
          </w:p>
        </w:tc>
      </w:tr>
      <w:tr>
        <w:trPr>
          <w:trHeight w:val="197"/>
        </w:trPr>
        <w:tc>
          <w:tcPr>
            <w:tcW w:w="4100" w:type="dxa"/>
            <w:vAlign w:val="bottom"/>
            <w:shd w:val="clear" w:color="auto" w:fill="C0C0C0"/>
          </w:tcPr>
          <w:p>
            <w:pPr>
              <w:ind w:left="260"/>
              <w:spacing w:after="0"/>
              <w:rPr>
                <w:sz w:val="20"/>
                <w:szCs w:val="20"/>
                <w:color w:val="auto"/>
              </w:rPr>
            </w:pPr>
            <w:r>
              <w:rPr>
                <w:rFonts w:ascii="Arial" w:cs="Arial" w:eastAsia="Arial" w:hAnsi="Arial"/>
                <w:sz w:val="14"/>
                <w:szCs w:val="14"/>
                <w:color w:val="auto"/>
              </w:rPr>
              <w:t>Mortgage-backed securities</w:t>
            </w:r>
          </w:p>
        </w:tc>
        <w:tc>
          <w:tcPr>
            <w:tcW w:w="35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74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26</w:t>
            </w:r>
          </w:p>
        </w:tc>
        <w:tc>
          <w:tcPr>
            <w:tcW w:w="8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4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41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39,011</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39,103</w:t>
            </w:r>
          </w:p>
        </w:tc>
        <w:tc>
          <w:tcPr>
            <w:tcW w:w="1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92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ind w:right="29"/>
              <w:spacing w:after="0"/>
              <w:rPr>
                <w:sz w:val="20"/>
                <w:szCs w:val="20"/>
                <w:color w:val="auto"/>
              </w:rPr>
            </w:pPr>
            <w:r>
              <w:rPr>
                <w:rFonts w:ascii="Arial" w:cs="Arial" w:eastAsia="Arial" w:hAnsi="Arial"/>
                <w:sz w:val="14"/>
                <w:szCs w:val="14"/>
                <w:color w:val="auto"/>
              </w:rPr>
              <w:t>92</w:t>
            </w:r>
          </w:p>
        </w:tc>
        <w:tc>
          <w:tcPr>
            <w:tcW w:w="20" w:type="dxa"/>
            <w:vAlign w:val="bottom"/>
          </w:tcPr>
          <w:p>
            <w:pPr>
              <w:spacing w:after="0"/>
              <w:rPr>
                <w:sz w:val="16"/>
                <w:szCs w:val="16"/>
                <w:color w:val="auto"/>
              </w:rPr>
            </w:pPr>
          </w:p>
        </w:tc>
      </w:tr>
      <w:tr>
        <w:trPr>
          <w:trHeight w:val="195"/>
        </w:trPr>
        <w:tc>
          <w:tcPr>
            <w:tcW w:w="41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97"/>
        </w:trPr>
        <w:tc>
          <w:tcPr>
            <w:tcW w:w="4100" w:type="dxa"/>
            <w:vAlign w:val="bottom"/>
            <w:shd w:val="clear" w:color="auto" w:fill="C0C0C0"/>
          </w:tcPr>
          <w:p>
            <w:pPr>
              <w:spacing w:after="0"/>
              <w:rPr>
                <w:sz w:val="20"/>
                <w:szCs w:val="20"/>
                <w:color w:val="auto"/>
              </w:rPr>
            </w:pPr>
            <w:r>
              <w:rPr>
                <w:rFonts w:ascii="Arial" w:cs="Arial" w:eastAsia="Arial" w:hAnsi="Arial"/>
                <w:sz w:val="14"/>
                <w:szCs w:val="14"/>
                <w:color w:val="auto"/>
              </w:rPr>
              <w:t>Maturities between one and five years</w:t>
            </w:r>
          </w:p>
        </w:tc>
        <w:tc>
          <w:tcPr>
            <w:tcW w:w="35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4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4100" w:type="dxa"/>
            <w:vAlign w:val="bottom"/>
          </w:tcPr>
          <w:p>
            <w:pPr>
              <w:ind w:left="260"/>
              <w:spacing w:after="0"/>
              <w:rPr>
                <w:sz w:val="20"/>
                <w:szCs w:val="20"/>
                <w:color w:val="auto"/>
              </w:rPr>
            </w:pPr>
            <w:r>
              <w:rPr>
                <w:rFonts w:ascii="Arial" w:cs="Arial" w:eastAsia="Arial" w:hAnsi="Arial"/>
                <w:sz w:val="14"/>
                <w:szCs w:val="14"/>
                <w:color w:val="auto"/>
              </w:rPr>
              <w:t>U.S. government obligations</w:t>
            </w:r>
          </w:p>
        </w:tc>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238,958</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239,418</w:t>
            </w:r>
          </w:p>
        </w:tc>
        <w:tc>
          <w:tcPr>
            <w:tcW w:w="1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519</w:t>
            </w:r>
          </w:p>
        </w:tc>
        <w:tc>
          <w:tcPr>
            <w:tcW w:w="3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(59)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ind w:right="29"/>
              <w:spacing w:after="0"/>
              <w:rPr>
                <w:sz w:val="20"/>
                <w:szCs w:val="20"/>
                <w:color w:val="auto"/>
              </w:rPr>
            </w:pPr>
            <w:r>
              <w:rPr>
                <w:rFonts w:ascii="Arial" w:cs="Arial" w:eastAsia="Arial" w:hAnsi="Arial"/>
                <w:sz w:val="14"/>
                <w:szCs w:val="14"/>
                <w:color w:val="auto"/>
              </w:rPr>
              <w:t>460</w:t>
            </w:r>
          </w:p>
        </w:tc>
        <w:tc>
          <w:tcPr>
            <w:tcW w:w="20" w:type="dxa"/>
            <w:vAlign w:val="bottom"/>
          </w:tcPr>
          <w:p>
            <w:pPr>
              <w:spacing w:after="0"/>
              <w:rPr>
                <w:sz w:val="16"/>
                <w:szCs w:val="16"/>
                <w:color w:val="auto"/>
              </w:rPr>
            </w:pPr>
          </w:p>
        </w:tc>
      </w:tr>
      <w:tr>
        <w:trPr>
          <w:trHeight w:val="191"/>
        </w:trPr>
        <w:tc>
          <w:tcPr>
            <w:tcW w:w="4100" w:type="dxa"/>
            <w:vAlign w:val="bottom"/>
            <w:shd w:val="clear" w:color="auto" w:fill="C0C0C0"/>
          </w:tcPr>
          <w:p>
            <w:pPr>
              <w:ind w:left="260"/>
              <w:spacing w:after="0"/>
              <w:rPr>
                <w:sz w:val="20"/>
                <w:szCs w:val="20"/>
                <w:color w:val="auto"/>
              </w:rPr>
            </w:pPr>
            <w:r>
              <w:rPr>
                <w:rFonts w:ascii="Arial" w:cs="Arial" w:eastAsia="Arial" w:hAnsi="Arial"/>
                <w:sz w:val="14"/>
                <w:szCs w:val="14"/>
                <w:color w:val="auto"/>
              </w:rPr>
              <w:t>U.S. government guaranteed corporate</w:t>
            </w:r>
          </w:p>
        </w:tc>
        <w:tc>
          <w:tcPr>
            <w:tcW w:w="354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58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44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380" w:type="dxa"/>
            <w:vAlign w:val="bottom"/>
            <w:shd w:val="clear" w:color="auto" w:fill="C0C0C0"/>
          </w:tcPr>
          <w:p>
            <w:pPr>
              <w:spacing w:after="0"/>
              <w:rPr>
                <w:sz w:val="16"/>
                <w:szCs w:val="16"/>
                <w:color w:val="auto"/>
              </w:rPr>
            </w:pPr>
          </w:p>
        </w:tc>
        <w:tc>
          <w:tcPr>
            <w:tcW w:w="20" w:type="dxa"/>
            <w:vAlign w:val="bottom"/>
          </w:tcPr>
          <w:p>
            <w:pPr>
              <w:spacing w:after="0"/>
              <w:rPr>
                <w:sz w:val="16"/>
                <w:szCs w:val="16"/>
                <w:color w:val="auto"/>
              </w:rPr>
            </w:pPr>
          </w:p>
        </w:tc>
      </w:tr>
      <w:tr>
        <w:trPr>
          <w:trHeight w:val="204"/>
        </w:trPr>
        <w:tc>
          <w:tcPr>
            <w:tcW w:w="4100" w:type="dxa"/>
            <w:vAlign w:val="bottom"/>
            <w:shd w:val="clear" w:color="auto" w:fill="C0C0C0"/>
          </w:tcPr>
          <w:p>
            <w:pPr>
              <w:ind w:left="500"/>
              <w:spacing w:after="0"/>
              <w:rPr>
                <w:sz w:val="20"/>
                <w:szCs w:val="20"/>
                <w:color w:val="auto"/>
              </w:rPr>
            </w:pPr>
            <w:r>
              <w:rPr>
                <w:rFonts w:ascii="Arial" w:cs="Arial" w:eastAsia="Arial" w:hAnsi="Arial"/>
                <w:sz w:val="14"/>
                <w:szCs w:val="14"/>
                <w:color w:val="auto"/>
              </w:rPr>
              <w:t>bonds</w:t>
            </w:r>
          </w:p>
        </w:tc>
        <w:tc>
          <w:tcPr>
            <w:tcW w:w="35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74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15,415</w:t>
            </w:r>
          </w:p>
        </w:tc>
        <w:tc>
          <w:tcPr>
            <w:tcW w:w="8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15,457</w:t>
            </w:r>
          </w:p>
        </w:tc>
        <w:tc>
          <w:tcPr>
            <w:tcW w:w="120" w:type="dxa"/>
            <w:vAlign w:val="bottom"/>
            <w:shd w:val="clear" w:color="auto" w:fill="C0C0C0"/>
          </w:tcPr>
          <w:p>
            <w:pPr>
              <w:spacing w:after="0"/>
              <w:rPr>
                <w:sz w:val="17"/>
                <w:szCs w:val="17"/>
                <w:color w:val="auto"/>
              </w:rPr>
            </w:pPr>
          </w:p>
        </w:tc>
        <w:tc>
          <w:tcPr>
            <w:tcW w:w="2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42</w:t>
            </w: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4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38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7"/>
                <w:szCs w:val="17"/>
                <w:color w:val="auto"/>
              </w:rPr>
            </w:pPr>
          </w:p>
        </w:tc>
      </w:tr>
      <w:tr>
        <w:trPr>
          <w:trHeight w:val="20"/>
        </w:trPr>
        <w:tc>
          <w:tcPr>
            <w:tcW w:w="4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41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254,373</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254,875</w:t>
            </w:r>
          </w:p>
        </w:tc>
        <w:tc>
          <w:tcPr>
            <w:tcW w:w="1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561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ind w:right="29"/>
              <w:spacing w:after="0"/>
              <w:rPr>
                <w:sz w:val="20"/>
                <w:szCs w:val="20"/>
                <w:color w:val="auto"/>
              </w:rPr>
            </w:pPr>
            <w:r>
              <w:rPr>
                <w:rFonts w:ascii="Arial" w:cs="Arial" w:eastAsia="Arial" w:hAnsi="Arial"/>
                <w:sz w:val="14"/>
                <w:szCs w:val="14"/>
                <w:color w:val="auto"/>
              </w:rPr>
              <w:t>502</w:t>
            </w:r>
          </w:p>
        </w:tc>
        <w:tc>
          <w:tcPr>
            <w:tcW w:w="20" w:type="dxa"/>
            <w:vAlign w:val="bottom"/>
          </w:tcPr>
          <w:p>
            <w:pPr>
              <w:spacing w:after="0"/>
              <w:rPr>
                <w:sz w:val="16"/>
                <w:szCs w:val="16"/>
                <w:color w:val="auto"/>
              </w:rPr>
            </w:pPr>
          </w:p>
        </w:tc>
      </w:tr>
      <w:tr>
        <w:trPr>
          <w:trHeight w:val="195"/>
        </w:trPr>
        <w:tc>
          <w:tcPr>
            <w:tcW w:w="41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97"/>
        </w:trPr>
        <w:tc>
          <w:tcPr>
            <w:tcW w:w="4100" w:type="dxa"/>
            <w:vAlign w:val="bottom"/>
            <w:shd w:val="clear" w:color="auto" w:fill="C0C0C0"/>
          </w:tcPr>
          <w:p>
            <w:pPr>
              <w:spacing w:after="0"/>
              <w:rPr>
                <w:sz w:val="20"/>
                <w:szCs w:val="20"/>
                <w:color w:val="auto"/>
              </w:rPr>
            </w:pPr>
            <w:r>
              <w:rPr>
                <w:rFonts w:ascii="Arial" w:cs="Arial" w:eastAsia="Arial" w:hAnsi="Arial"/>
                <w:sz w:val="14"/>
                <w:szCs w:val="14"/>
                <w:color w:val="auto"/>
              </w:rPr>
              <w:t>Maturities between five and six years</w:t>
            </w:r>
          </w:p>
        </w:tc>
        <w:tc>
          <w:tcPr>
            <w:tcW w:w="35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4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4100" w:type="dxa"/>
            <w:vAlign w:val="bottom"/>
          </w:tcPr>
          <w:p>
            <w:pPr>
              <w:ind w:left="260"/>
              <w:spacing w:after="0"/>
              <w:rPr>
                <w:sz w:val="20"/>
                <w:szCs w:val="20"/>
                <w:color w:val="auto"/>
              </w:rPr>
            </w:pPr>
            <w:r>
              <w:rPr>
                <w:rFonts w:ascii="Arial" w:cs="Arial" w:eastAsia="Arial" w:hAnsi="Arial"/>
                <w:sz w:val="14"/>
                <w:szCs w:val="14"/>
                <w:color w:val="auto"/>
              </w:rPr>
              <w:t>Mortgage-backed securities</w:t>
            </w:r>
          </w:p>
        </w:tc>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270</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(147)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1"/>
              </w:rPr>
              <w:t>(147)</w:t>
            </w:r>
          </w:p>
        </w:tc>
        <w:tc>
          <w:tcPr>
            <w:tcW w:w="20" w:type="dxa"/>
            <w:vAlign w:val="bottom"/>
          </w:tcPr>
          <w:p>
            <w:pPr>
              <w:spacing w:after="0"/>
              <w:rPr>
                <w:sz w:val="16"/>
                <w:szCs w:val="16"/>
                <w:color w:val="auto"/>
              </w:rPr>
            </w:pPr>
          </w:p>
        </w:tc>
      </w:tr>
      <w:tr>
        <w:trPr>
          <w:trHeight w:val="195"/>
        </w:trPr>
        <w:tc>
          <w:tcPr>
            <w:tcW w:w="41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97"/>
        </w:trPr>
        <w:tc>
          <w:tcPr>
            <w:tcW w:w="4100" w:type="dxa"/>
            <w:vAlign w:val="bottom"/>
            <w:shd w:val="clear" w:color="auto" w:fill="C0C0C0"/>
          </w:tcPr>
          <w:p>
            <w:pPr>
              <w:spacing w:after="0"/>
              <w:rPr>
                <w:sz w:val="17"/>
                <w:szCs w:val="17"/>
                <w:color w:val="auto"/>
              </w:rPr>
            </w:pPr>
          </w:p>
        </w:tc>
        <w:tc>
          <w:tcPr>
            <w:tcW w:w="35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74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w w:val="98"/>
              </w:rPr>
              <w:t>293,654</w:t>
            </w:r>
          </w:p>
        </w:tc>
        <w:tc>
          <w:tcPr>
            <w:tcW w:w="8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294,101</w:t>
            </w:r>
          </w:p>
        </w:tc>
        <w:tc>
          <w:tcPr>
            <w:tcW w:w="120" w:type="dxa"/>
            <w:vAlign w:val="bottom"/>
            <w:shd w:val="clear" w:color="auto" w:fill="C0C0C0"/>
          </w:tcPr>
          <w:p>
            <w:pPr>
              <w:spacing w:after="0"/>
              <w:rPr>
                <w:sz w:val="17"/>
                <w:szCs w:val="17"/>
                <w:color w:val="auto"/>
              </w:rPr>
            </w:pPr>
          </w:p>
        </w:tc>
        <w:tc>
          <w:tcPr>
            <w:tcW w:w="2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653</w:t>
            </w: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(206)</w:t>
            </w: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38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447</w:t>
            </w:r>
          </w:p>
        </w:tc>
        <w:tc>
          <w:tcPr>
            <w:tcW w:w="20" w:type="dxa"/>
            <w:vAlign w:val="bottom"/>
          </w:tcPr>
          <w:p>
            <w:pPr>
              <w:spacing w:after="0"/>
              <w:rPr>
                <w:sz w:val="17"/>
                <w:szCs w:val="17"/>
                <w:color w:val="auto"/>
              </w:rPr>
            </w:pPr>
          </w:p>
        </w:tc>
      </w:tr>
      <w:tr>
        <w:trPr>
          <w:trHeight w:val="362"/>
        </w:trPr>
        <w:tc>
          <w:tcPr>
            <w:tcW w:w="4100" w:type="dxa"/>
            <w:vAlign w:val="bottom"/>
          </w:tcPr>
          <w:p>
            <w:pPr>
              <w:spacing w:after="0"/>
              <w:rPr>
                <w:sz w:val="24"/>
                <w:szCs w:val="24"/>
                <w:color w:val="auto"/>
              </w:rPr>
            </w:pPr>
          </w:p>
        </w:tc>
        <w:tc>
          <w:tcPr>
            <w:tcW w:w="3540" w:type="dxa"/>
            <w:vAlign w:val="bottom"/>
          </w:tcPr>
          <w:p>
            <w:pPr>
              <w:jc w:val="right"/>
              <w:ind w:right="1809"/>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94"/>
        </w:trPr>
        <w:tc>
          <w:tcPr>
            <w:tcW w:w="410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-12700</wp:posOffset>
            </wp:positionV>
            <wp:extent cx="1270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80"/>
          </w:cols>
          <w:pgMar w:left="220" w:top="523" w:right="19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REGENERON PHARMACEUTICALS, INC.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Condensed Financial Statements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(Unless otherwise noted, dollars in thousands,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4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Amortized</w:t>
            </w:r>
          </w:p>
        </w:tc>
        <w:tc>
          <w:tcPr>
            <w:tcW w:w="80" w:type="dxa"/>
            <w:vAlign w:val="bottom"/>
          </w:tcPr>
          <w:p>
            <w:pPr>
              <w:spacing w:after="0"/>
              <w:rPr>
                <w:sz w:val="16"/>
                <w:szCs w:val="16"/>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Fair</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Unrealized</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r>
      <w:tr>
        <w:trPr>
          <w:trHeight w:val="191"/>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At September 30, 2011 (continued)</w:t>
            </w:r>
          </w:p>
        </w:tc>
        <w:tc>
          <w:tcPr>
            <w:tcW w:w="22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Cost Basis</w:t>
            </w:r>
          </w:p>
        </w:tc>
        <w:tc>
          <w:tcPr>
            <w:tcW w:w="80" w:type="dxa"/>
            <w:vAlign w:val="bottom"/>
          </w:tcPr>
          <w:p>
            <w:pPr>
              <w:spacing w:after="0"/>
              <w:rPr>
                <w:sz w:val="16"/>
                <w:szCs w:val="16"/>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Value</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Gains</w:t>
            </w: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6"/>
                <w:szCs w:val="16"/>
                <w:color w:val="auto"/>
              </w:rPr>
            </w:pPr>
          </w:p>
        </w:tc>
        <w:tc>
          <w:tcPr>
            <w:tcW w:w="480" w:type="dxa"/>
            <w:vAlign w:val="bottom"/>
          </w:tcPr>
          <w:p>
            <w:pPr>
              <w:jc w:val="right"/>
              <w:ind w:right="109"/>
              <w:spacing w:after="0"/>
              <w:rPr>
                <w:sz w:val="20"/>
                <w:szCs w:val="20"/>
                <w:color w:val="auto"/>
              </w:rPr>
            </w:pPr>
            <w:r>
              <w:rPr>
                <w:rFonts w:ascii="Arial" w:cs="Arial" w:eastAsia="Arial" w:hAnsi="Arial"/>
                <w:sz w:val="14"/>
                <w:szCs w:val="14"/>
                <w:b w:val="1"/>
                <w:bCs w:val="1"/>
                <w:color w:val="auto"/>
              </w:rPr>
              <w:t>Net</w:t>
            </w:r>
          </w:p>
        </w:tc>
      </w:tr>
      <w:tr>
        <w:trPr>
          <w:trHeight w:val="195"/>
        </w:trPr>
        <w:tc>
          <w:tcPr>
            <w:tcW w:w="7560" w:type="dxa"/>
            <w:vAlign w:val="bottom"/>
            <w:tcBorders>
              <w:top w:val="single" w:sz="8" w:color="auto"/>
            </w:tcBorders>
            <w:gridSpan w:val="2"/>
            <w:shd w:val="clear" w:color="auto" w:fill="C0C0C0"/>
          </w:tcPr>
          <w:p>
            <w:pPr>
              <w:spacing w:after="0"/>
              <w:rPr>
                <w:sz w:val="20"/>
                <w:szCs w:val="20"/>
                <w:color w:val="auto"/>
              </w:rPr>
            </w:pPr>
            <w:r>
              <w:rPr>
                <w:rFonts w:ascii="Arial" w:cs="Arial" w:eastAsia="Arial" w:hAnsi="Arial"/>
                <w:sz w:val="14"/>
                <w:szCs w:val="14"/>
                <w:i w:val="1"/>
                <w:iCs w:val="1"/>
                <w:color w:val="auto"/>
              </w:rPr>
              <w:t>Restricted</w:t>
            </w:r>
          </w:p>
        </w:tc>
        <w:tc>
          <w:tcPr>
            <w:tcW w:w="220" w:type="dxa"/>
            <w:vAlign w:val="bottom"/>
            <w:tcBorders>
              <w:top w:val="single" w:sz="8" w:color="C0C0C0"/>
            </w:tcBorders>
            <w:shd w:val="clear" w:color="auto" w:fill="C0C0C0"/>
          </w:tcPr>
          <w:p>
            <w:pPr>
              <w:spacing w:after="0"/>
              <w:rPr>
                <w:sz w:val="16"/>
                <w:szCs w:val="16"/>
                <w:color w:val="auto"/>
              </w:rPr>
            </w:pPr>
          </w:p>
        </w:tc>
        <w:tc>
          <w:tcPr>
            <w:tcW w:w="120" w:type="dxa"/>
            <w:vAlign w:val="bottom"/>
            <w:tcBorders>
              <w:top w:val="single" w:sz="8" w:color="auto"/>
            </w:tcBorders>
            <w:shd w:val="clear" w:color="auto" w:fill="C0C0C0"/>
          </w:tcPr>
          <w:p>
            <w:pPr>
              <w:spacing w:after="0"/>
              <w:rPr>
                <w:sz w:val="16"/>
                <w:szCs w:val="16"/>
                <w:color w:val="auto"/>
              </w:rPr>
            </w:pPr>
          </w:p>
        </w:tc>
        <w:tc>
          <w:tcPr>
            <w:tcW w:w="540" w:type="dxa"/>
            <w:vAlign w:val="bottom"/>
            <w:tcBorders>
              <w:top w:val="single" w:sz="8" w:color="auto"/>
            </w:tcBorders>
            <w:shd w:val="clear" w:color="auto" w:fill="C0C0C0"/>
          </w:tcPr>
          <w:p>
            <w:pPr>
              <w:spacing w:after="0"/>
              <w:rPr>
                <w:sz w:val="16"/>
                <w:szCs w:val="16"/>
                <w:color w:val="auto"/>
              </w:rPr>
            </w:pPr>
          </w:p>
        </w:tc>
        <w:tc>
          <w:tcPr>
            <w:tcW w:w="220" w:type="dxa"/>
            <w:vAlign w:val="bottom"/>
            <w:tcBorders>
              <w:top w:val="single" w:sz="8" w:color="C0C0C0"/>
            </w:tcBorders>
            <w:shd w:val="clear" w:color="auto" w:fill="C0C0C0"/>
          </w:tcPr>
          <w:p>
            <w:pPr>
              <w:spacing w:after="0"/>
              <w:rPr>
                <w:sz w:val="16"/>
                <w:szCs w:val="16"/>
                <w:color w:val="auto"/>
              </w:rPr>
            </w:pPr>
          </w:p>
        </w:tc>
        <w:tc>
          <w:tcPr>
            <w:tcW w:w="80" w:type="dxa"/>
            <w:vAlign w:val="bottom"/>
            <w:tcBorders>
              <w:top w:val="single" w:sz="8" w:color="auto"/>
            </w:tcBorders>
            <w:shd w:val="clear" w:color="auto" w:fill="C0C0C0"/>
          </w:tcPr>
          <w:p>
            <w:pPr>
              <w:spacing w:after="0"/>
              <w:rPr>
                <w:sz w:val="16"/>
                <w:szCs w:val="16"/>
                <w:color w:val="auto"/>
              </w:rPr>
            </w:pPr>
          </w:p>
        </w:tc>
        <w:tc>
          <w:tcPr>
            <w:tcW w:w="480" w:type="dxa"/>
            <w:vAlign w:val="bottom"/>
            <w:tcBorders>
              <w:top w:val="single" w:sz="8" w:color="auto"/>
            </w:tcBorders>
            <w:shd w:val="clear" w:color="auto" w:fill="C0C0C0"/>
          </w:tcPr>
          <w:p>
            <w:pPr>
              <w:spacing w:after="0"/>
              <w:rPr>
                <w:sz w:val="16"/>
                <w:szCs w:val="16"/>
                <w:color w:val="auto"/>
              </w:rPr>
            </w:pPr>
          </w:p>
        </w:tc>
        <w:tc>
          <w:tcPr>
            <w:tcW w:w="220" w:type="dxa"/>
            <w:vAlign w:val="bottom"/>
            <w:tcBorders>
              <w:top w:val="single" w:sz="8" w:color="C0C0C0"/>
            </w:tcBorders>
            <w:shd w:val="clear" w:color="auto" w:fill="C0C0C0"/>
          </w:tcPr>
          <w:p>
            <w:pPr>
              <w:spacing w:after="0"/>
              <w:rPr>
                <w:sz w:val="16"/>
                <w:szCs w:val="16"/>
                <w:color w:val="auto"/>
              </w:rPr>
            </w:pPr>
          </w:p>
        </w:tc>
        <w:tc>
          <w:tcPr>
            <w:tcW w:w="120" w:type="dxa"/>
            <w:vAlign w:val="bottom"/>
            <w:tcBorders>
              <w:top w:val="single" w:sz="8" w:color="auto"/>
            </w:tcBorders>
            <w:shd w:val="clear" w:color="auto" w:fill="C0C0C0"/>
          </w:tcPr>
          <w:p>
            <w:pPr>
              <w:spacing w:after="0"/>
              <w:rPr>
                <w:sz w:val="16"/>
                <w:szCs w:val="16"/>
                <w:color w:val="auto"/>
              </w:rPr>
            </w:pPr>
          </w:p>
        </w:tc>
        <w:tc>
          <w:tcPr>
            <w:tcW w:w="280" w:type="dxa"/>
            <w:vAlign w:val="bottom"/>
            <w:tcBorders>
              <w:top w:val="single" w:sz="8" w:color="auto"/>
            </w:tcBorders>
            <w:shd w:val="clear" w:color="auto" w:fill="C0C0C0"/>
          </w:tcPr>
          <w:p>
            <w:pPr>
              <w:spacing w:after="0"/>
              <w:rPr>
                <w:sz w:val="16"/>
                <w:szCs w:val="16"/>
                <w:color w:val="auto"/>
              </w:rPr>
            </w:pPr>
          </w:p>
        </w:tc>
        <w:tc>
          <w:tcPr>
            <w:tcW w:w="220" w:type="dxa"/>
            <w:vAlign w:val="bottom"/>
            <w:tcBorders>
              <w:top w:val="single" w:sz="8" w:color="C0C0C0"/>
            </w:tcBorders>
            <w:shd w:val="clear" w:color="auto" w:fill="C0C0C0"/>
          </w:tcPr>
          <w:p>
            <w:pPr>
              <w:spacing w:after="0"/>
              <w:rPr>
                <w:sz w:val="16"/>
                <w:szCs w:val="16"/>
                <w:color w:val="auto"/>
              </w:rPr>
            </w:pPr>
          </w:p>
        </w:tc>
        <w:tc>
          <w:tcPr>
            <w:tcW w:w="100" w:type="dxa"/>
            <w:vAlign w:val="bottom"/>
            <w:tcBorders>
              <w:top w:val="single" w:sz="8" w:color="auto"/>
            </w:tcBorders>
            <w:shd w:val="clear" w:color="auto" w:fill="C0C0C0"/>
          </w:tcPr>
          <w:p>
            <w:pPr>
              <w:spacing w:after="0"/>
              <w:rPr>
                <w:sz w:val="16"/>
                <w:szCs w:val="16"/>
                <w:color w:val="auto"/>
              </w:rPr>
            </w:pPr>
          </w:p>
        </w:tc>
        <w:tc>
          <w:tcPr>
            <w:tcW w:w="520" w:type="dxa"/>
            <w:vAlign w:val="bottom"/>
            <w:tcBorders>
              <w:top w:val="single" w:sz="8" w:color="auto"/>
            </w:tcBorders>
            <w:shd w:val="clear" w:color="auto" w:fill="C0C0C0"/>
          </w:tcPr>
          <w:p>
            <w:pPr>
              <w:spacing w:after="0"/>
              <w:rPr>
                <w:sz w:val="16"/>
                <w:szCs w:val="16"/>
                <w:color w:val="auto"/>
              </w:rPr>
            </w:pPr>
          </w:p>
        </w:tc>
        <w:tc>
          <w:tcPr>
            <w:tcW w:w="200" w:type="dxa"/>
            <w:vAlign w:val="bottom"/>
            <w:tcBorders>
              <w:top w:val="single" w:sz="8" w:color="C0C0C0"/>
              <w:right w:val="single" w:sz="8" w:color="C0C0C0"/>
            </w:tcBorders>
            <w:shd w:val="clear" w:color="auto" w:fill="C0C0C0"/>
          </w:tcPr>
          <w:p>
            <w:pPr>
              <w:spacing w:after="0"/>
              <w:rPr>
                <w:sz w:val="16"/>
                <w:szCs w:val="16"/>
                <w:color w:val="auto"/>
              </w:rPr>
            </w:pPr>
          </w:p>
        </w:tc>
        <w:tc>
          <w:tcPr>
            <w:tcW w:w="100" w:type="dxa"/>
            <w:vAlign w:val="bottom"/>
            <w:tcBorders>
              <w:top w:val="single" w:sz="8" w:color="auto"/>
            </w:tcBorders>
            <w:shd w:val="clear" w:color="auto" w:fill="C0C0C0"/>
          </w:tcPr>
          <w:p>
            <w:pPr>
              <w:spacing w:after="0"/>
              <w:rPr>
                <w:sz w:val="16"/>
                <w:szCs w:val="16"/>
                <w:color w:val="auto"/>
              </w:rPr>
            </w:pPr>
          </w:p>
        </w:tc>
        <w:tc>
          <w:tcPr>
            <w:tcW w:w="480" w:type="dxa"/>
            <w:vAlign w:val="bottom"/>
            <w:tcBorders>
              <w:top w:val="single" w:sz="8" w:color="auto"/>
            </w:tcBorders>
            <w:shd w:val="clear" w:color="auto" w:fill="C0C0C0"/>
          </w:tcPr>
          <w:p>
            <w:pPr>
              <w:spacing w:after="0"/>
              <w:rPr>
                <w:sz w:val="16"/>
                <w:szCs w:val="16"/>
                <w:color w:val="auto"/>
              </w:rPr>
            </w:pPr>
          </w:p>
        </w:tc>
      </w:tr>
      <w:tr>
        <w:trPr>
          <w:trHeight w:val="191"/>
        </w:trPr>
        <w:tc>
          <w:tcPr>
            <w:tcW w:w="7560" w:type="dxa"/>
            <w:vAlign w:val="bottom"/>
            <w:gridSpan w:val="2"/>
          </w:tcPr>
          <w:p>
            <w:pPr>
              <w:spacing w:after="0"/>
              <w:rPr>
                <w:sz w:val="20"/>
                <w:szCs w:val="20"/>
                <w:color w:val="auto"/>
              </w:rPr>
            </w:pPr>
            <w:r>
              <w:rPr>
                <w:rFonts w:ascii="Arial" w:cs="Arial" w:eastAsia="Arial" w:hAnsi="Arial"/>
                <w:sz w:val="14"/>
                <w:szCs w:val="14"/>
                <w:color w:val="auto"/>
              </w:rPr>
              <w:t>Maturities within one year</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04"/>
        </w:trPr>
        <w:tc>
          <w:tcPr>
            <w:tcW w:w="7560" w:type="dxa"/>
            <w:vAlign w:val="bottom"/>
            <w:gridSpan w:val="2"/>
            <w:shd w:val="clear" w:color="auto" w:fill="C0C0C0"/>
          </w:tcPr>
          <w:p>
            <w:pPr>
              <w:ind w:left="260"/>
              <w:spacing w:after="0"/>
              <w:rPr>
                <w:sz w:val="20"/>
                <w:szCs w:val="20"/>
                <w:color w:val="auto"/>
              </w:rPr>
            </w:pPr>
            <w:r>
              <w:rPr>
                <w:rFonts w:ascii="Arial" w:cs="Arial" w:eastAsia="Arial" w:hAnsi="Arial"/>
                <w:sz w:val="14"/>
                <w:szCs w:val="14"/>
                <w:color w:val="auto"/>
              </w:rPr>
              <w:t>U.S. government obligations</w:t>
            </w: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2,946</w:t>
            </w:r>
          </w:p>
        </w:tc>
        <w:tc>
          <w:tcPr>
            <w:tcW w:w="80" w:type="dxa"/>
            <w:vAlign w:val="bottom"/>
            <w:shd w:val="clear" w:color="auto" w:fill="C0C0C0"/>
          </w:tcPr>
          <w:p>
            <w:pPr>
              <w:spacing w:after="0"/>
              <w:rPr>
                <w:sz w:val="17"/>
                <w:szCs w:val="17"/>
                <w:color w:val="auto"/>
              </w:rPr>
            </w:pPr>
          </w:p>
        </w:tc>
        <w:tc>
          <w:tcPr>
            <w:tcW w:w="7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2,947</w:t>
            </w:r>
          </w:p>
        </w:tc>
        <w:tc>
          <w:tcPr>
            <w:tcW w:w="120" w:type="dxa"/>
            <w:vAlign w:val="bottom"/>
            <w:shd w:val="clear" w:color="auto" w:fill="C0C0C0"/>
          </w:tcPr>
          <w:p>
            <w:pPr>
              <w:spacing w:after="0"/>
              <w:rPr>
                <w:sz w:val="17"/>
                <w:szCs w:val="17"/>
                <w:color w:val="auto"/>
              </w:rPr>
            </w:pPr>
          </w:p>
        </w:tc>
        <w:tc>
          <w:tcPr>
            <w:tcW w:w="5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200" w:type="dxa"/>
            <w:vAlign w:val="bottom"/>
            <w:tcBorders>
              <w:right w:val="single" w:sz="8" w:color="C0C0C0"/>
            </w:tcBorders>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48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w:t>
            </w:r>
          </w:p>
        </w:tc>
      </w:tr>
      <w:tr>
        <w:trPr>
          <w:trHeight w:val="197"/>
        </w:trPr>
        <w:tc>
          <w:tcPr>
            <w:tcW w:w="134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7"/>
        </w:trPr>
        <w:tc>
          <w:tcPr>
            <w:tcW w:w="756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Maturities between one and three years</w:t>
            </w: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200" w:type="dxa"/>
            <w:vAlign w:val="bottom"/>
            <w:tcBorders>
              <w:right w:val="single" w:sz="8" w:color="C0C0C0"/>
            </w:tcBorders>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r>
      <w:tr>
        <w:trPr>
          <w:trHeight w:val="191"/>
        </w:trPr>
        <w:tc>
          <w:tcPr>
            <w:tcW w:w="7560" w:type="dxa"/>
            <w:vAlign w:val="bottom"/>
            <w:gridSpan w:val="2"/>
          </w:tcPr>
          <w:p>
            <w:pPr>
              <w:ind w:left="260"/>
              <w:spacing w:after="0"/>
              <w:rPr>
                <w:sz w:val="20"/>
                <w:szCs w:val="20"/>
                <w:color w:val="auto"/>
              </w:rPr>
            </w:pPr>
            <w:r>
              <w:rPr>
                <w:rFonts w:ascii="Arial" w:cs="Arial" w:eastAsia="Arial" w:hAnsi="Arial"/>
                <w:sz w:val="14"/>
                <w:szCs w:val="14"/>
                <w:color w:val="auto"/>
              </w:rPr>
              <w:t>U.S. government obligations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4,261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4,280</w:t>
            </w:r>
          </w:p>
        </w:tc>
        <w:tc>
          <w:tcPr>
            <w:tcW w:w="12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19</w:t>
            </w:r>
          </w:p>
        </w:tc>
      </w:tr>
      <w:tr>
        <w:trPr>
          <w:trHeight w:val="20"/>
        </w:trPr>
        <w:tc>
          <w:tcPr>
            <w:tcW w:w="1340" w:type="dxa"/>
            <w:vAlign w:val="bottom"/>
            <w:shd w:val="clear" w:color="auto" w:fill="C0C0C0"/>
          </w:tcPr>
          <w:p>
            <w:pPr>
              <w:spacing w:after="0" w:line="20" w:lineRule="exact"/>
              <w:rPr>
                <w:sz w:val="1"/>
                <w:szCs w:val="1"/>
                <w:color w:val="auto"/>
              </w:rPr>
            </w:pPr>
          </w:p>
        </w:tc>
        <w:tc>
          <w:tcPr>
            <w:tcW w:w="6220" w:type="dxa"/>
            <w:vAlign w:val="bottom"/>
            <w:shd w:val="clear" w:color="auto" w:fill="C0C0C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C0C0C0"/>
            </w:tcBorders>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188"/>
        </w:trPr>
        <w:tc>
          <w:tcPr>
            <w:tcW w:w="1340" w:type="dxa"/>
            <w:vAlign w:val="bottom"/>
            <w:shd w:val="clear" w:color="auto" w:fill="C0C0C0"/>
          </w:tcPr>
          <w:p>
            <w:pPr>
              <w:spacing w:after="0"/>
              <w:rPr>
                <w:sz w:val="16"/>
                <w:szCs w:val="16"/>
                <w:color w:val="auto"/>
              </w:rPr>
            </w:pPr>
          </w:p>
        </w:tc>
        <w:tc>
          <w:tcPr>
            <w:tcW w:w="622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7,207</w:t>
            </w:r>
          </w:p>
        </w:tc>
        <w:tc>
          <w:tcPr>
            <w:tcW w:w="22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7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7,227</w:t>
            </w:r>
          </w:p>
        </w:tc>
        <w:tc>
          <w:tcPr>
            <w:tcW w:w="120" w:type="dxa"/>
            <w:vAlign w:val="bottom"/>
            <w:shd w:val="clear" w:color="auto" w:fill="C0C0C0"/>
          </w:tcPr>
          <w:p>
            <w:pPr>
              <w:spacing w:after="0"/>
              <w:rPr>
                <w:sz w:val="16"/>
                <w:szCs w:val="16"/>
                <w:color w:val="auto"/>
              </w:rPr>
            </w:pPr>
          </w:p>
        </w:tc>
        <w:tc>
          <w:tcPr>
            <w:tcW w:w="5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200" w:type="dxa"/>
            <w:vAlign w:val="bottom"/>
            <w:tcBorders>
              <w:right w:val="single" w:sz="8" w:color="C0C0C0"/>
            </w:tcBorders>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48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20</w:t>
            </w:r>
          </w:p>
        </w:tc>
      </w:tr>
      <w:tr>
        <w:trPr>
          <w:trHeight w:val="195"/>
        </w:trPr>
        <w:tc>
          <w:tcPr>
            <w:tcW w:w="134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r>
      <w:tr>
        <w:trPr>
          <w:trHeight w:val="211"/>
        </w:trPr>
        <w:tc>
          <w:tcPr>
            <w:tcW w:w="1340" w:type="dxa"/>
            <w:vAlign w:val="bottom"/>
            <w:shd w:val="clear" w:color="auto" w:fill="C0C0C0"/>
          </w:tcPr>
          <w:p>
            <w:pPr>
              <w:spacing w:after="0"/>
              <w:rPr>
                <w:sz w:val="18"/>
                <w:szCs w:val="18"/>
                <w:color w:val="auto"/>
              </w:rPr>
            </w:pPr>
          </w:p>
        </w:tc>
        <w:tc>
          <w:tcPr>
            <w:tcW w:w="6220" w:type="dxa"/>
            <w:vAlign w:val="bottom"/>
            <w:shd w:val="clear" w:color="auto" w:fill="C0C0C0"/>
          </w:tcPr>
          <w:p>
            <w:pPr>
              <w:spacing w:after="0"/>
              <w:rPr>
                <w:sz w:val="18"/>
                <w:szCs w:val="18"/>
                <w:color w:val="auto"/>
              </w:rPr>
            </w:pPr>
          </w:p>
        </w:tc>
        <w:tc>
          <w:tcPr>
            <w:tcW w:w="340" w:type="dxa"/>
            <w:vAlign w:val="bottom"/>
            <w:gridSpan w:val="2"/>
            <w:shd w:val="clear" w:color="auto" w:fill="C0C0C0"/>
          </w:tcPr>
          <w:p>
            <w:pPr>
              <w:ind w:lef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300,861</w:t>
            </w:r>
          </w:p>
        </w:tc>
        <w:tc>
          <w:tcPr>
            <w:tcW w:w="80" w:type="dxa"/>
            <w:vAlign w:val="bottom"/>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w w:val="90"/>
              </w:rPr>
              <w:t>301,328</w:t>
            </w:r>
          </w:p>
        </w:tc>
        <w:tc>
          <w:tcPr>
            <w:tcW w:w="12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673</w:t>
            </w:r>
          </w:p>
        </w:tc>
        <w:tc>
          <w:tcPr>
            <w:tcW w:w="100" w:type="dxa"/>
            <w:vAlign w:val="bottom"/>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(206)</w:t>
            </w:r>
          </w:p>
        </w:tc>
        <w:tc>
          <w:tcPr>
            <w:tcW w:w="200" w:type="dxa"/>
            <w:vAlign w:val="bottom"/>
            <w:tcBorders>
              <w:right w:val="single" w:sz="8" w:color="C0C0C0"/>
            </w:tcBorders>
            <w:shd w:val="clear" w:color="auto" w:fill="C0C0C0"/>
          </w:tcPr>
          <w:p>
            <w:pPr>
              <w:spacing w:after="0"/>
              <w:rPr>
                <w:sz w:val="18"/>
                <w:szCs w:val="18"/>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467</w:t>
            </w:r>
          </w:p>
        </w:tc>
      </w:tr>
      <w:tr>
        <w:trPr>
          <w:trHeight w:val="363"/>
        </w:trPr>
        <w:tc>
          <w:tcPr>
            <w:tcW w:w="7560" w:type="dxa"/>
            <w:vAlign w:val="bottom"/>
            <w:tcBorders>
              <w:top w:val="single" w:sz="8" w:color="C0C0C0"/>
            </w:tcBorders>
            <w:gridSpan w:val="2"/>
          </w:tcPr>
          <w:p>
            <w:pPr>
              <w:spacing w:after="0"/>
              <w:rPr>
                <w:sz w:val="20"/>
                <w:szCs w:val="20"/>
                <w:color w:val="auto"/>
              </w:rPr>
            </w:pPr>
            <w:r>
              <w:rPr>
                <w:rFonts w:ascii="Arial" w:cs="Arial" w:eastAsia="Arial" w:hAnsi="Arial"/>
                <w:sz w:val="14"/>
                <w:szCs w:val="14"/>
                <w:b w:val="1"/>
                <w:bCs w:val="1"/>
                <w:color w:val="auto"/>
              </w:rPr>
              <w:t>At December 31, 2010</w:t>
            </w:r>
          </w:p>
        </w:tc>
        <w:tc>
          <w:tcPr>
            <w:tcW w:w="220" w:type="dxa"/>
            <w:vAlign w:val="bottom"/>
            <w:tcBorders>
              <w:top w:val="single" w:sz="8" w:color="C0C0C0"/>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Borders>
              <w:top w:val="single" w:sz="8" w:color="C0C0C0"/>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Borders>
              <w:top w:val="single" w:sz="8" w:color="C0C0C0"/>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r>
      <w:tr>
        <w:trPr>
          <w:trHeight w:val="197"/>
        </w:trPr>
        <w:tc>
          <w:tcPr>
            <w:tcW w:w="134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4"/>
                <w:szCs w:val="14"/>
                <w:i w:val="1"/>
                <w:iCs w:val="1"/>
                <w:color w:val="auto"/>
              </w:rPr>
              <w:t>Unrestricted</w:t>
            </w:r>
          </w:p>
        </w:tc>
        <w:tc>
          <w:tcPr>
            <w:tcW w:w="622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200" w:type="dxa"/>
            <w:vAlign w:val="bottom"/>
            <w:tcBorders>
              <w:right w:val="single" w:sz="8" w:color="C0C0C0"/>
            </w:tcBorders>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r>
      <w:tr>
        <w:trPr>
          <w:trHeight w:val="191"/>
        </w:trPr>
        <w:tc>
          <w:tcPr>
            <w:tcW w:w="7560" w:type="dxa"/>
            <w:vAlign w:val="bottom"/>
            <w:gridSpan w:val="2"/>
          </w:tcPr>
          <w:p>
            <w:pPr>
              <w:spacing w:after="0"/>
              <w:rPr>
                <w:sz w:val="20"/>
                <w:szCs w:val="20"/>
                <w:color w:val="auto"/>
              </w:rPr>
            </w:pPr>
            <w:r>
              <w:rPr>
                <w:rFonts w:ascii="Arial" w:cs="Arial" w:eastAsia="Arial" w:hAnsi="Arial"/>
                <w:sz w:val="14"/>
                <w:szCs w:val="14"/>
                <w:color w:val="auto"/>
              </w:rPr>
              <w:t>Maturities within one year</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04"/>
        </w:trPr>
        <w:tc>
          <w:tcPr>
            <w:tcW w:w="7560" w:type="dxa"/>
            <w:vAlign w:val="bottom"/>
            <w:gridSpan w:val="2"/>
            <w:shd w:val="clear" w:color="auto" w:fill="C0C0C0"/>
          </w:tcPr>
          <w:p>
            <w:pPr>
              <w:ind w:left="260"/>
              <w:spacing w:after="0"/>
              <w:rPr>
                <w:sz w:val="20"/>
                <w:szCs w:val="20"/>
                <w:color w:val="auto"/>
              </w:rPr>
            </w:pPr>
            <w:r>
              <w:rPr>
                <w:rFonts w:ascii="Arial" w:cs="Arial" w:eastAsia="Arial" w:hAnsi="Arial"/>
                <w:sz w:val="14"/>
                <w:szCs w:val="14"/>
                <w:color w:val="auto"/>
              </w:rPr>
              <w:t>U.S. government obligations</w:t>
            </w:r>
          </w:p>
        </w:tc>
        <w:tc>
          <w:tcPr>
            <w:tcW w:w="340" w:type="dxa"/>
            <w:vAlign w:val="bottom"/>
            <w:gridSpan w:val="2"/>
            <w:shd w:val="clear" w:color="auto" w:fill="C0C0C0"/>
          </w:tcPr>
          <w:p>
            <w:pPr>
              <w:ind w:lef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83,635</w:t>
            </w:r>
          </w:p>
        </w:tc>
        <w:tc>
          <w:tcPr>
            <w:tcW w:w="80" w:type="dxa"/>
            <w:vAlign w:val="bottom"/>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83,684</w:t>
            </w:r>
          </w:p>
        </w:tc>
        <w:tc>
          <w:tcPr>
            <w:tcW w:w="12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4"/>
                <w:szCs w:val="14"/>
                <w:color w:val="auto"/>
              </w:rPr>
              <w:t>(5)</w:t>
            </w:r>
          </w:p>
        </w:tc>
        <w:tc>
          <w:tcPr>
            <w:tcW w:w="200" w:type="dxa"/>
            <w:vAlign w:val="bottom"/>
            <w:tcBorders>
              <w:right w:val="single" w:sz="8" w:color="C0C0C0"/>
            </w:tcBorders>
            <w:shd w:val="clear" w:color="auto" w:fill="C0C0C0"/>
          </w:tcPr>
          <w:p>
            <w:pPr>
              <w:spacing w:after="0"/>
              <w:rPr>
                <w:sz w:val="17"/>
                <w:szCs w:val="17"/>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49</w:t>
            </w:r>
          </w:p>
        </w:tc>
      </w:tr>
      <w:tr>
        <w:trPr>
          <w:trHeight w:val="185"/>
        </w:trPr>
        <w:tc>
          <w:tcPr>
            <w:tcW w:w="7560" w:type="dxa"/>
            <w:vAlign w:val="bottom"/>
            <w:gridSpan w:val="2"/>
          </w:tcPr>
          <w:p>
            <w:pPr>
              <w:ind w:left="260"/>
              <w:spacing w:after="0"/>
              <w:rPr>
                <w:sz w:val="20"/>
                <w:szCs w:val="20"/>
                <w:color w:val="auto"/>
              </w:rPr>
            </w:pPr>
            <w:r>
              <w:rPr>
                <w:rFonts w:ascii="Arial" w:cs="Arial" w:eastAsia="Arial" w:hAnsi="Arial"/>
                <w:sz w:val="14"/>
                <w:szCs w:val="14"/>
                <w:color w:val="auto"/>
              </w:rPr>
              <w:t>U.S. government guaranteed corporate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04"/>
        </w:trPr>
        <w:tc>
          <w:tcPr>
            <w:tcW w:w="7560" w:type="dxa"/>
            <w:vAlign w:val="bottom"/>
            <w:gridSpan w:val="2"/>
          </w:tcPr>
          <w:p>
            <w:pPr>
              <w:ind w:left="500"/>
              <w:spacing w:after="0"/>
              <w:rPr>
                <w:sz w:val="20"/>
                <w:szCs w:val="20"/>
                <w:color w:val="auto"/>
              </w:rPr>
            </w:pPr>
            <w:r>
              <w:rPr>
                <w:rFonts w:ascii="Arial" w:cs="Arial" w:eastAsia="Arial" w:hAnsi="Arial"/>
                <w:sz w:val="14"/>
                <w:szCs w:val="14"/>
                <w:color w:val="auto"/>
              </w:rPr>
              <w:t>bonds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48,173</w:t>
            </w:r>
          </w:p>
        </w:tc>
        <w:tc>
          <w:tcPr>
            <w:tcW w:w="8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48,531</w:t>
            </w:r>
          </w:p>
        </w:tc>
        <w:tc>
          <w:tcPr>
            <w:tcW w:w="12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358</w:t>
            </w:r>
          </w:p>
        </w:tc>
      </w:tr>
      <w:tr>
        <w:trPr>
          <w:trHeight w:val="191"/>
        </w:trPr>
        <w:tc>
          <w:tcPr>
            <w:tcW w:w="7560" w:type="dxa"/>
            <w:vAlign w:val="bottom"/>
            <w:gridSpan w:val="2"/>
            <w:shd w:val="clear" w:color="auto" w:fill="C0C0C0"/>
          </w:tcPr>
          <w:p>
            <w:pPr>
              <w:ind w:left="260"/>
              <w:spacing w:after="0"/>
              <w:rPr>
                <w:sz w:val="20"/>
                <w:szCs w:val="20"/>
                <w:color w:val="auto"/>
              </w:rPr>
            </w:pPr>
            <w:r>
              <w:rPr>
                <w:rFonts w:ascii="Arial" w:cs="Arial" w:eastAsia="Arial" w:hAnsi="Arial"/>
                <w:sz w:val="14"/>
                <w:szCs w:val="14"/>
                <w:color w:val="auto"/>
              </w:rPr>
              <w:t>U.S. government guaranteed</w:t>
            </w:r>
          </w:p>
        </w:tc>
        <w:tc>
          <w:tcPr>
            <w:tcW w:w="22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54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48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200" w:type="dxa"/>
            <w:vAlign w:val="bottom"/>
            <w:tcBorders>
              <w:right w:val="single" w:sz="8" w:color="C0C0C0"/>
            </w:tcBorders>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480" w:type="dxa"/>
            <w:vAlign w:val="bottom"/>
            <w:shd w:val="clear" w:color="auto" w:fill="C0C0C0"/>
          </w:tcPr>
          <w:p>
            <w:pPr>
              <w:spacing w:after="0"/>
              <w:rPr>
                <w:sz w:val="16"/>
                <w:szCs w:val="16"/>
                <w:color w:val="auto"/>
              </w:rPr>
            </w:pPr>
          </w:p>
        </w:tc>
      </w:tr>
      <w:tr>
        <w:trPr>
          <w:trHeight w:val="210"/>
        </w:trPr>
        <w:tc>
          <w:tcPr>
            <w:tcW w:w="7560" w:type="dxa"/>
            <w:vAlign w:val="bottom"/>
            <w:gridSpan w:val="2"/>
            <w:shd w:val="clear" w:color="auto" w:fill="C0C0C0"/>
          </w:tcPr>
          <w:p>
            <w:pPr>
              <w:ind w:left="500"/>
              <w:spacing w:after="0"/>
              <w:rPr>
                <w:sz w:val="20"/>
                <w:szCs w:val="20"/>
                <w:color w:val="auto"/>
              </w:rPr>
            </w:pPr>
            <w:r>
              <w:rPr>
                <w:rFonts w:ascii="Arial" w:cs="Arial" w:eastAsia="Arial" w:hAnsi="Arial"/>
                <w:sz w:val="14"/>
                <w:szCs w:val="14"/>
                <w:color w:val="auto"/>
              </w:rPr>
              <w:t>collateralized mortgage obligations</w:t>
            </w:r>
          </w:p>
        </w:tc>
        <w:tc>
          <w:tcPr>
            <w:tcW w:w="2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7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2,027</w:t>
            </w:r>
          </w:p>
        </w:tc>
        <w:tc>
          <w:tcPr>
            <w:tcW w:w="80" w:type="dxa"/>
            <w:vAlign w:val="bottom"/>
            <w:shd w:val="clear" w:color="auto" w:fill="C0C0C0"/>
          </w:tcPr>
          <w:p>
            <w:pPr>
              <w:spacing w:after="0"/>
              <w:rPr>
                <w:sz w:val="18"/>
                <w:szCs w:val="18"/>
                <w:color w:val="auto"/>
              </w:rPr>
            </w:pPr>
          </w:p>
        </w:tc>
        <w:tc>
          <w:tcPr>
            <w:tcW w:w="7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2,131</w:t>
            </w:r>
          </w:p>
        </w:tc>
        <w:tc>
          <w:tcPr>
            <w:tcW w:w="120" w:type="dxa"/>
            <w:vAlign w:val="bottom"/>
            <w:shd w:val="clear" w:color="auto" w:fill="C0C0C0"/>
          </w:tcPr>
          <w:p>
            <w:pPr>
              <w:spacing w:after="0"/>
              <w:rPr>
                <w:sz w:val="18"/>
                <w:szCs w:val="18"/>
                <w:color w:val="auto"/>
              </w:rPr>
            </w:pPr>
          </w:p>
        </w:tc>
        <w:tc>
          <w:tcPr>
            <w:tcW w:w="5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c>
          <w:tcPr>
            <w:tcW w:w="200" w:type="dxa"/>
            <w:vAlign w:val="bottom"/>
            <w:tcBorders>
              <w:right w:val="single" w:sz="8" w:color="C0C0C0"/>
            </w:tcBorders>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48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104</w:t>
            </w:r>
          </w:p>
        </w:tc>
      </w:tr>
      <w:tr>
        <w:trPr>
          <w:trHeight w:val="191"/>
        </w:trPr>
        <w:tc>
          <w:tcPr>
            <w:tcW w:w="7560" w:type="dxa"/>
            <w:vAlign w:val="bottom"/>
            <w:gridSpan w:val="2"/>
          </w:tcPr>
          <w:p>
            <w:pPr>
              <w:ind w:left="260"/>
              <w:spacing w:after="0"/>
              <w:rPr>
                <w:sz w:val="20"/>
                <w:szCs w:val="20"/>
                <w:color w:val="auto"/>
              </w:rPr>
            </w:pPr>
            <w:r>
              <w:rPr>
                <w:rFonts w:ascii="Arial" w:cs="Arial" w:eastAsia="Arial" w:hAnsi="Arial"/>
                <w:sz w:val="14"/>
                <w:szCs w:val="14"/>
                <w:color w:val="auto"/>
              </w:rPr>
              <w:t>Municipal bonds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1,597</w:t>
            </w:r>
          </w:p>
        </w:tc>
        <w:tc>
          <w:tcPr>
            <w:tcW w:w="8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1,603</w:t>
            </w:r>
          </w:p>
        </w:tc>
        <w:tc>
          <w:tcPr>
            <w:tcW w:w="12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6</w:t>
            </w:r>
          </w:p>
        </w:tc>
      </w:tr>
      <w:tr>
        <w:trPr>
          <w:trHeight w:val="197"/>
        </w:trPr>
        <w:tc>
          <w:tcPr>
            <w:tcW w:w="7560" w:type="dxa"/>
            <w:vAlign w:val="bottom"/>
            <w:gridSpan w:val="2"/>
            <w:shd w:val="clear" w:color="auto" w:fill="C0C0C0"/>
          </w:tcPr>
          <w:p>
            <w:pPr>
              <w:ind w:left="260"/>
              <w:spacing w:after="0"/>
              <w:rPr>
                <w:sz w:val="20"/>
                <w:szCs w:val="20"/>
                <w:color w:val="auto"/>
              </w:rPr>
            </w:pPr>
            <w:r>
              <w:rPr>
                <w:rFonts w:ascii="Arial" w:cs="Arial" w:eastAsia="Arial" w:hAnsi="Arial"/>
                <w:sz w:val="14"/>
                <w:szCs w:val="14"/>
                <w:color w:val="auto"/>
              </w:rPr>
              <w:t>Mortgage-backed securities</w:t>
            </w: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875</w:t>
            </w: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7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847</w:t>
            </w:r>
          </w:p>
        </w:tc>
        <w:tc>
          <w:tcPr>
            <w:tcW w:w="12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(28)</w:t>
            </w:r>
          </w:p>
        </w:tc>
        <w:tc>
          <w:tcPr>
            <w:tcW w:w="200" w:type="dxa"/>
            <w:vAlign w:val="bottom"/>
            <w:tcBorders>
              <w:right w:val="single" w:sz="8" w:color="C0C0C0"/>
            </w:tcBorders>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(28)</w:t>
            </w:r>
          </w:p>
        </w:tc>
      </w:tr>
      <w:tr>
        <w:trPr>
          <w:trHeight w:val="20"/>
        </w:trPr>
        <w:tc>
          <w:tcPr>
            <w:tcW w:w="13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188"/>
        </w:trPr>
        <w:tc>
          <w:tcPr>
            <w:tcW w:w="134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136,307</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w w:val="90"/>
              </w:rPr>
              <w:t>136,796</w:t>
            </w:r>
          </w:p>
        </w:tc>
        <w:tc>
          <w:tcPr>
            <w:tcW w:w="12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522</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489</w:t>
            </w:r>
          </w:p>
        </w:tc>
      </w:tr>
      <w:tr>
        <w:trPr>
          <w:trHeight w:val="195"/>
        </w:trPr>
        <w:tc>
          <w:tcPr>
            <w:tcW w:w="134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r>
      <w:tr>
        <w:trPr>
          <w:trHeight w:val="197"/>
        </w:trPr>
        <w:tc>
          <w:tcPr>
            <w:tcW w:w="756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Maturities between one and five years</w:t>
            </w: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200" w:type="dxa"/>
            <w:vAlign w:val="bottom"/>
            <w:tcBorders>
              <w:right w:val="single" w:sz="8" w:color="C0C0C0"/>
            </w:tcBorders>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r>
      <w:tr>
        <w:trPr>
          <w:trHeight w:val="191"/>
        </w:trPr>
        <w:tc>
          <w:tcPr>
            <w:tcW w:w="7560" w:type="dxa"/>
            <w:vAlign w:val="bottom"/>
            <w:gridSpan w:val="2"/>
          </w:tcPr>
          <w:p>
            <w:pPr>
              <w:ind w:left="260"/>
              <w:spacing w:after="0"/>
              <w:rPr>
                <w:sz w:val="20"/>
                <w:szCs w:val="20"/>
                <w:color w:val="auto"/>
              </w:rPr>
            </w:pPr>
            <w:r>
              <w:rPr>
                <w:rFonts w:ascii="Arial" w:cs="Arial" w:eastAsia="Arial" w:hAnsi="Arial"/>
                <w:sz w:val="14"/>
                <w:szCs w:val="14"/>
                <w:color w:val="auto"/>
              </w:rPr>
              <w:t>U.S. government obligations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352,345</w:t>
            </w:r>
          </w:p>
        </w:tc>
        <w:tc>
          <w:tcPr>
            <w:tcW w:w="8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w w:val="90"/>
              </w:rPr>
              <w:t>350,683</w:t>
            </w:r>
          </w:p>
        </w:tc>
        <w:tc>
          <w:tcPr>
            <w:tcW w:w="12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(1,726)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(1,662)</w:t>
            </w:r>
          </w:p>
        </w:tc>
      </w:tr>
      <w:tr>
        <w:trPr>
          <w:trHeight w:val="191"/>
        </w:trPr>
        <w:tc>
          <w:tcPr>
            <w:tcW w:w="7560" w:type="dxa"/>
            <w:vAlign w:val="bottom"/>
            <w:gridSpan w:val="2"/>
            <w:shd w:val="clear" w:color="auto" w:fill="C0C0C0"/>
          </w:tcPr>
          <w:p>
            <w:pPr>
              <w:ind w:left="260"/>
              <w:spacing w:after="0"/>
              <w:rPr>
                <w:sz w:val="20"/>
                <w:szCs w:val="20"/>
                <w:color w:val="auto"/>
              </w:rPr>
            </w:pPr>
            <w:r>
              <w:rPr>
                <w:rFonts w:ascii="Arial" w:cs="Arial" w:eastAsia="Arial" w:hAnsi="Arial"/>
                <w:sz w:val="14"/>
                <w:szCs w:val="14"/>
                <w:color w:val="auto"/>
              </w:rPr>
              <w:t>U.S. government guaranteed corporate</w:t>
            </w:r>
          </w:p>
        </w:tc>
        <w:tc>
          <w:tcPr>
            <w:tcW w:w="22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54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48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200" w:type="dxa"/>
            <w:vAlign w:val="bottom"/>
            <w:tcBorders>
              <w:right w:val="single" w:sz="8" w:color="C0C0C0"/>
            </w:tcBorders>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480" w:type="dxa"/>
            <w:vAlign w:val="bottom"/>
            <w:shd w:val="clear" w:color="auto" w:fill="C0C0C0"/>
          </w:tcPr>
          <w:p>
            <w:pPr>
              <w:spacing w:after="0"/>
              <w:rPr>
                <w:sz w:val="16"/>
                <w:szCs w:val="16"/>
                <w:color w:val="auto"/>
              </w:rPr>
            </w:pPr>
          </w:p>
        </w:tc>
      </w:tr>
      <w:tr>
        <w:trPr>
          <w:trHeight w:val="210"/>
        </w:trPr>
        <w:tc>
          <w:tcPr>
            <w:tcW w:w="7560" w:type="dxa"/>
            <w:vAlign w:val="bottom"/>
            <w:gridSpan w:val="2"/>
            <w:shd w:val="clear" w:color="auto" w:fill="C0C0C0"/>
          </w:tcPr>
          <w:p>
            <w:pPr>
              <w:ind w:left="500"/>
              <w:spacing w:after="0"/>
              <w:rPr>
                <w:sz w:val="20"/>
                <w:szCs w:val="20"/>
                <w:color w:val="auto"/>
              </w:rPr>
            </w:pPr>
            <w:r>
              <w:rPr>
                <w:rFonts w:ascii="Arial" w:cs="Arial" w:eastAsia="Arial" w:hAnsi="Arial"/>
                <w:sz w:val="14"/>
                <w:szCs w:val="14"/>
                <w:color w:val="auto"/>
              </w:rPr>
              <w:t>bonds</w:t>
            </w:r>
          </w:p>
        </w:tc>
        <w:tc>
          <w:tcPr>
            <w:tcW w:w="2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7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15,522</w:t>
            </w:r>
          </w:p>
        </w:tc>
        <w:tc>
          <w:tcPr>
            <w:tcW w:w="80" w:type="dxa"/>
            <w:vAlign w:val="bottom"/>
            <w:shd w:val="clear" w:color="auto" w:fill="C0C0C0"/>
          </w:tcPr>
          <w:p>
            <w:pPr>
              <w:spacing w:after="0"/>
              <w:rPr>
                <w:sz w:val="18"/>
                <w:szCs w:val="18"/>
                <w:color w:val="auto"/>
              </w:rPr>
            </w:pPr>
          </w:p>
        </w:tc>
        <w:tc>
          <w:tcPr>
            <w:tcW w:w="7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15,477</w:t>
            </w:r>
          </w:p>
        </w:tc>
        <w:tc>
          <w:tcPr>
            <w:tcW w:w="1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4"/>
                <w:szCs w:val="14"/>
                <w:color w:val="auto"/>
              </w:rPr>
              <w:t>(45)</w:t>
            </w:r>
          </w:p>
        </w:tc>
        <w:tc>
          <w:tcPr>
            <w:tcW w:w="200" w:type="dxa"/>
            <w:vAlign w:val="bottom"/>
            <w:tcBorders>
              <w:right w:val="single" w:sz="8" w:color="C0C0C0"/>
            </w:tcBorders>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(45)</w:t>
            </w:r>
          </w:p>
        </w:tc>
      </w:tr>
      <w:tr>
        <w:trPr>
          <w:trHeight w:val="191"/>
        </w:trPr>
        <w:tc>
          <w:tcPr>
            <w:tcW w:w="7560" w:type="dxa"/>
            <w:vAlign w:val="bottom"/>
            <w:gridSpan w:val="2"/>
          </w:tcPr>
          <w:p>
            <w:pPr>
              <w:ind w:left="260"/>
              <w:spacing w:after="0"/>
              <w:rPr>
                <w:sz w:val="20"/>
                <w:szCs w:val="20"/>
                <w:color w:val="auto"/>
              </w:rPr>
            </w:pPr>
            <w:r>
              <w:rPr>
                <w:rFonts w:ascii="Arial" w:cs="Arial" w:eastAsia="Arial" w:hAnsi="Arial"/>
                <w:sz w:val="14"/>
                <w:szCs w:val="14"/>
                <w:color w:val="auto"/>
              </w:rPr>
              <w:t>Mortgage-backed securities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0"/>
        </w:trPr>
        <w:tc>
          <w:tcPr>
            <w:tcW w:w="1340" w:type="dxa"/>
            <w:vAlign w:val="bottom"/>
            <w:shd w:val="clear" w:color="auto" w:fill="C0C0C0"/>
          </w:tcPr>
          <w:p>
            <w:pPr>
              <w:spacing w:after="0" w:line="20" w:lineRule="exact"/>
              <w:rPr>
                <w:sz w:val="1"/>
                <w:szCs w:val="1"/>
                <w:color w:val="auto"/>
              </w:rPr>
            </w:pPr>
          </w:p>
        </w:tc>
        <w:tc>
          <w:tcPr>
            <w:tcW w:w="6220" w:type="dxa"/>
            <w:vAlign w:val="bottom"/>
            <w:shd w:val="clear" w:color="auto" w:fill="C0C0C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C0C0C0"/>
            </w:tcBorders>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195"/>
        </w:trPr>
        <w:tc>
          <w:tcPr>
            <w:tcW w:w="1340" w:type="dxa"/>
            <w:vAlign w:val="bottom"/>
            <w:shd w:val="clear" w:color="auto" w:fill="C0C0C0"/>
          </w:tcPr>
          <w:p>
            <w:pPr>
              <w:spacing w:after="0"/>
              <w:rPr>
                <w:sz w:val="16"/>
                <w:szCs w:val="16"/>
                <w:color w:val="auto"/>
              </w:rPr>
            </w:pPr>
          </w:p>
        </w:tc>
        <w:tc>
          <w:tcPr>
            <w:tcW w:w="622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367,977</w:t>
            </w:r>
          </w:p>
        </w:tc>
        <w:tc>
          <w:tcPr>
            <w:tcW w:w="22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7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w w:val="90"/>
              </w:rPr>
              <w:t>366,198</w:t>
            </w:r>
          </w:p>
        </w:tc>
        <w:tc>
          <w:tcPr>
            <w:tcW w:w="120" w:type="dxa"/>
            <w:vAlign w:val="bottom"/>
            <w:shd w:val="clear" w:color="auto" w:fill="C0C0C0"/>
          </w:tcPr>
          <w:p>
            <w:pPr>
              <w:spacing w:after="0"/>
              <w:rPr>
                <w:sz w:val="16"/>
                <w:szCs w:val="16"/>
                <w:color w:val="auto"/>
              </w:rPr>
            </w:pPr>
          </w:p>
        </w:tc>
        <w:tc>
          <w:tcPr>
            <w:tcW w:w="5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0C0C0"/>
          </w:tcPr>
          <w:p>
            <w:pPr>
              <w:spacing w:after="0"/>
              <w:rPr>
                <w:sz w:val="16"/>
                <w:szCs w:val="16"/>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4"/>
                <w:szCs w:val="14"/>
                <w:color w:val="auto"/>
                <w:w w:val="99"/>
              </w:rPr>
              <w:t>(1,843)</w:t>
            </w:r>
          </w:p>
        </w:tc>
        <w:tc>
          <w:tcPr>
            <w:tcW w:w="200" w:type="dxa"/>
            <w:vAlign w:val="bottom"/>
            <w:tcBorders>
              <w:right w:val="single" w:sz="8" w:color="C0C0C0"/>
            </w:tcBorders>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4"/>
                <w:szCs w:val="14"/>
                <w:color w:val="auto"/>
                <w:w w:val="90"/>
              </w:rPr>
              <w:t>(1,779)</w:t>
            </w:r>
          </w:p>
        </w:tc>
      </w:tr>
      <w:tr>
        <w:trPr>
          <w:trHeight w:val="182"/>
        </w:trPr>
        <w:tc>
          <w:tcPr>
            <w:tcW w:w="7560" w:type="dxa"/>
            <w:vAlign w:val="bottom"/>
            <w:gridSpan w:val="2"/>
          </w:tcPr>
          <w:p>
            <w:pPr>
              <w:spacing w:after="0"/>
              <w:rPr>
                <w:sz w:val="20"/>
                <w:szCs w:val="20"/>
                <w:color w:val="auto"/>
              </w:rPr>
            </w:pPr>
            <w:r>
              <w:rPr>
                <w:rFonts w:ascii="Arial" w:cs="Arial" w:eastAsia="Arial" w:hAnsi="Arial"/>
                <w:sz w:val="14"/>
                <w:szCs w:val="14"/>
                <w:color w:val="auto"/>
              </w:rPr>
              <w:t>Maturities between five and seven years</w:t>
            </w: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r>
      <w:tr>
        <w:trPr>
          <w:trHeight w:val="197"/>
        </w:trPr>
        <w:tc>
          <w:tcPr>
            <w:tcW w:w="7560" w:type="dxa"/>
            <w:vAlign w:val="bottom"/>
            <w:gridSpan w:val="2"/>
            <w:shd w:val="clear" w:color="auto" w:fill="C0C0C0"/>
          </w:tcPr>
          <w:p>
            <w:pPr>
              <w:ind w:left="260"/>
              <w:spacing w:after="0"/>
              <w:rPr>
                <w:sz w:val="20"/>
                <w:szCs w:val="20"/>
                <w:color w:val="auto"/>
              </w:rPr>
            </w:pPr>
            <w:r>
              <w:rPr>
                <w:rFonts w:ascii="Arial" w:cs="Arial" w:eastAsia="Arial" w:hAnsi="Arial"/>
                <w:sz w:val="14"/>
                <w:szCs w:val="14"/>
                <w:color w:val="auto"/>
              </w:rPr>
              <w:t>Mortgage-backed securities</w:t>
            </w: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284</w:t>
            </w: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7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243</w:t>
            </w:r>
          </w:p>
        </w:tc>
        <w:tc>
          <w:tcPr>
            <w:tcW w:w="12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4"/>
                <w:szCs w:val="14"/>
                <w:color w:val="auto"/>
              </w:rPr>
              <w:t>(41)</w:t>
            </w:r>
          </w:p>
        </w:tc>
        <w:tc>
          <w:tcPr>
            <w:tcW w:w="200" w:type="dxa"/>
            <w:vAlign w:val="bottom"/>
            <w:tcBorders>
              <w:right w:val="single" w:sz="8" w:color="C0C0C0"/>
            </w:tcBorders>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(41)</w:t>
            </w:r>
          </w:p>
        </w:tc>
      </w:tr>
      <w:tr>
        <w:trPr>
          <w:trHeight w:val="20"/>
        </w:trPr>
        <w:tc>
          <w:tcPr>
            <w:tcW w:w="13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188"/>
        </w:trPr>
        <w:tc>
          <w:tcPr>
            <w:tcW w:w="134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504,568</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w w:val="90"/>
              </w:rPr>
              <w:t>503,237</w:t>
            </w:r>
          </w:p>
        </w:tc>
        <w:tc>
          <w:tcPr>
            <w:tcW w:w="12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586</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(1,917)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(1,331)</w:t>
            </w:r>
          </w:p>
        </w:tc>
      </w:tr>
      <w:tr>
        <w:trPr>
          <w:trHeight w:val="195"/>
        </w:trPr>
        <w:tc>
          <w:tcPr>
            <w:tcW w:w="134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r>
      <w:tr>
        <w:trPr>
          <w:trHeight w:val="197"/>
        </w:trPr>
        <w:tc>
          <w:tcPr>
            <w:tcW w:w="7560" w:type="dxa"/>
            <w:vAlign w:val="bottom"/>
            <w:gridSpan w:val="2"/>
            <w:shd w:val="clear" w:color="auto" w:fill="C0C0C0"/>
          </w:tcPr>
          <w:p>
            <w:pPr>
              <w:spacing w:after="0"/>
              <w:rPr>
                <w:sz w:val="20"/>
                <w:szCs w:val="20"/>
                <w:color w:val="auto"/>
              </w:rPr>
            </w:pPr>
            <w:r>
              <w:rPr>
                <w:rFonts w:ascii="Arial" w:cs="Arial" w:eastAsia="Arial" w:hAnsi="Arial"/>
                <w:sz w:val="14"/>
                <w:szCs w:val="14"/>
                <w:i w:val="1"/>
                <w:iCs w:val="1"/>
                <w:color w:val="auto"/>
              </w:rPr>
              <w:t>Restricted</w:t>
            </w: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200" w:type="dxa"/>
            <w:vAlign w:val="bottom"/>
            <w:tcBorders>
              <w:right w:val="single" w:sz="8" w:color="C0C0C0"/>
            </w:tcBorders>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r>
      <w:tr>
        <w:trPr>
          <w:trHeight w:val="191"/>
        </w:trPr>
        <w:tc>
          <w:tcPr>
            <w:tcW w:w="7560" w:type="dxa"/>
            <w:vAlign w:val="bottom"/>
            <w:gridSpan w:val="2"/>
          </w:tcPr>
          <w:p>
            <w:pPr>
              <w:spacing w:after="0"/>
              <w:rPr>
                <w:sz w:val="20"/>
                <w:szCs w:val="20"/>
                <w:color w:val="auto"/>
              </w:rPr>
            </w:pPr>
            <w:r>
              <w:rPr>
                <w:rFonts w:ascii="Arial" w:cs="Arial" w:eastAsia="Arial" w:hAnsi="Arial"/>
                <w:sz w:val="14"/>
                <w:szCs w:val="14"/>
                <w:color w:val="auto"/>
              </w:rPr>
              <w:t>Maturities within one year</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04"/>
        </w:trPr>
        <w:tc>
          <w:tcPr>
            <w:tcW w:w="7560" w:type="dxa"/>
            <w:vAlign w:val="bottom"/>
            <w:gridSpan w:val="2"/>
            <w:shd w:val="clear" w:color="auto" w:fill="C0C0C0"/>
          </w:tcPr>
          <w:p>
            <w:pPr>
              <w:ind w:left="260"/>
              <w:spacing w:after="0"/>
              <w:rPr>
                <w:sz w:val="20"/>
                <w:szCs w:val="20"/>
                <w:color w:val="auto"/>
              </w:rPr>
            </w:pPr>
            <w:r>
              <w:rPr>
                <w:rFonts w:ascii="Arial" w:cs="Arial" w:eastAsia="Arial" w:hAnsi="Arial"/>
                <w:sz w:val="14"/>
                <w:szCs w:val="14"/>
                <w:color w:val="auto"/>
              </w:rPr>
              <w:t>U.S. government obligations</w:t>
            </w: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2,922</w:t>
            </w:r>
          </w:p>
        </w:tc>
        <w:tc>
          <w:tcPr>
            <w:tcW w:w="80" w:type="dxa"/>
            <w:vAlign w:val="bottom"/>
            <w:shd w:val="clear" w:color="auto" w:fill="C0C0C0"/>
          </w:tcPr>
          <w:p>
            <w:pPr>
              <w:spacing w:after="0"/>
              <w:rPr>
                <w:sz w:val="17"/>
                <w:szCs w:val="17"/>
                <w:color w:val="auto"/>
              </w:rPr>
            </w:pPr>
          </w:p>
        </w:tc>
        <w:tc>
          <w:tcPr>
            <w:tcW w:w="7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2,921</w:t>
            </w:r>
          </w:p>
        </w:tc>
        <w:tc>
          <w:tcPr>
            <w:tcW w:w="12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w:t>
            </w:r>
          </w:p>
        </w:tc>
        <w:tc>
          <w:tcPr>
            <w:tcW w:w="200" w:type="dxa"/>
            <w:vAlign w:val="bottom"/>
            <w:tcBorders>
              <w:right w:val="single" w:sz="8" w:color="C0C0C0"/>
            </w:tcBorders>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w:t>
            </w:r>
          </w:p>
        </w:tc>
      </w:tr>
      <w:tr>
        <w:trPr>
          <w:trHeight w:val="197"/>
        </w:trPr>
        <w:tc>
          <w:tcPr>
            <w:tcW w:w="134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7"/>
        </w:trPr>
        <w:tc>
          <w:tcPr>
            <w:tcW w:w="756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Maturities between one and three years</w:t>
            </w: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200" w:type="dxa"/>
            <w:vAlign w:val="bottom"/>
            <w:tcBorders>
              <w:right w:val="single" w:sz="8" w:color="C0C0C0"/>
            </w:tcBorders>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r>
      <w:tr>
        <w:trPr>
          <w:trHeight w:val="191"/>
        </w:trPr>
        <w:tc>
          <w:tcPr>
            <w:tcW w:w="7560" w:type="dxa"/>
            <w:vAlign w:val="bottom"/>
            <w:gridSpan w:val="2"/>
          </w:tcPr>
          <w:p>
            <w:pPr>
              <w:ind w:left="260"/>
              <w:spacing w:after="0"/>
              <w:rPr>
                <w:sz w:val="20"/>
                <w:szCs w:val="20"/>
                <w:color w:val="auto"/>
              </w:rPr>
            </w:pPr>
            <w:r>
              <w:rPr>
                <w:rFonts w:ascii="Arial" w:cs="Arial" w:eastAsia="Arial" w:hAnsi="Arial"/>
                <w:sz w:val="14"/>
                <w:szCs w:val="14"/>
                <w:color w:val="auto"/>
              </w:rPr>
              <w:t>U.S. government obligations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4,135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4,118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
        </w:trPr>
        <w:tc>
          <w:tcPr>
            <w:tcW w:w="1340" w:type="dxa"/>
            <w:vAlign w:val="bottom"/>
            <w:shd w:val="clear" w:color="auto" w:fill="C0C0C0"/>
          </w:tcPr>
          <w:p>
            <w:pPr>
              <w:spacing w:after="0" w:line="20" w:lineRule="exact"/>
              <w:rPr>
                <w:sz w:val="1"/>
                <w:szCs w:val="1"/>
                <w:color w:val="auto"/>
              </w:rPr>
            </w:pPr>
          </w:p>
        </w:tc>
        <w:tc>
          <w:tcPr>
            <w:tcW w:w="6220" w:type="dxa"/>
            <w:vAlign w:val="bottom"/>
            <w:shd w:val="clear" w:color="auto" w:fill="C0C0C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C0C0C0"/>
            </w:tcBorders>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188"/>
        </w:trPr>
        <w:tc>
          <w:tcPr>
            <w:tcW w:w="1340" w:type="dxa"/>
            <w:vAlign w:val="bottom"/>
            <w:shd w:val="clear" w:color="auto" w:fill="C0C0C0"/>
          </w:tcPr>
          <w:p>
            <w:pPr>
              <w:spacing w:after="0"/>
              <w:rPr>
                <w:sz w:val="16"/>
                <w:szCs w:val="16"/>
                <w:color w:val="auto"/>
              </w:rPr>
            </w:pPr>
          </w:p>
        </w:tc>
        <w:tc>
          <w:tcPr>
            <w:tcW w:w="622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7,057</w:t>
            </w:r>
          </w:p>
        </w:tc>
        <w:tc>
          <w:tcPr>
            <w:tcW w:w="22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7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7,039</w:t>
            </w:r>
          </w:p>
        </w:tc>
        <w:tc>
          <w:tcPr>
            <w:tcW w:w="12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(18)</w:t>
            </w:r>
          </w:p>
        </w:tc>
        <w:tc>
          <w:tcPr>
            <w:tcW w:w="200" w:type="dxa"/>
            <w:vAlign w:val="bottom"/>
            <w:tcBorders>
              <w:right w:val="single" w:sz="8" w:color="C0C0C0"/>
            </w:tcBorders>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(18)</w:t>
            </w:r>
          </w:p>
        </w:tc>
      </w:tr>
      <w:tr>
        <w:trPr>
          <w:trHeight w:val="195"/>
        </w:trPr>
        <w:tc>
          <w:tcPr>
            <w:tcW w:w="134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r>
      <w:tr>
        <w:trPr>
          <w:trHeight w:val="191"/>
        </w:trPr>
        <w:tc>
          <w:tcPr>
            <w:tcW w:w="1340" w:type="dxa"/>
            <w:vAlign w:val="bottom"/>
            <w:shd w:val="clear" w:color="auto" w:fill="C0C0C0"/>
          </w:tcPr>
          <w:p>
            <w:pPr>
              <w:spacing w:after="0"/>
              <w:rPr>
                <w:sz w:val="16"/>
                <w:szCs w:val="16"/>
                <w:color w:val="auto"/>
              </w:rPr>
            </w:pPr>
          </w:p>
        </w:tc>
        <w:tc>
          <w:tcPr>
            <w:tcW w:w="6220" w:type="dxa"/>
            <w:vAlign w:val="bottom"/>
            <w:shd w:val="clear" w:color="auto" w:fill="C0C0C0"/>
          </w:tcPr>
          <w:p>
            <w:pPr>
              <w:spacing w:after="0"/>
              <w:rPr>
                <w:sz w:val="16"/>
                <w:szCs w:val="16"/>
                <w:color w:val="auto"/>
              </w:rPr>
            </w:pPr>
          </w:p>
        </w:tc>
        <w:tc>
          <w:tcPr>
            <w:tcW w:w="340" w:type="dxa"/>
            <w:vAlign w:val="bottom"/>
            <w:gridSpan w:val="2"/>
            <w:shd w:val="clear" w:color="auto" w:fill="C0C0C0"/>
          </w:tcPr>
          <w:p>
            <w:pPr>
              <w:ind w:lef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511,625</w:t>
            </w:r>
          </w:p>
        </w:tc>
        <w:tc>
          <w:tcPr>
            <w:tcW w:w="80" w:type="dxa"/>
            <w:vAlign w:val="bottom"/>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w w:val="90"/>
              </w:rPr>
              <w:t>510,276</w:t>
            </w:r>
          </w:p>
        </w:tc>
        <w:tc>
          <w:tcPr>
            <w:tcW w:w="12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586</w:t>
            </w:r>
          </w:p>
        </w:tc>
        <w:tc>
          <w:tcPr>
            <w:tcW w:w="100" w:type="dxa"/>
            <w:vAlign w:val="bottom"/>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4"/>
                <w:szCs w:val="14"/>
                <w:color w:val="auto"/>
                <w:w w:val="99"/>
              </w:rPr>
              <w:t>(1,935)</w:t>
            </w:r>
          </w:p>
        </w:tc>
        <w:tc>
          <w:tcPr>
            <w:tcW w:w="200" w:type="dxa"/>
            <w:vAlign w:val="bottom"/>
            <w:tcBorders>
              <w:right w:val="single" w:sz="8" w:color="C0C0C0"/>
            </w:tcBorders>
            <w:shd w:val="clear" w:color="auto" w:fill="C0C0C0"/>
          </w:tcPr>
          <w:p>
            <w:pPr>
              <w:spacing w:after="0"/>
              <w:rPr>
                <w:sz w:val="16"/>
                <w:szCs w:val="16"/>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4"/>
                <w:szCs w:val="14"/>
                <w:color w:val="auto"/>
                <w:w w:val="90"/>
              </w:rPr>
              <w:t>(1,349)</w:t>
            </w:r>
          </w:p>
        </w:tc>
      </w:tr>
      <w:tr>
        <w:trPr>
          <w:trHeight w:val="28"/>
        </w:trPr>
        <w:tc>
          <w:tcPr>
            <w:tcW w:w="1340" w:type="dxa"/>
            <w:vAlign w:val="bottom"/>
            <w:shd w:val="clear" w:color="auto" w:fill="C0C0C0"/>
          </w:tcPr>
          <w:p>
            <w:pPr>
              <w:spacing w:after="0"/>
              <w:rPr>
                <w:sz w:val="2"/>
                <w:szCs w:val="2"/>
                <w:color w:val="auto"/>
              </w:rPr>
            </w:pPr>
          </w:p>
        </w:tc>
        <w:tc>
          <w:tcPr>
            <w:tcW w:w="622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Borders>
              <w:right w:val="single" w:sz="8" w:color="C0C0C0"/>
            </w:tcBorders>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r>
    </w:tbl>
    <w:p>
      <w:pPr>
        <w:spacing w:after="0" w:line="212" w:lineRule="exact"/>
        <w:rPr>
          <w:sz w:val="20"/>
          <w:szCs w:val="20"/>
          <w:color w:val="auto"/>
        </w:rPr>
      </w:pPr>
    </w:p>
    <w:p>
      <w:pPr>
        <w:jc w:val="both"/>
        <w:ind w:firstLine="263"/>
        <w:spacing w:after="0" w:line="291" w:lineRule="auto"/>
        <w:rPr>
          <w:sz w:val="20"/>
          <w:szCs w:val="20"/>
          <w:color w:val="auto"/>
        </w:rPr>
      </w:pPr>
      <w:r>
        <w:rPr>
          <w:rFonts w:ascii="Arial" w:cs="Arial" w:eastAsia="Arial" w:hAnsi="Arial"/>
          <w:sz w:val="14"/>
          <w:szCs w:val="14"/>
          <w:color w:val="auto"/>
        </w:rPr>
        <w:t>At September 30, 2011 and December 31, 2010, marketable securities included an additional unrealized loss of $0.9 million and $0.4 million, respectively, related to one equity security in the Company’s marketable securities portfolio.</w:t>
      </w:r>
    </w:p>
    <w:p>
      <w:pPr>
        <w:spacing w:after="0" w:line="180" w:lineRule="exact"/>
        <w:rPr>
          <w:sz w:val="20"/>
          <w:szCs w:val="20"/>
          <w:color w:val="auto"/>
        </w:rPr>
      </w:pPr>
    </w:p>
    <w:p>
      <w:pPr>
        <w:jc w:val="both"/>
        <w:ind w:firstLine="296"/>
        <w:spacing w:after="0" w:line="272" w:lineRule="auto"/>
        <w:rPr>
          <w:sz w:val="20"/>
          <w:szCs w:val="20"/>
          <w:color w:val="auto"/>
        </w:rPr>
      </w:pPr>
      <w:r>
        <w:rPr>
          <w:rFonts w:ascii="Arial" w:cs="Arial" w:eastAsia="Arial" w:hAnsi="Arial"/>
          <w:sz w:val="14"/>
          <w:szCs w:val="14"/>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 at September 30, 2011 and December 31, 2010. The debt securities held at September 30, 2011, excluding mortgage-backed securities, mature at various dates through June 2014. The mortgage-backed securities held at September 30, 2011 have various estimated maturity dates through August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REGENERON PHARMACEUTICALS, INC.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Condensed Financial Statements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(Unless otherwise noted, dollars in thousands,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5"/>
          </w:tcPr>
          <w:p>
            <w:pPr>
              <w:ind w:left="60"/>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1580" w:type="dxa"/>
            <w:vAlign w:val="bottom"/>
            <w:gridSpan w:val="6"/>
          </w:tcPr>
          <w:p>
            <w:pPr>
              <w:ind w:left="20"/>
              <w:spacing w:after="0"/>
              <w:rPr>
                <w:sz w:val="20"/>
                <w:szCs w:val="20"/>
                <w:color w:val="auto"/>
              </w:rPr>
            </w:pPr>
            <w:r>
              <w:rPr>
                <w:rFonts w:ascii="Arial" w:cs="Arial" w:eastAsia="Arial" w:hAnsi="Arial"/>
                <w:sz w:val="14"/>
                <w:szCs w:val="14"/>
                <w:b w:val="1"/>
                <w:bCs w:val="1"/>
                <w:color w:val="auto"/>
              </w:rPr>
              <w:t>12 Months or Greater</w:t>
            </w:r>
          </w:p>
        </w:tc>
        <w:tc>
          <w:tcPr>
            <w:tcW w:w="22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600" w:type="dxa"/>
            <w:vAlign w:val="bottom"/>
          </w:tcPr>
          <w:p>
            <w:pPr>
              <w:spacing w:after="0"/>
              <w:rPr>
                <w:sz w:val="16"/>
                <w:szCs w:val="16"/>
                <w:color w:val="auto"/>
              </w:rPr>
            </w:pPr>
          </w:p>
        </w:tc>
      </w:tr>
      <w:tr>
        <w:trPr>
          <w:trHeight w:val="182"/>
        </w:trPr>
        <w:tc>
          <w:tcPr>
            <w:tcW w:w="6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Unrealized</w:t>
            </w:r>
          </w:p>
        </w:tc>
      </w:tr>
      <w:tr>
        <w:trPr>
          <w:trHeight w:val="203"/>
        </w:trPr>
        <w:tc>
          <w:tcPr>
            <w:tcW w:w="6240" w:type="dxa"/>
            <w:vAlign w:val="bottom"/>
          </w:tcPr>
          <w:p>
            <w:pPr>
              <w:spacing w:after="0"/>
              <w:rPr>
                <w:sz w:val="20"/>
                <w:szCs w:val="20"/>
                <w:color w:val="auto"/>
              </w:rPr>
            </w:pPr>
            <w:r>
              <w:rPr>
                <w:rFonts w:ascii="Arial" w:cs="Arial" w:eastAsia="Arial" w:hAnsi="Arial"/>
                <w:sz w:val="14"/>
                <w:szCs w:val="14"/>
                <w:b w:val="1"/>
                <w:bCs w:val="1"/>
                <w:color w:val="auto"/>
              </w:rPr>
              <w:t>At September 30, 2011</w:t>
            </w:r>
          </w:p>
        </w:tc>
        <w:tc>
          <w:tcPr>
            <w:tcW w:w="120" w:type="dxa"/>
            <w:vAlign w:val="bottom"/>
          </w:tcPr>
          <w:p>
            <w:pPr>
              <w:spacing w:after="0"/>
              <w:rPr>
                <w:sz w:val="17"/>
                <w:szCs w:val="17"/>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7"/>
                <w:szCs w:val="17"/>
                <w:color w:val="auto"/>
              </w:rPr>
            </w:pPr>
          </w:p>
        </w:tc>
        <w:tc>
          <w:tcPr>
            <w:tcW w:w="600" w:type="dxa"/>
            <w:vAlign w:val="bottom"/>
          </w:tcPr>
          <w:p>
            <w:pPr>
              <w:jc w:val="right"/>
              <w:ind w:right="189"/>
              <w:spacing w:after="0"/>
              <w:rPr>
                <w:sz w:val="20"/>
                <w:szCs w:val="20"/>
                <w:color w:val="auto"/>
              </w:rPr>
            </w:pPr>
            <w:r>
              <w:rPr>
                <w:rFonts w:ascii="Arial" w:cs="Arial" w:eastAsia="Arial" w:hAnsi="Arial"/>
                <w:sz w:val="14"/>
                <w:szCs w:val="14"/>
                <w:b w:val="1"/>
                <w:bCs w:val="1"/>
                <w:color w:val="auto"/>
                <w:w w:val="97"/>
              </w:rPr>
              <w:t>Loss</w:t>
            </w:r>
          </w:p>
        </w:tc>
      </w:tr>
      <w:tr>
        <w:trPr>
          <w:trHeight w:val="195"/>
        </w:trPr>
        <w:tc>
          <w:tcPr>
            <w:tcW w:w="624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4"/>
                <w:szCs w:val="14"/>
                <w:i w:val="1"/>
                <w:iCs w:val="1"/>
                <w:color w:val="auto"/>
              </w:rPr>
              <w:t>Unrestricted</w:t>
            </w:r>
          </w:p>
        </w:tc>
        <w:tc>
          <w:tcPr>
            <w:tcW w:w="120" w:type="dxa"/>
            <w:vAlign w:val="bottom"/>
            <w:tcBorders>
              <w:top w:val="single" w:sz="8" w:color="C0C0C0"/>
            </w:tcBorders>
            <w:shd w:val="clear" w:color="auto" w:fill="C0C0C0"/>
          </w:tcPr>
          <w:p>
            <w:pPr>
              <w:spacing w:after="0"/>
              <w:rPr>
                <w:sz w:val="16"/>
                <w:szCs w:val="16"/>
                <w:color w:val="auto"/>
              </w:rPr>
            </w:pPr>
          </w:p>
        </w:tc>
        <w:tc>
          <w:tcPr>
            <w:tcW w:w="140" w:type="dxa"/>
            <w:vAlign w:val="bottom"/>
            <w:tcBorders>
              <w:top w:val="single" w:sz="8" w:color="auto"/>
            </w:tcBorders>
            <w:shd w:val="clear" w:color="auto" w:fill="C0C0C0"/>
          </w:tcPr>
          <w:p>
            <w:pPr>
              <w:spacing w:after="0"/>
              <w:rPr>
                <w:sz w:val="16"/>
                <w:szCs w:val="16"/>
                <w:color w:val="auto"/>
              </w:rPr>
            </w:pPr>
          </w:p>
        </w:tc>
        <w:tc>
          <w:tcPr>
            <w:tcW w:w="600" w:type="dxa"/>
            <w:vAlign w:val="bottom"/>
            <w:tcBorders>
              <w:top w:val="single" w:sz="8" w:color="auto"/>
            </w:tcBorders>
            <w:shd w:val="clear" w:color="auto" w:fill="C0C0C0"/>
          </w:tcPr>
          <w:p>
            <w:pPr>
              <w:spacing w:after="0"/>
              <w:rPr>
                <w:sz w:val="16"/>
                <w:szCs w:val="16"/>
                <w:color w:val="auto"/>
              </w:rPr>
            </w:pPr>
          </w:p>
        </w:tc>
        <w:tc>
          <w:tcPr>
            <w:tcW w:w="120" w:type="dxa"/>
            <w:vAlign w:val="bottom"/>
            <w:tcBorders>
              <w:top w:val="single" w:sz="8" w:color="C0C0C0"/>
            </w:tcBorders>
            <w:shd w:val="clear" w:color="auto" w:fill="C0C0C0"/>
          </w:tcPr>
          <w:p>
            <w:pPr>
              <w:spacing w:after="0"/>
              <w:rPr>
                <w:sz w:val="16"/>
                <w:szCs w:val="16"/>
                <w:color w:val="auto"/>
              </w:rPr>
            </w:pPr>
          </w:p>
        </w:tc>
        <w:tc>
          <w:tcPr>
            <w:tcW w:w="80" w:type="dxa"/>
            <w:vAlign w:val="bottom"/>
            <w:tcBorders>
              <w:top w:val="single" w:sz="8" w:color="auto"/>
            </w:tcBorders>
            <w:shd w:val="clear" w:color="auto" w:fill="C0C0C0"/>
          </w:tcPr>
          <w:p>
            <w:pPr>
              <w:spacing w:after="0"/>
              <w:rPr>
                <w:sz w:val="16"/>
                <w:szCs w:val="16"/>
                <w:color w:val="auto"/>
              </w:rPr>
            </w:pPr>
          </w:p>
        </w:tc>
        <w:tc>
          <w:tcPr>
            <w:tcW w:w="740" w:type="dxa"/>
            <w:vAlign w:val="bottom"/>
            <w:tcBorders>
              <w:top w:val="single" w:sz="8" w:color="auto"/>
            </w:tcBorders>
            <w:shd w:val="clear" w:color="auto" w:fill="C0C0C0"/>
          </w:tcPr>
          <w:p>
            <w:pPr>
              <w:spacing w:after="0"/>
              <w:rPr>
                <w:sz w:val="16"/>
                <w:szCs w:val="16"/>
                <w:color w:val="auto"/>
              </w:rPr>
            </w:pPr>
          </w:p>
        </w:tc>
        <w:tc>
          <w:tcPr>
            <w:tcW w:w="100" w:type="dxa"/>
            <w:vAlign w:val="bottom"/>
            <w:tcBorders>
              <w:top w:val="single" w:sz="8" w:color="C0C0C0"/>
            </w:tcBorders>
            <w:shd w:val="clear" w:color="auto" w:fill="C0C0C0"/>
          </w:tcPr>
          <w:p>
            <w:pPr>
              <w:spacing w:after="0"/>
              <w:rPr>
                <w:sz w:val="16"/>
                <w:szCs w:val="16"/>
                <w:color w:val="auto"/>
              </w:rPr>
            </w:pPr>
          </w:p>
        </w:tc>
        <w:tc>
          <w:tcPr>
            <w:tcW w:w="100" w:type="dxa"/>
            <w:vAlign w:val="bottom"/>
            <w:tcBorders>
              <w:top w:val="single" w:sz="8" w:color="auto"/>
            </w:tcBorders>
            <w:shd w:val="clear" w:color="auto" w:fill="C0C0C0"/>
          </w:tcPr>
          <w:p>
            <w:pPr>
              <w:spacing w:after="0"/>
              <w:rPr>
                <w:sz w:val="16"/>
                <w:szCs w:val="16"/>
                <w:color w:val="auto"/>
              </w:rPr>
            </w:pPr>
          </w:p>
        </w:tc>
        <w:tc>
          <w:tcPr>
            <w:tcW w:w="580" w:type="dxa"/>
            <w:vAlign w:val="bottom"/>
            <w:tcBorders>
              <w:top w:val="single" w:sz="8" w:color="auto"/>
            </w:tcBorders>
            <w:shd w:val="clear" w:color="auto" w:fill="C0C0C0"/>
          </w:tcPr>
          <w:p>
            <w:pPr>
              <w:spacing w:after="0"/>
              <w:rPr>
                <w:sz w:val="16"/>
                <w:szCs w:val="16"/>
                <w:color w:val="auto"/>
              </w:rPr>
            </w:pPr>
          </w:p>
        </w:tc>
        <w:tc>
          <w:tcPr>
            <w:tcW w:w="60" w:type="dxa"/>
            <w:vAlign w:val="bottom"/>
            <w:tcBorders>
              <w:top w:val="single" w:sz="8" w:color="C0C0C0"/>
            </w:tcBorders>
            <w:shd w:val="clear" w:color="auto" w:fill="C0C0C0"/>
          </w:tcPr>
          <w:p>
            <w:pPr>
              <w:spacing w:after="0"/>
              <w:rPr>
                <w:sz w:val="16"/>
                <w:szCs w:val="16"/>
                <w:color w:val="auto"/>
              </w:rPr>
            </w:pPr>
          </w:p>
        </w:tc>
        <w:tc>
          <w:tcPr>
            <w:tcW w:w="40" w:type="dxa"/>
            <w:vAlign w:val="bottom"/>
            <w:tcBorders>
              <w:top w:val="single" w:sz="8" w:color="C0C0C0"/>
            </w:tcBorders>
            <w:shd w:val="clear" w:color="auto" w:fill="C0C0C0"/>
          </w:tcPr>
          <w:p>
            <w:pPr>
              <w:spacing w:after="0"/>
              <w:rPr>
                <w:sz w:val="16"/>
                <w:szCs w:val="16"/>
                <w:color w:val="auto"/>
              </w:rPr>
            </w:pPr>
          </w:p>
        </w:tc>
        <w:tc>
          <w:tcPr>
            <w:tcW w:w="180" w:type="dxa"/>
            <w:vAlign w:val="bottom"/>
            <w:tcBorders>
              <w:top w:val="single" w:sz="8" w:color="auto"/>
            </w:tcBorders>
            <w:shd w:val="clear" w:color="auto" w:fill="C0C0C0"/>
          </w:tcPr>
          <w:p>
            <w:pPr>
              <w:spacing w:after="0"/>
              <w:rPr>
                <w:sz w:val="16"/>
                <w:szCs w:val="16"/>
                <w:color w:val="auto"/>
              </w:rPr>
            </w:pPr>
          </w:p>
        </w:tc>
        <w:tc>
          <w:tcPr>
            <w:tcW w:w="620" w:type="dxa"/>
            <w:vAlign w:val="bottom"/>
            <w:tcBorders>
              <w:top w:val="single" w:sz="8" w:color="auto"/>
            </w:tcBorders>
            <w:shd w:val="clear" w:color="auto" w:fill="C0C0C0"/>
          </w:tcPr>
          <w:p>
            <w:pPr>
              <w:spacing w:after="0"/>
              <w:rPr>
                <w:sz w:val="16"/>
                <w:szCs w:val="16"/>
                <w:color w:val="auto"/>
              </w:rPr>
            </w:pPr>
          </w:p>
        </w:tc>
        <w:tc>
          <w:tcPr>
            <w:tcW w:w="100" w:type="dxa"/>
            <w:vAlign w:val="bottom"/>
            <w:tcBorders>
              <w:top w:val="single" w:sz="8" w:color="C0C0C0"/>
            </w:tcBorders>
            <w:shd w:val="clear" w:color="auto" w:fill="C0C0C0"/>
          </w:tcPr>
          <w:p>
            <w:pPr>
              <w:spacing w:after="0"/>
              <w:rPr>
                <w:sz w:val="16"/>
                <w:szCs w:val="16"/>
                <w:color w:val="auto"/>
              </w:rPr>
            </w:pPr>
          </w:p>
        </w:tc>
        <w:tc>
          <w:tcPr>
            <w:tcW w:w="220" w:type="dxa"/>
            <w:vAlign w:val="bottom"/>
            <w:tcBorders>
              <w:top w:val="single" w:sz="8" w:color="auto"/>
            </w:tcBorders>
            <w:shd w:val="clear" w:color="auto" w:fill="C0C0C0"/>
          </w:tcPr>
          <w:p>
            <w:pPr>
              <w:spacing w:after="0"/>
              <w:rPr>
                <w:sz w:val="16"/>
                <w:szCs w:val="16"/>
                <w:color w:val="auto"/>
              </w:rPr>
            </w:pPr>
          </w:p>
        </w:tc>
        <w:tc>
          <w:tcPr>
            <w:tcW w:w="540" w:type="dxa"/>
            <w:vAlign w:val="bottom"/>
            <w:tcBorders>
              <w:top w:val="single" w:sz="8" w:color="auto"/>
            </w:tcBorders>
            <w:shd w:val="clear" w:color="auto" w:fill="C0C0C0"/>
          </w:tcPr>
          <w:p>
            <w:pPr>
              <w:spacing w:after="0"/>
              <w:rPr>
                <w:sz w:val="16"/>
                <w:szCs w:val="16"/>
                <w:color w:val="auto"/>
              </w:rPr>
            </w:pPr>
          </w:p>
        </w:tc>
        <w:tc>
          <w:tcPr>
            <w:tcW w:w="100" w:type="dxa"/>
            <w:vAlign w:val="bottom"/>
            <w:tcBorders>
              <w:top w:val="single" w:sz="8" w:color="C0C0C0"/>
            </w:tcBorders>
            <w:shd w:val="clear" w:color="auto" w:fill="C0C0C0"/>
          </w:tcPr>
          <w:p>
            <w:pPr>
              <w:spacing w:after="0"/>
              <w:rPr>
                <w:sz w:val="16"/>
                <w:szCs w:val="16"/>
                <w:color w:val="auto"/>
              </w:rPr>
            </w:pPr>
          </w:p>
        </w:tc>
        <w:tc>
          <w:tcPr>
            <w:tcW w:w="180" w:type="dxa"/>
            <w:vAlign w:val="bottom"/>
            <w:tcBorders>
              <w:top w:val="single" w:sz="8" w:color="auto"/>
            </w:tcBorders>
            <w:shd w:val="clear" w:color="auto" w:fill="C0C0C0"/>
          </w:tcPr>
          <w:p>
            <w:pPr>
              <w:spacing w:after="0"/>
              <w:rPr>
                <w:sz w:val="16"/>
                <w:szCs w:val="16"/>
                <w:color w:val="auto"/>
              </w:rPr>
            </w:pPr>
          </w:p>
        </w:tc>
        <w:tc>
          <w:tcPr>
            <w:tcW w:w="600" w:type="dxa"/>
            <w:vAlign w:val="bottom"/>
            <w:tcBorders>
              <w:top w:val="single" w:sz="8" w:color="auto"/>
            </w:tcBorders>
            <w:shd w:val="clear" w:color="auto" w:fill="C0C0C0"/>
          </w:tcPr>
          <w:p>
            <w:pPr>
              <w:spacing w:after="0"/>
              <w:rPr>
                <w:sz w:val="16"/>
                <w:szCs w:val="16"/>
                <w:color w:val="auto"/>
              </w:rPr>
            </w:pPr>
          </w:p>
        </w:tc>
      </w:tr>
      <w:tr>
        <w:trPr>
          <w:trHeight w:val="191"/>
        </w:trPr>
        <w:tc>
          <w:tcPr>
            <w:tcW w:w="6240" w:type="dxa"/>
            <w:vAlign w:val="bottom"/>
          </w:tcPr>
          <w:p>
            <w:pPr>
              <w:ind w:left="260"/>
              <w:spacing w:after="0"/>
              <w:rPr>
                <w:sz w:val="20"/>
                <w:szCs w:val="20"/>
                <w:color w:val="auto"/>
              </w:rPr>
            </w:pPr>
            <w:r>
              <w:rPr>
                <w:rFonts w:ascii="Arial" w:cs="Arial" w:eastAsia="Arial" w:hAnsi="Arial"/>
                <w:sz w:val="14"/>
                <w:szCs w:val="14"/>
                <w:color w:val="auto"/>
              </w:rPr>
              <w:t>U.S. government obligations</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67,234</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67,234</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04"/>
        </w:trPr>
        <w:tc>
          <w:tcPr>
            <w:tcW w:w="6240" w:type="dxa"/>
            <w:vAlign w:val="bottom"/>
            <w:shd w:val="clear" w:color="auto" w:fill="C0C0C0"/>
          </w:tcPr>
          <w:p>
            <w:pPr>
              <w:ind w:left="260"/>
              <w:spacing w:after="0"/>
              <w:rPr>
                <w:sz w:val="20"/>
                <w:szCs w:val="20"/>
                <w:color w:val="auto"/>
              </w:rPr>
            </w:pPr>
            <w:r>
              <w:rPr>
                <w:rFonts w:ascii="Arial" w:cs="Arial" w:eastAsia="Arial" w:hAnsi="Arial"/>
                <w:sz w:val="14"/>
                <w:szCs w:val="14"/>
                <w:color w:val="auto"/>
              </w:rPr>
              <w:t>Equity securities</w:t>
            </w:r>
          </w:p>
        </w:tc>
        <w:tc>
          <w:tcPr>
            <w:tcW w:w="1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3,075</w:t>
            </w:r>
          </w:p>
        </w:tc>
        <w:tc>
          <w:tcPr>
            <w:tcW w:w="1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(969)</w:t>
            </w:r>
          </w:p>
        </w:tc>
        <w:tc>
          <w:tcPr>
            <w:tcW w:w="1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60" w:type="dxa"/>
            <w:vAlign w:val="bottom"/>
            <w:shd w:val="clear" w:color="auto" w:fill="C0C0C0"/>
          </w:tcPr>
          <w:p>
            <w:pPr>
              <w:spacing w:after="0"/>
              <w:rPr>
                <w:sz w:val="17"/>
                <w:szCs w:val="17"/>
                <w:color w:val="auto"/>
              </w:rPr>
            </w:pPr>
          </w:p>
        </w:tc>
        <w:tc>
          <w:tcPr>
            <w:tcW w:w="4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6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3,075</w:t>
            </w:r>
          </w:p>
        </w:tc>
        <w:tc>
          <w:tcPr>
            <w:tcW w:w="10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(969)</w:t>
            </w:r>
          </w:p>
        </w:tc>
      </w:tr>
      <w:tr>
        <w:trPr>
          <w:trHeight w:val="191"/>
        </w:trPr>
        <w:tc>
          <w:tcPr>
            <w:tcW w:w="6240" w:type="dxa"/>
            <w:vAlign w:val="bottom"/>
            <w:tcBorders>
              <w:bottom w:val="single" w:sz="8" w:color="C0C0C0"/>
            </w:tcBorders>
          </w:tcPr>
          <w:p>
            <w:pPr>
              <w:ind w:left="260"/>
              <w:spacing w:after="0"/>
              <w:rPr>
                <w:sz w:val="20"/>
                <w:szCs w:val="20"/>
                <w:color w:val="auto"/>
              </w:rPr>
            </w:pPr>
            <w:r>
              <w:rPr>
                <w:rFonts w:ascii="Arial" w:cs="Arial" w:eastAsia="Arial" w:hAnsi="Arial"/>
                <w:sz w:val="14"/>
                <w:szCs w:val="14"/>
                <w:color w:val="auto"/>
              </w:rPr>
              <w:t>Mortgage-backed securities</w:t>
            </w:r>
          </w:p>
        </w:tc>
        <w:tc>
          <w:tcPr>
            <w:tcW w:w="120" w:type="dxa"/>
            <w:vAlign w:val="bottom"/>
            <w:tcBorders>
              <w:bottom w:val="single" w:sz="8" w:color="C0C0C0"/>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0C0C0"/>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0C0C0"/>
            </w:tcBorders>
          </w:tcPr>
          <w:p>
            <w:pPr>
              <w:spacing w:after="0"/>
              <w:rPr>
                <w:sz w:val="16"/>
                <w:szCs w:val="16"/>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60" w:type="dxa"/>
            <w:vAlign w:val="bottom"/>
            <w:tcBorders>
              <w:bottom w:val="single" w:sz="8" w:color="C0C0C0"/>
            </w:tcBorders>
          </w:tcPr>
          <w:p>
            <w:pPr>
              <w:spacing w:after="0"/>
              <w:rPr>
                <w:sz w:val="16"/>
                <w:szCs w:val="16"/>
                <w:color w:val="auto"/>
              </w:rPr>
            </w:pPr>
          </w:p>
        </w:tc>
        <w:tc>
          <w:tcPr>
            <w:tcW w:w="40" w:type="dxa"/>
            <w:vAlign w:val="bottom"/>
            <w:tcBorders>
              <w:bottom w:val="single" w:sz="8" w:color="C0C0C0"/>
            </w:tcBorders>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Borders>
              <w:bottom w:val="single" w:sz="8" w:color="C0C0C0"/>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Borders>
              <w:bottom w:val="single" w:sz="8" w:color="C0C0C0"/>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w:t>
            </w:r>
          </w:p>
        </w:tc>
      </w:tr>
      <w:tr>
        <w:trPr>
          <w:trHeight w:val="197"/>
        </w:trPr>
        <w:tc>
          <w:tcPr>
            <w:tcW w:w="6240" w:type="dxa"/>
            <w:vAlign w:val="bottom"/>
            <w:tcBorders>
              <w:bottom w:val="single" w:sz="8" w:color="C0C0C0"/>
            </w:tcBorders>
            <w:shd w:val="clear" w:color="auto" w:fill="C0C0C0"/>
          </w:tcPr>
          <w:p>
            <w:pPr>
              <w:spacing w:after="0"/>
              <w:rPr>
                <w:sz w:val="17"/>
                <w:szCs w:val="17"/>
                <w:color w:val="auto"/>
              </w:rPr>
            </w:pPr>
          </w:p>
        </w:tc>
        <w:tc>
          <w:tcPr>
            <w:tcW w:w="120" w:type="dxa"/>
            <w:vAlign w:val="bottom"/>
            <w:tcBorders>
              <w:bottom w:val="single" w:sz="8" w:color="C0C0C0"/>
            </w:tcBorders>
            <w:shd w:val="clear" w:color="auto" w:fill="C0C0C0"/>
          </w:tcPr>
          <w:p>
            <w:pPr>
              <w:spacing w:after="0"/>
              <w:rPr>
                <w:sz w:val="17"/>
                <w:szCs w:val="17"/>
                <w:color w:val="auto"/>
              </w:rPr>
            </w:pPr>
          </w:p>
        </w:tc>
        <w:tc>
          <w:tcPr>
            <w:tcW w:w="140" w:type="dxa"/>
            <w:vAlign w:val="bottom"/>
            <w:tcBorders>
              <w:bottom w:val="single" w:sz="8" w:color="auto"/>
            </w:tcBorders>
            <w:shd w:val="clear" w:color="auto" w:fill="C0C0C0"/>
          </w:tcPr>
          <w:p>
            <w:pPr>
              <w:spacing w:after="0"/>
              <w:rPr>
                <w:sz w:val="17"/>
                <w:szCs w:val="17"/>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70,309</w:t>
            </w:r>
          </w:p>
        </w:tc>
        <w:tc>
          <w:tcPr>
            <w:tcW w:w="120" w:type="dxa"/>
            <w:vAlign w:val="bottom"/>
            <w:tcBorders>
              <w:bottom w:val="single" w:sz="8" w:color="auto"/>
            </w:tcBorders>
            <w:shd w:val="clear" w:color="auto" w:fill="C0C0C0"/>
          </w:tcPr>
          <w:p>
            <w:pPr>
              <w:spacing w:after="0"/>
              <w:rPr>
                <w:sz w:val="17"/>
                <w:szCs w:val="17"/>
                <w:color w:val="auto"/>
              </w:rPr>
            </w:pPr>
          </w:p>
        </w:tc>
        <w:tc>
          <w:tcPr>
            <w:tcW w:w="80" w:type="dxa"/>
            <w:vAlign w:val="bottom"/>
            <w:tcBorders>
              <w:bottom w:val="single" w:sz="8" w:color="auto"/>
            </w:tcBorders>
            <w:shd w:val="clear" w:color="auto" w:fill="C0C0C0"/>
          </w:tcPr>
          <w:p>
            <w:pPr>
              <w:spacing w:after="0"/>
              <w:rPr>
                <w:sz w:val="17"/>
                <w:szCs w:val="17"/>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(1,028)</w:t>
            </w:r>
          </w:p>
        </w:tc>
        <w:tc>
          <w:tcPr>
            <w:tcW w:w="100" w:type="dxa"/>
            <w:vAlign w:val="bottom"/>
            <w:tcBorders>
              <w:bottom w:val="single" w:sz="8" w:color="C0C0C0"/>
            </w:tcBorders>
            <w:shd w:val="clear" w:color="auto" w:fill="C0C0C0"/>
          </w:tcPr>
          <w:p>
            <w:pPr>
              <w:spacing w:after="0"/>
              <w:rPr>
                <w:sz w:val="17"/>
                <w:szCs w:val="17"/>
                <w:color w:val="auto"/>
              </w:rPr>
            </w:pPr>
          </w:p>
        </w:tc>
        <w:tc>
          <w:tcPr>
            <w:tcW w:w="100" w:type="dxa"/>
            <w:vAlign w:val="bottom"/>
            <w:tcBorders>
              <w:bottom w:val="single" w:sz="8" w:color="auto"/>
            </w:tcBorders>
            <w:shd w:val="clear" w:color="auto" w:fill="C0C0C0"/>
          </w:tcPr>
          <w:p>
            <w:pPr>
              <w:spacing w:after="0"/>
              <w:rPr>
                <w:sz w:val="17"/>
                <w:szCs w:val="17"/>
                <w:color w:val="auto"/>
              </w:rPr>
            </w:pPr>
          </w:p>
        </w:tc>
        <w:tc>
          <w:tcPr>
            <w:tcW w:w="640" w:type="dxa"/>
            <w:vAlign w:val="bottom"/>
            <w:tcBorders>
              <w:bottom w:val="single" w:sz="8" w:color="auto"/>
            </w:tcBorders>
            <w:gridSpan w:val="2"/>
            <w:shd w:val="clear" w:color="auto" w:fill="C0C0C0"/>
          </w:tcPr>
          <w:p>
            <w:pPr>
              <w:jc w:val="right"/>
              <w:ind w:right="60"/>
              <w:spacing w:after="0"/>
              <w:rPr>
                <w:sz w:val="20"/>
                <w:szCs w:val="20"/>
                <w:color w:val="auto"/>
              </w:rPr>
            </w:pPr>
            <w:r>
              <w:rPr>
                <w:rFonts w:ascii="Arial" w:cs="Arial" w:eastAsia="Arial" w:hAnsi="Arial"/>
                <w:sz w:val="14"/>
                <w:szCs w:val="14"/>
                <w:color w:val="auto"/>
              </w:rPr>
              <w:t>149</w:t>
            </w:r>
          </w:p>
        </w:tc>
        <w:tc>
          <w:tcPr>
            <w:tcW w:w="40" w:type="dxa"/>
            <w:vAlign w:val="bottom"/>
            <w:tcBorders>
              <w:bottom w:val="single" w:sz="8" w:color="auto"/>
            </w:tcBorders>
            <w:shd w:val="clear" w:color="auto" w:fill="C0C0C0"/>
          </w:tcPr>
          <w:p>
            <w:pPr>
              <w:spacing w:after="0"/>
              <w:rPr>
                <w:sz w:val="17"/>
                <w:szCs w:val="17"/>
                <w:color w:val="auto"/>
              </w:rPr>
            </w:pPr>
          </w:p>
        </w:tc>
        <w:tc>
          <w:tcPr>
            <w:tcW w:w="180" w:type="dxa"/>
            <w:vAlign w:val="bottom"/>
            <w:tcBorders>
              <w:bottom w:val="single" w:sz="8" w:color="auto"/>
            </w:tcBorders>
            <w:shd w:val="clear" w:color="auto" w:fill="C0C0C0"/>
          </w:tcPr>
          <w:p>
            <w:pPr>
              <w:spacing w:after="0"/>
              <w:rPr>
                <w:sz w:val="17"/>
                <w:szCs w:val="17"/>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Borders>
              <w:bottom w:val="single" w:sz="8" w:color="C0C0C0"/>
            </w:tcBorders>
            <w:shd w:val="clear" w:color="auto" w:fill="C0C0C0"/>
          </w:tcPr>
          <w:p>
            <w:pPr>
              <w:spacing w:after="0"/>
              <w:rPr>
                <w:sz w:val="17"/>
                <w:szCs w:val="17"/>
                <w:color w:val="auto"/>
              </w:rPr>
            </w:pPr>
          </w:p>
        </w:tc>
        <w:tc>
          <w:tcPr>
            <w:tcW w:w="220" w:type="dxa"/>
            <w:vAlign w:val="bottom"/>
            <w:tcBorders>
              <w:bottom w:val="single" w:sz="8" w:color="auto"/>
            </w:tcBorders>
            <w:shd w:val="clear" w:color="auto" w:fill="C0C0C0"/>
          </w:tcPr>
          <w:p>
            <w:pPr>
              <w:spacing w:after="0"/>
              <w:rPr>
                <w:sz w:val="17"/>
                <w:szCs w:val="17"/>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70,458</w:t>
            </w:r>
          </w:p>
        </w:tc>
        <w:tc>
          <w:tcPr>
            <w:tcW w:w="100" w:type="dxa"/>
            <w:vAlign w:val="bottom"/>
            <w:tcBorders>
              <w:bottom w:val="single" w:sz="8" w:color="auto"/>
            </w:tcBorders>
            <w:shd w:val="clear" w:color="auto" w:fill="C0C0C0"/>
          </w:tcPr>
          <w:p>
            <w:pPr>
              <w:spacing w:after="0"/>
              <w:rPr>
                <w:sz w:val="17"/>
                <w:szCs w:val="17"/>
                <w:color w:val="auto"/>
              </w:rPr>
            </w:pPr>
          </w:p>
        </w:tc>
        <w:tc>
          <w:tcPr>
            <w:tcW w:w="180" w:type="dxa"/>
            <w:vAlign w:val="bottom"/>
            <w:tcBorders>
              <w:bottom w:val="single" w:sz="8" w:color="auto"/>
            </w:tcBorders>
            <w:shd w:val="clear" w:color="auto" w:fill="C0C0C0"/>
          </w:tcPr>
          <w:p>
            <w:pPr>
              <w:spacing w:after="0"/>
              <w:rPr>
                <w:sz w:val="17"/>
                <w:szCs w:val="17"/>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(1,175)</w:t>
            </w: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3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5"/>
          </w:tcPr>
          <w:p>
            <w:pPr>
              <w:ind w:left="60"/>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1580" w:type="dxa"/>
            <w:vAlign w:val="bottom"/>
            <w:gridSpan w:val="4"/>
          </w:tcPr>
          <w:p>
            <w:pPr>
              <w:ind w:left="20"/>
              <w:spacing w:after="0"/>
              <w:rPr>
                <w:sz w:val="20"/>
                <w:szCs w:val="20"/>
                <w:color w:val="auto"/>
              </w:rPr>
            </w:pPr>
            <w:r>
              <w:rPr>
                <w:rFonts w:ascii="Arial" w:cs="Arial" w:eastAsia="Arial" w:hAnsi="Arial"/>
                <w:sz w:val="14"/>
                <w:szCs w:val="14"/>
                <w:b w:val="1"/>
                <w:bCs w:val="1"/>
                <w:color w:val="auto"/>
              </w:rPr>
              <w:t>12 Months or Greater</w:t>
            </w:r>
          </w:p>
        </w:tc>
        <w:tc>
          <w:tcPr>
            <w:tcW w:w="18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600" w:type="dxa"/>
            <w:vAlign w:val="bottom"/>
          </w:tcPr>
          <w:p>
            <w:pPr>
              <w:spacing w:after="0"/>
              <w:rPr>
                <w:sz w:val="16"/>
                <w:szCs w:val="16"/>
                <w:color w:val="auto"/>
              </w:rPr>
            </w:pPr>
          </w:p>
        </w:tc>
      </w:tr>
      <w:tr>
        <w:trPr>
          <w:trHeight w:val="182"/>
        </w:trPr>
        <w:tc>
          <w:tcPr>
            <w:tcW w:w="13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Unrealized</w:t>
            </w:r>
          </w:p>
        </w:tc>
      </w:tr>
      <w:tr>
        <w:trPr>
          <w:trHeight w:val="188"/>
        </w:trPr>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At December 31, 2010</w:t>
            </w:r>
          </w:p>
        </w:tc>
        <w:tc>
          <w:tcPr>
            <w:tcW w:w="120" w:type="dxa"/>
            <w:vAlign w:val="bottom"/>
          </w:tcPr>
          <w:p>
            <w:pPr>
              <w:spacing w:after="0"/>
              <w:rPr>
                <w:sz w:val="16"/>
                <w:szCs w:val="16"/>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6"/>
                <w:szCs w:val="16"/>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6"/>
                <w:szCs w:val="16"/>
                <w:color w:val="auto"/>
              </w:rPr>
            </w:pPr>
          </w:p>
        </w:tc>
        <w:tc>
          <w:tcPr>
            <w:tcW w:w="600" w:type="dxa"/>
            <w:vAlign w:val="bottom"/>
          </w:tcPr>
          <w:p>
            <w:pPr>
              <w:jc w:val="right"/>
              <w:ind w:right="189"/>
              <w:spacing w:after="0"/>
              <w:rPr>
                <w:sz w:val="20"/>
                <w:szCs w:val="20"/>
                <w:color w:val="auto"/>
              </w:rPr>
            </w:pPr>
            <w:r>
              <w:rPr>
                <w:rFonts w:ascii="Arial" w:cs="Arial" w:eastAsia="Arial" w:hAnsi="Arial"/>
                <w:sz w:val="14"/>
                <w:szCs w:val="14"/>
                <w:b w:val="1"/>
                <w:bCs w:val="1"/>
                <w:color w:val="auto"/>
                <w:w w:val="97"/>
              </w:rPr>
              <w:t>Loss</w:t>
            </w:r>
          </w:p>
        </w:tc>
      </w:tr>
      <w:tr>
        <w:trPr>
          <w:trHeight w:val="20"/>
        </w:trPr>
        <w:tc>
          <w:tcPr>
            <w:tcW w:w="1340" w:type="dxa"/>
            <w:vAlign w:val="bottom"/>
            <w:tcBorders>
              <w:top w:val="single" w:sz="8" w:color="auto"/>
              <w:bottom w:val="single" w:sz="8" w:color="C0C0C0"/>
            </w:tcBorders>
          </w:tcPr>
          <w:p>
            <w:pPr>
              <w:spacing w:after="0" w:line="20" w:lineRule="exact"/>
              <w:rPr>
                <w:sz w:val="1"/>
                <w:szCs w:val="1"/>
                <w:color w:val="auto"/>
              </w:rPr>
            </w:pPr>
          </w:p>
        </w:tc>
        <w:tc>
          <w:tcPr>
            <w:tcW w:w="4900" w:type="dxa"/>
            <w:vAlign w:val="bottom"/>
            <w:tcBorders>
              <w:bottom w:val="single" w:sz="8" w:color="C0C0C0"/>
            </w:tcBorders>
          </w:tcPr>
          <w:p>
            <w:pPr>
              <w:spacing w:after="0" w:line="20" w:lineRule="exact"/>
              <w:rPr>
                <w:sz w:val="1"/>
                <w:szCs w:val="1"/>
                <w:color w:val="auto"/>
              </w:rPr>
            </w:pPr>
          </w:p>
        </w:tc>
        <w:tc>
          <w:tcPr>
            <w:tcW w:w="120" w:type="dxa"/>
            <w:vAlign w:val="bottom"/>
            <w:tcBorders>
              <w:bottom w:val="single" w:sz="8" w:color="C0C0C0"/>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0C0C0"/>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0C0C0"/>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0C0C0"/>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0C0C0"/>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81"/>
        </w:trPr>
        <w:tc>
          <w:tcPr>
            <w:tcW w:w="6240" w:type="dxa"/>
            <w:vAlign w:val="bottom"/>
            <w:gridSpan w:val="2"/>
            <w:shd w:val="clear" w:color="auto" w:fill="C0C0C0"/>
          </w:tcPr>
          <w:p>
            <w:pPr>
              <w:spacing w:after="0"/>
              <w:rPr>
                <w:sz w:val="20"/>
                <w:szCs w:val="20"/>
                <w:color w:val="auto"/>
              </w:rPr>
            </w:pPr>
            <w:r>
              <w:rPr>
                <w:rFonts w:ascii="Arial" w:cs="Arial" w:eastAsia="Arial" w:hAnsi="Arial"/>
                <w:sz w:val="14"/>
                <w:szCs w:val="14"/>
                <w:i w:val="1"/>
                <w:iCs w:val="1"/>
                <w:color w:val="auto"/>
              </w:rPr>
              <w:t>Unrestricted</w:t>
            </w:r>
          </w:p>
        </w:tc>
        <w:tc>
          <w:tcPr>
            <w:tcW w:w="12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60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74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680" w:type="dxa"/>
            <w:vAlign w:val="bottom"/>
            <w:tcBorders>
              <w:right w:val="single" w:sz="8" w:color="C0C0C0"/>
            </w:tcBorders>
            <w:shd w:val="clear" w:color="auto" w:fill="C0C0C0"/>
          </w:tcPr>
          <w:p>
            <w:pPr>
              <w:spacing w:after="0"/>
              <w:rPr>
                <w:sz w:val="15"/>
                <w:szCs w:val="15"/>
                <w:color w:val="auto"/>
              </w:rPr>
            </w:pPr>
          </w:p>
        </w:tc>
        <w:tc>
          <w:tcPr>
            <w:tcW w:w="180" w:type="dxa"/>
            <w:vAlign w:val="bottom"/>
            <w:shd w:val="clear" w:color="auto" w:fill="C0C0C0"/>
          </w:tcPr>
          <w:p>
            <w:pPr>
              <w:spacing w:after="0"/>
              <w:rPr>
                <w:sz w:val="15"/>
                <w:szCs w:val="15"/>
                <w:color w:val="auto"/>
              </w:rPr>
            </w:pPr>
          </w:p>
        </w:tc>
        <w:tc>
          <w:tcPr>
            <w:tcW w:w="62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180" w:type="dxa"/>
            <w:vAlign w:val="bottom"/>
            <w:shd w:val="clear" w:color="auto" w:fill="C0C0C0"/>
          </w:tcPr>
          <w:p>
            <w:pPr>
              <w:spacing w:after="0"/>
              <w:rPr>
                <w:sz w:val="15"/>
                <w:szCs w:val="15"/>
                <w:color w:val="auto"/>
              </w:rPr>
            </w:pPr>
          </w:p>
        </w:tc>
        <w:tc>
          <w:tcPr>
            <w:tcW w:w="58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180" w:type="dxa"/>
            <w:vAlign w:val="bottom"/>
            <w:shd w:val="clear" w:color="auto" w:fill="C0C0C0"/>
          </w:tcPr>
          <w:p>
            <w:pPr>
              <w:spacing w:after="0"/>
              <w:rPr>
                <w:sz w:val="15"/>
                <w:szCs w:val="15"/>
                <w:color w:val="auto"/>
              </w:rPr>
            </w:pPr>
          </w:p>
        </w:tc>
        <w:tc>
          <w:tcPr>
            <w:tcW w:w="600" w:type="dxa"/>
            <w:vAlign w:val="bottom"/>
            <w:shd w:val="clear" w:color="auto" w:fill="C0C0C0"/>
          </w:tcPr>
          <w:p>
            <w:pPr>
              <w:spacing w:after="0"/>
              <w:rPr>
                <w:sz w:val="15"/>
                <w:szCs w:val="15"/>
                <w:color w:val="auto"/>
              </w:rPr>
            </w:pPr>
          </w:p>
        </w:tc>
      </w:tr>
      <w:tr>
        <w:trPr>
          <w:trHeight w:val="191"/>
        </w:trPr>
        <w:tc>
          <w:tcPr>
            <w:tcW w:w="6240" w:type="dxa"/>
            <w:vAlign w:val="bottom"/>
            <w:gridSpan w:val="2"/>
          </w:tcPr>
          <w:p>
            <w:pPr>
              <w:ind w:left="260"/>
              <w:spacing w:after="0"/>
              <w:rPr>
                <w:sz w:val="20"/>
                <w:szCs w:val="20"/>
                <w:color w:val="auto"/>
              </w:rPr>
            </w:pPr>
            <w:r>
              <w:rPr>
                <w:rFonts w:ascii="Arial" w:cs="Arial" w:eastAsia="Arial" w:hAnsi="Arial"/>
                <w:sz w:val="14"/>
                <w:szCs w:val="14"/>
                <w:color w:val="auto"/>
              </w:rPr>
              <w:t>U.S. government obligations</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340,444</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340,444</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(1,731)</w:t>
            </w:r>
          </w:p>
        </w:tc>
      </w:tr>
      <w:tr>
        <w:trPr>
          <w:trHeight w:val="191"/>
        </w:trPr>
        <w:tc>
          <w:tcPr>
            <w:tcW w:w="6240" w:type="dxa"/>
            <w:vAlign w:val="bottom"/>
            <w:gridSpan w:val="2"/>
            <w:shd w:val="clear" w:color="auto" w:fill="C0C0C0"/>
          </w:tcPr>
          <w:p>
            <w:pPr>
              <w:ind w:left="260"/>
              <w:spacing w:after="0"/>
              <w:rPr>
                <w:sz w:val="20"/>
                <w:szCs w:val="20"/>
                <w:color w:val="auto"/>
              </w:rPr>
            </w:pPr>
            <w:r>
              <w:rPr>
                <w:rFonts w:ascii="Arial" w:cs="Arial" w:eastAsia="Arial" w:hAnsi="Arial"/>
                <w:sz w:val="14"/>
                <w:szCs w:val="14"/>
                <w:color w:val="auto"/>
              </w:rPr>
              <w:t>U.S. government guaranteed</w:t>
            </w:r>
          </w:p>
        </w:tc>
        <w:tc>
          <w:tcPr>
            <w:tcW w:w="12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60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74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680" w:type="dxa"/>
            <w:vAlign w:val="bottom"/>
            <w:tcBorders>
              <w:right w:val="single" w:sz="8" w:color="C0C0C0"/>
            </w:tcBorders>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6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58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600" w:type="dxa"/>
            <w:vAlign w:val="bottom"/>
            <w:shd w:val="clear" w:color="auto" w:fill="C0C0C0"/>
          </w:tcPr>
          <w:p>
            <w:pPr>
              <w:spacing w:after="0"/>
              <w:rPr>
                <w:sz w:val="16"/>
                <w:szCs w:val="16"/>
                <w:color w:val="auto"/>
              </w:rPr>
            </w:pPr>
          </w:p>
        </w:tc>
      </w:tr>
      <w:tr>
        <w:trPr>
          <w:trHeight w:val="210"/>
        </w:trPr>
        <w:tc>
          <w:tcPr>
            <w:tcW w:w="6240" w:type="dxa"/>
            <w:vAlign w:val="bottom"/>
            <w:gridSpan w:val="2"/>
            <w:shd w:val="clear" w:color="auto" w:fill="C0C0C0"/>
          </w:tcPr>
          <w:p>
            <w:pPr>
              <w:ind w:left="500"/>
              <w:spacing w:after="0"/>
              <w:rPr>
                <w:sz w:val="20"/>
                <w:szCs w:val="20"/>
                <w:color w:val="auto"/>
              </w:rPr>
            </w:pPr>
            <w:r>
              <w:rPr>
                <w:rFonts w:ascii="Arial" w:cs="Arial" w:eastAsia="Arial" w:hAnsi="Arial"/>
                <w:sz w:val="14"/>
                <w:szCs w:val="14"/>
                <w:color w:val="auto"/>
              </w:rPr>
              <w:t>corporate bonds</w:t>
            </w:r>
          </w:p>
        </w:tc>
        <w:tc>
          <w:tcPr>
            <w:tcW w:w="1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19,005</w:t>
            </w:r>
          </w:p>
        </w:tc>
        <w:tc>
          <w:tcPr>
            <w:tcW w:w="1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80" w:type="dxa"/>
            <w:vAlign w:val="bottom"/>
            <w:tcBorders>
              <w:right w:val="single" w:sz="8" w:color="C0C0C0"/>
            </w:tcBorders>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6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19,005</w:t>
            </w:r>
          </w:p>
        </w:tc>
        <w:tc>
          <w:tcPr>
            <w:tcW w:w="10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(45)</w:t>
            </w:r>
          </w:p>
        </w:tc>
      </w:tr>
      <w:tr>
        <w:trPr>
          <w:trHeight w:val="191"/>
        </w:trPr>
        <w:tc>
          <w:tcPr>
            <w:tcW w:w="6240" w:type="dxa"/>
            <w:vAlign w:val="bottom"/>
            <w:gridSpan w:val="2"/>
          </w:tcPr>
          <w:p>
            <w:pPr>
              <w:ind w:left="260"/>
              <w:spacing w:after="0"/>
              <w:rPr>
                <w:sz w:val="20"/>
                <w:szCs w:val="20"/>
                <w:color w:val="auto"/>
              </w:rPr>
            </w:pPr>
            <w:r>
              <w:rPr>
                <w:rFonts w:ascii="Arial" w:cs="Arial" w:eastAsia="Arial" w:hAnsi="Arial"/>
                <w:sz w:val="14"/>
                <w:szCs w:val="14"/>
                <w:color w:val="auto"/>
              </w:rPr>
              <w:t>Equity securities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3,612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(433)</w:t>
            </w:r>
          </w:p>
        </w:tc>
      </w:tr>
      <w:tr>
        <w:trPr>
          <w:trHeight w:val="197"/>
        </w:trPr>
        <w:tc>
          <w:tcPr>
            <w:tcW w:w="6240" w:type="dxa"/>
            <w:vAlign w:val="bottom"/>
            <w:gridSpan w:val="2"/>
            <w:shd w:val="clear" w:color="auto" w:fill="C0C0C0"/>
          </w:tcPr>
          <w:p>
            <w:pPr>
              <w:ind w:left="260"/>
              <w:spacing w:after="0"/>
              <w:rPr>
                <w:sz w:val="20"/>
                <w:szCs w:val="20"/>
                <w:color w:val="auto"/>
              </w:rPr>
            </w:pPr>
            <w:r>
              <w:rPr>
                <w:rFonts w:ascii="Arial" w:cs="Arial" w:eastAsia="Arial" w:hAnsi="Arial"/>
                <w:sz w:val="14"/>
                <w:szCs w:val="14"/>
                <w:color w:val="auto"/>
              </w:rPr>
              <w:t>Mortgage-backed securities</w:t>
            </w:r>
          </w:p>
        </w:tc>
        <w:tc>
          <w:tcPr>
            <w:tcW w:w="120" w:type="dxa"/>
            <w:vAlign w:val="bottom"/>
            <w:shd w:val="clear" w:color="auto" w:fill="C0C0C0"/>
          </w:tcPr>
          <w:p>
            <w:pPr>
              <w:spacing w:after="0"/>
              <w:rPr>
                <w:sz w:val="17"/>
                <w:szCs w:val="17"/>
                <w:color w:val="auto"/>
              </w:rPr>
            </w:pPr>
          </w:p>
        </w:tc>
        <w:tc>
          <w:tcPr>
            <w:tcW w:w="140" w:type="dxa"/>
            <w:vAlign w:val="bottom"/>
            <w:tcBorders>
              <w:bottom w:val="single" w:sz="8" w:color="auto"/>
            </w:tcBorders>
            <w:shd w:val="clear" w:color="auto" w:fill="C0C0C0"/>
          </w:tcPr>
          <w:p>
            <w:pPr>
              <w:spacing w:after="0"/>
              <w:rPr>
                <w:sz w:val="17"/>
                <w:szCs w:val="17"/>
                <w:color w:val="auto"/>
              </w:rPr>
            </w:pPr>
          </w:p>
        </w:tc>
        <w:tc>
          <w:tcPr>
            <w:tcW w:w="600" w:type="dxa"/>
            <w:vAlign w:val="bottom"/>
            <w:tcBorders>
              <w:bottom w:val="single" w:sz="8" w:color="auto"/>
            </w:tcBorders>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80" w:type="dxa"/>
            <w:vAlign w:val="bottom"/>
            <w:tcBorders>
              <w:bottom w:val="single" w:sz="8" w:color="auto"/>
            </w:tcBorders>
            <w:shd w:val="clear" w:color="auto" w:fill="C0C0C0"/>
          </w:tcPr>
          <w:p>
            <w:pPr>
              <w:spacing w:after="0"/>
              <w:rPr>
                <w:sz w:val="17"/>
                <w:szCs w:val="17"/>
                <w:color w:val="auto"/>
              </w:rPr>
            </w:pPr>
          </w:p>
        </w:tc>
        <w:tc>
          <w:tcPr>
            <w:tcW w:w="740" w:type="dxa"/>
            <w:vAlign w:val="bottom"/>
            <w:tcBorders>
              <w:bottom w:val="single" w:sz="8" w:color="auto"/>
            </w:tcBorders>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C0C0C0"/>
            </w:tcBorders>
            <w:shd w:val="clear" w:color="auto" w:fill="C0C0C0"/>
          </w:tcPr>
          <w:p>
            <w:pPr>
              <w:jc w:val="right"/>
              <w:ind w:right="29"/>
              <w:spacing w:after="0"/>
              <w:rPr>
                <w:sz w:val="20"/>
                <w:szCs w:val="20"/>
                <w:color w:val="auto"/>
              </w:rPr>
            </w:pPr>
            <w:r>
              <w:rPr>
                <w:rFonts w:ascii="Arial" w:cs="Arial" w:eastAsia="Arial" w:hAnsi="Arial"/>
                <w:sz w:val="14"/>
                <w:szCs w:val="14"/>
                <w:color w:val="auto"/>
              </w:rPr>
              <w:t>1,128</w:t>
            </w:r>
          </w:p>
        </w:tc>
        <w:tc>
          <w:tcPr>
            <w:tcW w:w="180" w:type="dxa"/>
            <w:vAlign w:val="bottom"/>
            <w:tcBorders>
              <w:bottom w:val="single" w:sz="8" w:color="auto"/>
            </w:tcBorders>
            <w:shd w:val="clear" w:color="auto" w:fill="C0C0C0"/>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0C0C0"/>
          </w:tcPr>
          <w:p>
            <w:pPr>
              <w:spacing w:after="0"/>
              <w:rPr>
                <w:sz w:val="17"/>
                <w:szCs w:val="17"/>
                <w:color w:val="auto"/>
              </w:rPr>
            </w:pPr>
          </w:p>
        </w:tc>
        <w:tc>
          <w:tcPr>
            <w:tcW w:w="180" w:type="dxa"/>
            <w:vAlign w:val="bottom"/>
            <w:tcBorders>
              <w:bottom w:val="single" w:sz="8" w:color="auto"/>
            </w:tcBorders>
            <w:shd w:val="clear" w:color="auto" w:fill="C0C0C0"/>
          </w:tcPr>
          <w:p>
            <w:pPr>
              <w:spacing w:after="0"/>
              <w:rPr>
                <w:sz w:val="17"/>
                <w:szCs w:val="17"/>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1,128</w:t>
            </w:r>
          </w:p>
        </w:tc>
        <w:tc>
          <w:tcPr>
            <w:tcW w:w="100" w:type="dxa"/>
            <w:vAlign w:val="bottom"/>
            <w:shd w:val="clear" w:color="auto" w:fill="C0C0C0"/>
          </w:tcPr>
          <w:p>
            <w:pPr>
              <w:spacing w:after="0"/>
              <w:rPr>
                <w:sz w:val="17"/>
                <w:szCs w:val="17"/>
                <w:color w:val="auto"/>
              </w:rPr>
            </w:pPr>
          </w:p>
        </w:tc>
        <w:tc>
          <w:tcPr>
            <w:tcW w:w="180" w:type="dxa"/>
            <w:vAlign w:val="bottom"/>
            <w:tcBorders>
              <w:bottom w:val="single" w:sz="8" w:color="auto"/>
            </w:tcBorders>
            <w:shd w:val="clear" w:color="auto" w:fill="C0C0C0"/>
          </w:tcPr>
          <w:p>
            <w:pPr>
              <w:spacing w:after="0"/>
              <w:rPr>
                <w:sz w:val="17"/>
                <w:szCs w:val="17"/>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(141)</w:t>
            </w:r>
          </w:p>
        </w:tc>
      </w:tr>
      <w:tr>
        <w:trPr>
          <w:trHeight w:val="188"/>
        </w:trPr>
        <w:tc>
          <w:tcPr>
            <w:tcW w:w="13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363,061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1,128</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364,189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(2,350)</w:t>
            </w:r>
          </w:p>
        </w:tc>
      </w:tr>
      <w:tr>
        <w:trPr>
          <w:trHeight w:val="184"/>
        </w:trPr>
        <w:tc>
          <w:tcPr>
            <w:tcW w:w="13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r>
      <w:tr>
        <w:trPr>
          <w:trHeight w:val="197"/>
        </w:trPr>
        <w:tc>
          <w:tcPr>
            <w:tcW w:w="6240" w:type="dxa"/>
            <w:vAlign w:val="bottom"/>
            <w:gridSpan w:val="2"/>
            <w:shd w:val="clear" w:color="auto" w:fill="C0C0C0"/>
          </w:tcPr>
          <w:p>
            <w:pPr>
              <w:spacing w:after="0"/>
              <w:rPr>
                <w:sz w:val="20"/>
                <w:szCs w:val="20"/>
                <w:color w:val="auto"/>
              </w:rPr>
            </w:pPr>
            <w:r>
              <w:rPr>
                <w:rFonts w:ascii="Arial" w:cs="Arial" w:eastAsia="Arial" w:hAnsi="Arial"/>
                <w:sz w:val="14"/>
                <w:szCs w:val="14"/>
                <w:i w:val="1"/>
                <w:iCs w:val="1"/>
                <w:color w:val="auto"/>
              </w:rPr>
              <w:t>Restricted</w:t>
            </w:r>
          </w:p>
        </w:tc>
        <w:tc>
          <w:tcPr>
            <w:tcW w:w="1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74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680" w:type="dxa"/>
            <w:vAlign w:val="bottom"/>
            <w:tcBorders>
              <w:right w:val="single" w:sz="8" w:color="C0C0C0"/>
            </w:tcBorders>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6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r>
      <w:tr>
        <w:trPr>
          <w:trHeight w:val="191"/>
        </w:trPr>
        <w:tc>
          <w:tcPr>
            <w:tcW w:w="6240" w:type="dxa"/>
            <w:vAlign w:val="bottom"/>
            <w:tcBorders>
              <w:bottom w:val="single" w:sz="8" w:color="C0C0C0"/>
            </w:tcBorders>
            <w:gridSpan w:val="2"/>
          </w:tcPr>
          <w:p>
            <w:pPr>
              <w:ind w:left="260"/>
              <w:spacing w:after="0"/>
              <w:rPr>
                <w:sz w:val="20"/>
                <w:szCs w:val="20"/>
                <w:color w:val="auto"/>
              </w:rPr>
            </w:pPr>
            <w:r>
              <w:rPr>
                <w:rFonts w:ascii="Arial" w:cs="Arial" w:eastAsia="Arial" w:hAnsi="Arial"/>
                <w:sz w:val="14"/>
                <w:szCs w:val="14"/>
                <w:color w:val="auto"/>
              </w:rPr>
              <w:t>U.S. government obligations</w:t>
            </w:r>
          </w:p>
        </w:tc>
        <w:tc>
          <w:tcPr>
            <w:tcW w:w="120" w:type="dxa"/>
            <w:vAlign w:val="bottom"/>
            <w:tcBorders>
              <w:bottom w:val="single" w:sz="8" w:color="C0C0C0"/>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6,154</w:t>
            </w:r>
          </w:p>
        </w:tc>
        <w:tc>
          <w:tcPr>
            <w:tcW w:w="120" w:type="dxa"/>
            <w:vAlign w:val="bottom"/>
            <w:tcBorders>
              <w:bottom w:val="single" w:sz="8" w:color="C0C0C0"/>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0C0C0"/>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0C0C0"/>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6,154</w:t>
            </w:r>
          </w:p>
        </w:tc>
        <w:tc>
          <w:tcPr>
            <w:tcW w:w="100" w:type="dxa"/>
            <w:vAlign w:val="bottom"/>
            <w:tcBorders>
              <w:bottom w:val="single" w:sz="8" w:color="C0C0C0"/>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188"/>
        </w:trPr>
        <w:tc>
          <w:tcPr>
            <w:tcW w:w="1340" w:type="dxa"/>
            <w:vAlign w:val="bottom"/>
            <w:shd w:val="clear" w:color="auto" w:fill="C0C0C0"/>
          </w:tcPr>
          <w:p>
            <w:pPr>
              <w:spacing w:after="0"/>
              <w:rPr>
                <w:sz w:val="16"/>
                <w:szCs w:val="16"/>
                <w:color w:val="auto"/>
              </w:rPr>
            </w:pPr>
          </w:p>
        </w:tc>
        <w:tc>
          <w:tcPr>
            <w:tcW w:w="490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140" w:type="dxa"/>
            <w:vAlign w:val="bottom"/>
            <w:tcBorders>
              <w:bottom w:val="single" w:sz="8" w:color="auto"/>
            </w:tcBorders>
            <w:shd w:val="clear" w:color="auto" w:fill="C0C0C0"/>
          </w:tcPr>
          <w:p>
            <w:pPr>
              <w:spacing w:after="0"/>
              <w:rPr>
                <w:sz w:val="16"/>
                <w:szCs w:val="16"/>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6,154</w:t>
            </w:r>
          </w:p>
        </w:tc>
        <w:tc>
          <w:tcPr>
            <w:tcW w:w="120" w:type="dxa"/>
            <w:vAlign w:val="bottom"/>
            <w:shd w:val="clear" w:color="auto" w:fill="C0C0C0"/>
          </w:tcPr>
          <w:p>
            <w:pPr>
              <w:spacing w:after="0"/>
              <w:rPr>
                <w:sz w:val="16"/>
                <w:szCs w:val="16"/>
                <w:color w:val="auto"/>
              </w:rPr>
            </w:pPr>
          </w:p>
        </w:tc>
        <w:tc>
          <w:tcPr>
            <w:tcW w:w="80" w:type="dxa"/>
            <w:vAlign w:val="bottom"/>
            <w:tcBorders>
              <w:bottom w:val="single" w:sz="8" w:color="auto"/>
            </w:tcBorders>
            <w:shd w:val="clear" w:color="auto" w:fill="C0C0C0"/>
          </w:tcPr>
          <w:p>
            <w:pPr>
              <w:spacing w:after="0"/>
              <w:rPr>
                <w:sz w:val="16"/>
                <w:szCs w:val="16"/>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0C0C0"/>
          </w:tcPr>
          <w:p>
            <w:pPr>
              <w:spacing w:after="0"/>
              <w:rPr>
                <w:sz w:val="16"/>
                <w:szCs w:val="16"/>
                <w:color w:val="auto"/>
              </w:rPr>
            </w:pPr>
          </w:p>
        </w:tc>
        <w:tc>
          <w:tcPr>
            <w:tcW w:w="100" w:type="dxa"/>
            <w:vAlign w:val="bottom"/>
            <w:tcBorders>
              <w:bottom w:val="single" w:sz="8" w:color="auto"/>
            </w:tcBorders>
            <w:shd w:val="clear" w:color="auto" w:fill="C0C0C0"/>
          </w:tcPr>
          <w:p>
            <w:pPr>
              <w:spacing w:after="0"/>
              <w:rPr>
                <w:sz w:val="16"/>
                <w:szCs w:val="16"/>
                <w:color w:val="auto"/>
              </w:rPr>
            </w:pPr>
          </w:p>
        </w:tc>
        <w:tc>
          <w:tcPr>
            <w:tcW w:w="680" w:type="dxa"/>
            <w:vAlign w:val="bottom"/>
            <w:tcBorders>
              <w:bottom w:val="single" w:sz="8" w:color="auto"/>
              <w:right w:val="single" w:sz="8" w:color="C0C0C0"/>
            </w:tcBorders>
            <w:shd w:val="clear" w:color="auto" w:fill="C0C0C0"/>
          </w:tcPr>
          <w:p>
            <w:pPr>
              <w:spacing w:after="0"/>
              <w:rPr>
                <w:sz w:val="16"/>
                <w:szCs w:val="16"/>
                <w:color w:val="auto"/>
              </w:rPr>
            </w:pPr>
          </w:p>
        </w:tc>
        <w:tc>
          <w:tcPr>
            <w:tcW w:w="180" w:type="dxa"/>
            <w:vAlign w:val="bottom"/>
            <w:tcBorders>
              <w:bottom w:val="single" w:sz="8" w:color="auto"/>
            </w:tcBorders>
            <w:shd w:val="clear" w:color="auto" w:fill="C0C0C0"/>
          </w:tcPr>
          <w:p>
            <w:pPr>
              <w:spacing w:after="0"/>
              <w:rPr>
                <w:sz w:val="16"/>
                <w:szCs w:val="16"/>
                <w:color w:val="auto"/>
              </w:rPr>
            </w:pPr>
          </w:p>
        </w:tc>
        <w:tc>
          <w:tcPr>
            <w:tcW w:w="620" w:type="dxa"/>
            <w:vAlign w:val="bottom"/>
            <w:tcBorders>
              <w:bottom w:val="single" w:sz="8" w:color="auto"/>
            </w:tcBorders>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180" w:type="dxa"/>
            <w:vAlign w:val="bottom"/>
            <w:tcBorders>
              <w:bottom w:val="single" w:sz="8" w:color="auto"/>
            </w:tcBorders>
            <w:shd w:val="clear" w:color="auto" w:fill="C0C0C0"/>
          </w:tcPr>
          <w:p>
            <w:pPr>
              <w:spacing w:after="0"/>
              <w:rPr>
                <w:sz w:val="16"/>
                <w:szCs w:val="16"/>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6,154</w:t>
            </w:r>
          </w:p>
        </w:tc>
        <w:tc>
          <w:tcPr>
            <w:tcW w:w="100" w:type="dxa"/>
            <w:vAlign w:val="bottom"/>
            <w:shd w:val="clear" w:color="auto" w:fill="C0C0C0"/>
          </w:tcPr>
          <w:p>
            <w:pPr>
              <w:spacing w:after="0"/>
              <w:rPr>
                <w:sz w:val="16"/>
                <w:szCs w:val="16"/>
                <w:color w:val="auto"/>
              </w:rPr>
            </w:pPr>
          </w:p>
        </w:tc>
        <w:tc>
          <w:tcPr>
            <w:tcW w:w="180" w:type="dxa"/>
            <w:vAlign w:val="bottom"/>
            <w:tcBorders>
              <w:bottom w:val="single" w:sz="8" w:color="auto"/>
            </w:tcBorders>
            <w:shd w:val="clear" w:color="auto" w:fill="C0C0C0"/>
          </w:tcPr>
          <w:p>
            <w:pPr>
              <w:spacing w:after="0"/>
              <w:rPr>
                <w:sz w:val="16"/>
                <w:szCs w:val="16"/>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(18)</w:t>
            </w:r>
          </w:p>
        </w:tc>
      </w:tr>
      <w:tr>
        <w:trPr>
          <w:trHeight w:val="184"/>
        </w:trPr>
        <w:tc>
          <w:tcPr>
            <w:tcW w:w="13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91"/>
        </w:trPr>
        <w:tc>
          <w:tcPr>
            <w:tcW w:w="1340" w:type="dxa"/>
            <w:vAlign w:val="bottom"/>
            <w:shd w:val="clear" w:color="auto" w:fill="C0C0C0"/>
          </w:tcPr>
          <w:p>
            <w:pPr>
              <w:spacing w:after="0"/>
              <w:rPr>
                <w:sz w:val="16"/>
                <w:szCs w:val="16"/>
                <w:color w:val="auto"/>
              </w:rPr>
            </w:pPr>
          </w:p>
        </w:tc>
        <w:tc>
          <w:tcPr>
            <w:tcW w:w="4900" w:type="dxa"/>
            <w:vAlign w:val="bottom"/>
            <w:shd w:val="clear" w:color="auto" w:fill="C0C0C0"/>
          </w:tcPr>
          <w:p>
            <w:pPr>
              <w:spacing w:after="0"/>
              <w:rPr>
                <w:sz w:val="16"/>
                <w:szCs w:val="16"/>
                <w:color w:val="auto"/>
              </w:rPr>
            </w:pPr>
          </w:p>
        </w:tc>
        <w:tc>
          <w:tcPr>
            <w:tcW w:w="26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369,215</w:t>
            </w:r>
          </w:p>
        </w:tc>
        <w:tc>
          <w:tcPr>
            <w:tcW w:w="120" w:type="dxa"/>
            <w:vAlign w:val="bottom"/>
            <w:shd w:val="clear" w:color="auto" w:fill="C0C0C0"/>
          </w:tcPr>
          <w:p>
            <w:pPr>
              <w:spacing w:after="0"/>
              <w:rPr>
                <w:sz w:val="16"/>
                <w:szCs w:val="16"/>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(2,227)</w:t>
            </w:r>
          </w:p>
        </w:tc>
        <w:tc>
          <w:tcPr>
            <w:tcW w:w="10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0C0C0"/>
            </w:tcBorders>
            <w:shd w:val="clear" w:color="auto" w:fill="C0C0C0"/>
          </w:tcPr>
          <w:p>
            <w:pPr>
              <w:jc w:val="right"/>
              <w:ind w:right="29"/>
              <w:spacing w:after="0"/>
              <w:rPr>
                <w:sz w:val="20"/>
                <w:szCs w:val="20"/>
                <w:color w:val="auto"/>
              </w:rPr>
            </w:pPr>
            <w:r>
              <w:rPr>
                <w:rFonts w:ascii="Arial" w:cs="Arial" w:eastAsia="Arial" w:hAnsi="Arial"/>
                <w:sz w:val="14"/>
                <w:szCs w:val="14"/>
                <w:color w:val="auto"/>
              </w:rPr>
              <w:t>1,128</w:t>
            </w:r>
          </w:p>
        </w:tc>
        <w:tc>
          <w:tcPr>
            <w:tcW w:w="18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0C0C0"/>
          </w:tcPr>
          <w:p>
            <w:pPr>
              <w:spacing w:after="0"/>
              <w:rPr>
                <w:sz w:val="16"/>
                <w:szCs w:val="16"/>
                <w:color w:val="auto"/>
              </w:rPr>
            </w:pPr>
          </w:p>
        </w:tc>
        <w:tc>
          <w:tcPr>
            <w:tcW w:w="18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370,343</w:t>
            </w:r>
          </w:p>
        </w:tc>
        <w:tc>
          <w:tcPr>
            <w:tcW w:w="100" w:type="dxa"/>
            <w:vAlign w:val="bottom"/>
            <w:shd w:val="clear" w:color="auto" w:fill="C0C0C0"/>
          </w:tcPr>
          <w:p>
            <w:pPr>
              <w:spacing w:after="0"/>
              <w:rPr>
                <w:sz w:val="16"/>
                <w:szCs w:val="16"/>
                <w:color w:val="auto"/>
              </w:rPr>
            </w:pPr>
          </w:p>
        </w:tc>
        <w:tc>
          <w:tcPr>
            <w:tcW w:w="18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(2,368)</w:t>
            </w:r>
          </w:p>
        </w:tc>
      </w:tr>
      <w:tr>
        <w:trPr>
          <w:trHeight w:val="28"/>
        </w:trPr>
        <w:tc>
          <w:tcPr>
            <w:tcW w:w="1340" w:type="dxa"/>
            <w:vAlign w:val="bottom"/>
            <w:shd w:val="clear" w:color="auto" w:fill="C0C0C0"/>
          </w:tcPr>
          <w:p>
            <w:pPr>
              <w:spacing w:after="0"/>
              <w:rPr>
                <w:sz w:val="2"/>
                <w:szCs w:val="2"/>
                <w:color w:val="auto"/>
              </w:rPr>
            </w:pPr>
          </w:p>
        </w:tc>
        <w:tc>
          <w:tcPr>
            <w:tcW w:w="4900" w:type="dxa"/>
            <w:vAlign w:val="bottom"/>
            <w:shd w:val="clear" w:color="auto" w:fill="C0C0C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tcBorders>
              <w:right w:val="single" w:sz="8" w:color="C0C0C0"/>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r>
    </w:tbl>
    <w:p>
      <w:pPr>
        <w:spacing w:after="0" w:line="223" w:lineRule="exact"/>
        <w:rPr>
          <w:sz w:val="20"/>
          <w:szCs w:val="20"/>
          <w:color w:val="auto"/>
        </w:rPr>
      </w:pPr>
    </w:p>
    <w:p>
      <w:pPr>
        <w:jc w:val="both"/>
        <w:ind w:firstLine="241"/>
        <w:spacing w:after="0" w:line="276" w:lineRule="auto"/>
        <w:rPr>
          <w:sz w:val="20"/>
          <w:szCs w:val="20"/>
          <w:color w:val="auto"/>
        </w:rPr>
      </w:pPr>
      <w:r>
        <w:rPr>
          <w:rFonts w:ascii="Arial" w:cs="Arial" w:eastAsia="Arial" w:hAnsi="Arial"/>
          <w:sz w:val="14"/>
          <w:szCs w:val="14"/>
          <w:color w:val="auto"/>
        </w:rPr>
        <w:t>Realized gains and losses are included as a component of investment income. For the three and nine months ended September 30, 2011 and 2010, realized gains and losses on sales of marketable securities were not significant. In computing realized gains and losses, the Company computes the cost of its investments on a specific identification basis. Such cost includes the direct costs to acquire the security, adjusted for the amortization of any discount or premium.</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REGENERON PHARMACEUTICALS, INC.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Condensed Financial Statements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(Unless otherwise noted, dollars in thousands, except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160" w:type="dxa"/>
            <w:vAlign w:val="bottom"/>
            <w:gridSpan w:val="8"/>
          </w:tcPr>
          <w:p>
            <w:pPr>
              <w:ind w:left="220"/>
              <w:spacing w:after="0"/>
              <w:rPr>
                <w:sz w:val="20"/>
                <w:szCs w:val="20"/>
                <w:color w:val="auto"/>
              </w:rPr>
            </w:pPr>
            <w:r>
              <w:rPr>
                <w:rFonts w:ascii="Arial" w:cs="Arial" w:eastAsia="Arial" w:hAnsi="Arial"/>
                <w:sz w:val="14"/>
                <w:szCs w:val="14"/>
                <w:color w:val="auto"/>
                <w:w w:val="90"/>
              </w:rPr>
              <w:t>The Company’s assets that are measured at fair value on a recurring basis</w:t>
            </w:r>
            <w:r>
              <w:rPr>
                <w:rFonts w:ascii="Arial" w:cs="Arial" w:eastAsia="Arial" w:hAnsi="Arial"/>
                <w:sz w:val="14"/>
                <w:szCs w:val="14"/>
                <w:i w:val="1"/>
                <w:iCs w:val="1"/>
                <w:color w:val="auto"/>
                <w:w w:val="90"/>
              </w:rPr>
              <w:t>,</w:t>
            </w:r>
            <w:r>
              <w:rPr>
                <w:rFonts w:ascii="Arial" w:cs="Arial" w:eastAsia="Arial" w:hAnsi="Arial"/>
                <w:sz w:val="14"/>
                <w:szCs w:val="14"/>
                <w:color w:val="auto"/>
                <w:w w:val="90"/>
              </w:rPr>
              <w:t xml:space="preserve"> at September 30, 2011 and December 31, 2010, were as follows:</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90"/>
        </w:trPr>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5"/>
              </w:rPr>
              <w:t>Fair Value Measurements at Reporting Date Using</w:t>
            </w:r>
          </w:p>
        </w:tc>
        <w:tc>
          <w:tcPr>
            <w:tcW w:w="20" w:type="dxa"/>
            <w:vAlign w:val="bottom"/>
          </w:tcPr>
          <w:p>
            <w:pPr>
              <w:spacing w:after="0"/>
              <w:rPr>
                <w:sz w:val="24"/>
                <w:szCs w:val="24"/>
                <w:color w:val="auto"/>
              </w:rPr>
            </w:pPr>
          </w:p>
        </w:tc>
      </w:tr>
      <w:tr>
        <w:trPr>
          <w:trHeight w:val="182"/>
        </w:trPr>
        <w:tc>
          <w:tcPr>
            <w:tcW w:w="1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Quoted Prices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7"/>
        </w:trPr>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 Active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Markets for</w:t>
            </w:r>
          </w:p>
        </w:tc>
        <w:tc>
          <w:tcPr>
            <w:tcW w:w="1380" w:type="dxa"/>
            <w:vAlign w:val="bottom"/>
            <w:gridSpan w:val="4"/>
          </w:tcPr>
          <w:p>
            <w:pPr>
              <w:ind w:left="100"/>
              <w:spacing w:after="0"/>
              <w:rPr>
                <w:sz w:val="20"/>
                <w:szCs w:val="20"/>
                <w:color w:val="auto"/>
              </w:rPr>
            </w:pPr>
            <w:r>
              <w:rPr>
                <w:rFonts w:ascii="Arial" w:cs="Arial" w:eastAsia="Arial" w:hAnsi="Arial"/>
                <w:sz w:val="14"/>
                <w:szCs w:val="14"/>
                <w:b w:val="1"/>
                <w:bCs w:val="1"/>
                <w:color w:val="auto"/>
              </w:rPr>
              <w:t>Significant Other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7"/>
                <w:szCs w:val="17"/>
                <w:color w:val="auto"/>
              </w:rPr>
            </w:pPr>
          </w:p>
        </w:tc>
      </w:tr>
      <w:tr>
        <w:trPr>
          <w:trHeight w:val="197"/>
        </w:trPr>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Identical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Observable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7"/>
                <w:szCs w:val="17"/>
                <w:color w:val="auto"/>
              </w:rPr>
            </w:pPr>
          </w:p>
        </w:tc>
      </w:tr>
      <w:tr>
        <w:trPr>
          <w:trHeight w:val="197"/>
        </w:trPr>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Inputs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7"/>
                <w:szCs w:val="17"/>
                <w:color w:val="auto"/>
              </w:rPr>
            </w:pPr>
          </w:p>
        </w:tc>
      </w:tr>
      <w:tr>
        <w:trPr>
          <w:trHeight w:val="188"/>
        </w:trPr>
        <w:tc>
          <w:tcPr>
            <w:tcW w:w="4100" w:type="dxa"/>
            <w:vAlign w:val="bottom"/>
            <w:gridSpan w:val="3"/>
          </w:tcPr>
          <w:p>
            <w:pPr>
              <w:spacing w:after="0"/>
              <w:rPr>
                <w:sz w:val="20"/>
                <w:szCs w:val="20"/>
                <w:color w:val="auto"/>
              </w:rPr>
            </w:pPr>
            <w:r>
              <w:rPr>
                <w:rFonts w:ascii="Arial" w:cs="Arial" w:eastAsia="Arial" w:hAnsi="Arial"/>
                <w:sz w:val="15"/>
                <w:szCs w:val="15"/>
                <w:b w:val="1"/>
                <w:bCs w:val="1"/>
                <w:color w:val="auto"/>
              </w:rPr>
              <w:t>At September 30, 2011</w:t>
            </w:r>
          </w:p>
        </w:tc>
        <w:tc>
          <w:tcPr>
            <w:tcW w:w="3000" w:type="dxa"/>
            <w:vAlign w:val="bottom"/>
          </w:tcPr>
          <w:p>
            <w:pPr>
              <w:spacing w:after="0"/>
              <w:rPr>
                <w:sz w:val="16"/>
                <w:szCs w:val="16"/>
                <w:color w:val="auto"/>
              </w:rPr>
            </w:pPr>
          </w:p>
        </w:tc>
        <w:tc>
          <w:tcPr>
            <w:tcW w:w="1060" w:type="dxa"/>
            <w:vAlign w:val="bottom"/>
            <w:gridSpan w:val="4"/>
          </w:tcPr>
          <w:p>
            <w:pPr>
              <w:ind w:left="2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(Level 3)</w:t>
            </w:r>
          </w:p>
        </w:tc>
        <w:tc>
          <w:tcPr>
            <w:tcW w:w="20" w:type="dxa"/>
            <w:vAlign w:val="bottom"/>
          </w:tcPr>
          <w:p>
            <w:pPr>
              <w:spacing w:after="0"/>
              <w:rPr>
                <w:sz w:val="16"/>
                <w:szCs w:val="16"/>
                <w:color w:val="auto"/>
              </w:rPr>
            </w:pPr>
          </w:p>
        </w:tc>
      </w:tr>
      <w:tr>
        <w:trPr>
          <w:trHeight w:val="20"/>
        </w:trPr>
        <w:tc>
          <w:tcPr>
            <w:tcW w:w="1380" w:type="dxa"/>
            <w:vAlign w:val="bottom"/>
            <w:tcBorders>
              <w:top w:val="single" w:sz="8" w:color="auto"/>
              <w:bottom w:val="single" w:sz="8" w:color="C0C0C0"/>
            </w:tcBorders>
          </w:tcPr>
          <w:p>
            <w:pPr>
              <w:spacing w:after="0" w:line="20" w:lineRule="exact"/>
              <w:rPr>
                <w:sz w:val="1"/>
                <w:szCs w:val="1"/>
                <w:color w:val="auto"/>
              </w:rPr>
            </w:pPr>
          </w:p>
        </w:tc>
        <w:tc>
          <w:tcPr>
            <w:tcW w:w="40" w:type="dxa"/>
            <w:vAlign w:val="bottom"/>
            <w:tcBorders>
              <w:top w:val="single" w:sz="8" w:color="auto"/>
              <w:bottom w:val="single" w:sz="8" w:color="C0C0C0"/>
            </w:tcBorders>
          </w:tcPr>
          <w:p>
            <w:pPr>
              <w:spacing w:after="0" w:line="20" w:lineRule="exact"/>
              <w:rPr>
                <w:sz w:val="1"/>
                <w:szCs w:val="1"/>
                <w:color w:val="auto"/>
              </w:rPr>
            </w:pPr>
          </w:p>
        </w:tc>
        <w:tc>
          <w:tcPr>
            <w:tcW w:w="2680" w:type="dxa"/>
            <w:vAlign w:val="bottom"/>
            <w:tcBorders>
              <w:bottom w:val="single" w:sz="8" w:color="C0C0C0"/>
            </w:tcBorders>
          </w:tcPr>
          <w:p>
            <w:pPr>
              <w:spacing w:after="0" w:line="20" w:lineRule="exact"/>
              <w:rPr>
                <w:sz w:val="1"/>
                <w:szCs w:val="1"/>
                <w:color w:val="auto"/>
              </w:rPr>
            </w:pPr>
          </w:p>
        </w:tc>
        <w:tc>
          <w:tcPr>
            <w:tcW w:w="3000" w:type="dxa"/>
            <w:vAlign w:val="bottom"/>
            <w:tcBorders>
              <w:bottom w:val="single" w:sz="8" w:color="C0C0C0"/>
            </w:tcBorders>
          </w:tcPr>
          <w:p>
            <w:pPr>
              <w:spacing w:after="0" w:line="20" w:lineRule="exact"/>
              <w:rPr>
                <w:sz w:val="1"/>
                <w:szCs w:val="1"/>
                <w:color w:val="auto"/>
              </w:rPr>
            </w:pPr>
          </w:p>
        </w:tc>
        <w:tc>
          <w:tcPr>
            <w:tcW w:w="220" w:type="dxa"/>
            <w:vAlign w:val="bottom"/>
            <w:tcBorders>
              <w:bottom w:val="single" w:sz="8" w:color="C0C0C0"/>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0C0C0"/>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0C0C0"/>
            </w:tcBorders>
          </w:tcPr>
          <w:p>
            <w:pPr>
              <w:spacing w:after="0" w:line="20" w:lineRule="exact"/>
              <w:rPr>
                <w:sz w:val="1"/>
                <w:szCs w:val="1"/>
                <w:color w:val="auto"/>
              </w:rPr>
            </w:pPr>
          </w:p>
        </w:tc>
        <w:tc>
          <w:tcPr>
            <w:tcW w:w="100" w:type="dxa"/>
            <w:vAlign w:val="bottom"/>
            <w:tcBorders>
              <w:bottom w:val="single" w:sz="8" w:color="C0C0C0"/>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0C0C0"/>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0"/>
        </w:trPr>
        <w:tc>
          <w:tcPr>
            <w:tcW w:w="4100" w:type="dxa"/>
            <w:vAlign w:val="bottom"/>
            <w:gridSpan w:val="3"/>
            <w:shd w:val="clear" w:color="auto" w:fill="C0C0C0"/>
          </w:tcPr>
          <w:p>
            <w:pPr>
              <w:spacing w:after="0"/>
              <w:rPr>
                <w:sz w:val="20"/>
                <w:szCs w:val="20"/>
                <w:color w:val="auto"/>
              </w:rPr>
            </w:pPr>
            <w:r>
              <w:rPr>
                <w:rFonts w:ascii="Arial" w:cs="Arial" w:eastAsia="Arial" w:hAnsi="Arial"/>
                <w:sz w:val="14"/>
                <w:szCs w:val="14"/>
                <w:i w:val="1"/>
                <w:iCs w:val="1"/>
                <w:color w:val="auto"/>
              </w:rPr>
              <w:t>Unrestricted</w:t>
            </w:r>
          </w:p>
        </w:tc>
        <w:tc>
          <w:tcPr>
            <w:tcW w:w="300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50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86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94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840" w:type="dxa"/>
            <w:vAlign w:val="bottom"/>
            <w:shd w:val="clear" w:color="auto" w:fill="C0C0C0"/>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4100" w:type="dxa"/>
            <w:vAlign w:val="bottom"/>
            <w:gridSpan w:val="3"/>
          </w:tcPr>
          <w:p>
            <w:pPr>
              <w:spacing w:after="0"/>
              <w:rPr>
                <w:sz w:val="20"/>
                <w:szCs w:val="20"/>
                <w:color w:val="auto"/>
              </w:rPr>
            </w:pPr>
            <w:r>
              <w:rPr>
                <w:rFonts w:ascii="Arial" w:cs="Arial" w:eastAsia="Arial" w:hAnsi="Arial"/>
                <w:sz w:val="14"/>
                <w:szCs w:val="14"/>
                <w:color w:val="auto"/>
              </w:rPr>
              <w:t>Available-for-sale marketable</w:t>
            </w:r>
          </w:p>
        </w:tc>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4"/>
        </w:trPr>
        <w:tc>
          <w:tcPr>
            <w:tcW w:w="4100" w:type="dxa"/>
            <w:vAlign w:val="bottom"/>
            <w:gridSpan w:val="3"/>
          </w:tcPr>
          <w:p>
            <w:pPr>
              <w:ind w:left="260"/>
              <w:spacing w:after="0"/>
              <w:rPr>
                <w:sz w:val="20"/>
                <w:szCs w:val="20"/>
                <w:color w:val="auto"/>
              </w:rPr>
            </w:pPr>
            <w:r>
              <w:rPr>
                <w:rFonts w:ascii="Arial" w:cs="Arial" w:eastAsia="Arial" w:hAnsi="Arial"/>
                <w:sz w:val="14"/>
                <w:szCs w:val="14"/>
                <w:color w:val="auto"/>
              </w:rPr>
              <w:t>securities</w:t>
            </w:r>
          </w:p>
        </w:tc>
        <w:tc>
          <w:tcPr>
            <w:tcW w:w="3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4100" w:type="dxa"/>
            <w:vAlign w:val="bottom"/>
            <w:gridSpan w:val="3"/>
            <w:shd w:val="clear" w:color="auto" w:fill="C0C0C0"/>
          </w:tcPr>
          <w:p>
            <w:pPr>
              <w:ind w:left="260"/>
              <w:spacing w:after="0"/>
              <w:rPr>
                <w:sz w:val="20"/>
                <w:szCs w:val="20"/>
                <w:color w:val="auto"/>
              </w:rPr>
            </w:pPr>
            <w:r>
              <w:rPr>
                <w:rFonts w:ascii="Arial" w:cs="Arial" w:eastAsia="Arial" w:hAnsi="Arial"/>
                <w:sz w:val="14"/>
                <w:szCs w:val="14"/>
                <w:color w:val="auto"/>
              </w:rPr>
              <w:t>U.S. government obligations</w:t>
            </w:r>
          </w:p>
        </w:tc>
        <w:tc>
          <w:tcPr>
            <w:tcW w:w="3340" w:type="dxa"/>
            <w:vAlign w:val="bottom"/>
            <w:gridSpan w:val="3"/>
            <w:shd w:val="clear" w:color="auto" w:fill="C0C0C0"/>
          </w:tcPr>
          <w:p>
            <w:pPr>
              <w:ind w:left="3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w w:val="98"/>
              </w:rPr>
              <w:t>241,451</w:t>
            </w:r>
          </w:p>
        </w:tc>
        <w:tc>
          <w:tcPr>
            <w:tcW w:w="100" w:type="dxa"/>
            <w:vAlign w:val="bottom"/>
            <w:shd w:val="clear" w:color="auto" w:fill="C0C0C0"/>
          </w:tcPr>
          <w:p>
            <w:pPr>
              <w:spacing w:after="0"/>
              <w:rPr>
                <w:sz w:val="17"/>
                <w:szCs w:val="17"/>
                <w:color w:val="auto"/>
              </w:rPr>
            </w:pPr>
          </w:p>
        </w:tc>
        <w:tc>
          <w:tcPr>
            <w:tcW w:w="8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220" w:type="dxa"/>
            <w:vAlign w:val="bottom"/>
            <w:gridSpan w:val="2"/>
            <w:shd w:val="clear" w:color="auto" w:fill="C0C0C0"/>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241,451</w:t>
            </w:r>
          </w:p>
        </w:tc>
        <w:tc>
          <w:tcPr>
            <w:tcW w:w="840" w:type="dxa"/>
            <w:vAlign w:val="bottom"/>
            <w:shd w:val="clear" w:color="auto" w:fill="C0C0C0"/>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4100" w:type="dxa"/>
            <w:vAlign w:val="bottom"/>
            <w:gridSpan w:val="3"/>
          </w:tcPr>
          <w:p>
            <w:pPr>
              <w:ind w:left="260"/>
              <w:spacing w:after="0"/>
              <w:rPr>
                <w:sz w:val="20"/>
                <w:szCs w:val="20"/>
                <w:color w:val="auto"/>
              </w:rPr>
            </w:pPr>
            <w:r>
              <w:rPr>
                <w:rFonts w:ascii="Arial" w:cs="Arial" w:eastAsia="Arial" w:hAnsi="Arial"/>
                <w:sz w:val="14"/>
                <w:szCs w:val="14"/>
                <w:color w:val="auto"/>
              </w:rPr>
              <w:t>U.S. government guaranteed</w:t>
            </w:r>
          </w:p>
        </w:tc>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4"/>
        </w:trPr>
        <w:tc>
          <w:tcPr>
            <w:tcW w:w="4100" w:type="dxa"/>
            <w:vAlign w:val="bottom"/>
            <w:gridSpan w:val="3"/>
          </w:tcPr>
          <w:p>
            <w:pPr>
              <w:ind w:left="500"/>
              <w:spacing w:after="0"/>
              <w:rPr>
                <w:sz w:val="20"/>
                <w:szCs w:val="20"/>
                <w:color w:val="auto"/>
              </w:rPr>
            </w:pPr>
            <w:r>
              <w:rPr>
                <w:rFonts w:ascii="Arial" w:cs="Arial" w:eastAsia="Arial" w:hAnsi="Arial"/>
                <w:sz w:val="14"/>
                <w:szCs w:val="14"/>
                <w:color w:val="auto"/>
              </w:rPr>
              <w:t>corporate bonds</w:t>
            </w:r>
          </w:p>
        </w:tc>
        <w:tc>
          <w:tcPr>
            <w:tcW w:w="3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36,766</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36,766</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4100" w:type="dxa"/>
            <w:vAlign w:val="bottom"/>
            <w:gridSpan w:val="3"/>
            <w:shd w:val="clear" w:color="auto" w:fill="C0C0C0"/>
          </w:tcPr>
          <w:p>
            <w:pPr>
              <w:ind w:left="260"/>
              <w:spacing w:after="0"/>
              <w:rPr>
                <w:sz w:val="20"/>
                <w:szCs w:val="20"/>
                <w:color w:val="auto"/>
              </w:rPr>
            </w:pPr>
            <w:r>
              <w:rPr>
                <w:rFonts w:ascii="Arial" w:cs="Arial" w:eastAsia="Arial" w:hAnsi="Arial"/>
                <w:sz w:val="14"/>
                <w:szCs w:val="14"/>
                <w:color w:val="auto"/>
              </w:rPr>
              <w:t>U.S. government guaranteed</w:t>
            </w:r>
          </w:p>
        </w:tc>
        <w:tc>
          <w:tcPr>
            <w:tcW w:w="300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50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86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94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840" w:type="dxa"/>
            <w:vAlign w:val="bottom"/>
            <w:shd w:val="clear" w:color="auto" w:fill="C0C0C0"/>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4100" w:type="dxa"/>
            <w:vAlign w:val="bottom"/>
            <w:gridSpan w:val="3"/>
            <w:shd w:val="clear" w:color="auto" w:fill="C0C0C0"/>
          </w:tcPr>
          <w:p>
            <w:pPr>
              <w:ind w:left="500"/>
              <w:spacing w:after="0"/>
              <w:rPr>
                <w:sz w:val="20"/>
                <w:szCs w:val="20"/>
                <w:color w:val="auto"/>
              </w:rPr>
            </w:pPr>
            <w:r>
              <w:rPr>
                <w:rFonts w:ascii="Arial" w:cs="Arial" w:eastAsia="Arial" w:hAnsi="Arial"/>
                <w:sz w:val="14"/>
                <w:szCs w:val="14"/>
                <w:color w:val="auto"/>
              </w:rPr>
              <w:t>collateralized mortgage obligations</w:t>
            </w:r>
          </w:p>
        </w:tc>
        <w:tc>
          <w:tcPr>
            <w:tcW w:w="300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72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rPr>
              <w:t>986</w:t>
            </w:r>
          </w:p>
        </w:tc>
        <w:tc>
          <w:tcPr>
            <w:tcW w:w="100" w:type="dxa"/>
            <w:vAlign w:val="bottom"/>
            <w:shd w:val="clear" w:color="auto" w:fill="C0C0C0"/>
          </w:tcPr>
          <w:p>
            <w:pPr>
              <w:spacing w:after="0"/>
              <w:rPr>
                <w:sz w:val="18"/>
                <w:szCs w:val="18"/>
                <w:color w:val="auto"/>
              </w:rPr>
            </w:pPr>
          </w:p>
        </w:tc>
        <w:tc>
          <w:tcPr>
            <w:tcW w:w="86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1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986</w:t>
            </w:r>
          </w:p>
        </w:tc>
        <w:tc>
          <w:tcPr>
            <w:tcW w:w="84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192"/>
        </w:trPr>
        <w:tc>
          <w:tcPr>
            <w:tcW w:w="4100" w:type="dxa"/>
            <w:vAlign w:val="bottom"/>
            <w:gridSpan w:val="3"/>
          </w:tcPr>
          <w:p>
            <w:pPr>
              <w:ind w:left="260"/>
              <w:spacing w:after="0"/>
              <w:rPr>
                <w:sz w:val="20"/>
                <w:szCs w:val="20"/>
                <w:color w:val="auto"/>
              </w:rPr>
            </w:pPr>
            <w:r>
              <w:rPr>
                <w:rFonts w:ascii="Arial" w:cs="Arial" w:eastAsia="Arial" w:hAnsi="Arial"/>
                <w:sz w:val="14"/>
                <w:szCs w:val="14"/>
                <w:color w:val="auto"/>
              </w:rPr>
              <w:t>Municipal bonds</w:t>
            </w:r>
          </w:p>
        </w:tc>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14,749</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14,749</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4100" w:type="dxa"/>
            <w:vAlign w:val="bottom"/>
            <w:gridSpan w:val="3"/>
            <w:shd w:val="clear" w:color="auto" w:fill="C0C0C0"/>
          </w:tcPr>
          <w:p>
            <w:pPr>
              <w:ind w:left="260"/>
              <w:spacing w:after="0"/>
              <w:rPr>
                <w:sz w:val="20"/>
                <w:szCs w:val="20"/>
                <w:color w:val="auto"/>
              </w:rPr>
            </w:pPr>
            <w:r>
              <w:rPr>
                <w:rFonts w:ascii="Arial" w:cs="Arial" w:eastAsia="Arial" w:hAnsi="Arial"/>
                <w:sz w:val="14"/>
                <w:szCs w:val="14"/>
                <w:color w:val="auto"/>
              </w:rPr>
              <w:t>Mortgage-backed securities</w:t>
            </w:r>
          </w:p>
        </w:tc>
        <w:tc>
          <w:tcPr>
            <w:tcW w:w="30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0C0C0"/>
          </w:tcPr>
          <w:p>
            <w:pPr>
              <w:spacing w:after="0"/>
              <w:rPr>
                <w:sz w:val="17"/>
                <w:szCs w:val="17"/>
                <w:color w:val="auto"/>
              </w:rPr>
            </w:pPr>
          </w:p>
        </w:tc>
        <w:tc>
          <w:tcPr>
            <w:tcW w:w="8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1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149</w:t>
            </w:r>
          </w:p>
        </w:tc>
        <w:tc>
          <w:tcPr>
            <w:tcW w:w="840" w:type="dxa"/>
            <w:vAlign w:val="bottom"/>
            <w:shd w:val="clear" w:color="auto" w:fill="C0C0C0"/>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4100" w:type="dxa"/>
            <w:vAlign w:val="bottom"/>
            <w:gridSpan w:val="3"/>
          </w:tcPr>
          <w:p>
            <w:pPr>
              <w:ind w:left="260"/>
              <w:spacing w:after="0"/>
              <w:rPr>
                <w:sz w:val="20"/>
                <w:szCs w:val="20"/>
                <w:color w:val="auto"/>
              </w:rPr>
            </w:pPr>
            <w:r>
              <w:rPr>
                <w:rFonts w:ascii="Arial" w:cs="Arial" w:eastAsia="Arial" w:hAnsi="Arial"/>
                <w:sz w:val="14"/>
                <w:szCs w:val="14"/>
                <w:color w:val="auto"/>
              </w:rPr>
              <w:t>Equity securities</w:t>
            </w:r>
          </w:p>
        </w:tc>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3,075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3,075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380" w:type="dxa"/>
            <w:vAlign w:val="bottom"/>
            <w:shd w:val="clear" w:color="auto" w:fill="C0C0C0"/>
          </w:tcPr>
          <w:p>
            <w:pPr>
              <w:spacing w:after="0" w:line="20" w:lineRule="exact"/>
              <w:rPr>
                <w:sz w:val="1"/>
                <w:szCs w:val="1"/>
                <w:color w:val="auto"/>
              </w:rPr>
            </w:pPr>
          </w:p>
        </w:tc>
        <w:tc>
          <w:tcPr>
            <w:tcW w:w="40" w:type="dxa"/>
            <w:vAlign w:val="bottom"/>
            <w:shd w:val="clear" w:color="auto" w:fill="C0C0C0"/>
          </w:tcPr>
          <w:p>
            <w:pPr>
              <w:spacing w:after="0" w:line="20" w:lineRule="exact"/>
              <w:rPr>
                <w:sz w:val="1"/>
                <w:szCs w:val="1"/>
                <w:color w:val="auto"/>
              </w:rPr>
            </w:pPr>
          </w:p>
        </w:tc>
        <w:tc>
          <w:tcPr>
            <w:tcW w:w="2680" w:type="dxa"/>
            <w:vAlign w:val="bottom"/>
            <w:shd w:val="clear" w:color="auto" w:fill="C0C0C0"/>
          </w:tcPr>
          <w:p>
            <w:pPr>
              <w:spacing w:after="0" w:line="20" w:lineRule="exact"/>
              <w:rPr>
                <w:sz w:val="1"/>
                <w:szCs w:val="1"/>
                <w:color w:val="auto"/>
              </w:rPr>
            </w:pPr>
          </w:p>
        </w:tc>
        <w:tc>
          <w:tcPr>
            <w:tcW w:w="3000" w:type="dxa"/>
            <w:vAlign w:val="bottom"/>
            <w:shd w:val="clear" w:color="auto" w:fill="C0C0C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840" w:type="dxa"/>
            <w:vAlign w:val="bottom"/>
            <w:shd w:val="clear" w:color="auto" w:fill="C0C0C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38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2680" w:type="dxa"/>
            <w:vAlign w:val="bottom"/>
            <w:shd w:val="clear" w:color="auto" w:fill="C0C0C0"/>
          </w:tcPr>
          <w:p>
            <w:pPr>
              <w:spacing w:after="0"/>
              <w:rPr>
                <w:sz w:val="16"/>
                <w:szCs w:val="16"/>
                <w:color w:val="auto"/>
              </w:rPr>
            </w:pPr>
          </w:p>
        </w:tc>
        <w:tc>
          <w:tcPr>
            <w:tcW w:w="300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72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w w:val="98"/>
              </w:rPr>
              <w:t>297,176</w:t>
            </w:r>
          </w:p>
        </w:tc>
        <w:tc>
          <w:tcPr>
            <w:tcW w:w="100" w:type="dxa"/>
            <w:vAlign w:val="bottom"/>
            <w:shd w:val="clear" w:color="auto" w:fill="C0C0C0"/>
          </w:tcPr>
          <w:p>
            <w:pPr>
              <w:spacing w:after="0"/>
              <w:rPr>
                <w:sz w:val="16"/>
                <w:szCs w:val="16"/>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3,075</w:t>
            </w:r>
          </w:p>
        </w:tc>
        <w:tc>
          <w:tcPr>
            <w:tcW w:w="1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11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294,101</w:t>
            </w:r>
          </w:p>
        </w:tc>
        <w:tc>
          <w:tcPr>
            <w:tcW w:w="840" w:type="dxa"/>
            <w:vAlign w:val="bottom"/>
            <w:shd w:val="clear" w:color="auto" w:fill="C0C0C0"/>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1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7"/>
        </w:trPr>
        <w:tc>
          <w:tcPr>
            <w:tcW w:w="4100" w:type="dxa"/>
            <w:vAlign w:val="bottom"/>
            <w:gridSpan w:val="3"/>
            <w:shd w:val="clear" w:color="auto" w:fill="C0C0C0"/>
          </w:tcPr>
          <w:p>
            <w:pPr>
              <w:spacing w:after="0"/>
              <w:rPr>
                <w:sz w:val="20"/>
                <w:szCs w:val="20"/>
                <w:color w:val="auto"/>
              </w:rPr>
            </w:pPr>
            <w:r>
              <w:rPr>
                <w:rFonts w:ascii="Arial" w:cs="Arial" w:eastAsia="Arial" w:hAnsi="Arial"/>
                <w:sz w:val="14"/>
                <w:szCs w:val="14"/>
                <w:i w:val="1"/>
                <w:iCs w:val="1"/>
                <w:color w:val="auto"/>
              </w:rPr>
              <w:t>Restricted</w:t>
            </w:r>
          </w:p>
        </w:tc>
        <w:tc>
          <w:tcPr>
            <w:tcW w:w="30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9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40" w:type="dxa"/>
            <w:vAlign w:val="bottom"/>
            <w:shd w:val="clear" w:color="auto" w:fill="C0C0C0"/>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4100" w:type="dxa"/>
            <w:vAlign w:val="bottom"/>
            <w:gridSpan w:val="3"/>
          </w:tcPr>
          <w:p>
            <w:pPr>
              <w:spacing w:after="0"/>
              <w:rPr>
                <w:sz w:val="20"/>
                <w:szCs w:val="20"/>
                <w:color w:val="auto"/>
              </w:rPr>
            </w:pPr>
            <w:r>
              <w:rPr>
                <w:rFonts w:ascii="Arial" w:cs="Arial" w:eastAsia="Arial" w:hAnsi="Arial"/>
                <w:sz w:val="14"/>
                <w:szCs w:val="14"/>
                <w:color w:val="auto"/>
              </w:rPr>
              <w:t>Available-for-sale marketable</w:t>
            </w:r>
          </w:p>
        </w:tc>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4"/>
        </w:trPr>
        <w:tc>
          <w:tcPr>
            <w:tcW w:w="4100" w:type="dxa"/>
            <w:vAlign w:val="bottom"/>
            <w:gridSpan w:val="3"/>
          </w:tcPr>
          <w:p>
            <w:pPr>
              <w:ind w:left="260"/>
              <w:spacing w:after="0"/>
              <w:rPr>
                <w:sz w:val="20"/>
                <w:szCs w:val="20"/>
                <w:color w:val="auto"/>
              </w:rPr>
            </w:pPr>
            <w:r>
              <w:rPr>
                <w:rFonts w:ascii="Arial" w:cs="Arial" w:eastAsia="Arial" w:hAnsi="Arial"/>
                <w:sz w:val="14"/>
                <w:szCs w:val="14"/>
                <w:color w:val="auto"/>
              </w:rPr>
              <w:t>securities</w:t>
            </w:r>
          </w:p>
        </w:tc>
        <w:tc>
          <w:tcPr>
            <w:tcW w:w="3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4100" w:type="dxa"/>
            <w:vAlign w:val="bottom"/>
            <w:gridSpan w:val="3"/>
            <w:shd w:val="clear" w:color="auto" w:fill="C0C0C0"/>
          </w:tcPr>
          <w:p>
            <w:pPr>
              <w:ind w:left="260"/>
              <w:spacing w:after="0"/>
              <w:rPr>
                <w:sz w:val="20"/>
                <w:szCs w:val="20"/>
                <w:color w:val="auto"/>
              </w:rPr>
            </w:pPr>
            <w:r>
              <w:rPr>
                <w:rFonts w:ascii="Arial" w:cs="Arial" w:eastAsia="Arial" w:hAnsi="Arial"/>
                <w:sz w:val="14"/>
                <w:szCs w:val="14"/>
                <w:color w:val="auto"/>
              </w:rPr>
              <w:t>U.S. government obligations</w:t>
            </w:r>
          </w:p>
        </w:tc>
        <w:tc>
          <w:tcPr>
            <w:tcW w:w="30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rPr>
              <w:t>7,227</w:t>
            </w:r>
          </w:p>
        </w:tc>
        <w:tc>
          <w:tcPr>
            <w:tcW w:w="100" w:type="dxa"/>
            <w:vAlign w:val="bottom"/>
            <w:shd w:val="clear" w:color="auto" w:fill="C0C0C0"/>
          </w:tcPr>
          <w:p>
            <w:pPr>
              <w:spacing w:after="0"/>
              <w:rPr>
                <w:sz w:val="17"/>
                <w:szCs w:val="17"/>
                <w:color w:val="auto"/>
              </w:rPr>
            </w:pPr>
          </w:p>
        </w:tc>
        <w:tc>
          <w:tcPr>
            <w:tcW w:w="8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1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7,227</w:t>
            </w:r>
          </w:p>
        </w:tc>
        <w:tc>
          <w:tcPr>
            <w:tcW w:w="840" w:type="dxa"/>
            <w:vAlign w:val="bottom"/>
            <w:shd w:val="clear" w:color="auto" w:fill="C0C0C0"/>
          </w:tcPr>
          <w:p>
            <w:pPr>
              <w:spacing w:after="0"/>
              <w:rPr>
                <w:sz w:val="17"/>
                <w:szCs w:val="17"/>
                <w:color w:val="auto"/>
              </w:rPr>
            </w:pPr>
          </w:p>
        </w:tc>
        <w:tc>
          <w:tcPr>
            <w:tcW w:w="20" w:type="dxa"/>
            <w:vAlign w:val="bottom"/>
          </w:tcPr>
          <w:p>
            <w:pPr>
              <w:spacing w:after="0"/>
              <w:rPr>
                <w:sz w:val="17"/>
                <w:szCs w:val="17"/>
                <w:color w:val="auto"/>
              </w:rPr>
            </w:pPr>
          </w:p>
        </w:tc>
      </w:tr>
      <w:tr>
        <w:trPr>
          <w:trHeight w:val="184"/>
        </w:trPr>
        <w:tc>
          <w:tcPr>
            <w:tcW w:w="1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138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2680" w:type="dxa"/>
            <w:vAlign w:val="bottom"/>
            <w:shd w:val="clear" w:color="auto" w:fill="C0C0C0"/>
          </w:tcPr>
          <w:p>
            <w:pPr>
              <w:spacing w:after="0"/>
              <w:rPr>
                <w:sz w:val="16"/>
                <w:szCs w:val="16"/>
                <w:color w:val="auto"/>
              </w:rPr>
            </w:pPr>
          </w:p>
        </w:tc>
        <w:tc>
          <w:tcPr>
            <w:tcW w:w="3340" w:type="dxa"/>
            <w:vAlign w:val="bottom"/>
            <w:gridSpan w:val="3"/>
            <w:shd w:val="clear" w:color="auto" w:fill="C0C0C0"/>
          </w:tcPr>
          <w:p>
            <w:pPr>
              <w:ind w:left="3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w w:val="98"/>
              </w:rPr>
              <w:t>304,403</w:t>
            </w:r>
          </w:p>
        </w:tc>
        <w:tc>
          <w:tcPr>
            <w:tcW w:w="10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3,075</w:t>
            </w:r>
          </w:p>
        </w:tc>
        <w:tc>
          <w:tcPr>
            <w:tcW w:w="120" w:type="dxa"/>
            <w:vAlign w:val="bottom"/>
            <w:shd w:val="clear" w:color="auto" w:fill="C0C0C0"/>
          </w:tcPr>
          <w:p>
            <w:pPr>
              <w:spacing w:after="0"/>
              <w:rPr>
                <w:sz w:val="16"/>
                <w:szCs w:val="16"/>
                <w:color w:val="auto"/>
              </w:rPr>
            </w:pPr>
          </w:p>
        </w:tc>
        <w:tc>
          <w:tcPr>
            <w:tcW w:w="220" w:type="dxa"/>
            <w:vAlign w:val="bottom"/>
            <w:gridSpan w:val="2"/>
            <w:shd w:val="clear" w:color="auto" w:fill="C0C0C0"/>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301,328</w:t>
            </w:r>
          </w:p>
        </w:tc>
        <w:tc>
          <w:tcPr>
            <w:tcW w:w="840" w:type="dxa"/>
            <w:vAlign w:val="bottom"/>
            <w:shd w:val="clear" w:color="auto" w:fill="C0C0C0"/>
          </w:tcPr>
          <w:p>
            <w:pPr>
              <w:spacing w:after="0"/>
              <w:rPr>
                <w:sz w:val="16"/>
                <w:szCs w:val="16"/>
                <w:color w:val="auto"/>
              </w:rPr>
            </w:pPr>
          </w:p>
        </w:tc>
        <w:tc>
          <w:tcPr>
            <w:tcW w:w="20" w:type="dxa"/>
            <w:vAlign w:val="bottom"/>
          </w:tcPr>
          <w:p>
            <w:pPr>
              <w:spacing w:after="0"/>
              <w:rPr>
                <w:sz w:val="16"/>
                <w:szCs w:val="16"/>
                <w:color w:val="auto"/>
              </w:rPr>
            </w:pPr>
          </w:p>
        </w:tc>
      </w:tr>
      <w:tr>
        <w:trPr>
          <w:trHeight w:val="27"/>
        </w:trPr>
        <w:tc>
          <w:tcPr>
            <w:tcW w:w="1380" w:type="dxa"/>
            <w:vAlign w:val="bottom"/>
            <w:shd w:val="clear" w:color="auto" w:fill="C0C0C0"/>
          </w:tcPr>
          <w:p>
            <w:pPr>
              <w:spacing w:after="0"/>
              <w:rPr>
                <w:sz w:val="2"/>
                <w:szCs w:val="2"/>
                <w:color w:val="auto"/>
              </w:rPr>
            </w:pPr>
          </w:p>
        </w:tc>
        <w:tc>
          <w:tcPr>
            <w:tcW w:w="40" w:type="dxa"/>
            <w:vAlign w:val="bottom"/>
            <w:shd w:val="clear" w:color="auto" w:fill="C0C0C0"/>
          </w:tcPr>
          <w:p>
            <w:pPr>
              <w:spacing w:after="0"/>
              <w:rPr>
                <w:sz w:val="2"/>
                <w:szCs w:val="2"/>
                <w:color w:val="auto"/>
              </w:rPr>
            </w:pPr>
          </w:p>
        </w:tc>
        <w:tc>
          <w:tcPr>
            <w:tcW w:w="2680" w:type="dxa"/>
            <w:vAlign w:val="bottom"/>
            <w:shd w:val="clear" w:color="auto" w:fill="C0C0C0"/>
          </w:tcPr>
          <w:p>
            <w:pPr>
              <w:spacing w:after="0"/>
              <w:rPr>
                <w:sz w:val="2"/>
                <w:szCs w:val="2"/>
                <w:color w:val="auto"/>
              </w:rPr>
            </w:pPr>
          </w:p>
        </w:tc>
        <w:tc>
          <w:tcPr>
            <w:tcW w:w="300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gridSpan w:val="2"/>
            <w:shd w:val="clear" w:color="auto" w:fill="C0C0C0"/>
          </w:tcPr>
          <w:p>
            <w:pPr>
              <w:spacing w:after="0"/>
              <w:rPr>
                <w:sz w:val="2"/>
                <w:szCs w:val="2"/>
                <w:color w:val="auto"/>
              </w:rPr>
            </w:pPr>
          </w:p>
        </w:tc>
        <w:tc>
          <w:tcPr>
            <w:tcW w:w="1060" w:type="dxa"/>
            <w:vAlign w:val="bottom"/>
            <w:gridSpan w:val="2"/>
            <w:shd w:val="clear" w:color="auto" w:fill="000000"/>
          </w:tcPr>
          <w:p>
            <w:pPr>
              <w:spacing w:after="0"/>
              <w:rPr>
                <w:sz w:val="2"/>
                <w:szCs w:val="2"/>
                <w:color w:val="auto"/>
              </w:rPr>
            </w:pPr>
          </w:p>
        </w:tc>
        <w:tc>
          <w:tcPr>
            <w:tcW w:w="1060" w:type="dxa"/>
            <w:vAlign w:val="bottom"/>
            <w:gridSpan w:val="2"/>
            <w:shd w:val="clear" w:color="auto" w:fill="C0C0C0"/>
          </w:tcPr>
          <w:p>
            <w:pPr>
              <w:spacing w:after="0"/>
              <w:rPr>
                <w:sz w:val="2"/>
                <w:szCs w:val="2"/>
                <w:color w:val="auto"/>
              </w:rPr>
            </w:pPr>
          </w:p>
        </w:tc>
        <w:tc>
          <w:tcPr>
            <w:tcW w:w="20" w:type="dxa"/>
            <w:vAlign w:val="bottom"/>
          </w:tcPr>
          <w:p>
            <w:pPr>
              <w:spacing w:after="0"/>
              <w:rPr>
                <w:sz w:val="2"/>
                <w:szCs w:val="2"/>
                <w:color w:val="auto"/>
              </w:rPr>
            </w:pPr>
          </w:p>
        </w:tc>
      </w:tr>
      <w:tr>
        <w:trPr>
          <w:trHeight w:val="378"/>
        </w:trPr>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5"/>
              </w:rPr>
              <w:t>Fair Value Measurements at Reporting Date Using</w:t>
            </w:r>
          </w:p>
        </w:tc>
        <w:tc>
          <w:tcPr>
            <w:tcW w:w="20" w:type="dxa"/>
            <w:vAlign w:val="bottom"/>
          </w:tcPr>
          <w:p>
            <w:pPr>
              <w:spacing w:after="0"/>
              <w:rPr>
                <w:sz w:val="24"/>
                <w:szCs w:val="24"/>
                <w:color w:val="auto"/>
              </w:rPr>
            </w:pPr>
          </w:p>
        </w:tc>
      </w:tr>
      <w:tr>
        <w:trPr>
          <w:trHeight w:val="182"/>
        </w:trPr>
        <w:tc>
          <w:tcPr>
            <w:tcW w:w="1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Quoted Prices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7"/>
        </w:trPr>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 Active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7"/>
                <w:szCs w:val="17"/>
                <w:color w:val="auto"/>
              </w:rPr>
            </w:pPr>
          </w:p>
        </w:tc>
      </w:tr>
      <w:tr>
        <w:trPr>
          <w:trHeight w:val="197"/>
        </w:trPr>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Markets for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Observable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7"/>
                <w:szCs w:val="17"/>
                <w:color w:val="auto"/>
              </w:rPr>
            </w:pPr>
          </w:p>
        </w:tc>
      </w:tr>
      <w:tr>
        <w:trPr>
          <w:trHeight w:val="197"/>
        </w:trPr>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Identical Assets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Inputs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7"/>
                <w:szCs w:val="17"/>
                <w:color w:val="auto"/>
              </w:rPr>
            </w:pPr>
          </w:p>
        </w:tc>
      </w:tr>
      <w:tr>
        <w:trPr>
          <w:trHeight w:val="188"/>
        </w:trPr>
        <w:tc>
          <w:tcPr>
            <w:tcW w:w="4100" w:type="dxa"/>
            <w:vAlign w:val="bottom"/>
            <w:gridSpan w:val="3"/>
          </w:tcPr>
          <w:p>
            <w:pPr>
              <w:spacing w:after="0"/>
              <w:rPr>
                <w:sz w:val="20"/>
                <w:szCs w:val="20"/>
                <w:color w:val="auto"/>
              </w:rPr>
            </w:pPr>
            <w:r>
              <w:rPr>
                <w:rFonts w:ascii="Arial" w:cs="Arial" w:eastAsia="Arial" w:hAnsi="Arial"/>
                <w:sz w:val="15"/>
                <w:szCs w:val="15"/>
                <w:b w:val="1"/>
                <w:bCs w:val="1"/>
                <w:color w:val="auto"/>
              </w:rPr>
              <w:t>At December 31, 2010</w:t>
            </w:r>
          </w:p>
        </w:tc>
        <w:tc>
          <w:tcPr>
            <w:tcW w:w="3000" w:type="dxa"/>
            <w:vAlign w:val="bottom"/>
          </w:tcPr>
          <w:p>
            <w:pPr>
              <w:spacing w:after="0"/>
              <w:rPr>
                <w:sz w:val="16"/>
                <w:szCs w:val="16"/>
                <w:color w:val="auto"/>
              </w:rPr>
            </w:pPr>
          </w:p>
        </w:tc>
        <w:tc>
          <w:tcPr>
            <w:tcW w:w="1060" w:type="dxa"/>
            <w:vAlign w:val="bottom"/>
            <w:gridSpan w:val="4"/>
          </w:tcPr>
          <w:p>
            <w:pPr>
              <w:ind w:left="2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(Level 3)</w:t>
            </w:r>
          </w:p>
        </w:tc>
        <w:tc>
          <w:tcPr>
            <w:tcW w:w="20" w:type="dxa"/>
            <w:vAlign w:val="bottom"/>
          </w:tcPr>
          <w:p>
            <w:pPr>
              <w:spacing w:after="0"/>
              <w:rPr>
                <w:sz w:val="16"/>
                <w:szCs w:val="16"/>
                <w:color w:val="auto"/>
              </w:rPr>
            </w:pPr>
          </w:p>
        </w:tc>
      </w:tr>
      <w:tr>
        <w:trPr>
          <w:trHeight w:val="20"/>
        </w:trPr>
        <w:tc>
          <w:tcPr>
            <w:tcW w:w="1380" w:type="dxa"/>
            <w:vAlign w:val="bottom"/>
            <w:tcBorders>
              <w:top w:val="single" w:sz="8" w:color="auto"/>
              <w:bottom w:val="single" w:sz="8" w:color="C0C0C0"/>
            </w:tcBorders>
          </w:tcPr>
          <w:p>
            <w:pPr>
              <w:spacing w:after="0" w:line="20" w:lineRule="exact"/>
              <w:rPr>
                <w:sz w:val="1"/>
                <w:szCs w:val="1"/>
                <w:color w:val="auto"/>
              </w:rPr>
            </w:pPr>
          </w:p>
        </w:tc>
        <w:tc>
          <w:tcPr>
            <w:tcW w:w="40" w:type="dxa"/>
            <w:vAlign w:val="bottom"/>
            <w:tcBorders>
              <w:bottom w:val="single" w:sz="8" w:color="C0C0C0"/>
            </w:tcBorders>
          </w:tcPr>
          <w:p>
            <w:pPr>
              <w:spacing w:after="0" w:line="20" w:lineRule="exact"/>
              <w:rPr>
                <w:sz w:val="1"/>
                <w:szCs w:val="1"/>
                <w:color w:val="auto"/>
              </w:rPr>
            </w:pPr>
          </w:p>
        </w:tc>
        <w:tc>
          <w:tcPr>
            <w:tcW w:w="2680" w:type="dxa"/>
            <w:vAlign w:val="bottom"/>
            <w:tcBorders>
              <w:bottom w:val="single" w:sz="8" w:color="C0C0C0"/>
            </w:tcBorders>
          </w:tcPr>
          <w:p>
            <w:pPr>
              <w:spacing w:after="0" w:line="20" w:lineRule="exact"/>
              <w:rPr>
                <w:sz w:val="1"/>
                <w:szCs w:val="1"/>
                <w:color w:val="auto"/>
              </w:rPr>
            </w:pPr>
          </w:p>
        </w:tc>
        <w:tc>
          <w:tcPr>
            <w:tcW w:w="3000" w:type="dxa"/>
            <w:vAlign w:val="bottom"/>
            <w:tcBorders>
              <w:bottom w:val="single" w:sz="8" w:color="C0C0C0"/>
            </w:tcBorders>
          </w:tcPr>
          <w:p>
            <w:pPr>
              <w:spacing w:after="0" w:line="20" w:lineRule="exact"/>
              <w:rPr>
                <w:sz w:val="1"/>
                <w:szCs w:val="1"/>
                <w:color w:val="auto"/>
              </w:rPr>
            </w:pPr>
          </w:p>
        </w:tc>
        <w:tc>
          <w:tcPr>
            <w:tcW w:w="220" w:type="dxa"/>
            <w:vAlign w:val="bottom"/>
            <w:tcBorders>
              <w:bottom w:val="single" w:sz="8" w:color="C0C0C0"/>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0C0C0"/>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0C0C0"/>
            </w:tcBorders>
          </w:tcPr>
          <w:p>
            <w:pPr>
              <w:spacing w:after="0" w:line="20" w:lineRule="exact"/>
              <w:rPr>
                <w:sz w:val="1"/>
                <w:szCs w:val="1"/>
                <w:color w:val="auto"/>
              </w:rPr>
            </w:pPr>
          </w:p>
        </w:tc>
        <w:tc>
          <w:tcPr>
            <w:tcW w:w="100" w:type="dxa"/>
            <w:vAlign w:val="bottom"/>
            <w:tcBorders>
              <w:bottom w:val="single" w:sz="8" w:color="C0C0C0"/>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0C0C0"/>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0"/>
        </w:trPr>
        <w:tc>
          <w:tcPr>
            <w:tcW w:w="4100" w:type="dxa"/>
            <w:vAlign w:val="bottom"/>
            <w:gridSpan w:val="3"/>
            <w:shd w:val="clear" w:color="auto" w:fill="C0C0C0"/>
          </w:tcPr>
          <w:p>
            <w:pPr>
              <w:spacing w:after="0"/>
              <w:rPr>
                <w:sz w:val="20"/>
                <w:szCs w:val="20"/>
                <w:color w:val="auto"/>
              </w:rPr>
            </w:pPr>
            <w:r>
              <w:rPr>
                <w:rFonts w:ascii="Arial" w:cs="Arial" w:eastAsia="Arial" w:hAnsi="Arial"/>
                <w:sz w:val="14"/>
                <w:szCs w:val="14"/>
                <w:i w:val="1"/>
                <w:iCs w:val="1"/>
                <w:color w:val="auto"/>
              </w:rPr>
              <w:t>Unrestricted</w:t>
            </w:r>
          </w:p>
        </w:tc>
        <w:tc>
          <w:tcPr>
            <w:tcW w:w="300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50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86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94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840" w:type="dxa"/>
            <w:vAlign w:val="bottom"/>
            <w:shd w:val="clear" w:color="auto" w:fill="C0C0C0"/>
          </w:tcPr>
          <w:p>
            <w:pPr>
              <w:spacing w:after="0"/>
              <w:rPr>
                <w:sz w:val="14"/>
                <w:szCs w:val="14"/>
                <w:color w:val="auto"/>
              </w:rPr>
            </w:pPr>
          </w:p>
        </w:tc>
        <w:tc>
          <w:tcPr>
            <w:tcW w:w="20" w:type="dxa"/>
            <w:vAlign w:val="bottom"/>
          </w:tcPr>
          <w:p>
            <w:pPr>
              <w:spacing w:after="0"/>
              <w:rPr>
                <w:sz w:val="14"/>
                <w:szCs w:val="14"/>
                <w:color w:val="auto"/>
              </w:rPr>
            </w:pPr>
          </w:p>
        </w:tc>
      </w:tr>
      <w:tr>
        <w:trPr>
          <w:trHeight w:val="191"/>
        </w:trPr>
        <w:tc>
          <w:tcPr>
            <w:tcW w:w="4100" w:type="dxa"/>
            <w:vAlign w:val="bottom"/>
            <w:gridSpan w:val="3"/>
          </w:tcPr>
          <w:p>
            <w:pPr>
              <w:spacing w:after="0"/>
              <w:rPr>
                <w:sz w:val="20"/>
                <w:szCs w:val="20"/>
                <w:color w:val="auto"/>
              </w:rPr>
            </w:pPr>
            <w:r>
              <w:rPr>
                <w:rFonts w:ascii="Arial" w:cs="Arial" w:eastAsia="Arial" w:hAnsi="Arial"/>
                <w:sz w:val="14"/>
                <w:szCs w:val="14"/>
                <w:color w:val="auto"/>
              </w:rPr>
              <w:t>Available-for-sale marketable securities</w:t>
            </w:r>
          </w:p>
        </w:tc>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4"/>
        </w:trPr>
        <w:tc>
          <w:tcPr>
            <w:tcW w:w="4100" w:type="dxa"/>
            <w:vAlign w:val="bottom"/>
            <w:gridSpan w:val="3"/>
            <w:shd w:val="clear" w:color="auto" w:fill="C0C0C0"/>
          </w:tcPr>
          <w:p>
            <w:pPr>
              <w:ind w:left="260"/>
              <w:spacing w:after="0"/>
              <w:rPr>
                <w:sz w:val="20"/>
                <w:szCs w:val="20"/>
                <w:color w:val="auto"/>
              </w:rPr>
            </w:pPr>
            <w:r>
              <w:rPr>
                <w:rFonts w:ascii="Arial" w:cs="Arial" w:eastAsia="Arial" w:hAnsi="Arial"/>
                <w:sz w:val="14"/>
                <w:szCs w:val="14"/>
                <w:color w:val="auto"/>
              </w:rPr>
              <w:t>U.S. government obligations</w:t>
            </w:r>
          </w:p>
        </w:tc>
        <w:tc>
          <w:tcPr>
            <w:tcW w:w="3340" w:type="dxa"/>
            <w:vAlign w:val="bottom"/>
            <w:gridSpan w:val="3"/>
            <w:shd w:val="clear" w:color="auto" w:fill="C0C0C0"/>
          </w:tcPr>
          <w:p>
            <w:pPr>
              <w:ind w:left="3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w w:val="98"/>
              </w:rPr>
              <w:t>434,367</w:t>
            </w:r>
          </w:p>
        </w:tc>
        <w:tc>
          <w:tcPr>
            <w:tcW w:w="100" w:type="dxa"/>
            <w:vAlign w:val="bottom"/>
            <w:shd w:val="clear" w:color="auto" w:fill="C0C0C0"/>
          </w:tcPr>
          <w:p>
            <w:pPr>
              <w:spacing w:after="0"/>
              <w:rPr>
                <w:sz w:val="17"/>
                <w:szCs w:val="17"/>
                <w:color w:val="auto"/>
              </w:rPr>
            </w:pPr>
          </w:p>
        </w:tc>
        <w:tc>
          <w:tcPr>
            <w:tcW w:w="8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220" w:type="dxa"/>
            <w:vAlign w:val="bottom"/>
            <w:gridSpan w:val="2"/>
            <w:shd w:val="clear" w:color="auto" w:fill="C0C0C0"/>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434,367</w:t>
            </w:r>
          </w:p>
        </w:tc>
        <w:tc>
          <w:tcPr>
            <w:tcW w:w="840" w:type="dxa"/>
            <w:vAlign w:val="bottom"/>
            <w:shd w:val="clear" w:color="auto" w:fill="C0C0C0"/>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4100" w:type="dxa"/>
            <w:vAlign w:val="bottom"/>
            <w:gridSpan w:val="3"/>
          </w:tcPr>
          <w:p>
            <w:pPr>
              <w:ind w:left="260"/>
              <w:spacing w:after="0"/>
              <w:rPr>
                <w:sz w:val="20"/>
                <w:szCs w:val="20"/>
                <w:color w:val="auto"/>
              </w:rPr>
            </w:pPr>
            <w:r>
              <w:rPr>
                <w:rFonts w:ascii="Arial" w:cs="Arial" w:eastAsia="Arial" w:hAnsi="Arial"/>
                <w:sz w:val="14"/>
                <w:szCs w:val="14"/>
                <w:color w:val="auto"/>
              </w:rPr>
              <w:t>U.S. government guaranteed corporate</w:t>
            </w:r>
          </w:p>
        </w:tc>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4"/>
        </w:trPr>
        <w:tc>
          <w:tcPr>
            <w:tcW w:w="4100" w:type="dxa"/>
            <w:vAlign w:val="bottom"/>
            <w:gridSpan w:val="3"/>
          </w:tcPr>
          <w:p>
            <w:pPr>
              <w:ind w:left="500"/>
              <w:spacing w:after="0"/>
              <w:rPr>
                <w:sz w:val="20"/>
                <w:szCs w:val="20"/>
                <w:color w:val="auto"/>
              </w:rPr>
            </w:pPr>
            <w:r>
              <w:rPr>
                <w:rFonts w:ascii="Arial" w:cs="Arial" w:eastAsia="Arial" w:hAnsi="Arial"/>
                <w:sz w:val="14"/>
                <w:szCs w:val="14"/>
                <w:color w:val="auto"/>
              </w:rPr>
              <w:t>bonds</w:t>
            </w:r>
          </w:p>
        </w:tc>
        <w:tc>
          <w:tcPr>
            <w:tcW w:w="3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64,008</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64,008</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4100" w:type="dxa"/>
            <w:vAlign w:val="bottom"/>
            <w:gridSpan w:val="3"/>
            <w:shd w:val="clear" w:color="auto" w:fill="C0C0C0"/>
          </w:tcPr>
          <w:p>
            <w:pPr>
              <w:ind w:left="260"/>
              <w:spacing w:after="0"/>
              <w:rPr>
                <w:sz w:val="20"/>
                <w:szCs w:val="20"/>
                <w:color w:val="auto"/>
              </w:rPr>
            </w:pPr>
            <w:r>
              <w:rPr>
                <w:rFonts w:ascii="Arial" w:cs="Arial" w:eastAsia="Arial" w:hAnsi="Arial"/>
                <w:sz w:val="14"/>
                <w:szCs w:val="14"/>
                <w:color w:val="auto"/>
              </w:rPr>
              <w:t>U.S. government guaranteed</w:t>
            </w:r>
          </w:p>
        </w:tc>
        <w:tc>
          <w:tcPr>
            <w:tcW w:w="300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50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86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94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840" w:type="dxa"/>
            <w:vAlign w:val="bottom"/>
            <w:shd w:val="clear" w:color="auto" w:fill="C0C0C0"/>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4100" w:type="dxa"/>
            <w:vAlign w:val="bottom"/>
            <w:gridSpan w:val="3"/>
            <w:shd w:val="clear" w:color="auto" w:fill="C0C0C0"/>
          </w:tcPr>
          <w:p>
            <w:pPr>
              <w:ind w:left="500"/>
              <w:spacing w:after="0"/>
              <w:rPr>
                <w:sz w:val="20"/>
                <w:szCs w:val="20"/>
                <w:color w:val="auto"/>
              </w:rPr>
            </w:pPr>
            <w:r>
              <w:rPr>
                <w:rFonts w:ascii="Arial" w:cs="Arial" w:eastAsia="Arial" w:hAnsi="Arial"/>
                <w:sz w:val="14"/>
                <w:szCs w:val="14"/>
                <w:color w:val="auto"/>
              </w:rPr>
              <w:t>collateralized mortgage obligations</w:t>
            </w:r>
          </w:p>
        </w:tc>
        <w:tc>
          <w:tcPr>
            <w:tcW w:w="300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72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rPr>
              <w:t>2,131</w:t>
            </w:r>
          </w:p>
        </w:tc>
        <w:tc>
          <w:tcPr>
            <w:tcW w:w="100" w:type="dxa"/>
            <w:vAlign w:val="bottom"/>
            <w:shd w:val="clear" w:color="auto" w:fill="C0C0C0"/>
          </w:tcPr>
          <w:p>
            <w:pPr>
              <w:spacing w:after="0"/>
              <w:rPr>
                <w:sz w:val="18"/>
                <w:szCs w:val="18"/>
                <w:color w:val="auto"/>
              </w:rPr>
            </w:pPr>
          </w:p>
        </w:tc>
        <w:tc>
          <w:tcPr>
            <w:tcW w:w="86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1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2,131</w:t>
            </w:r>
          </w:p>
        </w:tc>
        <w:tc>
          <w:tcPr>
            <w:tcW w:w="84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4100" w:type="dxa"/>
            <w:vAlign w:val="bottom"/>
            <w:gridSpan w:val="3"/>
          </w:tcPr>
          <w:p>
            <w:pPr>
              <w:ind w:left="260"/>
              <w:spacing w:after="0"/>
              <w:rPr>
                <w:sz w:val="20"/>
                <w:szCs w:val="20"/>
                <w:color w:val="auto"/>
              </w:rPr>
            </w:pPr>
            <w:r>
              <w:rPr>
                <w:rFonts w:ascii="Arial" w:cs="Arial" w:eastAsia="Arial" w:hAnsi="Arial"/>
                <w:sz w:val="14"/>
                <w:szCs w:val="14"/>
                <w:color w:val="auto"/>
              </w:rPr>
              <w:t>Municipal bonds</w:t>
            </w:r>
          </w:p>
        </w:tc>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1,603</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1,603</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4"/>
        </w:trPr>
        <w:tc>
          <w:tcPr>
            <w:tcW w:w="4100" w:type="dxa"/>
            <w:vAlign w:val="bottom"/>
            <w:gridSpan w:val="3"/>
            <w:shd w:val="clear" w:color="auto" w:fill="C0C0C0"/>
          </w:tcPr>
          <w:p>
            <w:pPr>
              <w:ind w:left="260"/>
              <w:spacing w:after="0"/>
              <w:rPr>
                <w:sz w:val="20"/>
                <w:szCs w:val="20"/>
                <w:color w:val="auto"/>
              </w:rPr>
            </w:pPr>
            <w:r>
              <w:rPr>
                <w:rFonts w:ascii="Arial" w:cs="Arial" w:eastAsia="Arial" w:hAnsi="Arial"/>
                <w:sz w:val="14"/>
                <w:szCs w:val="14"/>
                <w:color w:val="auto"/>
              </w:rPr>
              <w:t>Mortgage-backed securities</w:t>
            </w:r>
          </w:p>
        </w:tc>
        <w:tc>
          <w:tcPr>
            <w:tcW w:w="30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rPr>
              <w:t>1,128</w:t>
            </w:r>
          </w:p>
        </w:tc>
        <w:tc>
          <w:tcPr>
            <w:tcW w:w="100" w:type="dxa"/>
            <w:vAlign w:val="bottom"/>
            <w:shd w:val="clear" w:color="auto" w:fill="C0C0C0"/>
          </w:tcPr>
          <w:p>
            <w:pPr>
              <w:spacing w:after="0"/>
              <w:rPr>
                <w:sz w:val="17"/>
                <w:szCs w:val="17"/>
                <w:color w:val="auto"/>
              </w:rPr>
            </w:pPr>
          </w:p>
        </w:tc>
        <w:tc>
          <w:tcPr>
            <w:tcW w:w="8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1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1,128</w:t>
            </w:r>
          </w:p>
        </w:tc>
        <w:tc>
          <w:tcPr>
            <w:tcW w:w="840" w:type="dxa"/>
            <w:vAlign w:val="bottom"/>
            <w:shd w:val="clear" w:color="auto" w:fill="C0C0C0"/>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4100" w:type="dxa"/>
            <w:vAlign w:val="bottom"/>
            <w:gridSpan w:val="3"/>
          </w:tcPr>
          <w:p>
            <w:pPr>
              <w:ind w:left="260"/>
              <w:spacing w:after="0"/>
              <w:rPr>
                <w:sz w:val="20"/>
                <w:szCs w:val="20"/>
                <w:color w:val="auto"/>
              </w:rPr>
            </w:pPr>
            <w:r>
              <w:rPr>
                <w:rFonts w:ascii="Arial" w:cs="Arial" w:eastAsia="Arial" w:hAnsi="Arial"/>
                <w:sz w:val="14"/>
                <w:szCs w:val="14"/>
                <w:color w:val="auto"/>
              </w:rPr>
              <w:t>Equity securities</w:t>
            </w:r>
          </w:p>
        </w:tc>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3,612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3,612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380" w:type="dxa"/>
            <w:vAlign w:val="bottom"/>
            <w:shd w:val="clear" w:color="auto" w:fill="C0C0C0"/>
          </w:tcPr>
          <w:p>
            <w:pPr>
              <w:spacing w:after="0" w:line="20" w:lineRule="exact"/>
              <w:rPr>
                <w:sz w:val="1"/>
                <w:szCs w:val="1"/>
                <w:color w:val="auto"/>
              </w:rPr>
            </w:pPr>
          </w:p>
        </w:tc>
        <w:tc>
          <w:tcPr>
            <w:tcW w:w="40" w:type="dxa"/>
            <w:vAlign w:val="bottom"/>
            <w:shd w:val="clear" w:color="auto" w:fill="C0C0C0"/>
          </w:tcPr>
          <w:p>
            <w:pPr>
              <w:spacing w:after="0" w:line="20" w:lineRule="exact"/>
              <w:rPr>
                <w:sz w:val="1"/>
                <w:szCs w:val="1"/>
                <w:color w:val="auto"/>
              </w:rPr>
            </w:pPr>
          </w:p>
        </w:tc>
        <w:tc>
          <w:tcPr>
            <w:tcW w:w="2680" w:type="dxa"/>
            <w:vAlign w:val="bottom"/>
            <w:shd w:val="clear" w:color="auto" w:fill="C0C0C0"/>
          </w:tcPr>
          <w:p>
            <w:pPr>
              <w:spacing w:after="0" w:line="20" w:lineRule="exact"/>
              <w:rPr>
                <w:sz w:val="1"/>
                <w:szCs w:val="1"/>
                <w:color w:val="auto"/>
              </w:rPr>
            </w:pPr>
          </w:p>
        </w:tc>
        <w:tc>
          <w:tcPr>
            <w:tcW w:w="3000" w:type="dxa"/>
            <w:vAlign w:val="bottom"/>
            <w:shd w:val="clear" w:color="auto" w:fill="C0C0C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840" w:type="dxa"/>
            <w:vAlign w:val="bottom"/>
            <w:shd w:val="clear" w:color="auto" w:fill="C0C0C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138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2680" w:type="dxa"/>
            <w:vAlign w:val="bottom"/>
            <w:shd w:val="clear" w:color="auto" w:fill="C0C0C0"/>
          </w:tcPr>
          <w:p>
            <w:pPr>
              <w:spacing w:after="0"/>
              <w:rPr>
                <w:sz w:val="16"/>
                <w:szCs w:val="16"/>
                <w:color w:val="auto"/>
              </w:rPr>
            </w:pPr>
          </w:p>
        </w:tc>
        <w:tc>
          <w:tcPr>
            <w:tcW w:w="300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72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w w:val="98"/>
              </w:rPr>
              <w:t>506,849</w:t>
            </w:r>
          </w:p>
        </w:tc>
        <w:tc>
          <w:tcPr>
            <w:tcW w:w="100" w:type="dxa"/>
            <w:vAlign w:val="bottom"/>
            <w:shd w:val="clear" w:color="auto" w:fill="C0C0C0"/>
          </w:tcPr>
          <w:p>
            <w:pPr>
              <w:spacing w:after="0"/>
              <w:rPr>
                <w:sz w:val="16"/>
                <w:szCs w:val="16"/>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3,612</w:t>
            </w:r>
          </w:p>
        </w:tc>
        <w:tc>
          <w:tcPr>
            <w:tcW w:w="1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11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503,237</w:t>
            </w:r>
          </w:p>
        </w:tc>
        <w:tc>
          <w:tcPr>
            <w:tcW w:w="840" w:type="dxa"/>
            <w:vAlign w:val="bottom"/>
            <w:shd w:val="clear" w:color="auto" w:fill="C0C0C0"/>
          </w:tcPr>
          <w:p>
            <w:pPr>
              <w:spacing w:after="0"/>
              <w:rPr>
                <w:sz w:val="16"/>
                <w:szCs w:val="16"/>
                <w:color w:val="auto"/>
              </w:rPr>
            </w:pPr>
          </w:p>
        </w:tc>
        <w:tc>
          <w:tcPr>
            <w:tcW w:w="20" w:type="dxa"/>
            <w:vAlign w:val="bottom"/>
          </w:tcPr>
          <w:p>
            <w:pPr>
              <w:spacing w:after="0"/>
              <w:rPr>
                <w:sz w:val="16"/>
                <w:szCs w:val="16"/>
                <w:color w:val="auto"/>
              </w:rPr>
            </w:pPr>
          </w:p>
        </w:tc>
      </w:tr>
      <w:tr>
        <w:trPr>
          <w:trHeight w:val="184"/>
        </w:trPr>
        <w:tc>
          <w:tcPr>
            <w:tcW w:w="1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7"/>
        </w:trPr>
        <w:tc>
          <w:tcPr>
            <w:tcW w:w="4100" w:type="dxa"/>
            <w:vAlign w:val="bottom"/>
            <w:gridSpan w:val="3"/>
            <w:shd w:val="clear" w:color="auto" w:fill="C0C0C0"/>
          </w:tcPr>
          <w:p>
            <w:pPr>
              <w:spacing w:after="0"/>
              <w:rPr>
                <w:sz w:val="20"/>
                <w:szCs w:val="20"/>
                <w:color w:val="auto"/>
              </w:rPr>
            </w:pPr>
            <w:r>
              <w:rPr>
                <w:rFonts w:ascii="Arial" w:cs="Arial" w:eastAsia="Arial" w:hAnsi="Arial"/>
                <w:sz w:val="14"/>
                <w:szCs w:val="14"/>
                <w:i w:val="1"/>
                <w:iCs w:val="1"/>
                <w:color w:val="auto"/>
              </w:rPr>
              <w:t>Restricted</w:t>
            </w:r>
          </w:p>
        </w:tc>
        <w:tc>
          <w:tcPr>
            <w:tcW w:w="30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9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40" w:type="dxa"/>
            <w:vAlign w:val="bottom"/>
            <w:shd w:val="clear" w:color="auto" w:fill="C0C0C0"/>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4100" w:type="dxa"/>
            <w:vAlign w:val="bottom"/>
            <w:gridSpan w:val="3"/>
          </w:tcPr>
          <w:p>
            <w:pPr>
              <w:spacing w:after="0"/>
              <w:rPr>
                <w:sz w:val="20"/>
                <w:szCs w:val="20"/>
                <w:color w:val="auto"/>
              </w:rPr>
            </w:pPr>
            <w:r>
              <w:rPr>
                <w:rFonts w:ascii="Arial" w:cs="Arial" w:eastAsia="Arial" w:hAnsi="Arial"/>
                <w:sz w:val="14"/>
                <w:szCs w:val="14"/>
                <w:color w:val="auto"/>
              </w:rPr>
              <w:t>Available-for-sale marketable securities</w:t>
            </w:r>
          </w:p>
        </w:tc>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7"/>
        </w:trPr>
        <w:tc>
          <w:tcPr>
            <w:tcW w:w="4100" w:type="dxa"/>
            <w:vAlign w:val="bottom"/>
            <w:gridSpan w:val="3"/>
            <w:shd w:val="clear" w:color="auto" w:fill="C0C0C0"/>
          </w:tcPr>
          <w:p>
            <w:pPr>
              <w:ind w:left="260"/>
              <w:spacing w:after="0"/>
              <w:rPr>
                <w:sz w:val="20"/>
                <w:szCs w:val="20"/>
                <w:color w:val="auto"/>
              </w:rPr>
            </w:pPr>
            <w:r>
              <w:rPr>
                <w:rFonts w:ascii="Arial" w:cs="Arial" w:eastAsia="Arial" w:hAnsi="Arial"/>
                <w:sz w:val="14"/>
                <w:szCs w:val="14"/>
                <w:color w:val="auto"/>
              </w:rPr>
              <w:t>U.S. government obligations</w:t>
            </w:r>
          </w:p>
        </w:tc>
        <w:tc>
          <w:tcPr>
            <w:tcW w:w="30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rPr>
              <w:t>7,039</w:t>
            </w:r>
          </w:p>
        </w:tc>
        <w:tc>
          <w:tcPr>
            <w:tcW w:w="100" w:type="dxa"/>
            <w:vAlign w:val="bottom"/>
            <w:shd w:val="clear" w:color="auto" w:fill="C0C0C0"/>
          </w:tcPr>
          <w:p>
            <w:pPr>
              <w:spacing w:after="0"/>
              <w:rPr>
                <w:sz w:val="17"/>
                <w:szCs w:val="17"/>
                <w:color w:val="auto"/>
              </w:rPr>
            </w:pPr>
          </w:p>
        </w:tc>
        <w:tc>
          <w:tcPr>
            <w:tcW w:w="8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1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7,039</w:t>
            </w:r>
          </w:p>
        </w:tc>
        <w:tc>
          <w:tcPr>
            <w:tcW w:w="840" w:type="dxa"/>
            <w:vAlign w:val="bottom"/>
            <w:shd w:val="clear" w:color="auto" w:fill="C0C0C0"/>
          </w:tcPr>
          <w:p>
            <w:pPr>
              <w:spacing w:after="0"/>
              <w:rPr>
                <w:sz w:val="17"/>
                <w:szCs w:val="17"/>
                <w:color w:val="auto"/>
              </w:rPr>
            </w:pPr>
          </w:p>
        </w:tc>
        <w:tc>
          <w:tcPr>
            <w:tcW w:w="20" w:type="dxa"/>
            <w:vAlign w:val="bottom"/>
          </w:tcPr>
          <w:p>
            <w:pPr>
              <w:spacing w:after="0"/>
              <w:rPr>
                <w:sz w:val="17"/>
                <w:szCs w:val="17"/>
                <w:color w:val="auto"/>
              </w:rPr>
            </w:pPr>
          </w:p>
        </w:tc>
      </w:tr>
      <w:tr>
        <w:trPr>
          <w:trHeight w:val="184"/>
        </w:trPr>
        <w:tc>
          <w:tcPr>
            <w:tcW w:w="1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1"/>
        </w:trPr>
        <w:tc>
          <w:tcPr>
            <w:tcW w:w="1380" w:type="dxa"/>
            <w:vAlign w:val="bottom"/>
            <w:shd w:val="clear" w:color="auto" w:fill="C0C0C0"/>
          </w:tcPr>
          <w:p>
            <w:pPr>
              <w:spacing w:after="0"/>
              <w:rPr>
                <w:sz w:val="18"/>
                <w:szCs w:val="18"/>
                <w:color w:val="auto"/>
              </w:rPr>
            </w:pPr>
          </w:p>
        </w:tc>
        <w:tc>
          <w:tcPr>
            <w:tcW w:w="40" w:type="dxa"/>
            <w:vAlign w:val="bottom"/>
            <w:shd w:val="clear" w:color="auto" w:fill="C0C0C0"/>
          </w:tcPr>
          <w:p>
            <w:pPr>
              <w:spacing w:after="0"/>
              <w:rPr>
                <w:sz w:val="18"/>
                <w:szCs w:val="18"/>
                <w:color w:val="auto"/>
              </w:rPr>
            </w:pPr>
          </w:p>
        </w:tc>
        <w:tc>
          <w:tcPr>
            <w:tcW w:w="2680" w:type="dxa"/>
            <w:vAlign w:val="bottom"/>
            <w:shd w:val="clear" w:color="auto" w:fill="C0C0C0"/>
          </w:tcPr>
          <w:p>
            <w:pPr>
              <w:spacing w:after="0"/>
              <w:rPr>
                <w:sz w:val="18"/>
                <w:szCs w:val="18"/>
                <w:color w:val="auto"/>
              </w:rPr>
            </w:pPr>
          </w:p>
        </w:tc>
        <w:tc>
          <w:tcPr>
            <w:tcW w:w="3340" w:type="dxa"/>
            <w:vAlign w:val="bottom"/>
            <w:gridSpan w:val="3"/>
            <w:shd w:val="clear" w:color="auto" w:fill="C0C0C0"/>
          </w:tcPr>
          <w:p>
            <w:pPr>
              <w:ind w:left="3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w w:val="98"/>
              </w:rPr>
              <w:t>513,888</w:t>
            </w:r>
          </w:p>
        </w:tc>
        <w:tc>
          <w:tcPr>
            <w:tcW w:w="10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3,612</w:t>
            </w:r>
          </w:p>
        </w:tc>
        <w:tc>
          <w:tcPr>
            <w:tcW w:w="120" w:type="dxa"/>
            <w:vAlign w:val="bottom"/>
            <w:shd w:val="clear" w:color="auto" w:fill="C0C0C0"/>
          </w:tcPr>
          <w:p>
            <w:pPr>
              <w:spacing w:after="0"/>
              <w:rPr>
                <w:sz w:val="18"/>
                <w:szCs w:val="18"/>
                <w:color w:val="auto"/>
              </w:rPr>
            </w:pPr>
          </w:p>
        </w:tc>
        <w:tc>
          <w:tcPr>
            <w:tcW w:w="220" w:type="dxa"/>
            <w:vAlign w:val="bottom"/>
            <w:gridSpan w:val="2"/>
            <w:shd w:val="clear" w:color="auto" w:fill="C0C0C0"/>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510,276</w:t>
            </w:r>
          </w:p>
        </w:tc>
        <w:tc>
          <w:tcPr>
            <w:tcW w:w="84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370"/>
        </w:trPr>
        <w:tc>
          <w:tcPr>
            <w:tcW w:w="1380" w:type="dxa"/>
            <w:vAlign w:val="bottom"/>
            <w:tcBorders>
              <w:top w:val="single" w:sz="8" w:color="C0C0C0"/>
            </w:tcBorders>
          </w:tcPr>
          <w:p>
            <w:pPr>
              <w:spacing w:after="0"/>
              <w:rPr>
                <w:sz w:val="24"/>
                <w:szCs w:val="24"/>
                <w:color w:val="auto"/>
              </w:rPr>
            </w:pPr>
          </w:p>
        </w:tc>
        <w:tc>
          <w:tcPr>
            <w:tcW w:w="40" w:type="dxa"/>
            <w:vAlign w:val="bottom"/>
            <w:tcBorders>
              <w:top w:val="single" w:sz="8" w:color="C0C0C0"/>
            </w:tcBorders>
          </w:tcPr>
          <w:p>
            <w:pPr>
              <w:spacing w:after="0"/>
              <w:rPr>
                <w:sz w:val="24"/>
                <w:szCs w:val="24"/>
                <w:color w:val="auto"/>
              </w:rPr>
            </w:pPr>
          </w:p>
        </w:tc>
        <w:tc>
          <w:tcPr>
            <w:tcW w:w="2680" w:type="dxa"/>
            <w:vAlign w:val="bottom"/>
            <w:tcBorders>
              <w:top w:val="single" w:sz="8" w:color="C0C0C0"/>
            </w:tcBorders>
          </w:tcPr>
          <w:p>
            <w:pPr>
              <w:spacing w:after="0"/>
              <w:rPr>
                <w:sz w:val="24"/>
                <w:szCs w:val="24"/>
                <w:color w:val="auto"/>
              </w:rPr>
            </w:pPr>
          </w:p>
        </w:tc>
        <w:tc>
          <w:tcPr>
            <w:tcW w:w="3000" w:type="dxa"/>
            <w:vAlign w:val="bottom"/>
            <w:tcBorders>
              <w:top w:val="single" w:sz="8" w:color="C0C0C0"/>
            </w:tcBorders>
          </w:tcPr>
          <w:p>
            <w:pPr>
              <w:jc w:val="right"/>
              <w:ind w:right="1229"/>
              <w:spacing w:after="0"/>
              <w:rPr>
                <w:sz w:val="20"/>
                <w:szCs w:val="20"/>
                <w:color w:val="auto"/>
              </w:rPr>
            </w:pPr>
            <w:r>
              <w:rPr>
                <w:rFonts w:ascii="Arial" w:cs="Arial" w:eastAsia="Arial" w:hAnsi="Arial"/>
                <w:sz w:val="14"/>
                <w:szCs w:val="14"/>
                <w:color w:val="auto"/>
              </w:rPr>
              <w:t>12</w:t>
            </w:r>
          </w:p>
        </w:tc>
        <w:tc>
          <w:tcPr>
            <w:tcW w:w="220" w:type="dxa"/>
            <w:vAlign w:val="bottom"/>
            <w:tcBorders>
              <w:top w:val="single" w:sz="8" w:color="C0C0C0"/>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C0C0C0"/>
            </w:tcBorders>
          </w:tcPr>
          <w:p>
            <w:pPr>
              <w:spacing w:after="0"/>
              <w:rPr>
                <w:sz w:val="24"/>
                <w:szCs w:val="24"/>
                <w:color w:val="auto"/>
              </w:rPr>
            </w:pPr>
          </w:p>
        </w:tc>
        <w:tc>
          <w:tcPr>
            <w:tcW w:w="100" w:type="dxa"/>
            <w:vAlign w:val="bottom"/>
            <w:tcBorders>
              <w:top w:val="single" w:sz="8" w:color="C0C0C0"/>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0C0C0"/>
            </w:tcBorders>
          </w:tcPr>
          <w:p>
            <w:pPr>
              <w:spacing w:after="0"/>
              <w:rPr>
                <w:sz w:val="24"/>
                <w:szCs w:val="24"/>
                <w:color w:val="auto"/>
              </w:rPr>
            </w:pPr>
          </w:p>
        </w:tc>
        <w:tc>
          <w:tcPr>
            <w:tcW w:w="840" w:type="dxa"/>
            <w:vAlign w:val="bottom"/>
            <w:tcBorders>
              <w:top w:val="single" w:sz="8" w:color="C0C0C0"/>
            </w:tcBorders>
          </w:tcPr>
          <w:p>
            <w:pPr>
              <w:spacing w:after="0"/>
              <w:rPr>
                <w:sz w:val="24"/>
                <w:szCs w:val="24"/>
                <w:color w:val="auto"/>
              </w:rPr>
            </w:pPr>
          </w:p>
        </w:tc>
        <w:tc>
          <w:tcPr>
            <w:tcW w:w="20" w:type="dxa"/>
            <w:vAlign w:val="bottom"/>
          </w:tcPr>
          <w:p>
            <w:pPr>
              <w:spacing w:after="0"/>
              <w:rPr>
                <w:sz w:val="24"/>
                <w:szCs w:val="24"/>
                <w:color w:val="auto"/>
              </w:rPr>
            </w:pPr>
          </w:p>
        </w:tc>
      </w:tr>
      <w:tr>
        <w:trPr>
          <w:trHeight w:val="294"/>
        </w:trPr>
        <w:tc>
          <w:tcPr>
            <w:tcW w:w="13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30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-12700</wp:posOffset>
            </wp:positionV>
            <wp:extent cx="1270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80"/>
          </w:cols>
          <w:pgMar w:left="220" w:top="523" w:right="19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REGENERON PHARMACEUTICALS, INC.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Condensed Financial Statements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(Unless otherwise noted, dollars in thousands, except per share data)</w:t>
      </w:r>
    </w:p>
    <w:p>
      <w:pPr>
        <w:spacing w:after="0" w:line="228" w:lineRule="exact"/>
        <w:rPr>
          <w:sz w:val="20"/>
          <w:szCs w:val="20"/>
          <w:color w:val="auto"/>
        </w:rPr>
      </w:pPr>
    </w:p>
    <w:p>
      <w:pPr>
        <w:jc w:val="both"/>
        <w:ind w:firstLine="307"/>
        <w:spacing w:after="0" w:line="267" w:lineRule="auto"/>
        <w:rPr>
          <w:sz w:val="20"/>
          <w:szCs w:val="20"/>
          <w:color w:val="auto"/>
        </w:rPr>
      </w:pPr>
      <w:r>
        <w:rPr>
          <w:rFonts w:ascii="Arial" w:cs="Arial" w:eastAsia="Arial" w:hAnsi="Arial"/>
          <w:sz w:val="14"/>
          <w:szCs w:val="14"/>
          <w:color w:val="auto"/>
        </w:rPr>
        <w:t>Marketable securities included in Level 2 were valued using a market approach utilizing prices and other relevant information, such as interest rates, yield curves, prepayment speeds, loss severities, credit risks and default rates, generated by market transactions involving identical or comparable assets. The Company considers market liquidity in determining the fair value for these securities. During the nine months ended September 30, 2010, deterioration in the credit quality of a marketable security from one issuer subjected the Company to the risk of not being able to recover a portion of the security’s carrying value. As a result, the Company recognized a $0.1 million impairment charge related to this Level 2 marketable security, which the Company considered to be other-than-temporarily impaired. During the three and nine months ended September 30, 2011, and the three months ended September 30, 2010, the Company did not record any charges for other-than-temporary impairment of its Level 2 marketable securities.</w:t>
      </w:r>
    </w:p>
    <w:p>
      <w:pPr>
        <w:spacing w:after="0" w:line="198"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4"/>
          <w:szCs w:val="14"/>
          <w:color w:val="auto"/>
        </w:rPr>
        <w:t>The Company holds one Level 3 marketable security, which had no fair value at September 30, 2011 and December 31, 2010. This Level 3 security was valued using information provided by the Company’s investment advisors and other sources, including quoted bid prices which took into consideration the security’s lack of liquidity. There were no purchases, sales, or maturities of Level 3 marketable securities and no unrealized gains or losses related to Level 3 marketable securities for the three and nine months ended September 30, 2011 and 2010. There were no transfers of marketable securities between Levels 1, 2, or 3 classifications during the three and nine months ended September 30, 2011 and 2010.</w:t>
      </w:r>
    </w:p>
    <w:p>
      <w:pPr>
        <w:spacing w:after="0" w:line="194" w:lineRule="exact"/>
        <w:rPr>
          <w:sz w:val="20"/>
          <w:szCs w:val="20"/>
          <w:color w:val="auto"/>
        </w:rPr>
      </w:pPr>
    </w:p>
    <w:p>
      <w:pPr>
        <w:jc w:val="both"/>
        <w:ind w:firstLine="263"/>
        <w:spacing w:after="0" w:line="271" w:lineRule="auto"/>
        <w:rPr>
          <w:sz w:val="20"/>
          <w:szCs w:val="20"/>
          <w:color w:val="auto"/>
        </w:rPr>
      </w:pPr>
      <w:r>
        <w:rPr>
          <w:rFonts w:ascii="Arial" w:cs="Arial" w:eastAsia="Arial" w:hAnsi="Arial"/>
          <w:sz w:val="14"/>
          <w:szCs w:val="14"/>
          <w:color w:val="auto"/>
        </w:rPr>
        <w:t>On a quarterly basis, the Company reviews its portfolio of marketable securities, using both quantitative and qualitative factors, to determine if declines in fair value below cost are other-than-temporary. With respect to debt securities, this review process also includes an evaluation of the Company’s (a) intent to sell an individual debt security or (b) need to sell the debt security before its anticipated recovery or maturity. With respect to equity securities, this review process includes an evaluation of the Company’s ability and intent to hold the securities until their full value can be recovered.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540" w:type="dxa"/>
            <w:vAlign w:val="bottom"/>
          </w:tcPr>
          <w:p>
            <w:pPr>
              <w:spacing w:after="0"/>
              <w:rPr>
                <w:sz w:val="20"/>
                <w:szCs w:val="20"/>
                <w:color w:val="auto"/>
              </w:rPr>
            </w:pPr>
            <w:r>
              <w:rPr>
                <w:rFonts w:ascii="Arial" w:cs="Arial" w:eastAsia="Arial" w:hAnsi="Arial"/>
                <w:sz w:val="14"/>
                <w:szCs w:val="14"/>
                <w:b w:val="1"/>
                <w:bCs w:val="1"/>
                <w:color w:val="auto"/>
              </w:rPr>
              <w:t>6. Inventory</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395"/>
        </w:trPr>
        <w:tc>
          <w:tcPr>
            <w:tcW w:w="9540" w:type="dxa"/>
            <w:vAlign w:val="bottom"/>
          </w:tcPr>
          <w:p>
            <w:pPr>
              <w:ind w:left="220"/>
              <w:spacing w:after="0"/>
              <w:rPr>
                <w:sz w:val="20"/>
                <w:szCs w:val="20"/>
                <w:color w:val="auto"/>
              </w:rPr>
            </w:pPr>
            <w:r>
              <w:rPr>
                <w:rFonts w:ascii="Arial" w:cs="Arial" w:eastAsia="Arial" w:hAnsi="Arial"/>
                <w:sz w:val="14"/>
                <w:szCs w:val="14"/>
                <w:color w:val="auto"/>
              </w:rPr>
              <w:t>Inventories as of September 30, 2011 and December 31, 2010 consist of the following:</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84"/>
        </w:trPr>
        <w:tc>
          <w:tcPr>
            <w:tcW w:w="954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7"/>
              </w:rPr>
              <w:t>December 31,</w:t>
            </w:r>
          </w:p>
        </w:tc>
      </w:tr>
      <w:tr>
        <w:trPr>
          <w:trHeight w:val="204"/>
        </w:trPr>
        <w:tc>
          <w:tcPr>
            <w:tcW w:w="9540" w:type="dxa"/>
            <w:vAlign w:val="bottom"/>
            <w:tcBorders>
              <w:bottom w:val="single" w:sz="8" w:color="C0C0C0"/>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0C0C0"/>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2010</w:t>
            </w:r>
          </w:p>
        </w:tc>
      </w:tr>
      <w:tr>
        <w:trPr>
          <w:trHeight w:val="195"/>
        </w:trPr>
        <w:tc>
          <w:tcPr>
            <w:tcW w:w="9540" w:type="dxa"/>
            <w:vAlign w:val="bottom"/>
            <w:shd w:val="clear" w:color="auto" w:fill="C0C0C0"/>
          </w:tcPr>
          <w:p>
            <w:pPr>
              <w:spacing w:after="0"/>
              <w:rPr>
                <w:sz w:val="20"/>
                <w:szCs w:val="20"/>
                <w:color w:val="auto"/>
              </w:rPr>
            </w:pPr>
            <w:r>
              <w:rPr>
                <w:rFonts w:ascii="Arial" w:cs="Arial" w:eastAsia="Arial" w:hAnsi="Arial"/>
                <w:sz w:val="14"/>
                <w:szCs w:val="14"/>
                <w:color w:val="auto"/>
              </w:rPr>
              <w:t>Raw materials</w:t>
            </w:r>
          </w:p>
        </w:tc>
        <w:tc>
          <w:tcPr>
            <w:tcW w:w="180" w:type="dxa"/>
            <w:vAlign w:val="bottom"/>
            <w:shd w:val="clear" w:color="auto" w:fill="C0C0C0"/>
          </w:tcPr>
          <w:p>
            <w:pPr>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223</w:t>
            </w:r>
          </w:p>
        </w:tc>
        <w:tc>
          <w:tcPr>
            <w:tcW w:w="160" w:type="dxa"/>
            <w:vAlign w:val="bottom"/>
            <w:shd w:val="clear" w:color="auto" w:fill="C0C0C0"/>
          </w:tcPr>
          <w:p>
            <w:pPr>
              <w:spacing w:after="0"/>
              <w:rPr>
                <w:sz w:val="20"/>
                <w:szCs w:val="20"/>
                <w:color w:val="auto"/>
              </w:rPr>
            </w:pPr>
            <w:r>
              <w:rPr>
                <w:rFonts w:ascii="Arial" w:cs="Arial" w:eastAsia="Arial" w:hAnsi="Arial"/>
                <w:sz w:val="14"/>
                <w:szCs w:val="14"/>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592</w:t>
            </w:r>
          </w:p>
        </w:tc>
      </w:tr>
      <w:tr>
        <w:trPr>
          <w:trHeight w:val="191"/>
        </w:trPr>
        <w:tc>
          <w:tcPr>
            <w:tcW w:w="9540" w:type="dxa"/>
            <w:vAlign w:val="bottom"/>
          </w:tcPr>
          <w:p>
            <w:pPr>
              <w:spacing w:after="0"/>
              <w:rPr>
                <w:sz w:val="20"/>
                <w:szCs w:val="20"/>
                <w:color w:val="auto"/>
              </w:rPr>
            </w:pPr>
            <w:r>
              <w:rPr>
                <w:rFonts w:ascii="Arial" w:cs="Arial" w:eastAsia="Arial" w:hAnsi="Arial"/>
                <w:sz w:val="14"/>
                <w:szCs w:val="14"/>
                <w:color w:val="auto"/>
              </w:rPr>
              <w:t>Work in process</w:t>
            </w:r>
          </w:p>
        </w:tc>
        <w:tc>
          <w:tcPr>
            <w:tcW w:w="18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7,728</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699</w:t>
            </w:r>
          </w:p>
        </w:tc>
      </w:tr>
      <w:tr>
        <w:trPr>
          <w:trHeight w:val="197"/>
        </w:trPr>
        <w:tc>
          <w:tcPr>
            <w:tcW w:w="9540" w:type="dxa"/>
            <w:vAlign w:val="bottom"/>
            <w:shd w:val="clear" w:color="auto" w:fill="C0C0C0"/>
          </w:tcPr>
          <w:p>
            <w:pPr>
              <w:spacing w:after="0"/>
              <w:rPr>
                <w:sz w:val="20"/>
                <w:szCs w:val="20"/>
                <w:color w:val="auto"/>
              </w:rPr>
            </w:pPr>
            <w:r>
              <w:rPr>
                <w:rFonts w:ascii="Arial" w:cs="Arial" w:eastAsia="Arial" w:hAnsi="Arial"/>
                <w:sz w:val="14"/>
                <w:szCs w:val="14"/>
                <w:color w:val="auto"/>
              </w:rPr>
              <w:t>Finished goods</w:t>
            </w:r>
          </w:p>
        </w:tc>
        <w:tc>
          <w:tcPr>
            <w:tcW w:w="180" w:type="dxa"/>
            <w:vAlign w:val="bottom"/>
            <w:tcBorders>
              <w:bottom w:val="single" w:sz="8" w:color="auto"/>
            </w:tcBorders>
            <w:shd w:val="clear" w:color="auto" w:fill="C0C0C0"/>
          </w:tcPr>
          <w:p>
            <w:pPr>
              <w:spacing w:after="0"/>
              <w:rPr>
                <w:sz w:val="17"/>
                <w:szCs w:val="17"/>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83</w:t>
            </w:r>
          </w:p>
        </w:tc>
        <w:tc>
          <w:tcPr>
            <w:tcW w:w="220" w:type="dxa"/>
            <w:vAlign w:val="bottom"/>
            <w:shd w:val="clear" w:color="auto" w:fill="C0C0C0"/>
          </w:tcPr>
          <w:p>
            <w:pPr>
              <w:spacing w:after="0"/>
              <w:rPr>
                <w:sz w:val="17"/>
                <w:szCs w:val="17"/>
                <w:color w:val="auto"/>
              </w:rPr>
            </w:pPr>
          </w:p>
        </w:tc>
        <w:tc>
          <w:tcPr>
            <w:tcW w:w="160" w:type="dxa"/>
            <w:vAlign w:val="bottom"/>
            <w:tcBorders>
              <w:bottom w:val="single" w:sz="8" w:color="auto"/>
            </w:tcBorders>
            <w:shd w:val="clear" w:color="auto" w:fill="C0C0C0"/>
          </w:tcPr>
          <w:p>
            <w:pPr>
              <w:spacing w:after="0"/>
              <w:rPr>
                <w:sz w:val="17"/>
                <w:szCs w:val="17"/>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132</w:t>
            </w:r>
          </w:p>
        </w:tc>
      </w:tr>
      <w:tr>
        <w:trPr>
          <w:trHeight w:val="197"/>
        </w:trPr>
        <w:tc>
          <w:tcPr>
            <w:tcW w:w="9540" w:type="dxa"/>
            <w:vAlign w:val="bottom"/>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8,034</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1,423</w:t>
            </w:r>
          </w:p>
        </w:tc>
      </w:tr>
    </w:tbl>
    <w:p>
      <w:pPr>
        <w:spacing w:after="0" w:line="223" w:lineRule="exact"/>
        <w:rPr>
          <w:sz w:val="20"/>
          <w:szCs w:val="20"/>
          <w:color w:val="auto"/>
        </w:rPr>
      </w:pPr>
    </w:p>
    <w:p>
      <w:pPr>
        <w:jc w:val="both"/>
        <w:ind w:firstLine="219"/>
        <w:spacing w:after="0" w:line="291" w:lineRule="auto"/>
        <w:rPr>
          <w:sz w:val="20"/>
          <w:szCs w:val="20"/>
          <w:color w:val="auto"/>
        </w:rPr>
      </w:pPr>
      <w:r>
        <w:rPr>
          <w:rFonts w:ascii="Arial" w:cs="Arial" w:eastAsia="Arial" w:hAnsi="Arial"/>
          <w:sz w:val="14"/>
          <w:szCs w:val="14"/>
          <w:color w:val="auto"/>
        </w:rPr>
        <w:t>At September 30, 2011, $1.0 million of inventories were included in prepaid expenses and other current assets and $7.0 million of inventories were included in other assets. At December 31, 2010, inventories were included in prepaid expenses and other current assets.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auto"/>
        </w:rPr>
        <w:t>REGENERON PHARMACEUTICALS, INC.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Condensed Financial Statements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(Unless otherwise noted, dollars in thousands, except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Accounts Payable and Accrued Expenses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540" w:type="dxa"/>
            <w:vAlign w:val="bottom"/>
          </w:tcPr>
          <w:p>
            <w:pPr>
              <w:ind w:left="220"/>
              <w:spacing w:after="0"/>
              <w:rPr>
                <w:sz w:val="20"/>
                <w:szCs w:val="20"/>
                <w:color w:val="auto"/>
              </w:rPr>
            </w:pPr>
            <w:r>
              <w:rPr>
                <w:rFonts w:ascii="Arial" w:cs="Arial" w:eastAsia="Arial" w:hAnsi="Arial"/>
                <w:sz w:val="14"/>
                <w:szCs w:val="14"/>
                <w:color w:val="auto"/>
              </w:rPr>
              <w:t>Accounts payable and accrued expenses as of September 30, 2011 and December 31, 2010 consist of the following:</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84"/>
        </w:trPr>
        <w:tc>
          <w:tcPr>
            <w:tcW w:w="954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7"/>
              </w:rPr>
              <w:t>December 31,</w:t>
            </w:r>
          </w:p>
        </w:tc>
      </w:tr>
      <w:tr>
        <w:trPr>
          <w:trHeight w:val="204"/>
        </w:trPr>
        <w:tc>
          <w:tcPr>
            <w:tcW w:w="9540" w:type="dxa"/>
            <w:vAlign w:val="bottom"/>
            <w:tcBorders>
              <w:bottom w:val="single" w:sz="8" w:color="C0C0C0"/>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0C0C0"/>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2010</w:t>
            </w:r>
          </w:p>
        </w:tc>
      </w:tr>
      <w:tr>
        <w:trPr>
          <w:trHeight w:val="195"/>
        </w:trPr>
        <w:tc>
          <w:tcPr>
            <w:tcW w:w="9540" w:type="dxa"/>
            <w:vAlign w:val="bottom"/>
            <w:shd w:val="clear" w:color="auto" w:fill="C0C0C0"/>
          </w:tcPr>
          <w:p>
            <w:pPr>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0C0C0"/>
          </w:tcPr>
          <w:p>
            <w:pPr>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17,309</w:t>
            </w:r>
          </w:p>
        </w:tc>
        <w:tc>
          <w:tcPr>
            <w:tcW w:w="160" w:type="dxa"/>
            <w:vAlign w:val="bottom"/>
            <w:shd w:val="clear" w:color="auto" w:fill="C0C0C0"/>
          </w:tcPr>
          <w:p>
            <w:pPr>
              <w:spacing w:after="0"/>
              <w:rPr>
                <w:sz w:val="20"/>
                <w:szCs w:val="20"/>
                <w:color w:val="auto"/>
              </w:rPr>
            </w:pPr>
            <w:r>
              <w:rPr>
                <w:rFonts w:ascii="Arial" w:cs="Arial" w:eastAsia="Arial" w:hAnsi="Arial"/>
                <w:sz w:val="14"/>
                <w:szCs w:val="14"/>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15,589</w:t>
            </w:r>
          </w:p>
        </w:tc>
      </w:tr>
      <w:tr>
        <w:trPr>
          <w:trHeight w:val="191"/>
        </w:trPr>
        <w:tc>
          <w:tcPr>
            <w:tcW w:w="9540" w:type="dxa"/>
            <w:vAlign w:val="bottom"/>
          </w:tcPr>
          <w:p>
            <w:pPr>
              <w:spacing w:after="0"/>
              <w:rPr>
                <w:sz w:val="20"/>
                <w:szCs w:val="20"/>
                <w:color w:val="auto"/>
              </w:rPr>
            </w:pPr>
            <w:r>
              <w:rPr>
                <w:rFonts w:ascii="Arial" w:cs="Arial" w:eastAsia="Arial" w:hAnsi="Arial"/>
                <w:sz w:val="14"/>
                <w:szCs w:val="14"/>
                <w:color w:val="auto"/>
              </w:rPr>
              <w:t>Accrued payroll and related costs</w:t>
            </w:r>
          </w:p>
        </w:tc>
        <w:tc>
          <w:tcPr>
            <w:tcW w:w="18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37,616</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12,025</w:t>
            </w:r>
          </w:p>
        </w:tc>
      </w:tr>
      <w:tr>
        <w:trPr>
          <w:trHeight w:val="204"/>
        </w:trPr>
        <w:tc>
          <w:tcPr>
            <w:tcW w:w="9540" w:type="dxa"/>
            <w:vAlign w:val="bottom"/>
            <w:shd w:val="clear" w:color="auto" w:fill="C0C0C0"/>
          </w:tcPr>
          <w:p>
            <w:pPr>
              <w:spacing w:after="0"/>
              <w:rPr>
                <w:sz w:val="20"/>
                <w:szCs w:val="20"/>
                <w:color w:val="auto"/>
              </w:rPr>
            </w:pPr>
            <w:r>
              <w:rPr>
                <w:rFonts w:ascii="Arial" w:cs="Arial" w:eastAsia="Arial" w:hAnsi="Arial"/>
                <w:sz w:val="14"/>
                <w:szCs w:val="14"/>
                <w:color w:val="auto"/>
              </w:rPr>
              <w:t>Accrued clinical trial expense</w:t>
            </w:r>
          </w:p>
        </w:tc>
        <w:tc>
          <w:tcPr>
            <w:tcW w:w="180" w:type="dxa"/>
            <w:vAlign w:val="bottom"/>
            <w:shd w:val="clear" w:color="auto" w:fill="C0C0C0"/>
          </w:tcPr>
          <w:p>
            <w:pPr>
              <w:spacing w:after="0"/>
              <w:rPr>
                <w:sz w:val="17"/>
                <w:szCs w:val="17"/>
                <w:color w:val="auto"/>
              </w:rPr>
            </w:pPr>
          </w:p>
        </w:tc>
        <w:tc>
          <w:tcPr>
            <w:tcW w:w="92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10,018</w:t>
            </w:r>
          </w:p>
        </w:tc>
        <w:tc>
          <w:tcPr>
            <w:tcW w:w="160" w:type="dxa"/>
            <w:vAlign w:val="bottom"/>
            <w:shd w:val="clear" w:color="auto" w:fill="C0C0C0"/>
          </w:tcPr>
          <w:p>
            <w:pPr>
              <w:spacing w:after="0"/>
              <w:rPr>
                <w:sz w:val="17"/>
                <w:szCs w:val="17"/>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9,727</w:t>
            </w:r>
          </w:p>
        </w:tc>
      </w:tr>
      <w:tr>
        <w:trPr>
          <w:trHeight w:val="191"/>
        </w:trPr>
        <w:tc>
          <w:tcPr>
            <w:tcW w:w="9540" w:type="dxa"/>
            <w:vAlign w:val="bottom"/>
          </w:tcPr>
          <w:p>
            <w:pPr>
              <w:spacing w:after="0"/>
              <w:rPr>
                <w:sz w:val="20"/>
                <w:szCs w:val="20"/>
                <w:color w:val="auto"/>
              </w:rPr>
            </w:pPr>
            <w:r>
              <w:rPr>
                <w:rFonts w:ascii="Arial" w:cs="Arial" w:eastAsia="Arial" w:hAnsi="Arial"/>
                <w:sz w:val="14"/>
                <w:szCs w:val="14"/>
                <w:color w:val="auto"/>
              </w:rPr>
              <w:t>Accrued property, plant, and equipment costs</w:t>
            </w:r>
          </w:p>
        </w:tc>
        <w:tc>
          <w:tcPr>
            <w:tcW w:w="18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2,333</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7,622</w:t>
            </w:r>
          </w:p>
        </w:tc>
      </w:tr>
      <w:tr>
        <w:trPr>
          <w:trHeight w:val="204"/>
        </w:trPr>
        <w:tc>
          <w:tcPr>
            <w:tcW w:w="9540" w:type="dxa"/>
            <w:vAlign w:val="bottom"/>
            <w:shd w:val="clear" w:color="auto" w:fill="C0C0C0"/>
          </w:tcPr>
          <w:p>
            <w:pPr>
              <w:spacing w:after="0"/>
              <w:rPr>
                <w:sz w:val="20"/>
                <w:szCs w:val="20"/>
                <w:color w:val="auto"/>
              </w:rPr>
            </w:pPr>
            <w:r>
              <w:rPr>
                <w:rFonts w:ascii="Arial" w:cs="Arial" w:eastAsia="Arial" w:hAnsi="Arial"/>
                <w:sz w:val="14"/>
                <w:szCs w:val="14"/>
                <w:color w:val="auto"/>
              </w:rPr>
              <w:t>Other accrued expenses and liabilities</w:t>
            </w:r>
          </w:p>
        </w:tc>
        <w:tc>
          <w:tcPr>
            <w:tcW w:w="180" w:type="dxa"/>
            <w:vAlign w:val="bottom"/>
            <w:shd w:val="clear" w:color="auto" w:fill="C0C0C0"/>
          </w:tcPr>
          <w:p>
            <w:pPr>
              <w:spacing w:after="0"/>
              <w:rPr>
                <w:sz w:val="17"/>
                <w:szCs w:val="17"/>
                <w:color w:val="auto"/>
              </w:rPr>
            </w:pPr>
          </w:p>
        </w:tc>
        <w:tc>
          <w:tcPr>
            <w:tcW w:w="92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8,208</w:t>
            </w:r>
          </w:p>
        </w:tc>
        <w:tc>
          <w:tcPr>
            <w:tcW w:w="160" w:type="dxa"/>
            <w:vAlign w:val="bottom"/>
            <w:shd w:val="clear" w:color="auto" w:fill="C0C0C0"/>
          </w:tcPr>
          <w:p>
            <w:pPr>
              <w:spacing w:after="0"/>
              <w:rPr>
                <w:sz w:val="17"/>
                <w:szCs w:val="17"/>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6,441</w:t>
            </w:r>
          </w:p>
        </w:tc>
      </w:tr>
      <w:tr>
        <w:trPr>
          <w:trHeight w:val="191"/>
        </w:trPr>
        <w:tc>
          <w:tcPr>
            <w:tcW w:w="9540" w:type="dxa"/>
            <w:vAlign w:val="bottom"/>
            <w:tcBorders>
              <w:bottom w:val="single" w:sz="8" w:color="C0C0C0"/>
            </w:tcBorders>
          </w:tcPr>
          <w:p>
            <w:pPr>
              <w:spacing w:after="0"/>
              <w:rPr>
                <w:sz w:val="20"/>
                <w:szCs w:val="20"/>
                <w:color w:val="auto"/>
              </w:rPr>
            </w:pPr>
            <w:r>
              <w:rPr>
                <w:rFonts w:ascii="Arial" w:cs="Arial" w:eastAsia="Arial" w:hAnsi="Arial"/>
                <w:sz w:val="14"/>
                <w:szCs w:val="14"/>
                <w:color w:val="auto"/>
              </w:rPr>
              <w:t>Payable to Bayer HealthCare LLC</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3,406</w:t>
            </w:r>
          </w:p>
        </w:tc>
        <w:tc>
          <w:tcPr>
            <w:tcW w:w="220" w:type="dxa"/>
            <w:vAlign w:val="bottom"/>
            <w:tcBorders>
              <w:bottom w:val="single" w:sz="8" w:color="C0C0C0"/>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2,254</w:t>
            </w:r>
          </w:p>
        </w:tc>
      </w:tr>
      <w:tr>
        <w:trPr>
          <w:trHeight w:val="197"/>
        </w:trPr>
        <w:tc>
          <w:tcPr>
            <w:tcW w:w="9540" w:type="dxa"/>
            <w:vAlign w:val="bottom"/>
            <w:tcBorders>
              <w:bottom w:val="single" w:sz="8" w:color="C0C0C0"/>
            </w:tcBorders>
            <w:shd w:val="clear" w:color="auto" w:fill="C0C0C0"/>
          </w:tcPr>
          <w:p>
            <w:pPr>
              <w:spacing w:after="0"/>
              <w:rPr>
                <w:sz w:val="17"/>
                <w:szCs w:val="17"/>
                <w:color w:val="auto"/>
              </w:rPr>
            </w:pPr>
          </w:p>
        </w:tc>
        <w:tc>
          <w:tcPr>
            <w:tcW w:w="1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78,890</w:t>
            </w:r>
          </w:p>
        </w:tc>
        <w:tc>
          <w:tcPr>
            <w:tcW w:w="220" w:type="dxa"/>
            <w:vAlign w:val="bottom"/>
            <w:tcBorders>
              <w:bottom w:val="single" w:sz="8" w:color="C0C0C0"/>
            </w:tcBorders>
            <w:shd w:val="clear" w:color="auto" w:fill="C0C0C0"/>
          </w:tcPr>
          <w:p>
            <w:pPr>
              <w:spacing w:after="0"/>
              <w:rPr>
                <w:sz w:val="17"/>
                <w:szCs w:val="17"/>
                <w:color w:val="auto"/>
              </w:rPr>
            </w:pPr>
          </w:p>
        </w:tc>
        <w:tc>
          <w:tcPr>
            <w:tcW w:w="1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53,658</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Comprehensive Loss</w:t>
      </w:r>
    </w:p>
    <w:p>
      <w:pPr>
        <w:spacing w:after="0" w:line="23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Comprehensive loss of the Company includes net loss adjusted for the change in net unrealized gain (loss) on marketable securities, net of any tax effect. For the three and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September 30, 2011 and 2010, the components of comprehensive loss are: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89"/>
              <w:spacing w:after="0"/>
              <w:rPr>
                <w:sz w:val="20"/>
                <w:szCs w:val="20"/>
                <w:color w:val="auto"/>
              </w:rPr>
            </w:pPr>
            <w:r>
              <w:rPr>
                <w:rFonts w:ascii="Arial" w:cs="Arial" w:eastAsia="Arial" w:hAnsi="Arial"/>
                <w:sz w:val="14"/>
                <w:szCs w:val="14"/>
                <w:b w:val="1"/>
                <w:bCs w:val="1"/>
                <w:color w:val="auto"/>
                <w:w w:val="91"/>
              </w:rPr>
              <w:t>Three months ended September 30,</w:t>
            </w:r>
          </w:p>
        </w:tc>
      </w:tr>
      <w:tr>
        <w:trPr>
          <w:trHeight w:val="189"/>
        </w:trPr>
        <w:tc>
          <w:tcPr>
            <w:tcW w:w="6260" w:type="dxa"/>
            <w:vAlign w:val="bottom"/>
            <w:tcBorders>
              <w:bottom w:val="single" w:sz="8" w:color="C0C0C0"/>
            </w:tcBorders>
          </w:tcPr>
          <w:p>
            <w:pPr>
              <w:spacing w:after="0"/>
              <w:rPr>
                <w:sz w:val="16"/>
                <w:szCs w:val="16"/>
                <w:color w:val="auto"/>
              </w:rPr>
            </w:pPr>
          </w:p>
        </w:tc>
        <w:tc>
          <w:tcPr>
            <w:tcW w:w="2720" w:type="dxa"/>
            <w:vAlign w:val="bottom"/>
            <w:tcBorders>
              <w:bottom w:val="single" w:sz="8" w:color="C0C0C0"/>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0C0C0"/>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2010</w:t>
            </w:r>
          </w:p>
        </w:tc>
      </w:tr>
      <w:tr>
        <w:trPr>
          <w:trHeight w:val="195"/>
        </w:trPr>
        <w:tc>
          <w:tcPr>
            <w:tcW w:w="6260" w:type="dxa"/>
            <w:vAlign w:val="bottom"/>
            <w:shd w:val="clear" w:color="auto" w:fill="C0C0C0"/>
          </w:tcPr>
          <w:p>
            <w:pPr>
              <w:spacing w:after="0"/>
              <w:rPr>
                <w:sz w:val="20"/>
                <w:szCs w:val="20"/>
                <w:color w:val="auto"/>
              </w:rPr>
            </w:pPr>
            <w:r>
              <w:rPr>
                <w:rFonts w:ascii="Arial" w:cs="Arial" w:eastAsia="Arial" w:hAnsi="Arial"/>
                <w:sz w:val="14"/>
                <w:szCs w:val="14"/>
                <w:color w:val="auto"/>
              </w:rPr>
              <w:t>Net loss</w:t>
            </w:r>
          </w:p>
        </w:tc>
        <w:tc>
          <w:tcPr>
            <w:tcW w:w="284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(62,365)</w:t>
            </w:r>
          </w:p>
        </w:tc>
        <w:tc>
          <w:tcPr>
            <w:tcW w:w="460" w:type="dxa"/>
            <w:vAlign w:val="bottom"/>
            <w:gridSpan w:val="2"/>
            <w:shd w:val="clear" w:color="auto" w:fill="C0C0C0"/>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(33,875)</w:t>
            </w:r>
          </w:p>
        </w:tc>
      </w:tr>
      <w:tr>
        <w:trPr>
          <w:trHeight w:val="187"/>
        </w:trPr>
        <w:tc>
          <w:tcPr>
            <w:tcW w:w="6260" w:type="dxa"/>
            <w:vAlign w:val="bottom"/>
          </w:tcPr>
          <w:p>
            <w:pPr>
              <w:spacing w:after="0"/>
              <w:rPr>
                <w:sz w:val="20"/>
                <w:szCs w:val="20"/>
                <w:color w:val="auto"/>
              </w:rPr>
            </w:pPr>
            <w:r>
              <w:rPr>
                <w:rFonts w:ascii="Arial" w:cs="Arial" w:eastAsia="Arial" w:hAnsi="Arial"/>
                <w:sz w:val="14"/>
                <w:szCs w:val="14"/>
                <w:color w:val="auto"/>
              </w:rPr>
              <w:t>Change in net unrealized gain (loss) on marketable securities,</w:t>
            </w:r>
          </w:p>
        </w:tc>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2"/>
        </w:trPr>
        <w:tc>
          <w:tcPr>
            <w:tcW w:w="6260" w:type="dxa"/>
            <w:vAlign w:val="bottom"/>
            <w:tcBorders>
              <w:bottom w:val="single" w:sz="8" w:color="C0C0C0"/>
            </w:tcBorders>
          </w:tcPr>
          <w:p>
            <w:pPr>
              <w:ind w:left="260"/>
              <w:spacing w:after="0"/>
              <w:rPr>
                <w:sz w:val="20"/>
                <w:szCs w:val="20"/>
                <w:color w:val="auto"/>
              </w:rPr>
            </w:pPr>
            <w:r>
              <w:rPr>
                <w:rFonts w:ascii="Arial" w:cs="Arial" w:eastAsia="Arial" w:hAnsi="Arial"/>
                <w:sz w:val="14"/>
                <w:szCs w:val="14"/>
                <w:color w:val="auto"/>
              </w:rPr>
              <w:t>net of tax effect of $0.6 million in 2011</w:t>
            </w:r>
          </w:p>
        </w:tc>
        <w:tc>
          <w:tcPr>
            <w:tcW w:w="2720" w:type="dxa"/>
            <w:vAlign w:val="bottom"/>
            <w:tcBorders>
              <w:bottom w:val="single" w:sz="8" w:color="C0C0C0"/>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(827)</w:t>
            </w:r>
          </w:p>
        </w:tc>
        <w:tc>
          <w:tcPr>
            <w:tcW w:w="220" w:type="dxa"/>
            <w:vAlign w:val="bottom"/>
            <w:tcBorders>
              <w:bottom w:val="single" w:sz="8" w:color="C0C0C0"/>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131</w:t>
            </w:r>
          </w:p>
        </w:tc>
      </w:tr>
      <w:tr>
        <w:trPr>
          <w:trHeight w:val="197"/>
        </w:trPr>
        <w:tc>
          <w:tcPr>
            <w:tcW w:w="6260" w:type="dxa"/>
            <w:vAlign w:val="bottom"/>
            <w:tcBorders>
              <w:bottom w:val="single" w:sz="8" w:color="C0C0C0"/>
            </w:tcBorders>
            <w:shd w:val="clear" w:color="auto" w:fill="C0C0C0"/>
          </w:tcPr>
          <w:p>
            <w:pPr>
              <w:ind w:left="260"/>
              <w:spacing w:after="0"/>
              <w:rPr>
                <w:sz w:val="20"/>
                <w:szCs w:val="20"/>
                <w:color w:val="auto"/>
              </w:rPr>
            </w:pPr>
            <w:r>
              <w:rPr>
                <w:rFonts w:ascii="Arial" w:cs="Arial" w:eastAsia="Arial" w:hAnsi="Arial"/>
                <w:sz w:val="14"/>
                <w:szCs w:val="14"/>
                <w:color w:val="auto"/>
              </w:rPr>
              <w:t>Total comprehensive loss</w:t>
            </w:r>
          </w:p>
        </w:tc>
        <w:tc>
          <w:tcPr>
            <w:tcW w:w="2720" w:type="dxa"/>
            <w:vAlign w:val="bottom"/>
            <w:tcBorders>
              <w:bottom w:val="single" w:sz="8" w:color="C0C0C0"/>
            </w:tcBorders>
            <w:shd w:val="clear" w:color="auto" w:fill="C0C0C0"/>
          </w:tcPr>
          <w:p>
            <w:pPr>
              <w:spacing w:after="0"/>
              <w:rPr>
                <w:sz w:val="17"/>
                <w:szCs w:val="17"/>
                <w:color w:val="auto"/>
              </w:rPr>
            </w:pP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(63,192)</w:t>
            </w:r>
          </w:p>
        </w:tc>
        <w:tc>
          <w:tcPr>
            <w:tcW w:w="22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auto"/>
            </w:tcBorders>
            <w:shd w:val="clear" w:color="auto" w:fill="C0C0C0"/>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(33,744)</w:t>
            </w: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129"/>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89"/>
        </w:trPr>
        <w:tc>
          <w:tcPr>
            <w:tcW w:w="6260" w:type="dxa"/>
            <w:vAlign w:val="bottom"/>
            <w:tcBorders>
              <w:bottom w:val="single" w:sz="8" w:color="C0C0C0"/>
            </w:tcBorders>
          </w:tcPr>
          <w:p>
            <w:pPr>
              <w:spacing w:after="0"/>
              <w:rPr>
                <w:sz w:val="16"/>
                <w:szCs w:val="16"/>
                <w:color w:val="auto"/>
              </w:rPr>
            </w:pPr>
          </w:p>
        </w:tc>
        <w:tc>
          <w:tcPr>
            <w:tcW w:w="2720" w:type="dxa"/>
            <w:vAlign w:val="bottom"/>
            <w:tcBorders>
              <w:bottom w:val="single" w:sz="8" w:color="C0C0C0"/>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0C0C0"/>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2010</w:t>
            </w:r>
          </w:p>
        </w:tc>
      </w:tr>
      <w:tr>
        <w:trPr>
          <w:trHeight w:val="195"/>
        </w:trPr>
        <w:tc>
          <w:tcPr>
            <w:tcW w:w="6260" w:type="dxa"/>
            <w:vAlign w:val="bottom"/>
            <w:shd w:val="clear" w:color="auto" w:fill="C0C0C0"/>
          </w:tcPr>
          <w:p>
            <w:pPr>
              <w:spacing w:after="0"/>
              <w:rPr>
                <w:sz w:val="20"/>
                <w:szCs w:val="20"/>
                <w:color w:val="auto"/>
              </w:rPr>
            </w:pPr>
            <w:r>
              <w:rPr>
                <w:rFonts w:ascii="Arial" w:cs="Arial" w:eastAsia="Arial" w:hAnsi="Arial"/>
                <w:sz w:val="14"/>
                <w:szCs w:val="14"/>
                <w:color w:val="auto"/>
              </w:rPr>
              <w:t>Net loss</w:t>
            </w:r>
          </w:p>
        </w:tc>
        <w:tc>
          <w:tcPr>
            <w:tcW w:w="286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(168,317)</w:t>
            </w:r>
          </w:p>
        </w:tc>
        <w:tc>
          <w:tcPr>
            <w:tcW w:w="460" w:type="dxa"/>
            <w:vAlign w:val="bottom"/>
            <w:gridSpan w:val="2"/>
            <w:shd w:val="clear" w:color="auto" w:fill="C0C0C0"/>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(89,871)</w:t>
            </w:r>
          </w:p>
        </w:tc>
      </w:tr>
      <w:tr>
        <w:trPr>
          <w:trHeight w:val="185"/>
        </w:trPr>
        <w:tc>
          <w:tcPr>
            <w:tcW w:w="6260" w:type="dxa"/>
            <w:vAlign w:val="bottom"/>
          </w:tcPr>
          <w:p>
            <w:pPr>
              <w:spacing w:after="0"/>
              <w:rPr>
                <w:sz w:val="20"/>
                <w:szCs w:val="20"/>
                <w:color w:val="auto"/>
              </w:rPr>
            </w:pPr>
            <w:r>
              <w:rPr>
                <w:rFonts w:ascii="Arial" w:cs="Arial" w:eastAsia="Arial" w:hAnsi="Arial"/>
                <w:sz w:val="14"/>
                <w:szCs w:val="14"/>
                <w:color w:val="auto"/>
              </w:rPr>
              <w:t>Change in net unrealized gain (loss) on marketable securities,</w:t>
            </w:r>
          </w:p>
        </w:tc>
        <w:tc>
          <w:tcPr>
            <w:tcW w:w="2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4"/>
        </w:trPr>
        <w:tc>
          <w:tcPr>
            <w:tcW w:w="6260" w:type="dxa"/>
            <w:vAlign w:val="bottom"/>
            <w:tcBorders>
              <w:bottom w:val="single" w:sz="8" w:color="C0C0C0"/>
            </w:tcBorders>
          </w:tcPr>
          <w:p>
            <w:pPr>
              <w:ind w:left="260"/>
              <w:spacing w:after="0"/>
              <w:rPr>
                <w:sz w:val="20"/>
                <w:szCs w:val="20"/>
                <w:color w:val="auto"/>
              </w:rPr>
            </w:pPr>
            <w:r>
              <w:rPr>
                <w:rFonts w:ascii="Arial" w:cs="Arial" w:eastAsia="Arial" w:hAnsi="Arial"/>
                <w:sz w:val="14"/>
                <w:szCs w:val="14"/>
                <w:color w:val="auto"/>
              </w:rPr>
              <w:t>net of tax effect of $0.5 million in 2011</w:t>
            </w:r>
          </w:p>
        </w:tc>
        <w:tc>
          <w:tcPr>
            <w:tcW w:w="2720" w:type="dxa"/>
            <w:vAlign w:val="bottom"/>
            <w:tcBorders>
              <w:bottom w:val="single" w:sz="8" w:color="C0C0C0"/>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760</w:t>
            </w:r>
          </w:p>
        </w:tc>
        <w:tc>
          <w:tcPr>
            <w:tcW w:w="220" w:type="dxa"/>
            <w:vAlign w:val="bottom"/>
            <w:tcBorders>
              <w:bottom w:val="single" w:sz="8" w:color="C0C0C0"/>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(1,219)</w:t>
            </w:r>
          </w:p>
        </w:tc>
      </w:tr>
      <w:tr>
        <w:trPr>
          <w:trHeight w:val="197"/>
        </w:trPr>
        <w:tc>
          <w:tcPr>
            <w:tcW w:w="6260" w:type="dxa"/>
            <w:vAlign w:val="bottom"/>
            <w:tcBorders>
              <w:bottom w:val="single" w:sz="8" w:color="C0C0C0"/>
            </w:tcBorders>
            <w:shd w:val="clear" w:color="auto" w:fill="C0C0C0"/>
          </w:tcPr>
          <w:p>
            <w:pPr>
              <w:ind w:left="260"/>
              <w:spacing w:after="0"/>
              <w:rPr>
                <w:sz w:val="20"/>
                <w:szCs w:val="20"/>
                <w:color w:val="auto"/>
              </w:rPr>
            </w:pPr>
            <w:r>
              <w:rPr>
                <w:rFonts w:ascii="Arial" w:cs="Arial" w:eastAsia="Arial" w:hAnsi="Arial"/>
                <w:sz w:val="14"/>
                <w:szCs w:val="14"/>
                <w:color w:val="auto"/>
              </w:rPr>
              <w:t>Total comprehensive loss</w:t>
            </w:r>
          </w:p>
        </w:tc>
        <w:tc>
          <w:tcPr>
            <w:tcW w:w="2720" w:type="dxa"/>
            <w:vAlign w:val="bottom"/>
            <w:tcBorders>
              <w:bottom w:val="single" w:sz="8" w:color="C0C0C0"/>
            </w:tcBorders>
            <w:shd w:val="clear" w:color="auto" w:fill="C0C0C0"/>
          </w:tcPr>
          <w:p>
            <w:pPr>
              <w:spacing w:after="0"/>
              <w:rPr>
                <w:sz w:val="17"/>
                <w:szCs w:val="17"/>
                <w:color w:val="auto"/>
              </w:rPr>
            </w:pPr>
          </w:p>
        </w:tc>
        <w:tc>
          <w:tcPr>
            <w:tcW w:w="1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(167,557)</w:t>
            </w:r>
          </w:p>
        </w:tc>
        <w:tc>
          <w:tcPr>
            <w:tcW w:w="22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auto"/>
            </w:tcBorders>
            <w:shd w:val="clear" w:color="auto" w:fill="C0C0C0"/>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(91,090)</w:t>
            </w:r>
          </w:p>
        </w:tc>
      </w:tr>
    </w:tbl>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Income Taxes</w:t>
      </w:r>
    </w:p>
    <w:p>
      <w:pPr>
        <w:spacing w:after="0" w:line="238"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4"/>
          <w:szCs w:val="14"/>
          <w:color w:val="auto"/>
        </w:rPr>
        <w:t>For the three and nine months ended September 30, 2011 and 2010, the Company incurred net losses for tax purposes and recognized a full valuation allowance against deferred tax assets. For the three and nine months ended September 30, 2011, the Company recognized income tax expense of $0.6 million and an income tax benefit of $0.5 million, respectively, in connection with the net tax effect of the change in the Company’s unrealized gain/(loss) on “available-for-sale” marketable securities, which is included in other comprehensive loss. For the three and nine months ended September 30, 2010, no provision or benefit for income taxes was recorded.</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Legal Matters</w:t>
      </w:r>
    </w:p>
    <w:p>
      <w:pPr>
        <w:spacing w:after="0" w:line="238" w:lineRule="exact"/>
        <w:rPr>
          <w:sz w:val="20"/>
          <w:szCs w:val="20"/>
          <w:color w:val="auto"/>
        </w:rPr>
      </w:pPr>
    </w:p>
    <w:p>
      <w:pPr>
        <w:jc w:val="both"/>
        <w:ind w:firstLine="230"/>
        <w:spacing w:after="0" w:line="332" w:lineRule="auto"/>
        <w:rPr>
          <w:sz w:val="20"/>
          <w:szCs w:val="20"/>
          <w:color w:val="auto"/>
        </w:rPr>
      </w:pPr>
      <w:r>
        <w:rPr>
          <w:rFonts w:ascii="Arial" w:cs="Arial" w:eastAsia="Arial" w:hAnsi="Arial"/>
          <w:sz w:val="13"/>
          <w:szCs w:val="13"/>
          <w:color w:val="auto"/>
        </w:rPr>
        <w:t>From time to time, the Company is a party to legal proceedings in the course of the Company’s business. The Company does not expect any such current ordinary course legal proceedings to have a material adverse effect on the Company’s business or financial condition. Costs associated with the Company’s involvement in legal proceedings are expensed as incurred.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auto"/>
        </w:rPr>
        <w:t>REGENERON PHARMACEUTICALS, INC.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Condensed Financial Statements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(Unless otherwise noted, dollars in thousands, except per share data)</w:t>
      </w:r>
    </w:p>
    <w:p>
      <w:pPr>
        <w:spacing w:after="0" w:line="228"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3"/>
          <w:szCs w:val="13"/>
          <w:color w:val="auto"/>
        </w:rPr>
        <w:t>As previously reported, on November 19, 2010, the Company filed a complaint against Genentech in the U.S. District Court for the Southern District of New York seeking a declaratory judgment that no activities relating to the Company’s VEGF Trap (aflibercept) infringe any valid claim of certain Genentech patents referred to as the Davis-Smyth patents. On January 12, 2011, Genentech filed a motion to dismiss the complaint, arguing that the lawsuit was premature and thus the Court lacked subject matter jurisdiction. Upon the Company’s submission to the FDA of a Biologics License Application (BLA) for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(aflibercept injection) for the treatment of age-related macular degeneration (wet AMD), the Company filed a second complaint against Genentech in the same court seeking the same declaratory relief. On April 7, 2011, the Company and Genentech entered into a Joint Stipulation, which was approved and executed by the Court on April 11, 2011. Pursuant to the Joint Stipulation, the Company voluntarily dismissed its original complaint in favor of proceeding with its second complaint, and Genentech agreed that it would not seek to transfer the case to another judicial district or move to dismiss the second complaint for lack of subject matter jurisdiction or otherwise under Rule 12(b) of the Federal Rules of Civil Procedure. On April 25, 2011, Genentech filed an answer to the second complaint, denying that the Company is entitled to the declaratory relief being sought by the Company, and asserting counterclaims that the Company’s prior or planned activities relating to VEGF Trap have infringed or will infringe one or more claims of the Davis-Smyth patents. In its answer, Genentech requests a judgment against the Company for damages, including for willful infringement, and other relief as the Court deems appropriate. On May 11, 2011, Genentech filed an amended answer and counterclaim, again denying that the Company is entitled to the declaratory relief being sought by the Company, and asserting counterclaims that the Company’s prior or planned activities relating to VEGF Trap have infringed or will infringe claims of four of the five Davis-Smyth patents. In its amended answer and counterclaim, Genentech requests a judgment against the Company for damages, including for willful infringement, and other relief as the Court deems appropriate. On May 25, 2011, the Company replied to Genentech's amended answer and counterclaim, denying Genentech's counterclaims, and denying that any of the Company’s prior or planned activities relating to VEGF Trap infringe any valid claim of the Davis-Smyth patents. The Company believes Genentech's counterclaims are without merit and intends to continue to defend against them vigorously. As this litigation is at an early stage, at this time the Company is not able to predict the probability of the outcome or an estimate of loss, if any, related to this matter.</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The Company has initiated patent-related actions against Genentech in Germany, the United Kingdom, and Italy, and may initiate other actions in other countries outside the U.S.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Subsequent Event – Offering of Senior Convertible Notes</w:t>
      </w:r>
    </w:p>
    <w:p>
      <w:pPr>
        <w:spacing w:after="0" w:line="238" w:lineRule="exact"/>
        <w:rPr>
          <w:sz w:val="20"/>
          <w:szCs w:val="20"/>
          <w:color w:val="auto"/>
        </w:rPr>
      </w:pPr>
    </w:p>
    <w:p>
      <w:pPr>
        <w:jc w:val="both"/>
        <w:ind w:firstLine="241"/>
        <w:spacing w:after="0" w:line="332" w:lineRule="auto"/>
        <w:rPr>
          <w:sz w:val="20"/>
          <w:szCs w:val="20"/>
          <w:color w:val="auto"/>
        </w:rPr>
      </w:pPr>
      <w:r>
        <w:rPr>
          <w:rFonts w:ascii="Arial" w:cs="Arial" w:eastAsia="Arial" w:hAnsi="Arial"/>
          <w:sz w:val="13"/>
          <w:szCs w:val="13"/>
          <w:color w:val="auto"/>
        </w:rPr>
        <w:t>On October 17, 2011, the Company announced an offering of $400 million aggregate principal amount of 1.875% convertible senior notes (the “Notes”) due October 1, 2016. The offering closed on October 21, 2011. The initial purchaser of the Notes has a 13-day option to purchase up to an additional $60 million aggregate principal amount of Notes on the same terms and conditions.</w:t>
      </w:r>
    </w:p>
    <w:p>
      <w:pPr>
        <w:spacing w:after="0" w:line="157" w:lineRule="exact"/>
        <w:rPr>
          <w:sz w:val="20"/>
          <w:szCs w:val="20"/>
          <w:color w:val="auto"/>
        </w:rPr>
      </w:pPr>
    </w:p>
    <w:p>
      <w:pPr>
        <w:jc w:val="both"/>
        <w:ind w:firstLine="252"/>
        <w:spacing w:after="0" w:line="271" w:lineRule="auto"/>
        <w:rPr>
          <w:sz w:val="20"/>
          <w:szCs w:val="20"/>
          <w:color w:val="auto"/>
        </w:rPr>
      </w:pPr>
      <w:r>
        <w:rPr>
          <w:rFonts w:ascii="Arial" w:cs="Arial" w:eastAsia="Arial" w:hAnsi="Arial"/>
          <w:sz w:val="14"/>
          <w:szCs w:val="14"/>
          <w:color w:val="auto"/>
        </w:rPr>
        <w:t>The Notes will pay interest semi-annually on April 1 and October 1 at an annual rate of 1.875%, and will mature on October 1, 2016, unless earlier converted or repurchased. The Notes will be convertible, subject to certain conditions, into cash, shares of the Company’s Common Stock, or a combination of cash and shares of Common Stock, at the Company's option. The initial conversion rate for the Notes will be 11.9021 shares of Common Stock (subject to adjustment in certain circumstances) per $1,000 principal amount of the Notes, which is equal to an initial conversion price of approximately $84.02 per share.</w:t>
      </w:r>
    </w:p>
    <w:p>
      <w:pPr>
        <w:spacing w:after="0" w:line="194" w:lineRule="exact"/>
        <w:rPr>
          <w:sz w:val="20"/>
          <w:szCs w:val="20"/>
          <w:color w:val="auto"/>
        </w:rPr>
      </w:pPr>
    </w:p>
    <w:p>
      <w:pPr>
        <w:jc w:val="both"/>
        <w:ind w:firstLine="241"/>
        <w:spacing w:after="0" w:line="271" w:lineRule="auto"/>
        <w:rPr>
          <w:sz w:val="20"/>
          <w:szCs w:val="20"/>
          <w:color w:val="auto"/>
        </w:rPr>
      </w:pPr>
      <w:r>
        <w:rPr>
          <w:rFonts w:ascii="Arial" w:cs="Arial" w:eastAsia="Arial" w:hAnsi="Arial"/>
          <w:sz w:val="14"/>
          <w:szCs w:val="14"/>
          <w:color w:val="auto"/>
        </w:rPr>
        <w:t>In connection with the offering of the Notes, the Company entered into convertible note hedge and warrant transactions with multiple counterparties, including an affiliate of the initial purchaser. The convertible note hedge transactions cover, subject to customary anti-dilution adjustments, the number of shares of the Company's Common Stock that initially underlie the Notes, and are intended to reduce the dilutive impact of the conversion feature of the Notes. The warrant transactions will have an initial strike price of approximately $103.41 per share, and may be settled in cash or shares of the Company’s Common Stock, at the Company’s option.</w:t>
      </w:r>
    </w:p>
    <w:p>
      <w:pPr>
        <w:spacing w:after="0" w:line="191" w:lineRule="exact"/>
        <w:rPr>
          <w:sz w:val="20"/>
          <w:szCs w:val="20"/>
          <w:color w:val="auto"/>
        </w:rPr>
      </w:pPr>
    </w:p>
    <w:p>
      <w:pPr>
        <w:jc w:val="both"/>
        <w:ind w:firstLine="263"/>
        <w:spacing w:after="0" w:line="260" w:lineRule="auto"/>
        <w:rPr>
          <w:sz w:val="20"/>
          <w:szCs w:val="20"/>
          <w:color w:val="auto"/>
        </w:rPr>
      </w:pPr>
      <w:r>
        <w:rPr>
          <w:rFonts w:ascii="Arial" w:cs="Arial" w:eastAsia="Arial" w:hAnsi="Arial"/>
          <w:sz w:val="15"/>
          <w:szCs w:val="15"/>
          <w:color w:val="auto"/>
        </w:rPr>
        <w:t>T</w:t>
      </w:r>
      <w:r>
        <w:rPr>
          <w:rFonts w:ascii="Arial" w:cs="Arial" w:eastAsia="Arial" w:hAnsi="Arial"/>
          <w:sz w:val="14"/>
          <w:szCs w:val="14"/>
          <w:color w:val="auto"/>
        </w:rPr>
        <w:t>he net proceeds from the Notes offering were approximately $391.3 million after deducting the initial purchaser's discount and estimated offering expenses (and will be approximately $450.1</w:t>
      </w:r>
      <w:r>
        <w:rPr>
          <w:rFonts w:ascii="Arial" w:cs="Arial" w:eastAsia="Arial" w:hAnsi="Arial"/>
          <w:sz w:val="15"/>
          <w:szCs w:val="15"/>
          <w:color w:val="auto"/>
        </w:rPr>
        <w:t xml:space="preserve"> </w:t>
      </w:r>
      <w:r>
        <w:rPr>
          <w:rFonts w:ascii="Arial" w:cs="Arial" w:eastAsia="Arial" w:hAnsi="Arial"/>
          <w:sz w:val="14"/>
          <w:szCs w:val="14"/>
          <w:color w:val="auto"/>
        </w:rPr>
        <w:t>million if the initial purchaser exercises in full its option to purchase additional Notes). In addition, the cost of the initial convertible note hedge, after taking into account the proceeds received by the Company from the warrant transactions, was $23.7 million. If the initial purchaser exercises its option to purchase additional Notes, the Company may use net proceeds from the sale of the additional Notes to enter into additional convertible note hedge and warrant transactions.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color w:val="auto"/>
        </w:rPr>
        <w:t>REGENERON PHARMACEUTICALS, INC.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Condensed Financial Statements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(Unless otherwise noted, dollars in thousands, except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Recently Issued Accounting Standards</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Multiple-deliverable revenue arrangements</w:t>
      </w:r>
    </w:p>
    <w:p>
      <w:pPr>
        <w:spacing w:after="0" w:line="234" w:lineRule="exact"/>
        <w:rPr>
          <w:sz w:val="20"/>
          <w:szCs w:val="20"/>
          <w:color w:val="auto"/>
        </w:rPr>
      </w:pPr>
    </w:p>
    <w:p>
      <w:pPr>
        <w:jc w:val="both"/>
        <w:ind w:firstLine="362"/>
        <w:spacing w:after="0" w:line="294" w:lineRule="auto"/>
        <w:rPr>
          <w:sz w:val="20"/>
          <w:szCs w:val="20"/>
          <w:color w:val="auto"/>
        </w:rPr>
      </w:pPr>
      <w:r>
        <w:rPr>
          <w:rFonts w:ascii="Arial" w:cs="Arial" w:eastAsia="Arial" w:hAnsi="Arial"/>
          <w:sz w:val="13"/>
          <w:szCs w:val="13"/>
          <w:color w:val="auto"/>
        </w:rPr>
        <w:t>During the first quarter of 2011 the Company adopted amended authoritative guidance issued by the Financial Accounting Standards Board (“FASB”) on multiple-deliverable revenue arrangements. The amended guidance provides greater ability to separate and allocate consideration to be received in a multiple-deliverable revenue arrangement by requiring the use of estimated selling prices to allocate the consideration, thereby eliminating the use of the residual method of allocation. The amended guidance also requires expanded qualitative and quantitative disclosures surrounding multiple-deliverable revenue arrangements. The Company is applying this amended guidance prospectively for new or materially modified arrangements, of which there were none during the nine months ended September 30, 2011. The adoption of this guidance did not have a material impact on the Company’s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Milestone method of revenue recognition</w:t>
      </w:r>
    </w:p>
    <w:p>
      <w:pPr>
        <w:spacing w:after="0" w:line="234" w:lineRule="exact"/>
        <w:rPr>
          <w:sz w:val="20"/>
          <w:szCs w:val="20"/>
          <w:color w:val="auto"/>
        </w:rPr>
      </w:pPr>
    </w:p>
    <w:p>
      <w:pPr>
        <w:jc w:val="both"/>
        <w:ind w:firstLine="296"/>
        <w:spacing w:after="0" w:line="276" w:lineRule="auto"/>
        <w:rPr>
          <w:sz w:val="20"/>
          <w:szCs w:val="20"/>
          <w:color w:val="auto"/>
        </w:rPr>
      </w:pPr>
      <w:r>
        <w:rPr>
          <w:rFonts w:ascii="Arial" w:cs="Arial" w:eastAsia="Arial" w:hAnsi="Arial"/>
          <w:sz w:val="14"/>
          <w:szCs w:val="14"/>
          <w:color w:val="auto"/>
        </w:rPr>
        <w:t>During the first quarter of 2011, the Company adopted amended authoritative guidance issued by the FASB codifying the milestone method of revenue recognition as an acceptable revenue recognition model when a milestone is deemed to be substantive. Since the Company has historically accounted for milestones under the milestone method, the adoption of this guidance did not have a material impact on the Company’s financial statements.</w:t>
      </w:r>
    </w:p>
    <w:p>
      <w:pPr>
        <w:spacing w:after="0" w:line="191" w:lineRule="exact"/>
        <w:rPr>
          <w:sz w:val="20"/>
          <w:szCs w:val="20"/>
          <w:color w:val="auto"/>
        </w:rPr>
      </w:pPr>
    </w:p>
    <w:p>
      <w:pPr>
        <w:jc w:val="both"/>
        <w:ind w:firstLine="307"/>
        <w:spacing w:after="0" w:line="265" w:lineRule="auto"/>
        <w:rPr>
          <w:sz w:val="20"/>
          <w:szCs w:val="20"/>
          <w:color w:val="auto"/>
        </w:rPr>
      </w:pPr>
      <w:r>
        <w:rPr>
          <w:rFonts w:ascii="Arial" w:cs="Arial" w:eastAsia="Arial" w:hAnsi="Arial"/>
          <w:sz w:val="14"/>
          <w:szCs w:val="14"/>
          <w:color w:val="auto"/>
        </w:rPr>
        <w:t>In accordance with the Company’s accounting policy for recognition of revenue in connection with collaboration agreements, as previously disclosed in the Company’s financial statements included in the Company’s Annual Report on Form 10-K for the year ended December 31, 2010, payments which are based on achieving a specific performance milestone, involving a degree of risk, are recognized as revenue when the milestone is achieved and the related payment is due and non-refundable, provided there is no future service obligation associated with that milestone. Substantive performance milestones typically consist of significant achievements in the development life-cycle of the related product candidate, such as completion of clinical trials, filing for approval with regulatory agencies, and receipt of approvals by regulatory agencies. In determining whether a payment is deemed to be a substantive performance milestone, the Company takes into consideration (i) the nature, timing, and value of significant achievements in the development life-cycle of the related development product candidate, (ii) the relative level of effort required to achieve the milestone, and (iii) the relative level of risk in achieving the milestone, taking into account the high degree of uncertainty in successfully advancing product candidates in a drug development program and in ultimately attaining an approved drug product. Payments for achieving milestones which are not considered substantive are accounted for as license payments and recognized over the related performance period.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auto"/>
        </w:rPr>
        <w:t>REGENERON PHARMACEUTICALS, INC.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Condensed Financial Statements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(Unless otherwise noted, dollars in thousands, except per share data)</w:t>
      </w:r>
    </w:p>
    <w:p>
      <w:pPr>
        <w:spacing w:after="0" w:line="2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3"/>
          <w:szCs w:val="13"/>
          <w:color w:val="auto"/>
        </w:rPr>
        <w:t>The Company earns substantive performance milestone payments in connection with its collaboration agreements to develop and commercialize product candidates with Sanofi and Bayer HealthCare. Descriptions of these collaboration agreements, including various financial terms and conditions, were provided in the Company’s financial statements included in the Company’s Annual Report on Form 10-K for the year ended December 31, 2010. Under the Company’s collaboration agreement with Sanofi to jointly develop and commercialize ZALTRAP</w:t>
      </w:r>
      <w:r>
        <w:rPr>
          <w:rFonts w:ascii="Arial" w:cs="Arial" w:eastAsia="Arial" w:hAnsi="Arial"/>
          <w:sz w:val="18"/>
          <w:szCs w:val="18"/>
          <w:color w:val="auto"/>
          <w:vertAlign w:val="superscript"/>
        </w:rPr>
        <w:t>®</w:t>
      </w:r>
      <w:r>
        <w:rPr>
          <w:rFonts w:ascii="Arial" w:cs="Arial" w:eastAsia="Arial" w:hAnsi="Arial"/>
          <w:sz w:val="13"/>
          <w:szCs w:val="13"/>
          <w:color w:val="auto"/>
        </w:rPr>
        <w:t xml:space="preserve"> (aflibercept, also known as VEGF Trap), the Company may receive up to $400 million in substantive milestone payments upon receipt of specified marketing approvals, including up to $360 million in milestone payments related to the receipt of marketing approvals for up to eight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oncology and other indications in the U.S. or the European Union and up to $40 million related to the receipt of marketing approvals for up to five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oncology indications in Japan. Under the Company’s global, strategic collaboration with Sanofi to discover, develop, and commercialize fully human monoclonal antibodies, for each drug candidate identified under the collaboration’s Discovery and Preclinical Development Agreement, Sanofi has the option to license rights to the candidate under the collaboration’s License and Collaboration Agreement and co-develop the drug candidate with the Company through product approval. Under certain defined circumstances, upon exercising its option to license rights to particular candidates, Sanofi must make a $10 million substantive milestone payment to the Company. Under the Company’s license and collaboration agreement with Bayer HealthCare to globally develop, and commercialize outside the U.S., EYLEA</w:t>
      </w:r>
      <w:r>
        <w:rPr>
          <w:rFonts w:ascii="Arial" w:cs="Arial" w:eastAsia="Arial" w:hAnsi="Arial"/>
          <w:sz w:val="17"/>
          <w:szCs w:val="17"/>
          <w:color w:val="auto"/>
          <w:vertAlign w:val="superscript"/>
        </w:rPr>
        <w:t>TM</w:t>
      </w:r>
      <w:r>
        <w:rPr>
          <w:rFonts w:ascii="Arial" w:cs="Arial" w:eastAsia="Arial" w:hAnsi="Arial"/>
          <w:sz w:val="13"/>
          <w:szCs w:val="13"/>
          <w:color w:val="auto"/>
        </w:rPr>
        <w:t>, the Company is eligible to receive up to $50 million in future substantive milestone payments related to marketing approvals of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major market countries outside the U.S.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Fees paid to the federal government by pharmaceutical manufacturers</w:t>
      </w:r>
    </w:p>
    <w:p>
      <w:pPr>
        <w:spacing w:after="0" w:line="234" w:lineRule="exact"/>
        <w:rPr>
          <w:sz w:val="20"/>
          <w:szCs w:val="20"/>
          <w:color w:val="auto"/>
        </w:rPr>
      </w:pPr>
    </w:p>
    <w:p>
      <w:pPr>
        <w:jc w:val="both"/>
        <w:ind w:firstLine="241"/>
        <w:spacing w:after="0" w:line="242" w:lineRule="auto"/>
        <w:rPr>
          <w:sz w:val="20"/>
          <w:szCs w:val="20"/>
          <w:color w:val="auto"/>
        </w:rPr>
      </w:pPr>
      <w:r>
        <w:rPr>
          <w:rFonts w:ascii="Arial" w:cs="Arial" w:eastAsia="Arial" w:hAnsi="Arial"/>
          <w:sz w:val="14"/>
          <w:szCs w:val="14"/>
          <w:color w:val="auto"/>
        </w:rPr>
        <w:t>In December 2010, the FASB provided authoritative guidance on how pharmaceutical manufacturers should recognize and classify in their income statement annual fees mandated by the Patient Protection and Affordable Care Act as amended by the Health Care and Education Reconciliation Act. This guidance became effective for calendar years beginning after December 31, 2010. The adoption of this guidance did not have an impact on the Company’s financial statements as the fee does not currently apply to the Company. The Company’s marketed product,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treatment of CAPS, has been approved as an orphan drug and orphan drugs are not subject to this annual fee.</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Presentation of comprehensive income</w:t>
      </w:r>
    </w:p>
    <w:p>
      <w:pPr>
        <w:spacing w:after="0" w:line="234" w:lineRule="exact"/>
        <w:rPr>
          <w:sz w:val="20"/>
          <w:szCs w:val="20"/>
          <w:color w:val="auto"/>
        </w:rPr>
      </w:pPr>
    </w:p>
    <w:p>
      <w:pPr>
        <w:jc w:val="both"/>
        <w:ind w:firstLine="351"/>
        <w:spacing w:after="0" w:line="267" w:lineRule="auto"/>
        <w:rPr>
          <w:sz w:val="20"/>
          <w:szCs w:val="20"/>
          <w:color w:val="auto"/>
        </w:rPr>
      </w:pPr>
      <w:r>
        <w:rPr>
          <w:rFonts w:ascii="Arial" w:cs="Arial" w:eastAsia="Arial" w:hAnsi="Arial"/>
          <w:sz w:val="14"/>
          <w:szCs w:val="14"/>
          <w:color w:val="auto"/>
        </w:rPr>
        <w:t>In June 2011, the FASB amended its authoritative guidance on the presentation of comprehensive income. Under the amendment, an entity will have the option to present the total of comprehensive income, the components of net income, and the components of other comprehensive income either in a single continuous statement of comprehensive income or in two separate but consecutive statements. This amendment, therefore, eliminates the currently available option to present the components of other comprehensive income as part of the statement of changes in stockholders' equity. The amendment does not change the items that must be reported in other comprehensive income or when an item of other comprehensive income must be reclassified to net income. The Company will adopt this amended guidance for the fiscal year beginning January 1, 2012. As this guidance relates to presentation only, the adoption of this guidance will not have any other effect on the Company's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238" w:lineRule="exact"/>
        <w:rPr>
          <w:sz w:val="20"/>
          <w:szCs w:val="20"/>
          <w:color w:val="auto"/>
        </w:rPr>
      </w:pPr>
    </w:p>
    <w:p>
      <w:pPr>
        <w:jc w:val="both"/>
        <w:ind w:firstLine="252"/>
        <w:spacing w:after="0" w:line="287" w:lineRule="auto"/>
        <w:rPr>
          <w:sz w:val="20"/>
          <w:szCs w:val="20"/>
          <w:color w:val="auto"/>
        </w:rPr>
      </w:pPr>
      <w:r>
        <w:rPr>
          <w:rFonts w:ascii="Arial" w:cs="Arial" w:eastAsia="Arial" w:hAnsi="Arial"/>
          <w:sz w:val="13"/>
          <w:szCs w:val="13"/>
          <w:i w:val="1"/>
          <w:iCs w:val="1"/>
          <w:color w:val="auto"/>
        </w:rPr>
        <w:t>The discussion below contains forward-looking statements that involve risks and uncertainties relating to future events and the future financial performance of Regeneron Pharmaceuticals, Inc., and actual events or results may differ materially from these forward-looking statements. These statements concern, and these risks and uncertainties include, among other things, the nature, timing, and possible success of and therapeutic applications for our product candidates and research programs now underway or planned, the likelihood and timing of possible regulatory approval and commercial launch of our late-stage product candidates, determinations by regulatory and administrative governmental authorities which may delay or restrict our ability to continue to develop or commercialize our product and drug candidates, competing drugs that may be superior to our product and drug candidates, uncertainty of market acceptance of our product and drug candidates, unanticipated expenses, the availability and cost of capital, the costs of developing, producing, and selling products, the potential for any collaboration agreement, including our agreements with Sanofi and Bayer HealthCare LLC, to be canceled or terminated without any product success, and risks associated with third-party intellectual property and pending or future litigation relating thereto. These statements are made by us based on management's current beliefs and judgment. In evaluating such statements, shareholders and potential investors should specifically consider the various factors identified under the caption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38"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3"/>
          <w:szCs w:val="13"/>
          <w:color w:val="auto"/>
        </w:rPr>
        <w:t>Regeneron Pharmaceuticals, Inc. is a biopharmaceutical company that discovers, develops, manufactures, and commercializes pharmaceutical products for the treatment of serious medical conditions. We currently have one marketed product: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(rilonacept) Injection for Subcutaneous Use, which is available by prescription in the United States for the treatment of Cryopyrin-Associated Periodic Syndromes (CAPS), including Familial Cold Auto-inflammatory Syndrome (FCAS) and Muckle-Wells Syndrome (MWS) in adults and children 12 and older.</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We have 11 product candidates in clinical development, all of which were discovered in our research laboratories. Our Trap-based, late-stage (Phase 3) programs are:</w:t>
      </w:r>
    </w:p>
    <w:p>
      <w:pPr>
        <w:spacing w:after="0" w:line="155" w:lineRule="exact"/>
        <w:rPr>
          <w:sz w:val="20"/>
          <w:szCs w:val="20"/>
          <w:color w:val="auto"/>
        </w:rPr>
      </w:pPr>
    </w:p>
    <w:p>
      <w:pPr>
        <w:ind w:left="440" w:right="1880"/>
        <w:spacing w:after="0" w:line="223" w:lineRule="auto"/>
        <w:rPr>
          <w:sz w:val="20"/>
          <w:szCs w:val="20"/>
          <w:color w:val="auto"/>
        </w:rPr>
      </w:pPr>
      <w:r>
        <w:rPr>
          <w:rFonts w:ascii="Arial" w:cs="Arial" w:eastAsia="Arial" w:hAnsi="Arial"/>
          <w:sz w:val="14"/>
          <w:szCs w:val="14"/>
          <w:color w:val="auto"/>
        </w:rPr>
        <w:t>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(aflibercept injection), also known as VEGF Trap-Eye, which is being developed using intraocular delivery for the treatment of serious eye diseases; ZALTRAP</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(aflibercept), also known as VEGF Trap, which is being developed in oncology in collaboration with Sanofi; and ARCALYST</w:t>
      </w:r>
      <w:r>
        <w:rPr>
          <w:rFonts w:ascii="Arial" w:cs="Arial" w:eastAsia="Arial" w:hAnsi="Arial"/>
          <w:sz w:val="19"/>
          <w:szCs w:val="19"/>
          <w:color w:val="auto"/>
          <w:vertAlign w:val="superscript"/>
        </w:rPr>
        <w:t>®</w:t>
      </w:r>
      <w:r>
        <w:rPr>
          <w:rFonts w:ascii="Arial" w:cs="Arial" w:eastAsia="Arial" w:hAnsi="Arial"/>
          <w:sz w:val="14"/>
          <w:szCs w:val="14"/>
          <w:color w:val="auto"/>
        </w:rPr>
        <w:t>, which is being developed for the prevention of gout flares in patients initiating uric acid-lowering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-351155</wp:posOffset>
            </wp:positionV>
            <wp:extent cx="53340" cy="53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-240030</wp:posOffset>
            </wp:positionV>
            <wp:extent cx="53340" cy="53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-128270</wp:posOffset>
            </wp:positionV>
            <wp:extent cx="53340" cy="53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Our antibody-based clinical programs include the following fully human monoclonal antibodies: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Sarilumab (REGN88), an antibody to the interleukin-6 receptor (IL-6R), which is being developed in rheumatoid arthritis;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-67945</wp:posOffset>
            </wp:positionV>
            <wp:extent cx="53340" cy="53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right="1460"/>
        <w:spacing w:after="0" w:line="261" w:lineRule="auto"/>
        <w:rPr>
          <w:sz w:val="20"/>
          <w:szCs w:val="20"/>
          <w:color w:val="auto"/>
        </w:rPr>
      </w:pPr>
      <w:r>
        <w:rPr>
          <w:rFonts w:ascii="Arial" w:cs="Arial" w:eastAsia="Arial" w:hAnsi="Arial"/>
          <w:sz w:val="14"/>
          <w:szCs w:val="14"/>
          <w:color w:val="auto"/>
        </w:rPr>
        <w:t>REGN727, an antibody to Proprotein Convertase Substilisin/Kexin type 9 (PCSK9), which is being developed for low-density lipoprotein (LDL) cholesterol reduction; REGN668, an antibody to the interleukin-4 receptor (IL-4R), which is being developed in atopic dermatitis and eosinophilic asthma;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-191135</wp:posOffset>
            </wp:positionV>
            <wp:extent cx="53340" cy="53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-80010</wp:posOffset>
            </wp:positionV>
            <wp:extent cx="53340" cy="53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right="3300"/>
        <w:spacing w:after="0" w:line="261" w:lineRule="auto"/>
        <w:rPr>
          <w:sz w:val="20"/>
          <w:szCs w:val="20"/>
          <w:color w:val="auto"/>
        </w:rPr>
      </w:pPr>
      <w:r>
        <w:rPr>
          <w:rFonts w:ascii="Arial" w:cs="Arial" w:eastAsia="Arial" w:hAnsi="Arial"/>
          <w:sz w:val="14"/>
          <w:szCs w:val="14"/>
          <w:color w:val="auto"/>
        </w:rPr>
        <w:t>REGN421, an antibody to Delta-like ligand-4 (Dll4), a novel angiogenesis target, which is being developed in oncology; REGN910, an antibody to Angiopoietin-2 (ANG2), another novel angiogenesis target, which is being developed in oncology; REGN475, an antibody to Nerve Growth Factor (NGF), which is being developed for the treatment of pain (currently on clinical hold); REGN728, an antibody in clinical development against an undisclosed target;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-414020</wp:posOffset>
            </wp:positionV>
            <wp:extent cx="53340" cy="53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-302260</wp:posOffset>
            </wp:positionV>
            <wp:extent cx="53340" cy="53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-191135</wp:posOffset>
            </wp:positionV>
            <wp:extent cx="53340" cy="53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-79375</wp:posOffset>
            </wp:positionV>
            <wp:extent cx="53340" cy="53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4"/>
          <w:szCs w:val="14"/>
          <w:color w:val="auto"/>
        </w:rPr>
        <w:t>REGN846, an antibody against an undisclosed target, which is being developed in atopic dermatitis.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-71120</wp:posOffset>
            </wp:positionV>
            <wp:extent cx="53340" cy="53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18" w:name="page19"/>
    <w:bookmarkEnd w:id="18"/>
    <w:p>
      <w:pPr>
        <w:ind w:left="220"/>
        <w:spacing w:after="0"/>
        <w:rPr>
          <w:sz w:val="20"/>
          <w:szCs w:val="20"/>
          <w:color w:val="auto"/>
        </w:rPr>
      </w:pPr>
      <w:r>
        <w:rPr>
          <w:rFonts w:ascii="Arial" w:cs="Arial" w:eastAsia="Arial" w:hAnsi="Arial"/>
          <w:sz w:val="14"/>
          <w:szCs w:val="14"/>
          <w:color w:val="auto"/>
        </w:rPr>
        <w:t>With the exception of REGN846, which we are developing independently, all of these antibodies are being developed in collaboration with Sanofi.</w:t>
      </w:r>
    </w:p>
    <w:p>
      <w:pPr>
        <w:spacing w:after="0" w:line="234" w:lineRule="exact"/>
        <w:rPr>
          <w:sz w:val="20"/>
          <w:szCs w:val="20"/>
          <w:color w:val="auto"/>
        </w:rPr>
      </w:pPr>
    </w:p>
    <w:p>
      <w:pPr>
        <w:jc w:val="both"/>
        <w:ind w:firstLine="296"/>
        <w:spacing w:after="0" w:line="271" w:lineRule="auto"/>
        <w:rPr>
          <w:sz w:val="20"/>
          <w:szCs w:val="20"/>
          <w:color w:val="auto"/>
        </w:rPr>
      </w:pPr>
      <w:r>
        <w:rPr>
          <w:rFonts w:ascii="Arial" w:cs="Arial" w:eastAsia="Arial" w:hAnsi="Arial"/>
          <w:sz w:val="14"/>
          <w:szCs w:val="14"/>
          <w:color w:val="auto"/>
        </w:rPr>
        <w:t>Our core business strategy is to maintain a strong foundation in basic scientific research and discovery-enabling technologies, to combine that foundation with our clinical development and manufacturing capabilities, and to continue to expand our commercialization capabilities in anticipation of possible regulatory approval and launch of one or more of our late-stage product candidates. Our long-term objective is to build a successful, integrated, multi-product biopharmaceutical company that provides patients and medical professionals with innovative options for preventing and treating human diseases.</w:t>
      </w:r>
    </w:p>
    <w:p>
      <w:pPr>
        <w:spacing w:after="0" w:line="194" w:lineRule="exact"/>
        <w:rPr>
          <w:sz w:val="20"/>
          <w:szCs w:val="20"/>
          <w:color w:val="auto"/>
        </w:rPr>
      </w:pPr>
    </w:p>
    <w:p>
      <w:pPr>
        <w:jc w:val="both"/>
        <w:ind w:firstLine="285"/>
        <w:spacing w:after="0" w:line="235" w:lineRule="auto"/>
        <w:rPr>
          <w:sz w:val="20"/>
          <w:szCs w:val="20"/>
          <w:color w:val="auto"/>
        </w:rPr>
      </w:pPr>
      <w:r>
        <w:rPr>
          <w:rFonts w:ascii="Arial" w:cs="Arial" w:eastAsia="Arial" w:hAnsi="Arial"/>
          <w:sz w:val="13"/>
          <w:szCs w:val="13"/>
          <w:color w:val="auto"/>
        </w:rPr>
        <w:t xml:space="preserve">We believe that our ability to develop product candidates is enhanced by the application of our </w:t>
      </w:r>
      <w:r>
        <w:rPr>
          <w:rFonts w:ascii="Arial" w:cs="Arial" w:eastAsia="Arial" w:hAnsi="Arial"/>
          <w:sz w:val="13"/>
          <w:szCs w:val="13"/>
          <w:i w:val="1"/>
          <w:iCs w:val="1"/>
          <w:color w:val="auto"/>
        </w:rPr>
        <w:t>VelociSuite™</w:t>
      </w:r>
      <w:r>
        <w:rPr>
          <w:rFonts w:ascii="Arial" w:cs="Arial" w:eastAsia="Arial" w:hAnsi="Arial"/>
          <w:sz w:val="13"/>
          <w:szCs w:val="13"/>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3"/>
          <w:szCs w:val="13"/>
          <w:i w:val="1"/>
          <w:iCs w:val="1"/>
          <w:color w:val="auto"/>
        </w:rPr>
        <w:t>VelociGene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technology to understand the role of these proteins in normal physiology, as well as in models of disease. Our human monoclonal antibody technology (</w:t>
      </w:r>
      <w:r>
        <w:rPr>
          <w:rFonts w:ascii="Arial" w:cs="Arial" w:eastAsia="Arial" w:hAnsi="Arial"/>
          <w:sz w:val="13"/>
          <w:szCs w:val="13"/>
          <w:i w:val="1"/>
          <w:iCs w:val="1"/>
          <w:color w:val="auto"/>
        </w:rPr>
        <w:t>VelocImmune</w:t>
      </w:r>
      <w:r>
        <w:rPr>
          <w:rFonts w:ascii="Arial" w:cs="Arial" w:eastAsia="Arial" w:hAnsi="Arial"/>
          <w:sz w:val="17"/>
          <w:szCs w:val="17"/>
          <w:color w:val="auto"/>
          <w:vertAlign w:val="superscript"/>
        </w:rPr>
        <w:t>®</w:t>
      </w:r>
      <w:r>
        <w:rPr>
          <w:rFonts w:ascii="Arial" w:cs="Arial" w:eastAsia="Arial" w:hAnsi="Arial"/>
          <w:sz w:val="13"/>
          <w:szCs w:val="13"/>
          <w:color w:val="auto"/>
        </w:rPr>
        <w:t>) and cell line expression technologies (</w:t>
      </w:r>
      <w:r>
        <w:rPr>
          <w:rFonts w:ascii="Arial" w:cs="Arial" w:eastAsia="Arial" w:hAnsi="Arial"/>
          <w:sz w:val="13"/>
          <w:szCs w:val="13"/>
          <w:i w:val="1"/>
          <w:iCs w:val="1"/>
          <w:color w:val="auto"/>
        </w:rPr>
        <w:t>VelociMab</w:t>
      </w:r>
      <w:r>
        <w:rPr>
          <w:rFonts w:ascii="Arial" w:cs="Arial" w:eastAsia="Arial" w:hAnsi="Arial"/>
          <w:sz w:val="17"/>
          <w:szCs w:val="17"/>
          <w:color w:val="auto"/>
          <w:vertAlign w:val="superscript"/>
        </w:rPr>
        <w:t>®</w:t>
      </w:r>
      <w:r>
        <w:rPr>
          <w:rFonts w:ascii="Arial" w:cs="Arial" w:eastAsia="Arial" w:hAnsi="Arial"/>
          <w:sz w:val="13"/>
          <w:szCs w:val="13"/>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3"/>
          <w:szCs w:val="13"/>
          <w:i w:val="1"/>
          <w:iCs w:val="1"/>
          <w:color w:val="auto"/>
        </w:rPr>
        <w:t>VelocImmune</w:t>
      </w:r>
      <w:r>
        <w:rPr>
          <w:rFonts w:ascii="Arial" w:cs="Arial" w:eastAsia="Arial" w:hAnsi="Arial"/>
          <w:sz w:val="17"/>
          <w:szCs w:val="17"/>
          <w:i w:val="1"/>
          <w:iCs w:val="1"/>
          <w:color w:val="auto"/>
          <w:vertAlign w:val="superscript"/>
        </w:rPr>
        <w:t>®</w:t>
      </w:r>
      <w:r>
        <w:rPr>
          <w:rFonts w:ascii="Arial" w:cs="Arial" w:eastAsia="Arial" w:hAnsi="Arial"/>
          <w:sz w:val="13"/>
          <w:szCs w:val="13"/>
          <w:color w:val="auto"/>
        </w:rPr>
        <w:t>. Under the terms of our antibody collaboration with Sanofi, which was expanded during 2009, we plan to advance a total of approximately 30 candidates</w:t>
      </w:r>
      <w:r>
        <w:rPr>
          <w:rFonts w:ascii="Arial" w:cs="Arial" w:eastAsia="Arial" w:hAnsi="Arial"/>
          <w:sz w:val="13"/>
          <w:szCs w:val="13"/>
          <w:i w:val="1"/>
          <w:iCs w:val="1"/>
          <w:color w:val="auto"/>
        </w:rPr>
        <w:t xml:space="preserve"> </w:t>
      </w:r>
      <w:r>
        <w:rPr>
          <w:rFonts w:ascii="Arial" w:cs="Arial" w:eastAsia="Arial" w:hAnsi="Arial"/>
          <w:sz w:val="13"/>
          <w:szCs w:val="13"/>
          <w:color w:val="auto"/>
        </w:rPr>
        <w:t>into clinical development</w:t>
      </w:r>
      <w:r>
        <w:rPr>
          <w:rFonts w:ascii="Arial" w:cs="Arial" w:eastAsia="Arial" w:hAnsi="Arial"/>
          <w:sz w:val="13"/>
          <w:szCs w:val="13"/>
          <w:i w:val="1"/>
          <w:iCs w:val="1"/>
          <w:color w:val="auto"/>
        </w:rPr>
        <w:t xml:space="preserve"> </w:t>
      </w:r>
      <w:r>
        <w:rPr>
          <w:rFonts w:ascii="Arial" w:cs="Arial" w:eastAsia="Arial" w:hAnsi="Arial"/>
          <w:sz w:val="13"/>
          <w:szCs w:val="13"/>
          <w:color w:val="auto"/>
        </w:rPr>
        <w:t>over</w:t>
      </w:r>
      <w:r>
        <w:rPr>
          <w:rFonts w:ascii="Arial" w:cs="Arial" w:eastAsia="Arial" w:hAnsi="Arial"/>
          <w:sz w:val="13"/>
          <w:szCs w:val="13"/>
          <w:i w:val="1"/>
          <w:iCs w:val="1"/>
          <w:color w:val="auto"/>
        </w:rPr>
        <w:t xml:space="preserve"> </w:t>
      </w:r>
      <w:r>
        <w:rPr>
          <w:rFonts w:ascii="Arial" w:cs="Arial" w:eastAsia="Arial" w:hAnsi="Arial"/>
          <w:sz w:val="13"/>
          <w:szCs w:val="13"/>
          <w:color w:val="auto"/>
        </w:rPr>
        <w:t>the life of the agreement. We continue to invest in the development of enabling technologies to assist in our efforts to identify, develop, manufacture, and commercialize new product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Commercial Product:</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ARCALYST</w:t>
      </w:r>
      <w:r>
        <w:rPr>
          <w:rFonts w:ascii="Arial" w:cs="Arial" w:eastAsia="Arial" w:hAnsi="Arial"/>
          <w:sz w:val="19"/>
          <w:szCs w:val="19"/>
          <w:b w:val="1"/>
          <w:bCs w:val="1"/>
          <w:i w:val="1"/>
          <w:iCs w:val="1"/>
          <w:color w:val="auto"/>
          <w:vertAlign w:val="superscript"/>
        </w:rPr>
        <w:t>®</w:t>
      </w:r>
      <w:r>
        <w:rPr>
          <w:rFonts w:ascii="Arial" w:cs="Arial" w:eastAsia="Arial" w:hAnsi="Arial"/>
          <w:sz w:val="14"/>
          <w:szCs w:val="14"/>
          <w:b w:val="1"/>
          <w:bCs w:val="1"/>
          <w:i w:val="1"/>
          <w:iCs w:val="1"/>
          <w:color w:val="auto"/>
        </w:rPr>
        <w:t xml:space="preserve"> – CAPS</w:t>
      </w:r>
    </w:p>
    <w:p>
      <w:pPr>
        <w:spacing w:after="0" w:line="176" w:lineRule="exact"/>
        <w:rPr>
          <w:sz w:val="20"/>
          <w:szCs w:val="20"/>
          <w:color w:val="auto"/>
        </w:rPr>
      </w:pPr>
    </w:p>
    <w:p>
      <w:pPr>
        <w:jc w:val="both"/>
        <w:ind w:firstLine="252"/>
        <w:spacing w:after="0" w:line="214" w:lineRule="auto"/>
        <w:rPr>
          <w:sz w:val="20"/>
          <w:szCs w:val="20"/>
          <w:color w:val="auto"/>
        </w:rPr>
      </w:pPr>
      <w:r>
        <w:rPr>
          <w:rFonts w:ascii="Arial" w:cs="Arial" w:eastAsia="Arial" w:hAnsi="Arial"/>
          <w:sz w:val="14"/>
          <w:szCs w:val="14"/>
          <w:color w:val="auto"/>
        </w:rPr>
        <w:t>Net product sales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(rilonacept) in the third quarter of 2011 were $5.5 million, compared to $4.9 million during the same quarter of 2010.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net product sales for the nine months ended September 30, 2011 and 2010, respectively, totaled $14.9 million and $20.0 million.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net product sales during the first nine months of 2010 included $15.2 million of net product sales made during this period and $4.8 million of previously deferred net product sales, as described below under “Results of Operations.”</w:t>
      </w:r>
    </w:p>
    <w:p>
      <w:pPr>
        <w:spacing w:after="0" w:line="213" w:lineRule="exact"/>
        <w:rPr>
          <w:sz w:val="20"/>
          <w:szCs w:val="20"/>
          <w:color w:val="auto"/>
        </w:rPr>
      </w:pPr>
    </w:p>
    <w:p>
      <w:pPr>
        <w:jc w:val="both"/>
        <w:ind w:firstLine="241"/>
        <w:spacing w:after="0" w:line="243" w:lineRule="auto"/>
        <w:rPr>
          <w:sz w:val="20"/>
          <w:szCs w:val="20"/>
          <w:color w:val="auto"/>
        </w:rPr>
      </w:pPr>
      <w:r>
        <w:rPr>
          <w:rFonts w:ascii="Arial" w:cs="Arial" w:eastAsia="Arial" w:hAnsi="Arial"/>
          <w:sz w:val="14"/>
          <w:szCs w:val="14"/>
          <w:color w:val="auto"/>
        </w:rPr>
        <w:t>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is a protein-based product designed to bind the interleukin-1 (called IL-1) cytokine and prevent its interaction with cell surface receptors.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is available by prescription in the U.S. for the treatment of CAPS, including FCAS and MWS in adults and children 12 and older. CAPS are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Clinical Programs:</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 EYLEA</w:t>
      </w:r>
      <w:r>
        <w:rPr>
          <w:rFonts w:ascii="Arial" w:cs="Arial" w:eastAsia="Arial" w:hAnsi="Arial"/>
          <w:sz w:val="19"/>
          <w:szCs w:val="19"/>
          <w:b w:val="1"/>
          <w:bCs w:val="1"/>
          <w:i w:val="1"/>
          <w:iCs w:val="1"/>
          <w:color w:val="auto"/>
          <w:vertAlign w:val="superscript"/>
        </w:rPr>
        <w:t>TM</w:t>
      </w:r>
      <w:r>
        <w:rPr>
          <w:rFonts w:ascii="Arial" w:cs="Arial" w:eastAsia="Arial" w:hAnsi="Arial"/>
          <w:sz w:val="14"/>
          <w:szCs w:val="14"/>
          <w:b w:val="1"/>
          <w:bCs w:val="1"/>
          <w:i w:val="1"/>
          <w:iCs w:val="1"/>
          <w:color w:val="auto"/>
        </w:rPr>
        <w:t xml:space="preserve"> (aflibercept injection) also known as VEGF Trap-Eye – Ophthalmologic Diseases</w:t>
      </w:r>
    </w:p>
    <w:p>
      <w:pPr>
        <w:spacing w:after="0" w:line="176" w:lineRule="exact"/>
        <w:rPr>
          <w:sz w:val="20"/>
          <w:szCs w:val="20"/>
          <w:color w:val="auto"/>
        </w:rPr>
      </w:pPr>
    </w:p>
    <w:p>
      <w:pPr>
        <w:jc w:val="both"/>
        <w:ind w:firstLine="241"/>
        <w:spacing w:after="0" w:line="236" w:lineRule="auto"/>
        <w:rPr>
          <w:sz w:val="20"/>
          <w:szCs w:val="20"/>
          <w:color w:val="auto"/>
        </w:rPr>
      </w:pPr>
      <w:r>
        <w:rPr>
          <w:rFonts w:ascii="Arial" w:cs="Arial" w:eastAsia="Arial" w:hAnsi="Arial"/>
          <w:sz w:val="14"/>
          <w:szCs w:val="14"/>
          <w:color w:val="auto"/>
        </w:rPr>
        <w:t>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(aflibercept injection) is a fusion protein locally administered in the eye that is designed to bind Vascular Endothelial Growth Factor-A (VEGF-A) and Placental Growth Factor (PlGF) proteins that are involved in the abnormal growth of new blood vessels. We, together with our ex-U.S. collaborator Bayer HealthCare, are evaluating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Phase 3 programs in patients with the neovascular form of age-related macular degeneration (wet AMD), central retinal vein occlusion (CRVO), diabetic macular edema (DME), and choroidal neovascularisation (CNV) of the retina as a result of pathologic myopia. Wet AMD, diabetic retinopathy (which includes DME), and retinal vein occlusion are three of the leading causes of adult blindness in the developed world. In these conditions, severe visual loss is caused by a combination of retinal edema and neovascular proliferation.</w:t>
      </w:r>
    </w:p>
    <w:p>
      <w:pPr>
        <w:spacing w:after="0" w:line="214" w:lineRule="exact"/>
        <w:rPr>
          <w:sz w:val="20"/>
          <w:szCs w:val="20"/>
          <w:color w:val="auto"/>
        </w:rPr>
      </w:pPr>
    </w:p>
    <w:p>
      <w:pPr>
        <w:jc w:val="both"/>
        <w:ind w:firstLine="241"/>
        <w:spacing w:after="0" w:line="212" w:lineRule="auto"/>
        <w:rPr>
          <w:sz w:val="20"/>
          <w:szCs w:val="20"/>
          <w:color w:val="auto"/>
        </w:rPr>
      </w:pPr>
      <w:r>
        <w:rPr>
          <w:rFonts w:ascii="Arial" w:cs="Arial" w:eastAsia="Arial" w:hAnsi="Arial"/>
          <w:sz w:val="14"/>
          <w:szCs w:val="14"/>
          <w:color w:val="auto"/>
        </w:rPr>
        <w:t>The Phase 3 trials in wet AMD, known as VIEW 1 and VIEW 2 (</w:t>
      </w:r>
      <w:r>
        <w:rPr>
          <w:rFonts w:ascii="Arial" w:cs="Arial" w:eastAsia="Arial" w:hAnsi="Arial"/>
          <w:sz w:val="14"/>
          <w:szCs w:val="14"/>
          <w:u w:val="single" w:color="auto"/>
          <w:color w:val="auto"/>
        </w:rPr>
        <w:t>V</w:t>
      </w:r>
      <w:r>
        <w:rPr>
          <w:rFonts w:ascii="Arial" w:cs="Arial" w:eastAsia="Arial" w:hAnsi="Arial"/>
          <w:sz w:val="14"/>
          <w:szCs w:val="14"/>
          <w:color w:val="auto"/>
        </w:rPr>
        <w:t xml:space="preserve">EGF Trap: </w:t>
      </w:r>
      <w:r>
        <w:rPr>
          <w:rFonts w:ascii="Arial" w:cs="Arial" w:eastAsia="Arial" w:hAnsi="Arial"/>
          <w:sz w:val="14"/>
          <w:szCs w:val="14"/>
          <w:u w:val="single" w:color="auto"/>
          <w:color w:val="auto"/>
        </w:rPr>
        <w:t>I</w:t>
      </w:r>
      <w:r>
        <w:rPr>
          <w:rFonts w:ascii="Arial" w:cs="Arial" w:eastAsia="Arial" w:hAnsi="Arial"/>
          <w:sz w:val="14"/>
          <w:szCs w:val="14"/>
          <w:color w:val="auto"/>
        </w:rPr>
        <w:t xml:space="preserve">nvestigation of </w:t>
      </w:r>
      <w:r>
        <w:rPr>
          <w:rFonts w:ascii="Arial" w:cs="Arial" w:eastAsia="Arial" w:hAnsi="Arial"/>
          <w:sz w:val="14"/>
          <w:szCs w:val="14"/>
          <w:u w:val="single" w:color="auto"/>
          <w:color w:val="auto"/>
        </w:rPr>
        <w:t>E</w:t>
      </w:r>
      <w:r>
        <w:rPr>
          <w:rFonts w:ascii="Arial" w:cs="Arial" w:eastAsia="Arial" w:hAnsi="Arial"/>
          <w:sz w:val="14"/>
          <w:szCs w:val="14"/>
          <w:color w:val="auto"/>
        </w:rPr>
        <w:t xml:space="preserve">fficacy and Safety in </w:t>
      </w:r>
      <w:r>
        <w:rPr>
          <w:rFonts w:ascii="Arial" w:cs="Arial" w:eastAsia="Arial" w:hAnsi="Arial"/>
          <w:sz w:val="14"/>
          <w:szCs w:val="14"/>
          <w:u w:val="single" w:color="auto"/>
          <w:color w:val="auto"/>
        </w:rPr>
        <w:t>W</w:t>
      </w:r>
      <w:r>
        <w:rPr>
          <w:rFonts w:ascii="Arial" w:cs="Arial" w:eastAsia="Arial" w:hAnsi="Arial"/>
          <w:sz w:val="14"/>
          <w:szCs w:val="14"/>
          <w:color w:val="auto"/>
        </w:rPr>
        <w:t>et age-related macular degeneration), compared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and Lucentis</w:t>
      </w:r>
      <w:r>
        <w:rPr>
          <w:rFonts w:ascii="Arial" w:cs="Arial" w:eastAsia="Arial" w:hAnsi="Arial"/>
          <w:sz w:val="19"/>
          <w:szCs w:val="19"/>
          <w:color w:val="auto"/>
          <w:vertAlign w:val="superscript"/>
        </w:rPr>
        <w:t>®</w:t>
      </w:r>
      <w:r>
        <w:rPr>
          <w:rFonts w:ascii="Arial" w:cs="Arial" w:eastAsia="Arial" w:hAnsi="Arial"/>
          <w:sz w:val="14"/>
          <w:szCs w:val="14"/>
          <w:color w:val="auto"/>
        </w:rPr>
        <w:t xml:space="preserve"> (ranibizumab injection), a registered trademark of Genentech, Inc. Lucentis</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is an anti-VEGF agent approved for use and the current standard of care in wet AMD. VIEW 1 was conducted in North America and VIEW 2 was conducted in Europe, Asia Pacific, Japan, and Latin America. The VIEW 1 and VIEW 2 trials both evaluated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doses of 0.5 milligrams (mg) and 2.0 mg at dosing intervals of four weeks and 2.0 mg at a dosing interval of eight weeks (following three initial monthly doses), compared with Lucentis</w:t>
      </w:r>
      <w:r>
        <w:rPr>
          <w:rFonts w:ascii="Arial" w:cs="Arial" w:eastAsia="Arial" w:hAnsi="Arial"/>
          <w:sz w:val="19"/>
          <w:szCs w:val="19"/>
          <w:color w:val="auto"/>
          <w:vertAlign w:val="superscript"/>
        </w:rPr>
        <w:t>®</w:t>
      </w:r>
      <w:r>
        <w:rPr>
          <w:rFonts w:ascii="Arial" w:cs="Arial" w:eastAsia="Arial" w:hAnsi="Arial"/>
          <w:sz w:val="14"/>
          <w:szCs w:val="14"/>
          <w:color w:val="auto"/>
        </w:rPr>
        <w:t xml:space="preserve"> dosed according to its U.S. label, which specifies doses of 0.5 mg administered every four weeks over the first year. As-needed dosing (PRN) with both agents is being evaluated in the second year of the studies, although patients will be dosed no less frequently than every 12 weeks.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19" w:name="page20"/>
    <w:bookmarkEnd w:id="19"/>
    <w:p>
      <w:pPr>
        <w:jc w:val="both"/>
        <w:ind w:firstLine="241"/>
        <w:spacing w:after="0" w:line="248" w:lineRule="auto"/>
        <w:rPr>
          <w:sz w:val="20"/>
          <w:szCs w:val="20"/>
          <w:color w:val="auto"/>
        </w:rPr>
      </w:pPr>
      <w:r>
        <w:rPr>
          <w:rFonts w:ascii="Arial" w:cs="Arial" w:eastAsia="Arial" w:hAnsi="Arial"/>
          <w:sz w:val="13"/>
          <w:szCs w:val="13"/>
          <w:color w:val="auto"/>
        </w:rPr>
        <w:t>The primary endpoint of these non-inferiority studies was the proportion of patients treated with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who maintain visual acuity at the end of one year compared to patients dosed monthly with Lucentis</w:t>
      </w:r>
      <w:r>
        <w:rPr>
          <w:rFonts w:ascii="Arial" w:cs="Arial" w:eastAsia="Arial" w:hAnsi="Arial"/>
          <w:sz w:val="17"/>
          <w:szCs w:val="17"/>
          <w:color w:val="auto"/>
          <w:vertAlign w:val="superscript"/>
        </w:rPr>
        <w:t>®</w:t>
      </w:r>
      <w:r>
        <w:rPr>
          <w:rFonts w:ascii="Arial" w:cs="Arial" w:eastAsia="Arial" w:hAnsi="Arial"/>
          <w:sz w:val="13"/>
          <w:szCs w:val="13"/>
          <w:color w:val="auto"/>
        </w:rPr>
        <w:t>. Visual acuity is defined as the total number of letters read correctly on the Early Treatment Diabetic Retinopathy Study (ETDRS) chart, a standard research tool for measuring visual acuity. Maintenance of vision is defined as losing fewer than three lines (equivalent to 15 letters) on the ETDRS chart. Secondary endpoints included the mean change from baseline in visual acuity as measured by ETDRS, the proportion of patients who gained at least 15 letters of vision at week 52, and the amount of fluid under the retina.</w:t>
      </w:r>
    </w:p>
    <w:p>
      <w:pPr>
        <w:spacing w:after="0" w:line="209" w:lineRule="exact"/>
        <w:rPr>
          <w:sz w:val="20"/>
          <w:szCs w:val="20"/>
          <w:color w:val="auto"/>
        </w:rPr>
      </w:pPr>
    </w:p>
    <w:p>
      <w:pPr>
        <w:jc w:val="both"/>
        <w:ind w:firstLine="219"/>
        <w:spacing w:after="0" w:line="239" w:lineRule="auto"/>
        <w:rPr>
          <w:sz w:val="20"/>
          <w:szCs w:val="20"/>
          <w:color w:val="auto"/>
        </w:rPr>
      </w:pPr>
      <w:r>
        <w:rPr>
          <w:rFonts w:ascii="Arial" w:cs="Arial" w:eastAsia="Arial" w:hAnsi="Arial"/>
          <w:sz w:val="14"/>
          <w:szCs w:val="14"/>
          <w:color w:val="auto"/>
        </w:rPr>
        <w:t>We and Bayer HealthCare announced week 52 results from the VIEW 1 and VIEW 2 studies in November 2010. In these studies, all regimens of EYLEA</w:t>
      </w:r>
      <w:r>
        <w:rPr>
          <w:rFonts w:ascii="Arial" w:cs="Arial" w:eastAsia="Arial" w:hAnsi="Arial"/>
          <w:sz w:val="19"/>
          <w:szCs w:val="19"/>
          <w:color w:val="auto"/>
          <w:vertAlign w:val="superscript"/>
        </w:rPr>
        <w:t>TM</w:t>
      </w:r>
      <w:r>
        <w:rPr>
          <w:rFonts w:ascii="Arial" w:cs="Arial" w:eastAsia="Arial" w:hAnsi="Arial"/>
          <w:sz w:val="14"/>
          <w:szCs w:val="14"/>
          <w:color w:val="auto"/>
        </w:rPr>
        <w:t>, including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dosed every two months, successfully met the primary endpoint of statistical non-inferiority compared to Lucentis</w:t>
      </w:r>
      <w:r>
        <w:rPr>
          <w:rFonts w:ascii="Arial" w:cs="Arial" w:eastAsia="Arial" w:hAnsi="Arial"/>
          <w:sz w:val="19"/>
          <w:szCs w:val="19"/>
          <w:color w:val="auto"/>
          <w:vertAlign w:val="superscript"/>
        </w:rPr>
        <w:t>®</w:t>
      </w:r>
      <w:r>
        <w:rPr>
          <w:rFonts w:ascii="Arial" w:cs="Arial" w:eastAsia="Arial" w:hAnsi="Arial"/>
          <w:sz w:val="14"/>
          <w:szCs w:val="14"/>
          <w:color w:val="auto"/>
        </w:rPr>
        <w:t xml:space="preserve"> dosed every month.</w:t>
      </w:r>
    </w:p>
    <w:p>
      <w:pPr>
        <w:spacing w:after="0" w:line="135" w:lineRule="exact"/>
        <w:rPr>
          <w:sz w:val="20"/>
          <w:szCs w:val="20"/>
          <w:color w:val="auto"/>
        </w:rPr>
      </w:pPr>
    </w:p>
    <w:p>
      <w:pPr>
        <w:jc w:val="both"/>
        <w:ind w:firstLine="241"/>
        <w:spacing w:after="0" w:line="247" w:lineRule="auto"/>
        <w:rPr>
          <w:sz w:val="20"/>
          <w:szCs w:val="20"/>
          <w:color w:val="auto"/>
        </w:rPr>
      </w:pPr>
      <w:r>
        <w:rPr>
          <w:rFonts w:ascii="Arial" w:cs="Arial" w:eastAsia="Arial" w:hAnsi="Arial"/>
          <w:sz w:val="14"/>
          <w:szCs w:val="14"/>
          <w:color w:val="auto"/>
        </w:rPr>
        <w:t>A generally favorable safety profile was observed for both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and Lucentis</w:t>
      </w:r>
      <w:r>
        <w:rPr>
          <w:rFonts w:ascii="Arial" w:cs="Arial" w:eastAsia="Arial" w:hAnsi="Arial"/>
          <w:sz w:val="19"/>
          <w:szCs w:val="19"/>
          <w:color w:val="auto"/>
          <w:vertAlign w:val="superscript"/>
        </w:rPr>
        <w:t>®</w:t>
      </w:r>
      <w:r>
        <w:rPr>
          <w:rFonts w:ascii="Arial" w:cs="Arial" w:eastAsia="Arial" w:hAnsi="Arial"/>
          <w:sz w:val="14"/>
          <w:szCs w:val="14"/>
          <w:color w:val="auto"/>
        </w:rPr>
        <w:t>. The incidence of ocular treatment emergent adverse events was balanced across all four treatment groups in both studies, with the most frequent events associated with the injection procedure, the underlying disease, and/or the aging process. The most frequent ocular adverse events were conjunctival hemorrhage, macular degeneration, eye pain, retinal hemorrhage, and vitreous floaters. The most frequent serious non-ocular adverse events were typical of those reported in this elderly population who receive intravitreal treatment for wet AMD; the most frequently reported events were falls, pneumonia, myocardial infarction, atrial fibrillation, breast cancer, and acute coronary syndrome. There were no notable differences among the study arms.</w:t>
      </w:r>
    </w:p>
    <w:p>
      <w:pPr>
        <w:spacing w:after="0" w:line="209" w:lineRule="exact"/>
        <w:rPr>
          <w:sz w:val="20"/>
          <w:szCs w:val="20"/>
          <w:color w:val="auto"/>
        </w:rPr>
      </w:pPr>
    </w:p>
    <w:p>
      <w:pPr>
        <w:jc w:val="both"/>
        <w:ind w:firstLine="241"/>
        <w:spacing w:after="0" w:line="228" w:lineRule="auto"/>
        <w:rPr>
          <w:sz w:val="20"/>
          <w:szCs w:val="20"/>
          <w:color w:val="auto"/>
        </w:rPr>
      </w:pPr>
      <w:r>
        <w:rPr>
          <w:rFonts w:ascii="Arial" w:cs="Arial" w:eastAsia="Arial" w:hAnsi="Arial"/>
          <w:sz w:val="14"/>
          <w:szCs w:val="14"/>
          <w:color w:val="auto"/>
        </w:rPr>
        <w:t>Based on these positive results, we submitted a Biologics License Application (BLA) to the U.S. Food and Drug Administration (FDA) in February 2011 for marketing approval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wet AMD in the U.S. In April 2011, the FDA accepted the BLA for filing and granted our request for Priority Review. In June 2011, the Dermatologic and Ophthalmic Drugs Advisory Committee of the FDA unanimously recommended that the FDA approve our BLA. Also in June 2011, Bayer HealthCare submitted regulatory applications for marketing approval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wet AMD in the European Union and Japan. In August 2011, we announced that we received notification from the FDA that the agency had extended its target date to complete the priority review of the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BLA to November 18, 2011, which is a three month extension from the original Prescription Drug User Fee Act (PDUFA) action date. The extension is a result of the agency classifying our responses to questions regarding the chemistry, manufacturing, and controls (CMC) section of the BLA as a major amendment to the BLA. The new action date provides the agency additional time to review the information submitted.</w:t>
      </w:r>
    </w:p>
    <w:p>
      <w:pPr>
        <w:spacing w:after="0" w:line="214" w:lineRule="exact"/>
        <w:rPr>
          <w:sz w:val="20"/>
          <w:szCs w:val="20"/>
          <w:color w:val="auto"/>
        </w:rPr>
      </w:pPr>
    </w:p>
    <w:p>
      <w:pPr>
        <w:jc w:val="both"/>
        <w:ind w:firstLine="285"/>
        <w:spacing w:after="0" w:line="230" w:lineRule="auto"/>
        <w:rPr>
          <w:sz w:val="20"/>
          <w:szCs w:val="20"/>
          <w:color w:val="auto"/>
        </w:rPr>
      </w:pPr>
      <w:r>
        <w:rPr>
          <w:rFonts w:ascii="Arial" w:cs="Arial" w:eastAsia="Arial" w:hAnsi="Arial"/>
          <w:sz w:val="14"/>
          <w:szCs w:val="14"/>
          <w:color w:val="auto"/>
        </w:rPr>
        <w:t>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is also in Phase 3 clinical studies for the treatment of CRVO, another cause of visual impairment. We are leading the COPERNICUS (</w:t>
      </w:r>
      <w:r>
        <w:rPr>
          <w:rFonts w:ascii="Arial" w:cs="Arial" w:eastAsia="Arial" w:hAnsi="Arial"/>
          <w:sz w:val="14"/>
          <w:szCs w:val="14"/>
          <w:u w:val="single" w:color="auto"/>
          <w:color w:val="auto"/>
        </w:rPr>
        <w:t>CO</w:t>
      </w:r>
      <w:r>
        <w:rPr>
          <w:rFonts w:ascii="Arial" w:cs="Arial" w:eastAsia="Arial" w:hAnsi="Arial"/>
          <w:sz w:val="14"/>
          <w:szCs w:val="14"/>
          <w:color w:val="auto"/>
        </w:rPr>
        <w:t xml:space="preserve">ntrolled </w:t>
      </w:r>
      <w:r>
        <w:rPr>
          <w:rFonts w:ascii="Arial" w:cs="Arial" w:eastAsia="Arial" w:hAnsi="Arial"/>
          <w:sz w:val="14"/>
          <w:szCs w:val="14"/>
          <w:u w:val="single" w:color="auto"/>
          <w:color w:val="auto"/>
        </w:rPr>
        <w:t>P</w:t>
      </w:r>
      <w:r>
        <w:rPr>
          <w:rFonts w:ascii="Arial" w:cs="Arial" w:eastAsia="Arial" w:hAnsi="Arial"/>
          <w:sz w:val="14"/>
          <w:szCs w:val="14"/>
          <w:color w:val="auto"/>
        </w:rPr>
        <w:t xml:space="preserve">hase 3 </w:t>
      </w:r>
      <w:r>
        <w:rPr>
          <w:rFonts w:ascii="Arial" w:cs="Arial" w:eastAsia="Arial" w:hAnsi="Arial"/>
          <w:sz w:val="14"/>
          <w:szCs w:val="14"/>
          <w:u w:val="single" w:color="auto"/>
          <w:color w:val="auto"/>
        </w:rPr>
        <w:t>E</w:t>
      </w:r>
      <w:r>
        <w:rPr>
          <w:rFonts w:ascii="Arial" w:cs="Arial" w:eastAsia="Arial" w:hAnsi="Arial"/>
          <w:sz w:val="14"/>
          <w:szCs w:val="14"/>
          <w:color w:val="auto"/>
        </w:rPr>
        <w:t xml:space="preserve">valuation of </w:t>
      </w:r>
      <w:r>
        <w:rPr>
          <w:rFonts w:ascii="Arial" w:cs="Arial" w:eastAsia="Arial" w:hAnsi="Arial"/>
          <w:sz w:val="14"/>
          <w:szCs w:val="14"/>
          <w:u w:val="single" w:color="auto"/>
          <w:color w:val="auto"/>
        </w:rPr>
        <w:t>R</w:t>
      </w:r>
      <w:r>
        <w:rPr>
          <w:rFonts w:ascii="Arial" w:cs="Arial" w:eastAsia="Arial" w:hAnsi="Arial"/>
          <w:sz w:val="14"/>
          <w:szCs w:val="14"/>
          <w:color w:val="auto"/>
        </w:rPr>
        <w:t>epeated i</w:t>
      </w:r>
      <w:r>
        <w:rPr>
          <w:rFonts w:ascii="Arial" w:cs="Arial" w:eastAsia="Arial" w:hAnsi="Arial"/>
          <w:sz w:val="14"/>
          <w:szCs w:val="14"/>
          <w:u w:val="single" w:color="auto"/>
          <w:color w:val="auto"/>
        </w:rPr>
        <w:t>N</w:t>
      </w:r>
      <w:r>
        <w:rPr>
          <w:rFonts w:ascii="Arial" w:cs="Arial" w:eastAsia="Arial" w:hAnsi="Arial"/>
          <w:sz w:val="14"/>
          <w:szCs w:val="14"/>
          <w:color w:val="auto"/>
        </w:rPr>
        <w:t xml:space="preserve">travitreal administration of VEGF Trap-Eye </w:t>
      </w:r>
      <w:r>
        <w:rPr>
          <w:rFonts w:ascii="Arial" w:cs="Arial" w:eastAsia="Arial" w:hAnsi="Arial"/>
          <w:sz w:val="14"/>
          <w:szCs w:val="14"/>
          <w:u w:val="single" w:color="auto"/>
          <w:color w:val="auto"/>
        </w:rPr>
        <w:t>I</w:t>
      </w:r>
      <w:r>
        <w:rPr>
          <w:rFonts w:ascii="Arial" w:cs="Arial" w:eastAsia="Arial" w:hAnsi="Arial"/>
          <w:sz w:val="14"/>
          <w:szCs w:val="14"/>
          <w:color w:val="auto"/>
        </w:rPr>
        <w:t xml:space="preserve">n </w:t>
      </w:r>
      <w:r>
        <w:rPr>
          <w:rFonts w:ascii="Arial" w:cs="Arial" w:eastAsia="Arial" w:hAnsi="Arial"/>
          <w:sz w:val="14"/>
          <w:szCs w:val="14"/>
          <w:u w:val="single" w:color="auto"/>
          <w:color w:val="auto"/>
        </w:rPr>
        <w:t>C</w:t>
      </w:r>
      <w:r>
        <w:rPr>
          <w:rFonts w:ascii="Arial" w:cs="Arial" w:eastAsia="Arial" w:hAnsi="Arial"/>
          <w:sz w:val="14"/>
          <w:szCs w:val="14"/>
          <w:color w:val="auto"/>
        </w:rPr>
        <w:t xml:space="preserve">entral retinal vein occlusion: </w:t>
      </w:r>
      <w:r>
        <w:rPr>
          <w:rFonts w:ascii="Arial" w:cs="Arial" w:eastAsia="Arial" w:hAnsi="Arial"/>
          <w:sz w:val="14"/>
          <w:szCs w:val="14"/>
          <w:u w:val="single" w:color="auto"/>
          <w:color w:val="auto"/>
        </w:rPr>
        <w:t>U</w:t>
      </w:r>
      <w:r>
        <w:rPr>
          <w:rFonts w:ascii="Arial" w:cs="Arial" w:eastAsia="Arial" w:hAnsi="Arial"/>
          <w:sz w:val="14"/>
          <w:szCs w:val="14"/>
          <w:color w:val="auto"/>
        </w:rPr>
        <w:t xml:space="preserve">tility and </w:t>
      </w:r>
      <w:r>
        <w:rPr>
          <w:rFonts w:ascii="Arial" w:cs="Arial" w:eastAsia="Arial" w:hAnsi="Arial"/>
          <w:sz w:val="14"/>
          <w:szCs w:val="14"/>
          <w:u w:val="single" w:color="auto"/>
          <w:color w:val="auto"/>
        </w:rPr>
        <w:t>S</w:t>
      </w:r>
      <w:r>
        <w:rPr>
          <w:rFonts w:ascii="Arial" w:cs="Arial" w:eastAsia="Arial" w:hAnsi="Arial"/>
          <w:sz w:val="14"/>
          <w:szCs w:val="14"/>
          <w:color w:val="auto"/>
        </w:rPr>
        <w:t>afety) study, and Bayer HealthCare is leading the GALILEO (</w:t>
      </w:r>
      <w:r>
        <w:rPr>
          <w:rFonts w:ascii="Arial" w:cs="Arial" w:eastAsia="Arial" w:hAnsi="Arial"/>
          <w:sz w:val="14"/>
          <w:szCs w:val="14"/>
          <w:u w:val="single" w:color="auto"/>
          <w:color w:val="auto"/>
        </w:rPr>
        <w:t>G</w:t>
      </w:r>
      <w:r>
        <w:rPr>
          <w:rFonts w:ascii="Arial" w:cs="Arial" w:eastAsia="Arial" w:hAnsi="Arial"/>
          <w:sz w:val="14"/>
          <w:szCs w:val="14"/>
          <w:color w:val="auto"/>
        </w:rPr>
        <w:t xml:space="preserve">eneral </w:t>
      </w:r>
      <w:r>
        <w:rPr>
          <w:rFonts w:ascii="Arial" w:cs="Arial" w:eastAsia="Arial" w:hAnsi="Arial"/>
          <w:sz w:val="14"/>
          <w:szCs w:val="14"/>
          <w:u w:val="single" w:color="auto"/>
          <w:color w:val="auto"/>
        </w:rPr>
        <w:t>A</w:t>
      </w:r>
      <w:r>
        <w:rPr>
          <w:rFonts w:ascii="Arial" w:cs="Arial" w:eastAsia="Arial" w:hAnsi="Arial"/>
          <w:sz w:val="14"/>
          <w:szCs w:val="14"/>
          <w:color w:val="auto"/>
        </w:rPr>
        <w:t xml:space="preserve">ssessment </w:t>
      </w:r>
      <w:r>
        <w:rPr>
          <w:rFonts w:ascii="Arial" w:cs="Arial" w:eastAsia="Arial" w:hAnsi="Arial"/>
          <w:sz w:val="14"/>
          <w:szCs w:val="14"/>
          <w:u w:val="single" w:color="auto"/>
          <w:color w:val="auto"/>
        </w:rPr>
        <w:t>L</w:t>
      </w:r>
      <w:r>
        <w:rPr>
          <w:rFonts w:ascii="Arial" w:cs="Arial" w:eastAsia="Arial" w:hAnsi="Arial"/>
          <w:sz w:val="14"/>
          <w:szCs w:val="14"/>
          <w:color w:val="auto"/>
        </w:rPr>
        <w:t xml:space="preserve">imiting </w:t>
      </w:r>
      <w:r>
        <w:rPr>
          <w:rFonts w:ascii="Arial" w:cs="Arial" w:eastAsia="Arial" w:hAnsi="Arial"/>
          <w:sz w:val="14"/>
          <w:szCs w:val="14"/>
          <w:u w:val="single" w:color="auto"/>
          <w:color w:val="auto"/>
        </w:rPr>
        <w:t>I</w:t>
      </w:r>
      <w:r>
        <w:rPr>
          <w:rFonts w:ascii="Arial" w:cs="Arial" w:eastAsia="Arial" w:hAnsi="Arial"/>
          <w:sz w:val="14"/>
          <w:szCs w:val="14"/>
          <w:color w:val="auto"/>
        </w:rPr>
        <w:t>nfi</w:t>
      </w:r>
      <w:r>
        <w:rPr>
          <w:rFonts w:ascii="Arial" w:cs="Arial" w:eastAsia="Arial" w:hAnsi="Arial"/>
          <w:sz w:val="14"/>
          <w:szCs w:val="14"/>
          <w:u w:val="single" w:color="auto"/>
          <w:color w:val="auto"/>
        </w:rPr>
        <w:t>L</w:t>
      </w:r>
      <w:r>
        <w:rPr>
          <w:rFonts w:ascii="Arial" w:cs="Arial" w:eastAsia="Arial" w:hAnsi="Arial"/>
          <w:sz w:val="14"/>
          <w:szCs w:val="14"/>
          <w:color w:val="auto"/>
        </w:rPr>
        <w:t xml:space="preserve">tration of </w:t>
      </w:r>
      <w:r>
        <w:rPr>
          <w:rFonts w:ascii="Arial" w:cs="Arial" w:eastAsia="Arial" w:hAnsi="Arial"/>
          <w:sz w:val="14"/>
          <w:szCs w:val="14"/>
          <w:u w:val="single" w:color="auto"/>
          <w:color w:val="auto"/>
        </w:rPr>
        <w:t>E</w:t>
      </w:r>
      <w:r>
        <w:rPr>
          <w:rFonts w:ascii="Arial" w:cs="Arial" w:eastAsia="Arial" w:hAnsi="Arial"/>
          <w:sz w:val="14"/>
          <w:szCs w:val="14"/>
          <w:color w:val="auto"/>
        </w:rPr>
        <w:t xml:space="preserve">xudates in central retinal vein </w:t>
      </w:r>
      <w:r>
        <w:rPr>
          <w:rFonts w:ascii="Arial" w:cs="Arial" w:eastAsia="Arial" w:hAnsi="Arial"/>
          <w:sz w:val="14"/>
          <w:szCs w:val="14"/>
          <w:u w:val="single" w:color="auto"/>
          <w:color w:val="auto"/>
        </w:rPr>
        <w:t>O</w:t>
      </w:r>
      <w:r>
        <w:rPr>
          <w:rFonts w:ascii="Arial" w:cs="Arial" w:eastAsia="Arial" w:hAnsi="Arial"/>
          <w:sz w:val="14"/>
          <w:szCs w:val="14"/>
          <w:color w:val="auto"/>
        </w:rPr>
        <w:t>cclusion with VEGF Trap-Eye) study. Patients in both studies receive six monthly intravitreal injections of either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at a dose of 2.0 mg or sham control injections. The primary endpoint of both studies is improvement in visual acuity versus baseline after six months of treatment as measured by the ETDRS eye chart. At the end of the initial six months, patients are dosed on a PRN basis for another six months. All patients are eligible for rescue laser treatment.</w:t>
      </w:r>
    </w:p>
    <w:p>
      <w:pPr>
        <w:spacing w:after="0" w:line="215" w:lineRule="exact"/>
        <w:rPr>
          <w:sz w:val="20"/>
          <w:szCs w:val="20"/>
          <w:color w:val="auto"/>
        </w:rPr>
      </w:pPr>
    </w:p>
    <w:p>
      <w:pPr>
        <w:jc w:val="both"/>
        <w:ind w:firstLine="230"/>
        <w:spacing w:after="0" w:line="249" w:lineRule="auto"/>
        <w:rPr>
          <w:sz w:val="20"/>
          <w:szCs w:val="20"/>
          <w:color w:val="auto"/>
        </w:rPr>
      </w:pPr>
      <w:r>
        <w:rPr>
          <w:rFonts w:ascii="Arial" w:cs="Arial" w:eastAsia="Arial" w:hAnsi="Arial"/>
          <w:sz w:val="13"/>
          <w:szCs w:val="13"/>
          <w:color w:val="auto"/>
        </w:rPr>
        <w:t>In December 2010, we and Bayer HealthCare announced that in the COPERNICUS study,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demonstrated a statistically significant improvement in visual acuity at six months compared to sham injections, the primary endpoint of the study. In the study,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was generally well tolerated. The most common adverse events were those typically associated with intravitreal injections or the underlying disease. Serious ocular adverse events in the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group were uncommon (3.5%), consisting of individual reports of corneal abrasion, endophalmitis, retinal vein occlusion, and reduced visual acuity, and were more frequent in the control group (13.5%). The incidence of non-ocular serious adverse events was generally well-balanced between the treatment arms. There were no deaths among the 114 patients treated with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and two (2.7%) in the 73 patients treated with sham injections.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7" w:right="219" w:bottom="1440" w:gutter="0" w:footer="0" w:header="0"/>
        </w:sectPr>
      </w:pPr>
    </w:p>
    <w:bookmarkStart w:id="20" w:name="page21"/>
    <w:bookmarkEnd w:id="20"/>
    <w:p>
      <w:pPr>
        <w:jc w:val="both"/>
        <w:ind w:firstLine="252"/>
        <w:spacing w:after="0" w:line="208" w:lineRule="auto"/>
        <w:rPr>
          <w:sz w:val="20"/>
          <w:szCs w:val="20"/>
          <w:color w:val="auto"/>
        </w:rPr>
      </w:pPr>
      <w:r>
        <w:rPr>
          <w:rFonts w:ascii="Arial" w:cs="Arial" w:eastAsia="Arial" w:hAnsi="Arial"/>
          <w:sz w:val="14"/>
          <w:szCs w:val="14"/>
          <w:color w:val="auto"/>
        </w:rPr>
        <w:t>In April 2011, we and Bayer HealthCare announced that in the GALILEO study,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also demonstrated a statistically significant improvement in visual acuity at six months compared to sham injections, the primary endpoint of the study. In this trial, 60.2% of patients receiving 2.0 mg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monthly gained at least 15 letters of vision from baseline, compared to 22.1% of patients receiving sham injections (p&lt;0.0001). Patients receiving 2.0 mg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monthly gained, on average, 18 letters of vision compared to a mean gain of 3.3 letters with sham injections (p&lt;0.0001), a secondary endpoint.</w:t>
      </w:r>
    </w:p>
    <w:p>
      <w:pPr>
        <w:spacing w:after="0" w:line="214" w:lineRule="exact"/>
        <w:rPr>
          <w:sz w:val="20"/>
          <w:szCs w:val="20"/>
          <w:color w:val="auto"/>
        </w:rPr>
      </w:pPr>
    </w:p>
    <w:p>
      <w:pPr>
        <w:jc w:val="both"/>
        <w:ind w:firstLine="241"/>
        <w:spacing w:after="0" w:line="217" w:lineRule="auto"/>
        <w:rPr>
          <w:sz w:val="20"/>
          <w:szCs w:val="20"/>
          <w:color w:val="auto"/>
        </w:rPr>
      </w:pPr>
      <w:r>
        <w:rPr>
          <w:rFonts w:ascii="Arial" w:cs="Arial" w:eastAsia="Arial" w:hAnsi="Arial"/>
          <w:sz w:val="14"/>
          <w:szCs w:val="14"/>
          <w:color w:val="auto"/>
        </w:rPr>
        <w:t>As in the COPERNICUS trial,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was generally well tolerated in the GALILEO study and the most common adverse events were those typically associated with intravitreal injections or the underlying disease. Serious ocular adverse events in the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group were 2.9% and were more frequent in the control group (8.8%). The most frequently reported adverse events overall in the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arm were eye pain, conjunctival hemorrhage, and elevated intraocular pressure. The most frequently reported adverse events in the control group were macular edema, eye irritation, and reduced visual acuity. The incidence of non-ocular serious adverse events was generally well-balanced between the treatment arms. The most frequent non-ocular adverse events were headache and nasopharyngitis. There were no deaths in the study.</w:t>
      </w:r>
    </w:p>
    <w:p>
      <w:pPr>
        <w:spacing w:after="0" w:line="213" w:lineRule="exact"/>
        <w:rPr>
          <w:sz w:val="20"/>
          <w:szCs w:val="20"/>
          <w:color w:val="auto"/>
        </w:rPr>
      </w:pPr>
    </w:p>
    <w:p>
      <w:pPr>
        <w:jc w:val="both"/>
        <w:ind w:firstLine="230"/>
        <w:spacing w:after="0" w:line="226" w:lineRule="auto"/>
        <w:rPr>
          <w:sz w:val="20"/>
          <w:szCs w:val="20"/>
          <w:color w:val="auto"/>
        </w:rPr>
      </w:pPr>
      <w:r>
        <w:rPr>
          <w:rFonts w:ascii="Arial" w:cs="Arial" w:eastAsia="Arial" w:hAnsi="Arial"/>
          <w:sz w:val="14"/>
          <w:szCs w:val="14"/>
          <w:color w:val="auto"/>
        </w:rPr>
        <w:t>Based on these positive results, we intend to submit a regulatory application for marketing approval for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CRVO in the U.S. by the end of 2011, and Bayer HealthCare plans to submit regulatory applications in this indication in Europe in 2012.</w:t>
      </w:r>
    </w:p>
    <w:p>
      <w:pPr>
        <w:spacing w:after="0" w:line="213" w:lineRule="exact"/>
        <w:rPr>
          <w:sz w:val="20"/>
          <w:szCs w:val="20"/>
          <w:color w:val="auto"/>
        </w:rPr>
      </w:pPr>
    </w:p>
    <w:p>
      <w:pPr>
        <w:jc w:val="both"/>
        <w:ind w:firstLine="241"/>
        <w:spacing w:after="0" w:line="235" w:lineRule="auto"/>
        <w:rPr>
          <w:sz w:val="20"/>
          <w:szCs w:val="20"/>
          <w:color w:val="auto"/>
        </w:rPr>
      </w:pPr>
      <w:r>
        <w:rPr>
          <w:rFonts w:ascii="Arial" w:cs="Arial" w:eastAsia="Arial" w:hAnsi="Arial"/>
          <w:sz w:val="14"/>
          <w:szCs w:val="14"/>
          <w:color w:val="auto"/>
        </w:rPr>
        <w:t>In the second quarter of 2011, we and Bayer HealthCare initiated Phase 3 studies to evaluate the safety and efficacy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DME. These clinical trials have three study arms. In the first arm, patients will be treated every month with 2.0 mg of EYLEA</w:t>
      </w:r>
      <w:r>
        <w:rPr>
          <w:rFonts w:ascii="Arial" w:cs="Arial" w:eastAsia="Arial" w:hAnsi="Arial"/>
          <w:sz w:val="19"/>
          <w:szCs w:val="19"/>
          <w:color w:val="auto"/>
          <w:vertAlign w:val="superscript"/>
        </w:rPr>
        <w:t>TM</w:t>
      </w:r>
      <w:r>
        <w:rPr>
          <w:rFonts w:ascii="Arial" w:cs="Arial" w:eastAsia="Arial" w:hAnsi="Arial"/>
          <w:sz w:val="14"/>
          <w:szCs w:val="14"/>
          <w:color w:val="auto"/>
        </w:rPr>
        <w:t>. In the second arm, patients will be treated with 2.0 mg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every two months after an initial phase of monthly injections. In the third arm, the comparator arm, patients will be treated with macular laser photocoagulation. The primary endpoint of the study is mean change in visual acuity from baseline as measured by the ETDRS eye chart. All patients will be followed for three years. We are conducting one of these studies, called VISTA-DME (</w:t>
      </w:r>
      <w:r>
        <w:rPr>
          <w:rFonts w:ascii="Arial" w:cs="Arial" w:eastAsia="Arial" w:hAnsi="Arial"/>
          <w:sz w:val="14"/>
          <w:szCs w:val="14"/>
          <w:u w:val="single" w:color="auto"/>
          <w:color w:val="auto"/>
        </w:rPr>
        <w:t>V</w:t>
      </w:r>
      <w:r>
        <w:rPr>
          <w:rFonts w:ascii="Arial" w:cs="Arial" w:eastAsia="Arial" w:hAnsi="Arial"/>
          <w:sz w:val="14"/>
          <w:szCs w:val="14"/>
          <w:color w:val="auto"/>
        </w:rPr>
        <w:t xml:space="preserve">EGF Trap-Eye: </w:t>
      </w:r>
      <w:r>
        <w:rPr>
          <w:rFonts w:ascii="Arial" w:cs="Arial" w:eastAsia="Arial" w:hAnsi="Arial"/>
          <w:sz w:val="14"/>
          <w:szCs w:val="14"/>
          <w:u w:val="single" w:color="auto"/>
          <w:color w:val="auto"/>
        </w:rPr>
        <w:t>I</w:t>
      </w:r>
      <w:r>
        <w:rPr>
          <w:rFonts w:ascii="Arial" w:cs="Arial" w:eastAsia="Arial" w:hAnsi="Arial"/>
          <w:sz w:val="14"/>
          <w:szCs w:val="14"/>
          <w:color w:val="auto"/>
        </w:rPr>
        <w:t xml:space="preserve">nvestigation of </w:t>
      </w:r>
      <w:r>
        <w:rPr>
          <w:rFonts w:ascii="Arial" w:cs="Arial" w:eastAsia="Arial" w:hAnsi="Arial"/>
          <w:sz w:val="14"/>
          <w:szCs w:val="14"/>
          <w:u w:val="single" w:color="auto"/>
          <w:color w:val="auto"/>
        </w:rPr>
        <w:t>S</w:t>
      </w:r>
      <w:r>
        <w:rPr>
          <w:rFonts w:ascii="Arial" w:cs="Arial" w:eastAsia="Arial" w:hAnsi="Arial"/>
          <w:sz w:val="14"/>
          <w:szCs w:val="14"/>
          <w:color w:val="auto"/>
        </w:rPr>
        <w:t xml:space="preserve">afety, </w:t>
      </w:r>
      <w:r>
        <w:rPr>
          <w:rFonts w:ascii="Arial" w:cs="Arial" w:eastAsia="Arial" w:hAnsi="Arial"/>
          <w:sz w:val="14"/>
          <w:szCs w:val="14"/>
          <w:u w:val="single" w:color="auto"/>
          <w:color w:val="auto"/>
        </w:rPr>
        <w:t>T</w:t>
      </w:r>
      <w:r>
        <w:rPr>
          <w:rFonts w:ascii="Arial" w:cs="Arial" w:eastAsia="Arial" w:hAnsi="Arial"/>
          <w:sz w:val="14"/>
          <w:szCs w:val="14"/>
          <w:color w:val="auto"/>
        </w:rPr>
        <w:t xml:space="preserve">reatment effect, and </w:t>
      </w:r>
      <w:r>
        <w:rPr>
          <w:rFonts w:ascii="Arial" w:cs="Arial" w:eastAsia="Arial" w:hAnsi="Arial"/>
          <w:sz w:val="14"/>
          <w:szCs w:val="14"/>
          <w:u w:val="single" w:color="auto"/>
          <w:color w:val="auto"/>
        </w:rPr>
        <w:t>A</w:t>
      </w:r>
      <w:r>
        <w:rPr>
          <w:rFonts w:ascii="Arial" w:cs="Arial" w:eastAsia="Arial" w:hAnsi="Arial"/>
          <w:sz w:val="14"/>
          <w:szCs w:val="14"/>
          <w:color w:val="auto"/>
        </w:rPr>
        <w:t xml:space="preserve">natomic outcomes in </w:t>
      </w:r>
      <w:r>
        <w:rPr>
          <w:rFonts w:ascii="Arial" w:cs="Arial" w:eastAsia="Arial" w:hAnsi="Arial"/>
          <w:sz w:val="14"/>
          <w:szCs w:val="14"/>
          <w:u w:val="single" w:color="auto"/>
          <w:color w:val="auto"/>
        </w:rPr>
        <w:t>DME</w:t>
      </w:r>
      <w:r>
        <w:rPr>
          <w:rFonts w:ascii="Arial" w:cs="Arial" w:eastAsia="Arial" w:hAnsi="Arial"/>
          <w:sz w:val="14"/>
          <w:szCs w:val="14"/>
          <w:color w:val="auto"/>
        </w:rPr>
        <w:t>), with study centers in the U.S. and other countries. Bayer HealthCare is conducting the second study, named VIVID-DME (</w:t>
      </w:r>
      <w:r>
        <w:rPr>
          <w:rFonts w:ascii="Arial" w:cs="Arial" w:eastAsia="Arial" w:hAnsi="Arial"/>
          <w:sz w:val="14"/>
          <w:szCs w:val="14"/>
          <w:u w:val="single" w:color="auto"/>
          <w:color w:val="auto"/>
        </w:rPr>
        <w:t>V</w:t>
      </w:r>
      <w:r>
        <w:rPr>
          <w:rFonts w:ascii="Arial" w:cs="Arial" w:eastAsia="Arial" w:hAnsi="Arial"/>
          <w:sz w:val="14"/>
          <w:szCs w:val="14"/>
          <w:color w:val="auto"/>
        </w:rPr>
        <w:t xml:space="preserve">EGF Trap-Eye </w:t>
      </w:r>
      <w:r>
        <w:rPr>
          <w:rFonts w:ascii="Arial" w:cs="Arial" w:eastAsia="Arial" w:hAnsi="Arial"/>
          <w:sz w:val="14"/>
          <w:szCs w:val="14"/>
          <w:u w:val="single" w:color="auto"/>
          <w:color w:val="auto"/>
        </w:rPr>
        <w:t>I</w:t>
      </w:r>
      <w:r>
        <w:rPr>
          <w:rFonts w:ascii="Arial" w:cs="Arial" w:eastAsia="Arial" w:hAnsi="Arial"/>
          <w:sz w:val="14"/>
          <w:szCs w:val="14"/>
          <w:color w:val="auto"/>
        </w:rPr>
        <w:t xml:space="preserve">n </w:t>
      </w:r>
      <w:r>
        <w:rPr>
          <w:rFonts w:ascii="Arial" w:cs="Arial" w:eastAsia="Arial" w:hAnsi="Arial"/>
          <w:sz w:val="14"/>
          <w:szCs w:val="14"/>
          <w:u w:val="single" w:color="auto"/>
          <w:color w:val="auto"/>
        </w:rPr>
        <w:t>V</w:t>
      </w:r>
      <w:r>
        <w:rPr>
          <w:rFonts w:ascii="Arial" w:cs="Arial" w:eastAsia="Arial" w:hAnsi="Arial"/>
          <w:sz w:val="14"/>
          <w:szCs w:val="14"/>
          <w:color w:val="auto"/>
        </w:rPr>
        <w:t xml:space="preserve">ision </w:t>
      </w:r>
      <w:r>
        <w:rPr>
          <w:rFonts w:ascii="Arial" w:cs="Arial" w:eastAsia="Arial" w:hAnsi="Arial"/>
          <w:sz w:val="14"/>
          <w:szCs w:val="14"/>
          <w:u w:val="single" w:color="auto"/>
          <w:color w:val="auto"/>
        </w:rPr>
        <w:t>I</w:t>
      </w:r>
      <w:r>
        <w:rPr>
          <w:rFonts w:ascii="Arial" w:cs="Arial" w:eastAsia="Arial" w:hAnsi="Arial"/>
          <w:sz w:val="14"/>
          <w:szCs w:val="14"/>
          <w:color w:val="auto"/>
        </w:rPr>
        <w:t xml:space="preserve">mpairment </w:t>
      </w:r>
      <w:r>
        <w:rPr>
          <w:rFonts w:ascii="Arial" w:cs="Arial" w:eastAsia="Arial" w:hAnsi="Arial"/>
          <w:sz w:val="14"/>
          <w:szCs w:val="14"/>
          <w:u w:val="single" w:color="auto"/>
          <w:color w:val="auto"/>
        </w:rPr>
        <w:t>D</w:t>
      </w:r>
      <w:r>
        <w:rPr>
          <w:rFonts w:ascii="Arial" w:cs="Arial" w:eastAsia="Arial" w:hAnsi="Arial"/>
          <w:sz w:val="14"/>
          <w:szCs w:val="14"/>
          <w:color w:val="auto"/>
        </w:rPr>
        <w:t xml:space="preserve">ue to </w:t>
      </w:r>
      <w:r>
        <w:rPr>
          <w:rFonts w:ascii="Arial" w:cs="Arial" w:eastAsia="Arial" w:hAnsi="Arial"/>
          <w:sz w:val="14"/>
          <w:szCs w:val="14"/>
          <w:u w:val="single" w:color="auto"/>
          <w:color w:val="auto"/>
        </w:rPr>
        <w:t>DME</w:t>
      </w:r>
      <w:r>
        <w:rPr>
          <w:rFonts w:ascii="Arial" w:cs="Arial" w:eastAsia="Arial" w:hAnsi="Arial"/>
          <w:sz w:val="14"/>
          <w:szCs w:val="14"/>
          <w:color w:val="auto"/>
        </w:rPr>
        <w:t>), with study centers in Europe, Japan, and Australia.</w:t>
      </w:r>
    </w:p>
    <w:p>
      <w:pPr>
        <w:spacing w:after="0" w:line="216" w:lineRule="exact"/>
        <w:rPr>
          <w:sz w:val="20"/>
          <w:szCs w:val="20"/>
          <w:color w:val="auto"/>
        </w:rPr>
      </w:pPr>
    </w:p>
    <w:p>
      <w:pPr>
        <w:jc w:val="both"/>
        <w:ind w:right="20" w:firstLine="263"/>
        <w:spacing w:after="0" w:line="349" w:lineRule="auto"/>
        <w:rPr>
          <w:sz w:val="20"/>
          <w:szCs w:val="20"/>
          <w:color w:val="auto"/>
        </w:rPr>
      </w:pPr>
      <w:r>
        <w:rPr>
          <w:rFonts w:ascii="Arial" w:cs="Arial" w:eastAsia="Arial" w:hAnsi="Arial"/>
          <w:sz w:val="13"/>
          <w:szCs w:val="13"/>
          <w:color w:val="auto"/>
        </w:rPr>
        <w:t>In the first quarter of 2011, we and Bayer HealthCare initiated a Phase 3 trial in Asia in collaboration with the Singapore Eye Research Institute (SERI) investigating the efficacy and safety of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patients with CNV of the retina as a result of pathologic myopia. The study, which will enroll approximately 250 patients, has started in Japan and is scheduled to run until June 2013.</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Collaboration with Bayer HealthCare</w:t>
      </w:r>
    </w:p>
    <w:p>
      <w:pPr>
        <w:spacing w:after="0" w:line="236" w:lineRule="exact"/>
        <w:rPr>
          <w:sz w:val="20"/>
          <w:szCs w:val="20"/>
          <w:color w:val="auto"/>
        </w:rPr>
      </w:pPr>
    </w:p>
    <w:p>
      <w:pPr>
        <w:jc w:val="both"/>
        <w:ind w:firstLine="296"/>
        <w:spacing w:after="0" w:line="243" w:lineRule="auto"/>
        <w:rPr>
          <w:sz w:val="20"/>
          <w:szCs w:val="20"/>
          <w:color w:val="auto"/>
        </w:rPr>
      </w:pPr>
      <w:r>
        <w:rPr>
          <w:rFonts w:ascii="Arial" w:cs="Arial" w:eastAsia="Arial" w:hAnsi="Arial"/>
          <w:sz w:val="13"/>
          <w:szCs w:val="13"/>
          <w:color w:val="auto"/>
        </w:rPr>
        <w:t>In October 2006, we entered into a license and collaboration agreement with Bayer HealthCare for the global development and commercialization outside the U.S. of EYLEA</w:t>
      </w:r>
      <w:r>
        <w:rPr>
          <w:rFonts w:ascii="Arial" w:cs="Arial" w:eastAsia="Arial" w:hAnsi="Arial"/>
          <w:sz w:val="17"/>
          <w:szCs w:val="17"/>
          <w:color w:val="auto"/>
          <w:vertAlign w:val="superscript"/>
        </w:rPr>
        <w:t>TM</w:t>
      </w:r>
      <w:r>
        <w:rPr>
          <w:rFonts w:ascii="Arial" w:cs="Arial" w:eastAsia="Arial" w:hAnsi="Arial"/>
          <w:sz w:val="13"/>
          <w:szCs w:val="13"/>
          <w:color w:val="auto"/>
        </w:rPr>
        <w:t>. Under the agreement, we and Bayer HealthCare collaborate on, and share the costs of, the development of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through an integrated global plan. Bayer HealthCare will market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outside the U.S., where the companies will share equally in profits from any future sales of EYLEA</w:t>
      </w:r>
      <w:r>
        <w:rPr>
          <w:rFonts w:ascii="Arial" w:cs="Arial" w:eastAsia="Arial" w:hAnsi="Arial"/>
          <w:sz w:val="17"/>
          <w:szCs w:val="17"/>
          <w:color w:val="auto"/>
          <w:vertAlign w:val="superscript"/>
        </w:rPr>
        <w:t>TM</w:t>
      </w:r>
      <w:r>
        <w:rPr>
          <w:rFonts w:ascii="Arial" w:cs="Arial" w:eastAsia="Arial" w:hAnsi="Arial"/>
          <w:sz w:val="13"/>
          <w:szCs w:val="13"/>
          <w:color w:val="auto"/>
        </w:rPr>
        <w:t>. Commencing on the first commercial sale of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a major market country outside the U.S., we will be obligated to reimburse Bayer HealthCare for 50% of the development costs that it has incurred under the agreement from our share of the collaboration profits. The reimbursement payment in any quarter will equal 5% of the then outstanding repayment obligation, but never more than our share of the collaboration profits in the quarter unless we elect to reimburse Bayer HealthCare at a faster rate. Within the U.S., we retain exclusive commercialization rights to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and are entitled to all profits from any such sales. We have received $60 million in development milestone payments and can earn up to $50 million in future milestone payments related to marketing approvals of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major market countries outside the U.S. We can also earn up to $135 million in sales milestone payments if total annual sales of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outside the U.S. achieve certain specified levels starting at $200 million.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7" w:right="21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i w:val="1"/>
          <w:iCs w:val="1"/>
          <w:color w:val="auto"/>
        </w:rPr>
        <w:t>2. ZALTRAP</w:t>
      </w:r>
      <w:r>
        <w:rPr>
          <w:rFonts w:ascii="Arial" w:cs="Arial" w:eastAsia="Arial" w:hAnsi="Arial"/>
          <w:sz w:val="19"/>
          <w:szCs w:val="19"/>
          <w:color w:val="auto"/>
          <w:vertAlign w:val="superscript"/>
        </w:rPr>
        <w:t>®</w:t>
      </w:r>
      <w:r>
        <w:rPr>
          <w:rFonts w:ascii="Arial" w:cs="Arial" w:eastAsia="Arial" w:hAnsi="Arial"/>
          <w:sz w:val="14"/>
          <w:szCs w:val="14"/>
          <w:b w:val="1"/>
          <w:bCs w:val="1"/>
          <w:i w:val="1"/>
          <w:iCs w:val="1"/>
          <w:color w:val="auto"/>
        </w:rPr>
        <w:t xml:space="preserve"> (aflibercept) also known as VEGF Trap – Oncology</w:t>
      </w:r>
    </w:p>
    <w:p>
      <w:pPr>
        <w:spacing w:after="0" w:line="176" w:lineRule="exact"/>
        <w:rPr>
          <w:sz w:val="20"/>
          <w:szCs w:val="20"/>
          <w:color w:val="auto"/>
        </w:rPr>
      </w:pPr>
    </w:p>
    <w:p>
      <w:pPr>
        <w:jc w:val="both"/>
        <w:ind w:firstLine="241"/>
        <w:spacing w:after="0" w:line="226" w:lineRule="auto"/>
        <w:rPr>
          <w:sz w:val="20"/>
          <w:szCs w:val="20"/>
          <w:color w:val="auto"/>
        </w:rPr>
      </w:pPr>
      <w:r>
        <w:rPr>
          <w:rFonts w:ascii="Arial" w:cs="Arial" w:eastAsia="Arial" w:hAnsi="Arial"/>
          <w:sz w:val="14"/>
          <w:szCs w:val="14"/>
          <w:color w:val="auto"/>
        </w:rPr>
        <w:t>ZALTRAP</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(aflibercept) is a fusion protein that is designed to bind all forms of VEGF-A, VEGF-B, and PlGF, and prevent their interaction with cell surface receptors. VEGF-A (and to a lesser degree, PlGF) is required for the growth of new blood vessels (a process known as angiogenesis) that are needed for tumors to grow.</w:t>
      </w:r>
    </w:p>
    <w:p>
      <w:pPr>
        <w:spacing w:after="0" w:line="213" w:lineRule="exact"/>
        <w:rPr>
          <w:sz w:val="20"/>
          <w:szCs w:val="20"/>
          <w:color w:val="auto"/>
        </w:rPr>
      </w:pPr>
    </w:p>
    <w:p>
      <w:pPr>
        <w:jc w:val="both"/>
        <w:ind w:firstLine="274"/>
        <w:spacing w:after="0" w:line="212" w:lineRule="auto"/>
        <w:rPr>
          <w:sz w:val="20"/>
          <w:szCs w:val="20"/>
          <w:color w:val="auto"/>
        </w:rPr>
      </w:pPr>
      <w:r>
        <w:rPr>
          <w:rFonts w:ascii="Arial" w:cs="Arial" w:eastAsia="Arial" w:hAnsi="Arial"/>
          <w:sz w:val="14"/>
          <w:szCs w:val="14"/>
          <w:color w:val="auto"/>
        </w:rPr>
        <w:t>ZALTRAP</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is being developed globally in cancer indications in collaboration with Sanofi. In April 2011, we and Sanofi announced that the Phase 3 VELOUR trial evaluating ZALTRAP</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in combination with the FOLFIRI chemotherapy regimen [folinic acid (leucovorin), 5-fluorouracil, and irinotecan] versus a regimen of FOLFIRI plus placebo met its primary endpoint of improving overall survival (OS) in previously treated metastatic colorectal cancer (mCRC) patients. The VELOUR data were presented in June 2011 at the European Society of Medical Oncology World Congress on Gastrointestinal Cancer. In this study, the addition of ZALTRAP</w:t>
      </w:r>
      <w:r>
        <w:rPr>
          <w:rFonts w:ascii="Arial" w:cs="Arial" w:eastAsia="Arial" w:hAnsi="Arial"/>
          <w:sz w:val="19"/>
          <w:szCs w:val="19"/>
          <w:color w:val="auto"/>
          <w:vertAlign w:val="superscript"/>
        </w:rPr>
        <w:t>®</w:t>
      </w:r>
      <w:r>
        <w:rPr>
          <w:rFonts w:ascii="Arial" w:cs="Arial" w:eastAsia="Arial" w:hAnsi="Arial"/>
          <w:sz w:val="14"/>
          <w:szCs w:val="14"/>
          <w:color w:val="auto"/>
        </w:rPr>
        <w:t xml:space="preserve"> to the FOLFIRI chemotherapy regimen significantly improved both overall survival (HR=0.817; p=0.0032) and progression-free survival (HR=0.758; p=0.00007) compared to FOLFIRI plus placebo. A similar effect was seen with ZALTRAP</w:t>
      </w:r>
      <w:r>
        <w:rPr>
          <w:rFonts w:ascii="Arial" w:cs="Arial" w:eastAsia="Arial" w:hAnsi="Arial"/>
          <w:sz w:val="19"/>
          <w:szCs w:val="19"/>
          <w:color w:val="auto"/>
          <w:vertAlign w:val="superscript"/>
        </w:rPr>
        <w:t>®</w:t>
      </w:r>
      <w:r>
        <w:rPr>
          <w:rFonts w:ascii="Arial" w:cs="Arial" w:eastAsia="Arial" w:hAnsi="Arial"/>
          <w:sz w:val="14"/>
          <w:szCs w:val="14"/>
          <w:color w:val="auto"/>
        </w:rPr>
        <w:t xml:space="preserve"> therapy whether or not patients had received prior bevacizumab therapy.</w:t>
      </w:r>
    </w:p>
    <w:p>
      <w:pPr>
        <w:spacing w:after="0" w:line="216" w:lineRule="exact"/>
        <w:rPr>
          <w:sz w:val="20"/>
          <w:szCs w:val="20"/>
          <w:color w:val="auto"/>
        </w:rPr>
      </w:pPr>
    </w:p>
    <w:p>
      <w:pPr>
        <w:jc w:val="both"/>
        <w:ind w:firstLine="219"/>
        <w:spacing w:after="0" w:line="247" w:lineRule="auto"/>
        <w:rPr>
          <w:sz w:val="20"/>
          <w:szCs w:val="20"/>
          <w:color w:val="auto"/>
        </w:rPr>
      </w:pPr>
      <w:r>
        <w:rPr>
          <w:rFonts w:ascii="Arial" w:cs="Arial" w:eastAsia="Arial" w:hAnsi="Arial"/>
          <w:sz w:val="14"/>
          <w:szCs w:val="14"/>
          <w:color w:val="auto"/>
        </w:rPr>
        <w:t>In the VELOUR study, grade 3 or 4 adverse events that occurred with a more than two percent greater incidence in the ZALTRAP</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arm than in the placebo arm included diarrhea, asthenia/fatigue, stomatitis/ulceration, infections, hypertension, GI/abdominal pains, neutropenia, neutropenic complications and proteinuria. Deaths on study treatment due to adverse events occurred in 2.4 percent of patients in the ZALTRAP</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arm and in 1.0 percent of patients in the placebo arm.</w:t>
      </w:r>
    </w:p>
    <w:p>
      <w:pPr>
        <w:spacing w:after="0" w:line="131" w:lineRule="exact"/>
        <w:rPr>
          <w:sz w:val="20"/>
          <w:szCs w:val="20"/>
          <w:color w:val="auto"/>
        </w:rPr>
      </w:pPr>
    </w:p>
    <w:p>
      <w:pPr>
        <w:jc w:val="both"/>
        <w:ind w:firstLine="230"/>
        <w:spacing w:after="0" w:line="226" w:lineRule="auto"/>
        <w:rPr>
          <w:sz w:val="20"/>
          <w:szCs w:val="20"/>
          <w:color w:val="auto"/>
        </w:rPr>
      </w:pPr>
      <w:r>
        <w:rPr>
          <w:rFonts w:ascii="Arial" w:cs="Arial" w:eastAsia="Arial" w:hAnsi="Arial"/>
          <w:sz w:val="14"/>
          <w:szCs w:val="14"/>
          <w:color w:val="auto"/>
        </w:rPr>
        <w:t>Based upon these positive findings, we and Sanofi plan to submit regulatory applications for marketing approval of ZALTRAP</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treatment of previously-treated mCRC patients to the FDA and the European Medicines Agency (EMA) by the end of 2011.</w:t>
      </w:r>
    </w:p>
    <w:p>
      <w:pPr>
        <w:spacing w:after="0" w:line="213" w:lineRule="exact"/>
        <w:rPr>
          <w:sz w:val="20"/>
          <w:szCs w:val="20"/>
          <w:color w:val="auto"/>
        </w:rPr>
      </w:pPr>
    </w:p>
    <w:p>
      <w:pPr>
        <w:jc w:val="both"/>
        <w:ind w:firstLine="329"/>
        <w:spacing w:after="0" w:line="271" w:lineRule="auto"/>
        <w:rPr>
          <w:sz w:val="20"/>
          <w:szCs w:val="20"/>
          <w:color w:val="auto"/>
        </w:rPr>
      </w:pPr>
      <w:r>
        <w:rPr>
          <w:rFonts w:ascii="Arial" w:cs="Arial" w:eastAsia="Arial" w:hAnsi="Arial"/>
          <w:sz w:val="13"/>
          <w:szCs w:val="13"/>
          <w:color w:val="auto"/>
        </w:rPr>
        <w:t>Another randomized, double-blind Phase 3 trial (VENICE), which is fully enrolled, is evaluating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as a first-line treatment for hormone-refractory metastatic prostate cancer in combination with docetaxel/prednisone. The VENICE trial is being monitored by an Independent Data Monitoring Committee (IDMC), a body of independent clinical and statistical experts. The IDMCs meet periodically to evaluate data from the trial and may recommend changes in study design or study discontinuation. In July 2011, the study’s IDMC met for a scheduled interim analysis and recommended that the trial continue to completion. A final analysis will be conducted when a pre-specified number of events have occurred in this trial, which is anticipated in the first half of 2012.</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In addition, a randomized Phase 2 study (AFFIRM) of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first-line mCRC in combination with FOLFOX [folinic acid (leucovorin), 5-fluorouracil, and oxaliplatin] is fully enrolled.</w:t>
      </w:r>
    </w:p>
    <w:p>
      <w:pPr>
        <w:spacing w:after="0"/>
        <w:rPr>
          <w:sz w:val="20"/>
          <w:szCs w:val="20"/>
          <w:color w:val="auto"/>
        </w:rPr>
      </w:pPr>
      <w:r>
        <w:rPr>
          <w:rFonts w:ascii="Arial" w:cs="Arial" w:eastAsia="Arial" w:hAnsi="Arial"/>
          <w:sz w:val="14"/>
          <w:szCs w:val="14"/>
          <w:color w:val="auto"/>
        </w:rPr>
        <w:t>Initial data from this study are anticipated by the end of 2011.</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ZALTRAP</w:t>
      </w:r>
      <w:r>
        <w:rPr>
          <w:rFonts w:ascii="Arial" w:cs="Arial" w:eastAsia="Arial" w:hAnsi="Arial"/>
          <w:sz w:val="19"/>
          <w:szCs w:val="19"/>
          <w:b w:val="1"/>
          <w:bCs w:val="1"/>
          <w:color w:val="auto"/>
          <w:vertAlign w:val="superscript"/>
        </w:rPr>
        <w:t>®</w:t>
      </w:r>
      <w:r>
        <w:rPr>
          <w:rFonts w:ascii="Arial" w:cs="Arial" w:eastAsia="Arial" w:hAnsi="Arial"/>
          <w:sz w:val="14"/>
          <w:szCs w:val="14"/>
          <w:b w:val="1"/>
          <w:bCs w:val="1"/>
          <w:color w:val="auto"/>
        </w:rPr>
        <w:t xml:space="preserve"> Collaboration with Sanofi</w:t>
      </w:r>
    </w:p>
    <w:p>
      <w:pPr>
        <w:spacing w:after="0" w:line="179" w:lineRule="exact"/>
        <w:rPr>
          <w:sz w:val="20"/>
          <w:szCs w:val="20"/>
          <w:color w:val="auto"/>
        </w:rPr>
      </w:pPr>
    </w:p>
    <w:p>
      <w:pPr>
        <w:jc w:val="both"/>
        <w:ind w:firstLine="241"/>
        <w:spacing w:after="0" w:line="205" w:lineRule="auto"/>
        <w:rPr>
          <w:sz w:val="20"/>
          <w:szCs w:val="20"/>
          <w:color w:val="auto"/>
        </w:rPr>
      </w:pPr>
      <w:r>
        <w:rPr>
          <w:rFonts w:ascii="Arial" w:cs="Arial" w:eastAsia="Arial" w:hAnsi="Arial"/>
          <w:sz w:val="14"/>
          <w:szCs w:val="14"/>
          <w:color w:val="auto"/>
        </w:rPr>
        <w:t>We and Sanofi globally collaborate on the development and commercialization of ZALTRAP</w:t>
      </w:r>
      <w:r>
        <w:rPr>
          <w:rFonts w:ascii="Arial" w:cs="Arial" w:eastAsia="Arial" w:hAnsi="Arial"/>
          <w:sz w:val="19"/>
          <w:szCs w:val="19"/>
          <w:color w:val="auto"/>
          <w:vertAlign w:val="superscript"/>
        </w:rPr>
        <w:t>®</w:t>
      </w:r>
      <w:r>
        <w:rPr>
          <w:rFonts w:ascii="Arial" w:cs="Arial" w:eastAsia="Arial" w:hAnsi="Arial"/>
          <w:sz w:val="14"/>
          <w:szCs w:val="14"/>
          <w:color w:val="auto"/>
        </w:rPr>
        <w:t>. Under the terms of our September 2003 collaboration agreement, as amended, we and Sanofi will share co-promotion rights and profits on sales, if any, of ZALTRAP</w:t>
      </w:r>
      <w:r>
        <w:rPr>
          <w:rFonts w:ascii="Arial" w:cs="Arial" w:eastAsia="Arial" w:hAnsi="Arial"/>
          <w:sz w:val="19"/>
          <w:szCs w:val="19"/>
          <w:color w:val="auto"/>
          <w:vertAlign w:val="superscript"/>
        </w:rPr>
        <w:t>®</w:t>
      </w:r>
      <w:r>
        <w:rPr>
          <w:rFonts w:ascii="Arial" w:cs="Arial" w:eastAsia="Arial" w:hAnsi="Arial"/>
          <w:sz w:val="14"/>
          <w:szCs w:val="14"/>
          <w:color w:val="auto"/>
        </w:rPr>
        <w:t xml:space="preserve"> outside of Japan for disease indications included in our collaboration. In Japan, we are entitled to a royalty of approximately 35% on annual sales of ZALTRAP</w:t>
      </w:r>
      <w:r>
        <w:rPr>
          <w:rFonts w:ascii="Arial" w:cs="Arial" w:eastAsia="Arial" w:hAnsi="Arial"/>
          <w:sz w:val="19"/>
          <w:szCs w:val="19"/>
          <w:color w:val="auto"/>
          <w:vertAlign w:val="superscript"/>
        </w:rPr>
        <w:t>®</w:t>
      </w:r>
      <w:r>
        <w:rPr>
          <w:rFonts w:ascii="Arial" w:cs="Arial" w:eastAsia="Arial" w:hAnsi="Arial"/>
          <w:sz w:val="14"/>
          <w:szCs w:val="14"/>
          <w:color w:val="auto"/>
        </w:rPr>
        <w:t>, subject to certain potential adjustments. We may also receive up to $400 million in milestone payments upon receipt of specified marketing approvals, including up to $360 million related to the receipt of marketing approvals for up to eight ZALTRAP</w:t>
      </w:r>
      <w:r>
        <w:rPr>
          <w:rFonts w:ascii="Arial" w:cs="Arial" w:eastAsia="Arial" w:hAnsi="Arial"/>
          <w:sz w:val="19"/>
          <w:szCs w:val="19"/>
          <w:color w:val="auto"/>
          <w:vertAlign w:val="superscript"/>
        </w:rPr>
        <w:t>®</w:t>
      </w:r>
      <w:r>
        <w:rPr>
          <w:rFonts w:ascii="Arial" w:cs="Arial" w:eastAsia="Arial" w:hAnsi="Arial"/>
          <w:sz w:val="14"/>
          <w:szCs w:val="14"/>
          <w:color w:val="auto"/>
        </w:rPr>
        <w:t xml:space="preserve"> oncology and other indications in the U.S. or the European Union and up to $40 million related to the receipt of marketing approvals for up to five oncology indications in Japan.</w:t>
      </w:r>
    </w:p>
    <w:p>
      <w:pPr>
        <w:spacing w:after="0" w:line="213" w:lineRule="exact"/>
        <w:rPr>
          <w:sz w:val="20"/>
          <w:szCs w:val="20"/>
          <w:color w:val="auto"/>
        </w:rPr>
      </w:pPr>
    </w:p>
    <w:p>
      <w:pPr>
        <w:jc w:val="both"/>
        <w:ind w:firstLine="219"/>
        <w:spacing w:after="0" w:line="208" w:lineRule="auto"/>
        <w:rPr>
          <w:sz w:val="20"/>
          <w:szCs w:val="20"/>
          <w:color w:val="auto"/>
        </w:rPr>
      </w:pPr>
      <w:r>
        <w:rPr>
          <w:rFonts w:ascii="Arial" w:cs="Arial" w:eastAsia="Arial" w:hAnsi="Arial"/>
          <w:sz w:val="14"/>
          <w:szCs w:val="14"/>
          <w:color w:val="auto"/>
        </w:rPr>
        <w:t>Under the ZALTRAP</w:t>
      </w:r>
      <w:r>
        <w:rPr>
          <w:rFonts w:ascii="Arial" w:cs="Arial" w:eastAsia="Arial" w:hAnsi="Arial"/>
          <w:sz w:val="19"/>
          <w:szCs w:val="19"/>
          <w:color w:val="auto"/>
          <w:vertAlign w:val="superscript"/>
        </w:rPr>
        <w:t>®</w:t>
      </w:r>
      <w:r>
        <w:rPr>
          <w:rFonts w:ascii="Arial" w:cs="Arial" w:eastAsia="Arial" w:hAnsi="Arial"/>
          <w:sz w:val="14"/>
          <w:szCs w:val="14"/>
          <w:color w:val="auto"/>
        </w:rPr>
        <w:t xml:space="preserve"> collaboration agreement, as amended, agreed upon worldwide development expenses incurred by both companies during the term of the agreement will be funded by Sanofi. If the collaboration becomes profitable, we will be obligated to reimburse Sanofi out of our share of ZALTRAP</w:t>
      </w:r>
      <w:r>
        <w:rPr>
          <w:rFonts w:ascii="Arial" w:cs="Arial" w:eastAsia="Arial" w:hAnsi="Arial"/>
          <w:sz w:val="19"/>
          <w:szCs w:val="19"/>
          <w:color w:val="auto"/>
          <w:vertAlign w:val="superscript"/>
        </w:rPr>
        <w:t>®</w:t>
      </w:r>
      <w:r>
        <w:rPr>
          <w:rFonts w:ascii="Arial" w:cs="Arial" w:eastAsia="Arial" w:hAnsi="Arial"/>
          <w:sz w:val="14"/>
          <w:szCs w:val="14"/>
          <w:color w:val="auto"/>
        </w:rPr>
        <w:t xml:space="preserve"> profits for 50% of the development expenses that they funded. The reimbursement payment in any quarter will equal 5% of the then outstanding repayment obligation, but never more than our share of the ZALTRAP</w:t>
      </w:r>
      <w:r>
        <w:rPr>
          <w:rFonts w:ascii="Arial" w:cs="Arial" w:eastAsia="Arial" w:hAnsi="Arial"/>
          <w:sz w:val="19"/>
          <w:szCs w:val="19"/>
          <w:color w:val="auto"/>
          <w:vertAlign w:val="superscript"/>
        </w:rPr>
        <w:t>®</w:t>
      </w:r>
      <w:r>
        <w:rPr>
          <w:rFonts w:ascii="Arial" w:cs="Arial" w:eastAsia="Arial" w:hAnsi="Arial"/>
          <w:sz w:val="14"/>
          <w:szCs w:val="14"/>
          <w:color w:val="auto"/>
        </w:rPr>
        <w:t xml:space="preserve"> profits in the quarter unless we elect to reimburse Sanofi at a faster rate.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5" w:right="21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i w:val="1"/>
          <w:iCs w:val="1"/>
          <w:color w:val="auto"/>
        </w:rPr>
        <w:t>3. ARCALYST</w:t>
      </w:r>
      <w:r>
        <w:rPr>
          <w:rFonts w:ascii="Arial" w:cs="Arial" w:eastAsia="Arial" w:hAnsi="Arial"/>
          <w:sz w:val="19"/>
          <w:szCs w:val="19"/>
          <w:b w:val="1"/>
          <w:bCs w:val="1"/>
          <w:i w:val="1"/>
          <w:iCs w:val="1"/>
          <w:color w:val="auto"/>
          <w:vertAlign w:val="superscript"/>
        </w:rPr>
        <w:t>®</w:t>
      </w:r>
      <w:r>
        <w:rPr>
          <w:rFonts w:ascii="Arial" w:cs="Arial" w:eastAsia="Arial" w:hAnsi="Arial"/>
          <w:sz w:val="14"/>
          <w:szCs w:val="14"/>
          <w:b w:val="1"/>
          <w:bCs w:val="1"/>
          <w:i w:val="1"/>
          <w:iCs w:val="1"/>
          <w:color w:val="auto"/>
        </w:rPr>
        <w:t xml:space="preserve"> (rilonacept) – Inflammatory Diseases</w:t>
      </w:r>
    </w:p>
    <w:p>
      <w:pPr>
        <w:spacing w:after="0" w:line="17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4"/>
          <w:szCs w:val="14"/>
          <w:color w:val="auto"/>
        </w:rPr>
        <w:t>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is being developed for the prevention of gout flares in patients initiating uric acid-lowering therapy. Gout, a disease in which IL-1 may play an important role in pain and inflammation, is a very painful and common form of arthritis that results from high levels of uric acid, a bodily waste product normally excreted by the kidneys. The elevated uric acid can lead to formation of urate crystals in the joints of the toes, ankles, knees, wrists, fingers, and elbows. Uric acid-lowering therapy, most commonly allopurinol, is prescribed to eliminate the urate crystals and prevent them from reforming. Paradoxically, the initiation of uric acid-lowering therapy often triggers an increase in the frequency of gout attacks in the first several months of treatment, which may lead to discontinuation of therapy. The break-up of urate crystals can result in stimulation of inflammatory mediators, including IL-1, resulting in acute flares of joint pain and inflammation. These painful flares generally persist for at least five days.</w:t>
      </w:r>
    </w:p>
    <w:p>
      <w:pPr>
        <w:spacing w:after="0" w:line="206" w:lineRule="exact"/>
        <w:rPr>
          <w:sz w:val="20"/>
          <w:szCs w:val="20"/>
          <w:color w:val="auto"/>
        </w:rPr>
      </w:pPr>
    </w:p>
    <w:p>
      <w:pPr>
        <w:jc w:val="both"/>
        <w:ind w:firstLine="340"/>
        <w:spacing w:after="0" w:line="261" w:lineRule="auto"/>
        <w:rPr>
          <w:sz w:val="20"/>
          <w:szCs w:val="20"/>
          <w:color w:val="auto"/>
        </w:rPr>
      </w:pPr>
      <w:r>
        <w:rPr>
          <w:rFonts w:ascii="Arial" w:cs="Arial" w:eastAsia="Arial" w:hAnsi="Arial"/>
          <w:sz w:val="13"/>
          <w:szCs w:val="13"/>
          <w:color w:val="auto"/>
        </w:rPr>
        <w:t>We conducted a Phase 3 clinical development program with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gout patients initiating uric acid-lowering therapy. The program consisted of three studies: PRE-SURGE 1 (</w:t>
      </w:r>
      <w:r>
        <w:rPr>
          <w:rFonts w:ascii="Arial" w:cs="Arial" w:eastAsia="Arial" w:hAnsi="Arial"/>
          <w:sz w:val="13"/>
          <w:szCs w:val="13"/>
          <w:u w:val="single" w:color="auto"/>
          <w:color w:val="auto"/>
        </w:rPr>
        <w:t>PRE</w:t>
      </w:r>
      <w:r>
        <w:rPr>
          <w:rFonts w:ascii="Arial" w:cs="Arial" w:eastAsia="Arial" w:hAnsi="Arial"/>
          <w:sz w:val="13"/>
          <w:szCs w:val="13"/>
          <w:color w:val="auto"/>
        </w:rPr>
        <w:t xml:space="preserve">vention </w:t>
      </w:r>
      <w:r>
        <w:rPr>
          <w:rFonts w:ascii="Arial" w:cs="Arial" w:eastAsia="Arial" w:hAnsi="Arial"/>
          <w:sz w:val="13"/>
          <w:szCs w:val="13"/>
          <w:u w:val="single" w:color="auto"/>
          <w:color w:val="auto"/>
        </w:rPr>
        <w:t>S</w:t>
      </w:r>
      <w:r>
        <w:rPr>
          <w:rFonts w:ascii="Arial" w:cs="Arial" w:eastAsia="Arial" w:hAnsi="Arial"/>
          <w:sz w:val="13"/>
          <w:szCs w:val="13"/>
          <w:color w:val="auto"/>
        </w:rPr>
        <w:t xml:space="preserve">tudy against </w:t>
      </w:r>
      <w:r>
        <w:rPr>
          <w:rFonts w:ascii="Arial" w:cs="Arial" w:eastAsia="Arial" w:hAnsi="Arial"/>
          <w:sz w:val="13"/>
          <w:szCs w:val="13"/>
          <w:u w:val="single" w:color="auto"/>
          <w:color w:val="auto"/>
        </w:rPr>
        <w:t>UR</w:t>
      </w:r>
      <w:r>
        <w:rPr>
          <w:rFonts w:ascii="Arial" w:cs="Arial" w:eastAsia="Arial" w:hAnsi="Arial"/>
          <w:sz w:val="13"/>
          <w:szCs w:val="13"/>
          <w:color w:val="auto"/>
        </w:rPr>
        <w:t xml:space="preserve">ate-lowering drug-induced </w:t>
      </w:r>
      <w:r>
        <w:rPr>
          <w:rFonts w:ascii="Arial" w:cs="Arial" w:eastAsia="Arial" w:hAnsi="Arial"/>
          <w:sz w:val="13"/>
          <w:szCs w:val="13"/>
          <w:u w:val="single" w:color="auto"/>
          <w:color w:val="auto"/>
        </w:rPr>
        <w:t>G</w:t>
      </w:r>
      <w:r>
        <w:rPr>
          <w:rFonts w:ascii="Arial" w:cs="Arial" w:eastAsia="Arial" w:hAnsi="Arial"/>
          <w:sz w:val="13"/>
          <w:szCs w:val="13"/>
          <w:color w:val="auto"/>
        </w:rPr>
        <w:t xml:space="preserve">out </w:t>
      </w:r>
      <w:r>
        <w:rPr>
          <w:rFonts w:ascii="Arial" w:cs="Arial" w:eastAsia="Arial" w:hAnsi="Arial"/>
          <w:sz w:val="13"/>
          <w:szCs w:val="13"/>
          <w:u w:val="single" w:color="auto"/>
          <w:color w:val="auto"/>
        </w:rPr>
        <w:t>E</w:t>
      </w:r>
      <w:r>
        <w:rPr>
          <w:rFonts w:ascii="Arial" w:cs="Arial" w:eastAsia="Arial" w:hAnsi="Arial"/>
          <w:sz w:val="13"/>
          <w:szCs w:val="13"/>
          <w:color w:val="auto"/>
        </w:rPr>
        <w:t>xacerbations), PRE-SURGE 2, and RE-SURGE (</w:t>
      </w:r>
      <w:r>
        <w:rPr>
          <w:rFonts w:ascii="Arial" w:cs="Arial" w:eastAsia="Arial" w:hAnsi="Arial"/>
          <w:sz w:val="13"/>
          <w:szCs w:val="13"/>
          <w:u w:val="single" w:color="auto"/>
          <w:color w:val="auto"/>
        </w:rPr>
        <w:t>RE</w:t>
      </w:r>
      <w:r>
        <w:rPr>
          <w:rFonts w:ascii="Arial" w:cs="Arial" w:eastAsia="Arial" w:hAnsi="Arial"/>
          <w:sz w:val="13"/>
          <w:szCs w:val="13"/>
          <w:color w:val="auto"/>
        </w:rPr>
        <w:t xml:space="preserve">view of </w:t>
      </w:r>
      <w:r>
        <w:rPr>
          <w:rFonts w:ascii="Arial" w:cs="Arial" w:eastAsia="Arial" w:hAnsi="Arial"/>
          <w:sz w:val="13"/>
          <w:szCs w:val="13"/>
          <w:u w:val="single" w:color="auto"/>
          <w:color w:val="auto"/>
        </w:rPr>
        <w:t>S</w:t>
      </w:r>
      <w:r>
        <w:rPr>
          <w:rFonts w:ascii="Arial" w:cs="Arial" w:eastAsia="Arial" w:hAnsi="Arial"/>
          <w:sz w:val="13"/>
          <w:szCs w:val="13"/>
          <w:color w:val="auto"/>
        </w:rPr>
        <w:t xml:space="preserve">afety </w:t>
      </w:r>
      <w:r>
        <w:rPr>
          <w:rFonts w:ascii="Arial" w:cs="Arial" w:eastAsia="Arial" w:hAnsi="Arial"/>
          <w:sz w:val="13"/>
          <w:szCs w:val="13"/>
          <w:u w:val="single" w:color="auto"/>
          <w:color w:val="auto"/>
        </w:rPr>
        <w:t>U</w:t>
      </w:r>
      <w:r>
        <w:rPr>
          <w:rFonts w:ascii="Arial" w:cs="Arial" w:eastAsia="Arial" w:hAnsi="Arial"/>
          <w:sz w:val="13"/>
          <w:szCs w:val="13"/>
          <w:color w:val="auto"/>
        </w:rPr>
        <w:t xml:space="preserve">tilizing </w:t>
      </w:r>
      <w:r>
        <w:rPr>
          <w:rFonts w:ascii="Arial" w:cs="Arial" w:eastAsia="Arial" w:hAnsi="Arial"/>
          <w:sz w:val="13"/>
          <w:szCs w:val="13"/>
          <w:u w:val="single" w:color="auto"/>
          <w:color w:val="auto"/>
        </w:rPr>
        <w:t>R</w:t>
      </w:r>
      <w:r>
        <w:rPr>
          <w:rFonts w:ascii="Arial" w:cs="Arial" w:eastAsia="Arial" w:hAnsi="Arial"/>
          <w:sz w:val="13"/>
          <w:szCs w:val="13"/>
          <w:color w:val="auto"/>
        </w:rPr>
        <w:t xml:space="preserve">ilonacept in </w:t>
      </w:r>
      <w:r>
        <w:rPr>
          <w:rFonts w:ascii="Arial" w:cs="Arial" w:eastAsia="Arial" w:hAnsi="Arial"/>
          <w:sz w:val="13"/>
          <w:szCs w:val="13"/>
          <w:u w:val="single" w:color="auto"/>
          <w:color w:val="auto"/>
        </w:rPr>
        <w:t>G</w:t>
      </w:r>
      <w:r>
        <w:rPr>
          <w:rFonts w:ascii="Arial" w:cs="Arial" w:eastAsia="Arial" w:hAnsi="Arial"/>
          <w:sz w:val="13"/>
          <w:szCs w:val="13"/>
          <w:color w:val="auto"/>
        </w:rPr>
        <w:t xml:space="preserve">out </w:t>
      </w:r>
      <w:r>
        <w:rPr>
          <w:rFonts w:ascii="Arial" w:cs="Arial" w:eastAsia="Arial" w:hAnsi="Arial"/>
          <w:sz w:val="13"/>
          <w:szCs w:val="13"/>
          <w:u w:val="single" w:color="auto"/>
          <w:color w:val="auto"/>
        </w:rPr>
        <w:t>E</w:t>
      </w:r>
      <w:r>
        <w:rPr>
          <w:rFonts w:ascii="Arial" w:cs="Arial" w:eastAsia="Arial" w:hAnsi="Arial"/>
          <w:sz w:val="13"/>
          <w:szCs w:val="13"/>
          <w:color w:val="auto"/>
        </w:rPr>
        <w:t>xacerbations).</w:t>
      </w:r>
    </w:p>
    <w:p>
      <w:pPr>
        <w:spacing w:after="0" w:line="195" w:lineRule="exact"/>
        <w:rPr>
          <w:sz w:val="20"/>
          <w:szCs w:val="20"/>
          <w:color w:val="auto"/>
        </w:rPr>
      </w:pPr>
    </w:p>
    <w:p>
      <w:pPr>
        <w:jc w:val="both"/>
        <w:ind w:firstLine="252"/>
        <w:spacing w:after="0" w:line="226" w:lineRule="auto"/>
        <w:rPr>
          <w:sz w:val="20"/>
          <w:szCs w:val="20"/>
          <w:color w:val="auto"/>
        </w:rPr>
      </w:pPr>
      <w:r>
        <w:rPr>
          <w:rFonts w:ascii="Arial" w:cs="Arial" w:eastAsia="Arial" w:hAnsi="Arial"/>
          <w:sz w:val="14"/>
          <w:szCs w:val="14"/>
          <w:color w:val="auto"/>
        </w:rPr>
        <w:t>In June 2010, we announced that results from PRE-SURGE 1, a North America-based double-blind, placebo-controlled study, showed that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prevented gout attacks, as measured by the primary study endpoint of the number of gout flares per patient over the 16 week treatment period.</w:t>
      </w:r>
    </w:p>
    <w:p>
      <w:pPr>
        <w:spacing w:after="0" w:line="213" w:lineRule="exact"/>
        <w:rPr>
          <w:sz w:val="20"/>
          <w:szCs w:val="20"/>
          <w:color w:val="auto"/>
        </w:rPr>
      </w:pPr>
    </w:p>
    <w:p>
      <w:pPr>
        <w:jc w:val="both"/>
        <w:ind w:firstLine="219"/>
        <w:spacing w:after="0" w:line="214" w:lineRule="auto"/>
        <w:rPr>
          <w:sz w:val="20"/>
          <w:szCs w:val="20"/>
          <w:color w:val="auto"/>
        </w:rPr>
      </w:pPr>
      <w:r>
        <w:rPr>
          <w:rFonts w:ascii="Arial" w:cs="Arial" w:eastAsia="Arial" w:hAnsi="Arial"/>
          <w:sz w:val="14"/>
          <w:szCs w:val="14"/>
          <w:color w:val="auto"/>
        </w:rPr>
        <w:t>In addition, all secondary endpoints of the study were positive (p&lt;0.001 vs. placebo). Among these endpoints, treatment with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reduced the proportion of patients who experienced two or more flares during the study period by up to 88%. Treatment with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also reduced the proportion of patients who experienced at least one gout flare during the study period by up to 65%.</w:t>
      </w:r>
    </w:p>
    <w:p>
      <w:pPr>
        <w:spacing w:after="0" w:line="215" w:lineRule="exact"/>
        <w:rPr>
          <w:sz w:val="20"/>
          <w:szCs w:val="20"/>
          <w:color w:val="auto"/>
        </w:rPr>
      </w:pPr>
    </w:p>
    <w:p>
      <w:pPr>
        <w:jc w:val="both"/>
        <w:ind w:firstLine="274"/>
        <w:spacing w:after="0" w:line="249" w:lineRule="auto"/>
        <w:rPr>
          <w:sz w:val="20"/>
          <w:szCs w:val="20"/>
          <w:color w:val="auto"/>
        </w:rPr>
      </w:pPr>
      <w:r>
        <w:rPr>
          <w:rFonts w:ascii="Arial" w:cs="Arial" w:eastAsia="Arial" w:hAnsi="Arial"/>
          <w:sz w:val="13"/>
          <w:szCs w:val="13"/>
          <w:color w:val="auto"/>
        </w:rPr>
        <w:t>In February 2011, we reported the results of PRE-SURGE 2 and RE-SURGE. In the PRE-SURGE 2 efficacy study in gout patients initiating allopurinol therapy, which was identical to PRE-SURGE 1 in design and analysis, 248 patients were randomized.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met the primary and all secondary study endpoints. The primary endpoint was the number of gout flares per patient over the 16-week treatment period. Patients who received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at a weekly, self-administered, subcutaneous dose of either 160 mg or 80 mg had a 72% decrease in mean number of gout flares compared to the placebo group (p&lt;0.0001). Among secondary endpoints, treatment with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reduced the proportion of patients who experienced two or more flares during the study period by up to 82%. In addition, treatment with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reduced the proportion of patients who experienced at least one gout flare during the study period by up to 63%.</w:t>
      </w:r>
    </w:p>
    <w:p>
      <w:pPr>
        <w:spacing w:after="0" w:line="129" w:lineRule="exact"/>
        <w:rPr>
          <w:sz w:val="20"/>
          <w:szCs w:val="20"/>
          <w:color w:val="auto"/>
        </w:rPr>
      </w:pPr>
    </w:p>
    <w:p>
      <w:pPr>
        <w:jc w:val="both"/>
        <w:ind w:firstLine="230"/>
        <w:spacing w:after="0" w:line="261" w:lineRule="auto"/>
        <w:rPr>
          <w:sz w:val="20"/>
          <w:szCs w:val="20"/>
          <w:color w:val="auto"/>
        </w:rPr>
      </w:pPr>
      <w:r>
        <w:rPr>
          <w:rFonts w:ascii="Arial" w:cs="Arial" w:eastAsia="Arial" w:hAnsi="Arial"/>
          <w:sz w:val="13"/>
          <w:szCs w:val="13"/>
          <w:color w:val="auto"/>
        </w:rPr>
        <w:t>We also announced that in the RE-SURGE study, which evaluated the safety of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versus placebo over 16 weeks,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was generally well tolerated, and the safety profile was consistent with that reported in the PRE-SURGE 1 and PRE-SURGE 2 studies. In the overall gout program, the most frequently reported adverse events were injection site reaction and headache.</w:t>
      </w:r>
    </w:p>
    <w:p>
      <w:pPr>
        <w:spacing w:after="0" w:line="195" w:lineRule="exact"/>
        <w:rPr>
          <w:sz w:val="20"/>
          <w:szCs w:val="20"/>
          <w:color w:val="auto"/>
        </w:rPr>
      </w:pPr>
    </w:p>
    <w:p>
      <w:pPr>
        <w:jc w:val="both"/>
        <w:ind w:firstLine="252"/>
        <w:spacing w:after="0" w:line="226" w:lineRule="auto"/>
        <w:rPr>
          <w:sz w:val="20"/>
          <w:szCs w:val="20"/>
          <w:color w:val="auto"/>
        </w:rPr>
      </w:pPr>
      <w:r>
        <w:rPr>
          <w:rFonts w:ascii="Arial" w:cs="Arial" w:eastAsia="Arial" w:hAnsi="Arial"/>
          <w:sz w:val="14"/>
          <w:szCs w:val="14"/>
          <w:color w:val="auto"/>
        </w:rPr>
        <w:t>In the RE-SURGE study,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also met all secondary endpoints, which evaluated efficacy, over the 16 week treatment period (p&lt;0.0001). These included the number of gout flares per patient, the proportion of patients who experienced two or more flares, and the proportion of patients who experienced at least one gout flare during the study period.</w:t>
      </w:r>
    </w:p>
    <w:p>
      <w:pPr>
        <w:spacing w:after="0" w:line="213" w:lineRule="exact"/>
        <w:rPr>
          <w:sz w:val="20"/>
          <w:szCs w:val="20"/>
          <w:color w:val="auto"/>
        </w:rPr>
      </w:pPr>
    </w:p>
    <w:p>
      <w:pPr>
        <w:jc w:val="both"/>
        <w:ind w:firstLine="241"/>
        <w:spacing w:after="0" w:line="247" w:lineRule="auto"/>
        <w:rPr>
          <w:sz w:val="20"/>
          <w:szCs w:val="20"/>
          <w:color w:val="auto"/>
        </w:rPr>
      </w:pPr>
      <w:r>
        <w:rPr>
          <w:rFonts w:ascii="Arial" w:cs="Arial" w:eastAsia="Arial" w:hAnsi="Arial"/>
          <w:sz w:val="14"/>
          <w:szCs w:val="14"/>
          <w:color w:val="auto"/>
        </w:rPr>
        <w:t>Based on the results of the three Phase 3 studies, we submitted a supplemental BLA for U.S. regulatory approval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prevention of gout flares in patients initiating uric acid-lowering therapy. In addition, we plan to initiate a long-term safety study in this setting, known as UPSURGE (</w:t>
      </w:r>
      <w:r>
        <w:rPr>
          <w:rFonts w:ascii="Arial" w:cs="Arial" w:eastAsia="Arial" w:hAnsi="Arial"/>
          <w:sz w:val="14"/>
          <w:szCs w:val="14"/>
          <w:u w:val="single" w:color="auto"/>
          <w:color w:val="auto"/>
        </w:rPr>
        <w:t>U</w:t>
      </w:r>
      <w:r>
        <w:rPr>
          <w:rFonts w:ascii="Arial" w:cs="Arial" w:eastAsia="Arial" w:hAnsi="Arial"/>
          <w:sz w:val="14"/>
          <w:szCs w:val="14"/>
          <w:color w:val="auto"/>
        </w:rPr>
        <w:t xml:space="preserve">nderstanding long-term safety in a </w:t>
      </w:r>
      <w:r>
        <w:rPr>
          <w:rFonts w:ascii="Arial" w:cs="Arial" w:eastAsia="Arial" w:hAnsi="Arial"/>
          <w:sz w:val="14"/>
          <w:szCs w:val="14"/>
          <w:u w:val="single" w:color="auto"/>
          <w:color w:val="auto"/>
        </w:rPr>
        <w:t>P</w:t>
      </w:r>
      <w:r>
        <w:rPr>
          <w:rFonts w:ascii="Arial" w:cs="Arial" w:eastAsia="Arial" w:hAnsi="Arial"/>
          <w:sz w:val="14"/>
          <w:szCs w:val="14"/>
          <w:color w:val="auto"/>
        </w:rPr>
        <w:t xml:space="preserve">reventative </w:t>
      </w:r>
      <w:r>
        <w:rPr>
          <w:rFonts w:ascii="Arial" w:cs="Arial" w:eastAsia="Arial" w:hAnsi="Arial"/>
          <w:sz w:val="14"/>
          <w:szCs w:val="14"/>
          <w:u w:val="single" w:color="auto"/>
          <w:color w:val="auto"/>
        </w:rPr>
        <w:t>S</w:t>
      </w:r>
      <w:r>
        <w:rPr>
          <w:rFonts w:ascii="Arial" w:cs="Arial" w:eastAsia="Arial" w:hAnsi="Arial"/>
          <w:sz w:val="14"/>
          <w:szCs w:val="14"/>
          <w:color w:val="auto"/>
        </w:rPr>
        <w:t xml:space="preserve">tudy against </w:t>
      </w:r>
      <w:r>
        <w:rPr>
          <w:rFonts w:ascii="Arial" w:cs="Arial" w:eastAsia="Arial" w:hAnsi="Arial"/>
          <w:sz w:val="14"/>
          <w:szCs w:val="14"/>
          <w:u w:val="single" w:color="auto"/>
          <w:color w:val="auto"/>
        </w:rPr>
        <w:t>UR</w:t>
      </w:r>
      <w:r>
        <w:rPr>
          <w:rFonts w:ascii="Arial" w:cs="Arial" w:eastAsia="Arial" w:hAnsi="Arial"/>
          <w:sz w:val="14"/>
          <w:szCs w:val="14"/>
          <w:color w:val="auto"/>
        </w:rPr>
        <w:t xml:space="preserve">ate-lowering drug-induced </w:t>
      </w:r>
      <w:r>
        <w:rPr>
          <w:rFonts w:ascii="Arial" w:cs="Arial" w:eastAsia="Arial" w:hAnsi="Arial"/>
          <w:sz w:val="14"/>
          <w:szCs w:val="14"/>
          <w:u w:val="single" w:color="auto"/>
          <w:color w:val="auto"/>
        </w:rPr>
        <w:t>G</w:t>
      </w:r>
      <w:r>
        <w:rPr>
          <w:rFonts w:ascii="Arial" w:cs="Arial" w:eastAsia="Arial" w:hAnsi="Arial"/>
          <w:sz w:val="14"/>
          <w:szCs w:val="14"/>
          <w:color w:val="auto"/>
        </w:rPr>
        <w:t xml:space="preserve">out </w:t>
      </w:r>
      <w:r>
        <w:rPr>
          <w:rFonts w:ascii="Arial" w:cs="Arial" w:eastAsia="Arial" w:hAnsi="Arial"/>
          <w:sz w:val="14"/>
          <w:szCs w:val="14"/>
          <w:u w:val="single" w:color="auto"/>
          <w:color w:val="auto"/>
        </w:rPr>
        <w:t>E</w:t>
      </w:r>
      <w:r>
        <w:rPr>
          <w:rFonts w:ascii="Arial" w:cs="Arial" w:eastAsia="Arial" w:hAnsi="Arial"/>
          <w:sz w:val="14"/>
          <w:szCs w:val="14"/>
          <w:color w:val="auto"/>
        </w:rPr>
        <w:t>xacerbations). We own worldwide rights to ARCALYST</w:t>
      </w:r>
      <w:r>
        <w:rPr>
          <w:rFonts w:ascii="Arial" w:cs="Arial" w:eastAsia="Arial" w:hAnsi="Arial"/>
          <w:sz w:val="19"/>
          <w:szCs w:val="19"/>
          <w:color w:val="auto"/>
          <w:vertAlign w:val="superscript"/>
        </w:rPr>
        <w:t>®</w:t>
      </w:r>
      <w:r>
        <w:rPr>
          <w:rFonts w:ascii="Arial" w:cs="Arial" w:eastAsia="Arial" w:hAnsi="Arial"/>
          <w:sz w:val="14"/>
          <w:szCs w:val="14"/>
          <w:color w:val="auto"/>
        </w:rPr>
        <w: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5" w:right="21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i w:val="1"/>
          <w:iCs w:val="1"/>
          <w:color w:val="auto"/>
        </w:rPr>
        <w:t>4. Sarilumab (REGN88; IL-6R Antibody) for inflammatory diseases</w:t>
      </w:r>
    </w:p>
    <w:p>
      <w:pPr>
        <w:spacing w:after="0" w:line="232" w:lineRule="exact"/>
        <w:rPr>
          <w:sz w:val="20"/>
          <w:szCs w:val="20"/>
          <w:color w:val="auto"/>
        </w:rPr>
      </w:pPr>
    </w:p>
    <w:p>
      <w:pPr>
        <w:jc w:val="both"/>
        <w:ind w:firstLine="285"/>
        <w:spacing w:after="0" w:line="226" w:lineRule="auto"/>
        <w:rPr>
          <w:sz w:val="20"/>
          <w:szCs w:val="20"/>
          <w:color w:val="auto"/>
        </w:rPr>
      </w:pPr>
      <w:r>
        <w:rPr>
          <w:rFonts w:ascii="Arial" w:cs="Arial" w:eastAsia="Arial" w:hAnsi="Arial"/>
          <w:sz w:val="14"/>
          <w:szCs w:val="14"/>
          <w:color w:val="auto"/>
        </w:rPr>
        <w:t>IL-6 is a key cytokine involved in the pathogenesis of rheumatoid arthritis, causing inflammation and joint destruction. A therapeutic antibody to IL-6R, Actemra</w:t>
      </w:r>
      <w:r>
        <w:rPr>
          <w:rFonts w:ascii="Arial" w:cs="Arial" w:eastAsia="Arial" w:hAnsi="Arial"/>
          <w:sz w:val="19"/>
          <w:szCs w:val="19"/>
          <w:color w:val="auto"/>
          <w:vertAlign w:val="superscript"/>
        </w:rPr>
        <w:t>®</w:t>
      </w:r>
      <w:r>
        <w:rPr>
          <w:rFonts w:ascii="Arial" w:cs="Arial" w:eastAsia="Arial" w:hAnsi="Arial"/>
          <w:sz w:val="14"/>
          <w:szCs w:val="14"/>
          <w:color w:val="auto"/>
        </w:rPr>
        <w:t xml:space="preserve"> (tocilizumab), a registered trademark of Chugai Seiyaku Kabushiki Kaisha, has been approved for the treatment of rheumatoid arthritis.</w:t>
      </w:r>
    </w:p>
    <w:p>
      <w:pPr>
        <w:spacing w:after="0" w:line="213" w:lineRule="exact"/>
        <w:rPr>
          <w:sz w:val="20"/>
          <w:szCs w:val="20"/>
          <w:color w:val="auto"/>
        </w:rPr>
      </w:pPr>
    </w:p>
    <w:p>
      <w:pPr>
        <w:jc w:val="both"/>
        <w:ind w:firstLine="219"/>
        <w:spacing w:after="0" w:line="247" w:lineRule="auto"/>
        <w:rPr>
          <w:sz w:val="20"/>
          <w:szCs w:val="20"/>
          <w:color w:val="auto"/>
        </w:rPr>
      </w:pPr>
      <w:r>
        <w:rPr>
          <w:rFonts w:ascii="Arial" w:cs="Arial" w:eastAsia="Arial" w:hAnsi="Arial"/>
          <w:sz w:val="14"/>
          <w:szCs w:val="14"/>
          <w:color w:val="auto"/>
        </w:rPr>
        <w:t xml:space="preserve">Sarilumab is a fully human monoclonal antibody to IL-6R generated using our </w:t>
      </w:r>
      <w:r>
        <w:rPr>
          <w:rFonts w:ascii="Arial" w:cs="Arial" w:eastAsia="Arial" w:hAnsi="Arial"/>
          <w:sz w:val="14"/>
          <w:szCs w:val="14"/>
          <w:i w:val="1"/>
          <w:iCs w:val="1"/>
          <w:color w:val="auto"/>
        </w:rPr>
        <w:t>VelocImmune</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xml:space="preserve"> technology. In July 2011, we and Sanofi announced that in the Phase 2b stage of the MOBILITY trial in rheumatoid arthritis, patients treated with sarilumab in combination with a standard RA treatment, methotrexate (MTX), achieved a significant and clinically meaningful improvement in signs and symptoms of moderate-to-severe RA compared to patients treated with MTX alone. The Phase 2b stage of the MOBILITY study was a 306-patient, dose-ranging, multi-national, randomized, multi-arm, double-blind, placebo-controlled study, that compared five different dose regimens of sarilumab in combination with MTX to placebo plus MTX. The primary endpoint of the study was the proportion of patients achieving at least a 20% improvement in RA symptoms (ACR20) after 12 weeks.</w:t>
      </w:r>
    </w:p>
    <w:p>
      <w:pPr>
        <w:spacing w:after="0" w:line="211" w:lineRule="exact"/>
        <w:rPr>
          <w:sz w:val="20"/>
          <w:szCs w:val="20"/>
          <w:color w:val="auto"/>
        </w:rPr>
      </w:pPr>
    </w:p>
    <w:p>
      <w:pPr>
        <w:jc w:val="both"/>
        <w:ind w:firstLine="219"/>
        <w:spacing w:after="0" w:line="269" w:lineRule="auto"/>
        <w:rPr>
          <w:sz w:val="20"/>
          <w:szCs w:val="20"/>
          <w:color w:val="auto"/>
        </w:rPr>
      </w:pPr>
      <w:r>
        <w:rPr>
          <w:rFonts w:ascii="Arial" w:cs="Arial" w:eastAsia="Arial" w:hAnsi="Arial"/>
          <w:sz w:val="14"/>
          <w:szCs w:val="14"/>
          <w:color w:val="auto"/>
        </w:rPr>
        <w:t>In the Phase 2b stage of the MOBILITY trial, there was a dose response observed in patients receiving sarilumab in combination with MTX. An ACR20 response after 12 weeks was seen in 49.0% of patients receiving the lowest sarilumab dose regimen and 72.0% of patients receiving the highest dose regimen compared to 46.2% of patients receiving placebo and MTX (p=0.02, corrected for multiplicity, for the highest sarilumab dose regimen). The most common adverse events (&gt;5%) reported more frequently in active treatment arms included infections (non-serious), neutropenia, and liver function test abnormalities. The types and frequencies of adverse events were consistent with those previously reported with IL-6 inhibition. The incidence of serious adverse events among the five sarilumab treatment groups and the placebo group was comparable.</w:t>
      </w:r>
    </w:p>
    <w:p>
      <w:pPr>
        <w:spacing w:after="0" w:line="195" w:lineRule="exact"/>
        <w:rPr>
          <w:sz w:val="20"/>
          <w:szCs w:val="20"/>
          <w:color w:val="auto"/>
        </w:rPr>
      </w:pPr>
    </w:p>
    <w:p>
      <w:pPr>
        <w:jc w:val="both"/>
        <w:ind w:firstLine="263"/>
        <w:spacing w:after="0" w:line="291" w:lineRule="auto"/>
        <w:rPr>
          <w:sz w:val="20"/>
          <w:szCs w:val="20"/>
          <w:color w:val="auto"/>
        </w:rPr>
      </w:pPr>
      <w:r>
        <w:rPr>
          <w:rFonts w:ascii="Arial" w:cs="Arial" w:eastAsia="Arial" w:hAnsi="Arial"/>
          <w:sz w:val="14"/>
          <w:szCs w:val="14"/>
          <w:color w:val="auto"/>
        </w:rPr>
        <w:t>Sarilumab also demonstrated significant benefit compared to placebo in secondary endpoints, including ACR 50, ACR 70, and Disease Activity Score (DAS) 28 scores, additional measures of clinical activity used in RA trials.</w:t>
      </w:r>
    </w:p>
    <w:p>
      <w:pPr>
        <w:spacing w:after="0" w:line="177" w:lineRule="exact"/>
        <w:rPr>
          <w:sz w:val="20"/>
          <w:szCs w:val="20"/>
          <w:color w:val="auto"/>
        </w:rPr>
      </w:pPr>
    </w:p>
    <w:p>
      <w:pPr>
        <w:jc w:val="both"/>
        <w:ind w:firstLine="219"/>
        <w:spacing w:after="0" w:line="279" w:lineRule="auto"/>
        <w:rPr>
          <w:sz w:val="20"/>
          <w:szCs w:val="20"/>
          <w:color w:val="auto"/>
        </w:rPr>
      </w:pPr>
      <w:r>
        <w:rPr>
          <w:rFonts w:ascii="Arial" w:cs="Arial" w:eastAsia="Arial" w:hAnsi="Arial"/>
          <w:sz w:val="14"/>
          <w:szCs w:val="14"/>
          <w:color w:val="auto"/>
        </w:rPr>
        <w:t>In July 2011, we and Sanofi announced that in the phase 2b ALIGN trial in ankylosing spondylitis, sarilumab did not demonstrate significant improvements in the signs and symptoms of active AS compared to placebo in patients who had inadequate response to Non-Steroidal Anti-Inflammatory Drugs (NSAIDs). Sarilumab was generally well tolerated. The most common adverse events reported more frequently in active treatment arms included infections and neutropenia.</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During the third quarter of 2011, we and Sanofi initiated the Phase 3 stage of the Phase 2/3 MOBILITY study.</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5. REGN727 (PCSK9 Antibody) for LDL cholesterol reduction</w:t>
      </w:r>
    </w:p>
    <w:p>
      <w:pPr>
        <w:spacing w:after="0" w:line="234" w:lineRule="exact"/>
        <w:rPr>
          <w:sz w:val="20"/>
          <w:szCs w:val="20"/>
          <w:color w:val="auto"/>
        </w:rPr>
      </w:pPr>
    </w:p>
    <w:p>
      <w:pPr>
        <w:jc w:val="both"/>
        <w:ind w:firstLine="219"/>
        <w:spacing w:after="0" w:line="247" w:lineRule="auto"/>
        <w:rPr>
          <w:sz w:val="20"/>
          <w:szCs w:val="20"/>
          <w:color w:val="auto"/>
        </w:rPr>
      </w:pPr>
      <w:r>
        <w:rPr>
          <w:rFonts w:ascii="Arial" w:cs="Arial" w:eastAsia="Arial" w:hAnsi="Arial"/>
          <w:sz w:val="14"/>
          <w:szCs w:val="14"/>
          <w:color w:val="auto"/>
        </w:rPr>
        <w:t xml:space="preserve">Elevated LDL cholesterol (“bad cholesterol”) level is a validated risk factor leading to cardiovascular disease. Statins are a class of drugs that lower LDL cholesterol by upregulating the expression of the LDL receptor (LDLR), which removes LDL from circulation. PCSK9 is a naturally occurring secreted protein that also modulates LDL cholesterol levels through its interaction with the LDL receptor. In a landmark study published in the </w:t>
      </w:r>
      <w:r>
        <w:rPr>
          <w:rFonts w:ascii="Arial" w:cs="Arial" w:eastAsia="Arial" w:hAnsi="Arial"/>
          <w:sz w:val="14"/>
          <w:szCs w:val="14"/>
          <w:i w:val="1"/>
          <w:iCs w:val="1"/>
          <w:color w:val="auto"/>
        </w:rPr>
        <w:t>New England Journal of Medicine</w:t>
      </w:r>
      <w:r>
        <w:rPr>
          <w:rFonts w:ascii="Arial" w:cs="Arial" w:eastAsia="Arial" w:hAnsi="Arial"/>
          <w:sz w:val="14"/>
          <w:szCs w:val="14"/>
          <w:color w:val="auto"/>
        </w:rPr>
        <w:t xml:space="preserve"> in March 2006, patients with lower than normal PCSK9 levels due to a genetic abnormality not only had significantly lower levels of LDL cholesterol, but also a significant reduction in the risk of coronary heart disease. We used our </w:t>
      </w:r>
      <w:r>
        <w:rPr>
          <w:rFonts w:ascii="Arial" w:cs="Arial" w:eastAsia="Arial" w:hAnsi="Arial"/>
          <w:sz w:val="14"/>
          <w:szCs w:val="14"/>
          <w:i w:val="1"/>
          <w:iCs w:val="1"/>
          <w:color w:val="auto"/>
        </w:rPr>
        <w:t>VelocImmune</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xml:space="preserve"> technology to generate a fully human monoclonal antibody inhibitor of PCSK9, called REGN727, that is intended to lower LDL cholesterol.</w:t>
      </w:r>
    </w:p>
    <w:p>
      <w:pPr>
        <w:spacing w:after="0" w:line="209" w:lineRule="exact"/>
        <w:rPr>
          <w:sz w:val="20"/>
          <w:szCs w:val="20"/>
          <w:color w:val="auto"/>
        </w:rPr>
      </w:pPr>
    </w:p>
    <w:p>
      <w:pPr>
        <w:jc w:val="both"/>
        <w:ind w:firstLine="307"/>
        <w:spacing w:after="0" w:line="324" w:lineRule="auto"/>
        <w:rPr>
          <w:sz w:val="20"/>
          <w:szCs w:val="20"/>
          <w:color w:val="auto"/>
        </w:rPr>
      </w:pPr>
      <w:r>
        <w:rPr>
          <w:rFonts w:ascii="Arial" w:cs="Arial" w:eastAsia="Arial" w:hAnsi="Arial"/>
          <w:sz w:val="12"/>
          <w:szCs w:val="12"/>
          <w:color w:val="auto"/>
        </w:rPr>
        <w:t>In May 2010, we announced that in an interim efficacy analysis of a dose-escalating, randomized, double-blind, placebo-controlled, Phase 1 trial in healthy volunteers, REGN727 achieved substantial, dose dependent decreases of LDL cholesterol. Each dosing cohort consisted of six treated and two placebo patients. In July 2010, we presented additional data from this Phase 1 program. At the highest intravenous dose tested, a single dose of REGN727 achieved a greater than 60% maximum mean reduction of LDL cholesterol from baseline that lasted for more than one month. At the highest subcutaneous dose tested, a single dose of REGN727 achieved a greater than 60% maximum mean reduction of LDL cholesterol from baseline that lasted for more than two weeks. In these early trials, REGN727 was generally safe and well tolerated with no trend in drug-related adverse events and no evidence of hepato- or myo-toxicity. Injection site reactions were minimal.</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7" w:right="219" w:bottom="1440" w:gutter="0" w:footer="0" w:header="0"/>
        </w:sectPr>
      </w:pPr>
    </w:p>
    <w:bookmarkStart w:id="24" w:name="page25"/>
    <w:bookmarkEnd w:id="24"/>
    <w:p>
      <w:pPr>
        <w:jc w:val="both"/>
        <w:ind w:firstLine="219"/>
        <w:spacing w:after="0" w:line="271" w:lineRule="auto"/>
        <w:rPr>
          <w:sz w:val="20"/>
          <w:szCs w:val="20"/>
          <w:color w:val="auto"/>
        </w:rPr>
      </w:pPr>
      <w:r>
        <w:rPr>
          <w:rFonts w:ascii="Arial" w:cs="Arial" w:eastAsia="Arial" w:hAnsi="Arial"/>
          <w:sz w:val="14"/>
          <w:szCs w:val="14"/>
          <w:color w:val="auto"/>
        </w:rPr>
        <w:t>In July 2010, we also presented the results of an interim efficacy analysis of a dose escalating, randomized, double-blind, placebo-controlled Phase 1 trial of subcutaneously delivered REGN727 in hyperlipidemic patients (familial hypercholesterolemia and non-familial hypercholesterolemia) on stable doses of statins whose LDL levels were greater than 100 milligrams per deciliter (mg/dL). At the highest dose tested at that time, in eleven patients, a single dose of REGN727 achieved an approximately 40% maximum mean additional reduction of LDL cholesterol from baseline. No serious adverse events and no dose limiting toxicities were reported.</w:t>
      </w:r>
    </w:p>
    <w:p>
      <w:pPr>
        <w:spacing w:after="0" w:line="194" w:lineRule="exact"/>
        <w:rPr>
          <w:sz w:val="20"/>
          <w:szCs w:val="20"/>
          <w:color w:val="auto"/>
        </w:rPr>
      </w:pPr>
    </w:p>
    <w:p>
      <w:pPr>
        <w:jc w:val="both"/>
        <w:ind w:firstLine="252"/>
        <w:spacing w:after="0" w:line="269" w:lineRule="auto"/>
        <w:rPr>
          <w:sz w:val="20"/>
          <w:szCs w:val="20"/>
          <w:color w:val="auto"/>
        </w:rPr>
      </w:pPr>
      <w:r>
        <w:rPr>
          <w:rFonts w:ascii="Arial" w:cs="Arial" w:eastAsia="Arial" w:hAnsi="Arial"/>
          <w:sz w:val="14"/>
          <w:szCs w:val="14"/>
          <w:color w:val="auto"/>
        </w:rPr>
        <w:t>During 2011, three Phase 2 studies with subcutaneous regimens of REGN727 have been initiated: (1) a randomized, double-blind, multi-dose, placebo controlled, 75-patient trial in patients with heterozygous familial hypercholesterolemia (heFH), (2) a randomized, double-blind, multi-dose, placebo controlled, 90-patient trial in combination with atorvastatin in patients with primary hypercholesterolemia, and (3) a randomized, double-blind, multi-dose, placebo controlled, 180-patient trial in combination with atorvastatin in patients with primary hypercholesterolemia and on stable doses of atorvastatin. The primary endpoint of each Phase 2 study is the change in LDL cholesterol from baseline compared to placebo over the study period. Initial data from these Phase 2 studies will be available by the end of 2011 and the first half of 2012.</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REGN727 is being developed in collaboration with Sanofi.</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6. REGN668 (IL-4R Antibody) for allergic and immune conditions</w:t>
      </w:r>
    </w:p>
    <w:p>
      <w:pPr>
        <w:spacing w:after="0" w:line="234" w:lineRule="exact"/>
        <w:rPr>
          <w:sz w:val="20"/>
          <w:szCs w:val="20"/>
          <w:color w:val="auto"/>
        </w:rPr>
      </w:pPr>
    </w:p>
    <w:p>
      <w:pPr>
        <w:jc w:val="both"/>
        <w:ind w:firstLine="219"/>
        <w:spacing w:after="0" w:line="291" w:lineRule="auto"/>
        <w:rPr>
          <w:sz w:val="20"/>
          <w:szCs w:val="20"/>
          <w:color w:val="auto"/>
        </w:rPr>
      </w:pPr>
      <w:r>
        <w:rPr>
          <w:rFonts w:ascii="Arial" w:cs="Arial" w:eastAsia="Arial" w:hAnsi="Arial"/>
          <w:sz w:val="14"/>
          <w:szCs w:val="14"/>
          <w:color w:val="auto"/>
        </w:rPr>
        <w:t>IL-4R is required for signaling by the cytokines IL-4 and IL-13. Both of these cytokines are critical mediators of immune response, which, in turn, drives the formation of Immunoglobulin E (IgE) antibodies and the development of allergic responses, as well as the atopic state that underlies asthma and atopic dermatitis.</w:t>
      </w:r>
    </w:p>
    <w:p>
      <w:pPr>
        <w:spacing w:after="0" w:line="178" w:lineRule="exact"/>
        <w:rPr>
          <w:sz w:val="20"/>
          <w:szCs w:val="20"/>
          <w:color w:val="auto"/>
        </w:rPr>
      </w:pPr>
    </w:p>
    <w:p>
      <w:pPr>
        <w:jc w:val="both"/>
        <w:ind w:firstLine="219"/>
        <w:spacing w:after="0" w:line="226" w:lineRule="auto"/>
        <w:rPr>
          <w:sz w:val="20"/>
          <w:szCs w:val="20"/>
          <w:color w:val="auto"/>
        </w:rPr>
      </w:pPr>
      <w:r>
        <w:rPr>
          <w:rFonts w:ascii="Arial" w:cs="Arial" w:eastAsia="Arial" w:hAnsi="Arial"/>
          <w:sz w:val="14"/>
          <w:szCs w:val="14"/>
          <w:color w:val="auto"/>
        </w:rPr>
        <w:t xml:space="preserve">REGN668 is a fully human monoclonal antibody generated using our </w:t>
      </w:r>
      <w:r>
        <w:rPr>
          <w:rFonts w:ascii="Arial" w:cs="Arial" w:eastAsia="Arial" w:hAnsi="Arial"/>
          <w:sz w:val="14"/>
          <w:szCs w:val="14"/>
          <w:i w:val="1"/>
          <w:iCs w:val="1"/>
          <w:color w:val="auto"/>
        </w:rPr>
        <w:t>VelocImmune</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xml:space="preserve"> technology that is designed to bind to IL-4R. REGN668 is in a Phase 1b study in patients with atopic dermatitis and a Phase 2 study in eosinophilic asthma. REGN668 is being developed in collaboration with Sanofi.</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7. REGN421 (Dll4 Antibody) for advanced malignancies</w:t>
      </w:r>
    </w:p>
    <w:p>
      <w:pPr>
        <w:spacing w:after="0" w:line="234" w:lineRule="exact"/>
        <w:rPr>
          <w:sz w:val="20"/>
          <w:szCs w:val="20"/>
          <w:color w:val="auto"/>
        </w:rPr>
      </w:pPr>
    </w:p>
    <w:p>
      <w:pPr>
        <w:jc w:val="both"/>
        <w:ind w:firstLine="241"/>
        <w:spacing w:after="0" w:line="294" w:lineRule="auto"/>
        <w:rPr>
          <w:sz w:val="20"/>
          <w:szCs w:val="20"/>
          <w:color w:val="auto"/>
        </w:rPr>
      </w:pPr>
      <w:r>
        <w:rPr>
          <w:rFonts w:ascii="Arial" w:cs="Arial" w:eastAsia="Arial" w:hAnsi="Arial"/>
          <w:sz w:val="13"/>
          <w:szCs w:val="13"/>
          <w:color w:val="auto"/>
        </w:rPr>
        <w:t xml:space="preserve">In many clinical settings, positively or negatively regulating blood vessel growth could have important therapeutic benefits, as could the repair of damaged and leaky vessels. VEGF was the first growth factor shown to be specific for blood vessels, by virtue of having its receptor primarily expressed on blood vessel cells. In the December 21, 2006 issue of the journal </w:t>
      </w:r>
      <w:r>
        <w:rPr>
          <w:rFonts w:ascii="Arial" w:cs="Arial" w:eastAsia="Arial" w:hAnsi="Arial"/>
          <w:sz w:val="13"/>
          <w:szCs w:val="13"/>
          <w:i w:val="1"/>
          <w:iCs w:val="1"/>
          <w:color w:val="auto"/>
        </w:rPr>
        <w:t>Nature</w:t>
      </w:r>
      <w:r>
        <w:rPr>
          <w:rFonts w:ascii="Arial" w:cs="Arial" w:eastAsia="Arial" w:hAnsi="Arial"/>
          <w:sz w:val="13"/>
          <w:szCs w:val="13"/>
          <w:color w:val="auto"/>
        </w:rPr>
        <w:t>, we reported data from a preclinical study demonstrating that blocking an important cell signaling molecule, known as Dll4, inhibited the growth of experimental tumors by interfering with their ability to produce a functional blood supply. The inhibition of tumor growth was seen in a variety of tumor types, including those that were resistant to blockade of VEGF, suggesting a novel anti-angiogenesis therapeutic approach. Moreover, inhibition of tumor growth is enhanced by the combination of Dll4 and VEGF blockade in many preclinical tumor models.</w:t>
      </w:r>
    </w:p>
    <w:p>
      <w:pPr>
        <w:spacing w:after="0" w:line="180" w:lineRule="exact"/>
        <w:rPr>
          <w:sz w:val="20"/>
          <w:szCs w:val="20"/>
          <w:color w:val="auto"/>
        </w:rPr>
      </w:pPr>
    </w:p>
    <w:p>
      <w:pPr>
        <w:jc w:val="both"/>
        <w:ind w:firstLine="219"/>
        <w:spacing w:after="0" w:line="226" w:lineRule="auto"/>
        <w:rPr>
          <w:sz w:val="20"/>
          <w:szCs w:val="20"/>
          <w:color w:val="auto"/>
        </w:rPr>
      </w:pPr>
      <w:r>
        <w:rPr>
          <w:rFonts w:ascii="Arial" w:cs="Arial" w:eastAsia="Arial" w:hAnsi="Arial"/>
          <w:sz w:val="14"/>
          <w:szCs w:val="14"/>
          <w:color w:val="auto"/>
        </w:rPr>
        <w:t xml:space="preserve">REGN421 is a fully human monoclonal antibody to Dll4 generated using our </w:t>
      </w:r>
      <w:r>
        <w:rPr>
          <w:rFonts w:ascii="Arial" w:cs="Arial" w:eastAsia="Arial" w:hAnsi="Arial"/>
          <w:sz w:val="14"/>
          <w:szCs w:val="14"/>
          <w:i w:val="1"/>
          <w:iCs w:val="1"/>
          <w:color w:val="auto"/>
        </w:rPr>
        <w:t>VelocImmune</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xml:space="preserve"> technology, and is in Phase 1 clinical development. REGN421 is being developed in collaboration with Sanofi.</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8. REGN910 (ANG2 Antibody) for oncology</w:t>
      </w:r>
    </w:p>
    <w:p>
      <w:pPr>
        <w:spacing w:after="0" w:line="234" w:lineRule="exact"/>
        <w:rPr>
          <w:sz w:val="20"/>
          <w:szCs w:val="20"/>
          <w:color w:val="auto"/>
        </w:rPr>
      </w:pPr>
    </w:p>
    <w:p>
      <w:pPr>
        <w:jc w:val="both"/>
        <w:ind w:firstLine="219"/>
        <w:spacing w:after="0" w:line="243" w:lineRule="auto"/>
        <w:rPr>
          <w:sz w:val="20"/>
          <w:szCs w:val="20"/>
          <w:color w:val="auto"/>
        </w:rPr>
      </w:pPr>
      <w:r>
        <w:rPr>
          <w:rFonts w:ascii="Arial" w:cs="Arial" w:eastAsia="Arial" w:hAnsi="Arial"/>
          <w:sz w:val="14"/>
          <w:szCs w:val="14"/>
          <w:color w:val="auto"/>
        </w:rPr>
        <w:t xml:space="preserve">In the fourth quarter of 2010, we initiated a Phase 1 study in an oncology setting of REGN910, an antibody that specifically blocks ANG2. The angiopoietins, which were discovered at Regeneron, are ligands for the endothelial cell receptor Tie2 and are essential for vascular development and angiogenesis. Unlike other family members, ANG2 is strongly upregulated by endothelial cells at sites of angiogenesis and vascular remodeling, including tumors. REGN910 is a fully human monoclonal antibody generated using our </w:t>
      </w:r>
      <w:r>
        <w:rPr>
          <w:rFonts w:ascii="Arial" w:cs="Arial" w:eastAsia="Arial" w:hAnsi="Arial"/>
          <w:sz w:val="14"/>
          <w:szCs w:val="14"/>
          <w:i w:val="1"/>
          <w:iCs w:val="1"/>
          <w:color w:val="auto"/>
        </w:rPr>
        <w:t>VelocImmune</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xml:space="preserve"> technology, which is being developed for cancer indications. REGN910 is being developed in collaboration with Sanofi.</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9. REGN475 (NGF Antibody) for pain</w:t>
      </w:r>
    </w:p>
    <w:p>
      <w:pPr>
        <w:spacing w:after="0" w:line="232" w:lineRule="exact"/>
        <w:rPr>
          <w:sz w:val="20"/>
          <w:szCs w:val="20"/>
          <w:color w:val="auto"/>
        </w:rPr>
      </w:pPr>
    </w:p>
    <w:p>
      <w:pPr>
        <w:jc w:val="both"/>
        <w:ind w:firstLine="230"/>
        <w:spacing w:after="0" w:line="261" w:lineRule="auto"/>
        <w:rPr>
          <w:sz w:val="20"/>
          <w:szCs w:val="20"/>
          <w:color w:val="auto"/>
        </w:rPr>
      </w:pPr>
      <w:r>
        <w:rPr>
          <w:rFonts w:ascii="Arial" w:cs="Arial" w:eastAsia="Arial" w:hAnsi="Arial"/>
          <w:sz w:val="13"/>
          <w:szCs w:val="13"/>
          <w:color w:val="auto"/>
        </w:rPr>
        <w:t xml:space="preserve">REGN475 is a fully human monoclonal antibody to NGF, generated using our </w:t>
      </w:r>
      <w:r>
        <w:rPr>
          <w:rFonts w:ascii="Arial" w:cs="Arial" w:eastAsia="Arial" w:hAnsi="Arial"/>
          <w:sz w:val="13"/>
          <w:szCs w:val="13"/>
          <w:i w:val="1"/>
          <w:iCs w:val="1"/>
          <w:color w:val="auto"/>
        </w:rPr>
        <w:t>VelocImmune</w:t>
      </w:r>
      <w:r>
        <w:rPr>
          <w:rFonts w:ascii="Arial" w:cs="Arial" w:eastAsia="Arial" w:hAnsi="Arial"/>
          <w:sz w:val="17"/>
          <w:szCs w:val="17"/>
          <w:i w:val="1"/>
          <w:iCs w:val="1"/>
          <w:color w:val="auto"/>
          <w:vertAlign w:val="superscript"/>
        </w:rPr>
        <w:t>®</w:t>
      </w:r>
      <w:r>
        <w:rPr>
          <w:rFonts w:ascii="Arial" w:cs="Arial" w:eastAsia="Arial" w:hAnsi="Arial"/>
          <w:sz w:val="13"/>
          <w:szCs w:val="13"/>
          <w:color w:val="auto"/>
        </w:rPr>
        <w:t xml:space="preserve"> technology, which is designed to block pain sensitization in neurons. Preclinical experiments indicate that REGN475 specifically binds to and blocks NGF activity and does not bind to or block cell signaling for closely related neurotrophins such as NT-3, NT-4, or BDNF.</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25" w:name="page26"/>
    <w:bookmarkEnd w:id="25"/>
    <w:p>
      <w:pPr>
        <w:jc w:val="both"/>
        <w:ind w:firstLine="252"/>
        <w:spacing w:after="0" w:line="291" w:lineRule="auto"/>
        <w:rPr>
          <w:sz w:val="20"/>
          <w:szCs w:val="20"/>
          <w:color w:val="auto"/>
        </w:rPr>
      </w:pPr>
      <w:r>
        <w:rPr>
          <w:rFonts w:ascii="Arial" w:cs="Arial" w:eastAsia="Arial" w:hAnsi="Arial"/>
          <w:sz w:val="14"/>
          <w:szCs w:val="14"/>
          <w:color w:val="auto"/>
        </w:rPr>
        <w:t>In May 2010, we announced positive results from an interim analysis of a randomized, double-blind, four-arm, placebo-controlled Phase 2 trial in 217 patients with osteoarthritis of the knee. In July 2010, we presented additional results from this trial through 16 weeks.</w:t>
      </w:r>
    </w:p>
    <w:p>
      <w:pPr>
        <w:spacing w:after="0" w:line="180" w:lineRule="exact"/>
        <w:rPr>
          <w:sz w:val="20"/>
          <w:szCs w:val="20"/>
          <w:color w:val="auto"/>
        </w:rPr>
      </w:pPr>
    </w:p>
    <w:p>
      <w:pPr>
        <w:jc w:val="both"/>
        <w:ind w:firstLine="263"/>
        <w:spacing w:after="0" w:line="298" w:lineRule="auto"/>
        <w:rPr>
          <w:sz w:val="20"/>
          <w:szCs w:val="20"/>
          <w:color w:val="auto"/>
        </w:rPr>
      </w:pPr>
      <w:r>
        <w:rPr>
          <w:rFonts w:ascii="Arial" w:cs="Arial" w:eastAsia="Arial" w:hAnsi="Arial"/>
          <w:sz w:val="13"/>
          <w:szCs w:val="13"/>
          <w:color w:val="auto"/>
        </w:rPr>
        <w:t>In December 2010, we were informed by the FDA that a case confirmed as avascular necrosis of a joint was seen in another company’s anti-NGF program. The FDA believes this case, which follows previously-reported cases of joint replacements in patients on an anti-NGF drug candidate being developed by another pharmaceutical company, provides evidence to suggest a class-effect and has placed REGN475 on clinical hold. The FDA Arthritis Advisory Committee meeting scheduled for September 13, 2011 to discuss possible safety issues related to anti-NGF compounds has been postponed. There are currently no ongoing trials with REGN475 that are either enrolling or treating patients. REGN475 is being developed in collaboration with Sanofi.</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10. REGN728</w:t>
      </w:r>
    </w:p>
    <w:p>
      <w:pPr>
        <w:spacing w:after="0" w:line="232" w:lineRule="exact"/>
        <w:rPr>
          <w:sz w:val="20"/>
          <w:szCs w:val="20"/>
          <w:color w:val="auto"/>
        </w:rPr>
      </w:pPr>
    </w:p>
    <w:p>
      <w:pPr>
        <w:jc w:val="both"/>
        <w:ind w:firstLine="241"/>
        <w:spacing w:after="0" w:line="226" w:lineRule="auto"/>
        <w:rPr>
          <w:sz w:val="20"/>
          <w:szCs w:val="20"/>
          <w:color w:val="auto"/>
        </w:rPr>
      </w:pPr>
      <w:r>
        <w:rPr>
          <w:rFonts w:ascii="Arial" w:cs="Arial" w:eastAsia="Arial" w:hAnsi="Arial"/>
          <w:sz w:val="14"/>
          <w:szCs w:val="14"/>
          <w:color w:val="auto"/>
        </w:rPr>
        <w:t xml:space="preserve">In the fourth quarter of 2010, clinical trials began with REGN728, a fully human monoclonal antibody generated using our </w:t>
      </w:r>
      <w:r>
        <w:rPr>
          <w:rFonts w:ascii="Arial" w:cs="Arial" w:eastAsia="Arial" w:hAnsi="Arial"/>
          <w:sz w:val="14"/>
          <w:szCs w:val="14"/>
          <w:i w:val="1"/>
          <w:iCs w:val="1"/>
          <w:color w:val="auto"/>
        </w:rPr>
        <w:t>VelocImmune</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xml:space="preserve"> technology, against an undisclosed target. REGN728 is being developed in collaboration with Sanofi.</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11. REGN846</w:t>
      </w:r>
    </w:p>
    <w:p>
      <w:pPr>
        <w:spacing w:after="0" w:line="232" w:lineRule="exact"/>
        <w:rPr>
          <w:sz w:val="20"/>
          <w:szCs w:val="20"/>
          <w:color w:val="auto"/>
        </w:rPr>
      </w:pPr>
    </w:p>
    <w:p>
      <w:pPr>
        <w:jc w:val="both"/>
        <w:ind w:firstLine="252"/>
        <w:spacing w:after="0" w:line="267" w:lineRule="auto"/>
        <w:rPr>
          <w:sz w:val="20"/>
          <w:szCs w:val="20"/>
          <w:color w:val="auto"/>
        </w:rPr>
      </w:pPr>
      <w:r>
        <w:rPr>
          <w:rFonts w:ascii="Arial" w:cs="Arial" w:eastAsia="Arial" w:hAnsi="Arial"/>
          <w:sz w:val="13"/>
          <w:szCs w:val="13"/>
          <w:color w:val="auto"/>
        </w:rPr>
        <w:t xml:space="preserve">REGN846 is a fully human monoclonal antibody generated using our </w:t>
      </w:r>
      <w:r>
        <w:rPr>
          <w:rFonts w:ascii="Arial" w:cs="Arial" w:eastAsia="Arial" w:hAnsi="Arial"/>
          <w:sz w:val="13"/>
          <w:szCs w:val="13"/>
          <w:i w:val="1"/>
          <w:iCs w:val="1"/>
          <w:color w:val="auto"/>
        </w:rPr>
        <w:t>VelocImmune</w:t>
      </w:r>
      <w:r>
        <w:rPr>
          <w:rFonts w:ascii="Arial" w:cs="Arial" w:eastAsia="Arial" w:hAnsi="Arial"/>
          <w:sz w:val="17"/>
          <w:szCs w:val="17"/>
          <w:i w:val="1"/>
          <w:iCs w:val="1"/>
          <w:color w:val="auto"/>
          <w:vertAlign w:val="superscript"/>
        </w:rPr>
        <w:t>®</w:t>
      </w:r>
      <w:r>
        <w:rPr>
          <w:rFonts w:ascii="Arial" w:cs="Arial" w:eastAsia="Arial" w:hAnsi="Arial"/>
          <w:sz w:val="13"/>
          <w:szCs w:val="13"/>
          <w:color w:val="auto"/>
        </w:rPr>
        <w:t xml:space="preserve"> technology, against an undisclosed target, and is being evaluated in a Phase 2a study in patients with atopic dermatitis. In July 2011, Sanofi elected not to continue co-development of REGN846, and Regeneron now has sole global rights to REGN846. Under the terms of our agreement, Sanofi remains obligated to fund REGN846 clinical costs through conclusion of a planned proof-of-concept trial and is entitled to receive a mid-single digit royalty on any future sales of REGN846.</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Research and Development Technologies:</w:t>
      </w:r>
    </w:p>
    <w:p>
      <w:pPr>
        <w:spacing w:after="0" w:line="238" w:lineRule="exact"/>
        <w:rPr>
          <w:sz w:val="20"/>
          <w:szCs w:val="20"/>
          <w:color w:val="auto"/>
        </w:rPr>
      </w:pPr>
    </w:p>
    <w:p>
      <w:pPr>
        <w:jc w:val="both"/>
        <w:ind w:firstLine="230"/>
        <w:spacing w:after="0" w:line="291" w:lineRule="auto"/>
        <w:rPr>
          <w:sz w:val="20"/>
          <w:szCs w:val="20"/>
          <w:color w:val="auto"/>
        </w:rPr>
      </w:pPr>
      <w:r>
        <w:rPr>
          <w:rFonts w:ascii="Arial" w:cs="Arial" w:eastAsia="Arial" w:hAnsi="Arial"/>
          <w:sz w:val="13"/>
          <w:szCs w:val="13"/>
          <w:color w:val="auto"/>
        </w:rPr>
        <w:t>Many proteins that are either on the surface of or secreted by cells play important roles in biology and disease. 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specific secreted proteins can have clinical benefit. In other cases, proteins on the cell-surface can mediate the interaction between cells, such as the processes that give rise to inflammation and autoimmunity.</w:t>
      </w:r>
    </w:p>
    <w:p>
      <w:pPr>
        <w:spacing w:after="0" w:line="185" w:lineRule="exact"/>
        <w:rPr>
          <w:sz w:val="20"/>
          <w:szCs w:val="20"/>
          <w:color w:val="auto"/>
        </w:rPr>
      </w:pPr>
    </w:p>
    <w:p>
      <w:pPr>
        <w:jc w:val="both"/>
        <w:ind w:firstLine="274"/>
        <w:spacing w:after="0" w:line="248" w:lineRule="auto"/>
        <w:rPr>
          <w:sz w:val="20"/>
          <w:szCs w:val="20"/>
          <w:color w:val="auto"/>
        </w:rPr>
      </w:pPr>
      <w:r>
        <w:rPr>
          <w:rFonts w:ascii="Arial" w:cs="Arial" w:eastAsia="Arial" w:hAnsi="Arial"/>
          <w:sz w:val="13"/>
          <w:szCs w:val="13"/>
          <w:color w:val="auto"/>
        </w:rPr>
        <w:t>Our scientists have developed two different technologies to design protein therapeutics to block the action of specific cell surface or secreted proteins. The first technology, termed the “Trap” technology, was used to generate our first approved product, ARCALYST</w:t>
      </w:r>
      <w:r>
        <w:rPr>
          <w:rFonts w:ascii="Arial" w:cs="Arial" w:eastAsia="Arial" w:hAnsi="Arial"/>
          <w:sz w:val="17"/>
          <w:szCs w:val="17"/>
          <w:color w:val="auto"/>
          <w:vertAlign w:val="superscript"/>
        </w:rPr>
        <w:t>®</w:t>
      </w:r>
      <w:r>
        <w:rPr>
          <w:rFonts w:ascii="Arial" w:cs="Arial" w:eastAsia="Arial" w:hAnsi="Arial"/>
          <w:sz w:val="13"/>
          <w:szCs w:val="13"/>
          <w:color w:val="auto"/>
        </w:rPr>
        <w:t>, as well as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all of which are in Phase 3 clinical trials. These novel “Traps” are composed of fusions between two distinct receptor components and the constant region of an antibody molecule called the “Fc region”, resulting in high affinity product candidates. </w:t>
      </w:r>
      <w:r>
        <w:rPr>
          <w:rFonts w:ascii="Arial" w:cs="Arial" w:eastAsia="Arial" w:hAnsi="Arial"/>
          <w:sz w:val="13"/>
          <w:szCs w:val="13"/>
          <w:i w:val="1"/>
          <w:iCs w:val="1"/>
          <w:color w:val="auto"/>
        </w:rPr>
        <w:t>VelociSuite</w:t>
      </w:r>
      <w:r>
        <w:rPr>
          <w:rFonts w:ascii="Arial" w:cs="Arial" w:eastAsia="Arial" w:hAnsi="Arial"/>
          <w:sz w:val="17"/>
          <w:szCs w:val="17"/>
          <w:i w:val="1"/>
          <w:iCs w:val="1"/>
          <w:color w:val="auto"/>
          <w:vertAlign w:val="superscript"/>
        </w:rPr>
        <w:t>TM</w:t>
      </w:r>
      <w:r>
        <w:rPr>
          <w:rFonts w:ascii="Arial" w:cs="Arial" w:eastAsia="Arial" w:hAnsi="Arial"/>
          <w:sz w:val="13"/>
          <w:szCs w:val="13"/>
          <w:color w:val="auto"/>
        </w:rPr>
        <w:t xml:space="preserve"> is our second technology platform; it is used for discovering, developing, and producing fully human monoclonal antibodies that can address both secreted and cell-surface targets.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i w:val="1"/>
          <w:iCs w:val="1"/>
          <w:color w:val="auto"/>
        </w:rPr>
        <w:t>VelociSuite</w:t>
      </w:r>
      <w:r>
        <w:rPr>
          <w:rFonts w:ascii="Arial" w:cs="Arial" w:eastAsia="Arial" w:hAnsi="Arial"/>
          <w:sz w:val="19"/>
          <w:szCs w:val="19"/>
          <w:b w:val="1"/>
          <w:bCs w:val="1"/>
          <w:i w:val="1"/>
          <w:iCs w:val="1"/>
          <w:color w:val="auto"/>
          <w:vertAlign w:val="superscript"/>
        </w:rPr>
        <w:t>TM</w:t>
      </w:r>
    </w:p>
    <w:p>
      <w:pPr>
        <w:spacing w:after="0" w:line="154" w:lineRule="exact"/>
        <w:rPr>
          <w:sz w:val="20"/>
          <w:szCs w:val="20"/>
          <w:color w:val="auto"/>
        </w:rPr>
      </w:pPr>
    </w:p>
    <w:p>
      <w:pPr>
        <w:jc w:val="both"/>
        <w:ind w:firstLine="384"/>
        <w:spacing w:after="0" w:line="236" w:lineRule="auto"/>
        <w:rPr>
          <w:sz w:val="20"/>
          <w:szCs w:val="20"/>
          <w:color w:val="auto"/>
        </w:rPr>
      </w:pPr>
      <w:r>
        <w:rPr>
          <w:rFonts w:ascii="Arial" w:cs="Arial" w:eastAsia="Arial" w:hAnsi="Arial"/>
          <w:sz w:val="13"/>
          <w:szCs w:val="13"/>
          <w:i w:val="1"/>
          <w:iCs w:val="1"/>
          <w:color w:val="auto"/>
        </w:rPr>
        <w:t>VelociSuite</w:t>
      </w:r>
      <w:r>
        <w:rPr>
          <w:rFonts w:ascii="Arial" w:cs="Arial" w:eastAsia="Arial" w:hAnsi="Arial"/>
          <w:sz w:val="17"/>
          <w:szCs w:val="17"/>
          <w:i w:val="1"/>
          <w:iCs w:val="1"/>
          <w:color w:val="auto"/>
          <w:vertAlign w:val="superscript"/>
        </w:rPr>
        <w:t>TM</w:t>
      </w:r>
      <w:r>
        <w:rPr>
          <w:rFonts w:ascii="Arial" w:cs="Arial" w:eastAsia="Arial" w:hAnsi="Arial"/>
          <w:sz w:val="13"/>
          <w:szCs w:val="13"/>
          <w:i w:val="1"/>
          <w:iCs w:val="1"/>
          <w:color w:val="auto"/>
        </w:rPr>
        <w:t xml:space="preserve"> </w:t>
      </w:r>
      <w:r>
        <w:rPr>
          <w:rFonts w:ascii="Arial" w:cs="Arial" w:eastAsia="Arial" w:hAnsi="Arial"/>
          <w:sz w:val="13"/>
          <w:szCs w:val="13"/>
          <w:color w:val="auto"/>
        </w:rPr>
        <w:t>consists of</w:t>
      </w:r>
      <w:r>
        <w:rPr>
          <w:rFonts w:ascii="Arial" w:cs="Arial" w:eastAsia="Arial" w:hAnsi="Arial"/>
          <w:sz w:val="13"/>
          <w:szCs w:val="13"/>
          <w:i w:val="1"/>
          <w:iCs w:val="1"/>
          <w:color w:val="auto"/>
        </w:rPr>
        <w:t xml:space="preserve"> VelocImmune</w:t>
      </w:r>
      <w:r>
        <w:rPr>
          <w:rFonts w:ascii="Arial" w:cs="Arial" w:eastAsia="Arial" w:hAnsi="Arial"/>
          <w:sz w:val="17"/>
          <w:szCs w:val="17"/>
          <w:i w:val="1"/>
          <w:iCs w:val="1"/>
          <w:color w:val="auto"/>
          <w:vertAlign w:val="superscript"/>
        </w:rPr>
        <w:t>®</w:t>
      </w:r>
      <w:r>
        <w:rPr>
          <w:rFonts w:ascii="Arial" w:cs="Arial" w:eastAsia="Arial" w:hAnsi="Arial"/>
          <w:sz w:val="13"/>
          <w:szCs w:val="13"/>
          <w:i w:val="1"/>
          <w:iCs w:val="1"/>
          <w:color w:val="auto"/>
        </w:rPr>
        <w:t>, VelociGene</w:t>
      </w:r>
      <w:r>
        <w:rPr>
          <w:rFonts w:ascii="Arial" w:cs="Arial" w:eastAsia="Arial" w:hAnsi="Arial"/>
          <w:sz w:val="17"/>
          <w:szCs w:val="17"/>
          <w:i w:val="1"/>
          <w:iCs w:val="1"/>
          <w:color w:val="auto"/>
          <w:vertAlign w:val="superscript"/>
        </w:rPr>
        <w:t>®</w:t>
      </w:r>
      <w:r>
        <w:rPr>
          <w:rFonts w:ascii="Arial" w:cs="Arial" w:eastAsia="Arial" w:hAnsi="Arial"/>
          <w:sz w:val="13"/>
          <w:szCs w:val="13"/>
          <w:i w:val="1"/>
          <w:iCs w:val="1"/>
          <w:color w:val="auto"/>
        </w:rPr>
        <w:t>, VelociMouse</w:t>
      </w:r>
      <w:r>
        <w:rPr>
          <w:rFonts w:ascii="Arial" w:cs="Arial" w:eastAsia="Arial" w:hAnsi="Arial"/>
          <w:sz w:val="17"/>
          <w:szCs w:val="17"/>
          <w:i w:val="1"/>
          <w:iCs w:val="1"/>
          <w:color w:val="auto"/>
          <w:vertAlign w:val="superscript"/>
        </w:rPr>
        <w:t>®</w:t>
      </w:r>
      <w:r>
        <w:rPr>
          <w:rFonts w:ascii="Arial" w:cs="Arial" w:eastAsia="Arial" w:hAnsi="Arial"/>
          <w:sz w:val="13"/>
          <w:szCs w:val="13"/>
          <w:i w:val="1"/>
          <w:iCs w:val="1"/>
          <w:color w:val="auto"/>
        </w:rPr>
        <w:t>, and VelociMab</w:t>
      </w:r>
      <w:r>
        <w:rPr>
          <w:rFonts w:ascii="Arial" w:cs="Arial" w:eastAsia="Arial" w:hAnsi="Arial"/>
          <w:sz w:val="17"/>
          <w:szCs w:val="17"/>
          <w:i w:val="1"/>
          <w:iCs w:val="1"/>
          <w:color w:val="auto"/>
          <w:vertAlign w:val="superscript"/>
        </w:rPr>
        <w:t>®</w:t>
      </w:r>
      <w:r>
        <w:rPr>
          <w:rFonts w:ascii="Arial" w:cs="Arial" w:eastAsia="Arial" w:hAnsi="Arial"/>
          <w:sz w:val="13"/>
          <w:szCs w:val="13"/>
          <w:color w:val="auto"/>
        </w:rPr>
        <w:t>. The</w:t>
      </w:r>
      <w:r>
        <w:rPr>
          <w:rFonts w:ascii="Arial" w:cs="Arial" w:eastAsia="Arial" w:hAnsi="Arial"/>
          <w:sz w:val="13"/>
          <w:szCs w:val="13"/>
          <w:i w:val="1"/>
          <w:iCs w:val="1"/>
          <w:color w:val="auto"/>
        </w:rPr>
        <w:t xml:space="preserve"> VelocImmune</w:t>
      </w:r>
      <w:r>
        <w:rPr>
          <w:rFonts w:ascii="Arial" w:cs="Arial" w:eastAsia="Arial" w:hAnsi="Arial"/>
          <w:sz w:val="17"/>
          <w:szCs w:val="17"/>
          <w:i w:val="1"/>
          <w:iCs w:val="1"/>
          <w:color w:val="auto"/>
          <w:vertAlign w:val="superscript"/>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mouse platform is utilized to produce fully human monoclonal antibodies.</w:t>
      </w:r>
      <w:r>
        <w:rPr>
          <w:rFonts w:ascii="Arial" w:cs="Arial" w:eastAsia="Arial" w:hAnsi="Arial"/>
          <w:sz w:val="13"/>
          <w:szCs w:val="13"/>
          <w:i w:val="1"/>
          <w:iCs w:val="1"/>
          <w:color w:val="auto"/>
        </w:rPr>
        <w:t xml:space="preserve"> VelocImmune</w:t>
      </w:r>
      <w:r>
        <w:rPr>
          <w:rFonts w:ascii="Arial" w:cs="Arial" w:eastAsia="Arial" w:hAnsi="Arial"/>
          <w:sz w:val="17"/>
          <w:szCs w:val="17"/>
          <w:i w:val="1"/>
          <w:iCs w:val="1"/>
          <w:color w:val="auto"/>
          <w:vertAlign w:val="superscript"/>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was generated by exploiting our</w:t>
      </w:r>
      <w:r>
        <w:rPr>
          <w:rFonts w:ascii="Arial" w:cs="Arial" w:eastAsia="Arial" w:hAnsi="Arial"/>
          <w:sz w:val="13"/>
          <w:szCs w:val="13"/>
          <w:i w:val="1"/>
          <w:iCs w:val="1"/>
          <w:color w:val="auto"/>
        </w:rPr>
        <w:t xml:space="preserve"> VelociGene</w:t>
      </w:r>
      <w:r>
        <w:rPr>
          <w:rFonts w:ascii="Arial" w:cs="Arial" w:eastAsia="Arial" w:hAnsi="Arial"/>
          <w:sz w:val="17"/>
          <w:szCs w:val="17"/>
          <w:i w:val="1"/>
          <w:iCs w:val="1"/>
          <w:color w:val="auto"/>
          <w:vertAlign w:val="superscript"/>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technology (see below), in a process in which six megabases of mouse immune gene loci were replaced, or “humanized,” with</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corresponding human immune gene loci. </w:t>
      </w:r>
      <w:r>
        <w:rPr>
          <w:rFonts w:ascii="Arial" w:cs="Arial" w:eastAsia="Arial" w:hAnsi="Arial"/>
          <w:sz w:val="13"/>
          <w:szCs w:val="13"/>
          <w:i w:val="1"/>
          <w:iCs w:val="1"/>
          <w:color w:val="auto"/>
        </w:rPr>
        <w:t>VelocImmune</w:t>
      </w:r>
      <w:r>
        <w:rPr>
          <w:rFonts w:ascii="Arial" w:cs="Arial" w:eastAsia="Arial" w:hAnsi="Arial"/>
          <w:sz w:val="17"/>
          <w:szCs w:val="17"/>
          <w:i w:val="1"/>
          <w:iCs w:val="1"/>
          <w:color w:val="auto"/>
          <w:vertAlign w:val="superscript"/>
        </w:rPr>
        <w:t>®</w:t>
      </w:r>
      <w:r>
        <w:rPr>
          <w:rFonts w:ascii="Arial" w:cs="Arial" w:eastAsia="Arial" w:hAnsi="Arial"/>
          <w:sz w:val="13"/>
          <w:szCs w:val="13"/>
          <w:color w:val="auto"/>
        </w:rPr>
        <w:t xml:space="preserve"> mice can be used to generate efficiently fully human monoclonal antibodies to targets of therapeutic interest. </w:t>
      </w:r>
      <w:r>
        <w:rPr>
          <w:rFonts w:ascii="Arial" w:cs="Arial" w:eastAsia="Arial" w:hAnsi="Arial"/>
          <w:sz w:val="13"/>
          <w:szCs w:val="13"/>
          <w:i w:val="1"/>
          <w:iCs w:val="1"/>
          <w:color w:val="auto"/>
        </w:rPr>
        <w:t>VelocImmune</w:t>
      </w:r>
      <w:r>
        <w:rPr>
          <w:rFonts w:ascii="Arial" w:cs="Arial" w:eastAsia="Arial" w:hAnsi="Arial"/>
          <w:sz w:val="17"/>
          <w:szCs w:val="17"/>
          <w:i w:val="1"/>
          <w:iCs w:val="1"/>
          <w:color w:val="auto"/>
          <w:vertAlign w:val="superscript"/>
        </w:rPr>
        <w:t>®</w:t>
      </w:r>
      <w:r>
        <w:rPr>
          <w:rFonts w:ascii="Arial" w:cs="Arial" w:eastAsia="Arial" w:hAnsi="Arial"/>
          <w:sz w:val="13"/>
          <w:szCs w:val="13"/>
          <w:color w:val="auto"/>
        </w:rPr>
        <w:t xml:space="preserve"> and our entire </w:t>
      </w:r>
      <w:r>
        <w:rPr>
          <w:rFonts w:ascii="Arial" w:cs="Arial" w:eastAsia="Arial" w:hAnsi="Arial"/>
          <w:sz w:val="13"/>
          <w:szCs w:val="13"/>
          <w:i w:val="1"/>
          <w:iCs w:val="1"/>
          <w:color w:val="auto"/>
        </w:rPr>
        <w:t>VelociSuite</w:t>
      </w:r>
      <w:r>
        <w:rPr>
          <w:rFonts w:ascii="Arial" w:cs="Arial" w:eastAsia="Arial" w:hAnsi="Arial"/>
          <w:sz w:val="17"/>
          <w:szCs w:val="17"/>
          <w:i w:val="1"/>
          <w:iCs w:val="1"/>
          <w:color w:val="auto"/>
          <w:vertAlign w:val="superscript"/>
        </w:rPr>
        <w:t>TM</w:t>
      </w:r>
      <w:r>
        <w:rPr>
          <w:rFonts w:ascii="Arial" w:cs="Arial" w:eastAsia="Arial" w:hAnsi="Arial"/>
          <w:sz w:val="13"/>
          <w:szCs w:val="13"/>
          <w:i w:val="1"/>
          <w:iCs w:val="1"/>
          <w:color w:val="auto"/>
        </w:rPr>
        <w:t xml:space="preserve"> </w:t>
      </w:r>
      <w:r>
        <w:rPr>
          <w:rFonts w:ascii="Arial" w:cs="Arial" w:eastAsia="Arial" w:hAnsi="Arial"/>
          <w:sz w:val="13"/>
          <w:szCs w:val="13"/>
          <w:color w:val="auto"/>
        </w:rPr>
        <w:t>offer the potential to increase the speed and efficiency through which human monoclonal antibody therapeutics may be discovered and validated, thereby improving the overall efficiency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of our early stage drug development activities. We are utilizing the </w:t>
      </w:r>
      <w:r>
        <w:rPr>
          <w:rFonts w:ascii="Arial" w:cs="Arial" w:eastAsia="Arial" w:hAnsi="Arial"/>
          <w:sz w:val="13"/>
          <w:szCs w:val="13"/>
          <w:i w:val="1"/>
          <w:iCs w:val="1"/>
          <w:color w:val="auto"/>
        </w:rPr>
        <w:t>VelocImmune</w:t>
      </w:r>
      <w:r>
        <w:rPr>
          <w:rFonts w:ascii="Arial" w:cs="Arial" w:eastAsia="Arial" w:hAnsi="Arial"/>
          <w:sz w:val="17"/>
          <w:szCs w:val="17"/>
          <w:i w:val="1"/>
          <w:iCs w:val="1"/>
          <w:color w:val="auto"/>
          <w:vertAlign w:val="superscript"/>
        </w:rPr>
        <w:t>®</w:t>
      </w:r>
      <w:r>
        <w:rPr>
          <w:rFonts w:ascii="Arial" w:cs="Arial" w:eastAsia="Arial" w:hAnsi="Arial"/>
          <w:sz w:val="13"/>
          <w:szCs w:val="13"/>
          <w:color w:val="auto"/>
        </w:rPr>
        <w:t xml:space="preserve"> technology to produce our next generation of drug candidates for preclinical and clinical development.</w:t>
      </w:r>
    </w:p>
    <w:p>
      <w:pPr>
        <w:spacing w:after="0" w:line="136" w:lineRule="exact"/>
        <w:rPr>
          <w:sz w:val="20"/>
          <w:szCs w:val="20"/>
          <w:color w:val="auto"/>
        </w:rPr>
      </w:pPr>
    </w:p>
    <w:p>
      <w:pPr>
        <w:jc w:val="both"/>
        <w:ind w:firstLine="219"/>
        <w:spacing w:after="0" w:line="223" w:lineRule="auto"/>
        <w:rPr>
          <w:sz w:val="20"/>
          <w:szCs w:val="20"/>
          <w:color w:val="auto"/>
        </w:rPr>
      </w:pPr>
      <w:r>
        <w:rPr>
          <w:rFonts w:ascii="Arial" w:cs="Arial" w:eastAsia="Arial" w:hAnsi="Arial"/>
          <w:sz w:val="14"/>
          <w:szCs w:val="14"/>
          <w:color w:val="auto"/>
        </w:rPr>
        <w:t xml:space="preserve">Our </w:t>
      </w:r>
      <w:r>
        <w:rPr>
          <w:rFonts w:ascii="Arial" w:cs="Arial" w:eastAsia="Arial" w:hAnsi="Arial"/>
          <w:sz w:val="14"/>
          <w:szCs w:val="14"/>
          <w:i w:val="1"/>
          <w:iCs w:val="1"/>
          <w:color w:val="auto"/>
        </w:rPr>
        <w:t>VelociGene</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Arial" w:cs="Arial" w:eastAsia="Arial" w:hAnsi="Arial"/>
          <w:sz w:val="14"/>
          <w:szCs w:val="14"/>
          <w:i w:val="1"/>
          <w:iCs w:val="1"/>
          <w:color w:val="auto"/>
        </w:rPr>
        <w:t>VelociGene</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xml:space="preserve"> offers the opportunity to humanize targets by replacing the mouse gene with the human homolog. Thus, </w:t>
      </w:r>
      <w:r>
        <w:rPr>
          <w:rFonts w:ascii="Arial" w:cs="Arial" w:eastAsia="Arial" w:hAnsi="Arial"/>
          <w:sz w:val="14"/>
          <w:szCs w:val="14"/>
          <w:i w:val="1"/>
          <w:iCs w:val="1"/>
          <w:color w:val="auto"/>
        </w:rPr>
        <w:t>VelociGene</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xml:space="preserve"> allows scientists to rapidly identify the physical and biological effects of deleting or over-expressing the target gene, as well as to characterize and test potential therapeutic molecules.</w:t>
      </w:r>
    </w:p>
    <w:p>
      <w:pPr>
        <w:spacing w:after="0" w:line="215" w:lineRule="exact"/>
        <w:rPr>
          <w:sz w:val="20"/>
          <w:szCs w:val="20"/>
          <w:color w:val="auto"/>
        </w:rPr>
      </w:pPr>
    </w:p>
    <w:p>
      <w:pPr>
        <w:jc w:val="both"/>
        <w:ind w:firstLine="285"/>
        <w:spacing w:after="0" w:line="231" w:lineRule="auto"/>
        <w:rPr>
          <w:sz w:val="20"/>
          <w:szCs w:val="20"/>
          <w:color w:val="auto"/>
        </w:rPr>
      </w:pPr>
      <w:r>
        <w:rPr>
          <w:rFonts w:ascii="Arial" w:cs="Arial" w:eastAsia="Arial" w:hAnsi="Arial"/>
          <w:sz w:val="14"/>
          <w:szCs w:val="14"/>
          <w:color w:val="auto"/>
        </w:rPr>
        <w:t xml:space="preserve">Our </w:t>
      </w:r>
      <w:r>
        <w:rPr>
          <w:rFonts w:ascii="Arial" w:cs="Arial" w:eastAsia="Arial" w:hAnsi="Arial"/>
          <w:sz w:val="14"/>
          <w:szCs w:val="14"/>
          <w:i w:val="1"/>
          <w:iCs w:val="1"/>
          <w:color w:val="auto"/>
        </w:rPr>
        <w:t>VelociMouse</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mice developed using our </w:t>
      </w:r>
      <w:r>
        <w:rPr>
          <w:rFonts w:ascii="Arial" w:cs="Arial" w:eastAsia="Arial" w:hAnsi="Arial"/>
          <w:sz w:val="14"/>
          <w:szCs w:val="14"/>
          <w:i w:val="1"/>
          <w:iCs w:val="1"/>
          <w:color w:val="auto"/>
        </w:rPr>
        <w:t>VelociMouse</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xml:space="preserve"> technology are suitable for direct phenotyping or other studies. We have also developed our </w:t>
      </w:r>
      <w:r>
        <w:rPr>
          <w:rFonts w:ascii="Arial" w:cs="Arial" w:eastAsia="Arial" w:hAnsi="Arial"/>
          <w:sz w:val="14"/>
          <w:szCs w:val="14"/>
          <w:i w:val="1"/>
          <w:iCs w:val="1"/>
          <w:color w:val="auto"/>
        </w:rPr>
        <w:t>VelociMab</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xml:space="preserve"> platform for the rapid screening of antibodies and rapid generation of expression cell lines for our Traps and our </w:t>
      </w:r>
      <w:r>
        <w:rPr>
          <w:rFonts w:ascii="Arial" w:cs="Arial" w:eastAsia="Arial" w:hAnsi="Arial"/>
          <w:sz w:val="14"/>
          <w:szCs w:val="14"/>
          <w:i w:val="1"/>
          <w:iCs w:val="1"/>
          <w:color w:val="auto"/>
        </w:rPr>
        <w:t>VelocImmune</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xml:space="preserve"> human monoclonal antibodies.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Antibody Collaboration and License Agreements</w:t>
      </w:r>
    </w:p>
    <w:p>
      <w:pPr>
        <w:spacing w:after="0" w:line="234" w:lineRule="exact"/>
        <w:rPr>
          <w:sz w:val="20"/>
          <w:szCs w:val="20"/>
          <w:color w:val="auto"/>
        </w:rPr>
      </w:pPr>
    </w:p>
    <w:p>
      <w:pPr>
        <w:jc w:val="both"/>
        <w:ind w:firstLine="230"/>
        <w:spacing w:after="0" w:line="296" w:lineRule="auto"/>
        <w:rPr>
          <w:sz w:val="20"/>
          <w:szCs w:val="20"/>
          <w:color w:val="auto"/>
        </w:rPr>
      </w:pPr>
      <w:r>
        <w:rPr>
          <w:rFonts w:ascii="Arial" w:cs="Arial" w:eastAsia="Arial" w:hAnsi="Arial"/>
          <w:sz w:val="13"/>
          <w:szCs w:val="13"/>
          <w:b w:val="1"/>
          <w:bCs w:val="1"/>
          <w:color w:val="auto"/>
        </w:rPr>
        <w:t xml:space="preserve">Sanofi. </w:t>
      </w:r>
      <w:r>
        <w:rPr>
          <w:rFonts w:ascii="Arial" w:cs="Arial" w:eastAsia="Arial" w:hAnsi="Arial"/>
          <w:sz w:val="13"/>
          <w:szCs w:val="13"/>
          <w:color w:val="auto"/>
        </w:rPr>
        <w:t>In November 2007, we and Sanofi entered into a global, strategic collaboration to discover, develop, and commercialize fully human monoclonal antibodies. The collaboration is governed</w:t>
      </w:r>
      <w:r>
        <w:rPr>
          <w:rFonts w:ascii="Arial" w:cs="Arial" w:eastAsia="Arial" w:hAnsi="Arial"/>
          <w:sz w:val="13"/>
          <w:szCs w:val="13"/>
          <w:b w:val="1"/>
          <w:bCs w:val="1"/>
          <w:color w:val="auto"/>
        </w:rPr>
        <w:t xml:space="preserve"> </w:t>
      </w:r>
      <w:r>
        <w:rPr>
          <w:rFonts w:ascii="Arial" w:cs="Arial" w:eastAsia="Arial" w:hAnsi="Arial"/>
          <w:sz w:val="13"/>
          <w:szCs w:val="13"/>
          <w:color w:val="auto"/>
        </w:rPr>
        <w:t>by a Discovery and Preclinical Development Agreement and a License and Collaboration Agreement. In connection with the execution of the discovery agreement in 2007, we received a non-refundable, up-front payment of $85.0 million from Sanofi. Pursuant to the collaboration, Sanofi is funding our research to identify and validate potential drug discovery targets and develop fully human monoclonal antibodies against these targets. We lead the design and conduct of research activities under the collaboration, including target identification and validation, antibody development, research and preclinical activities through filing of an Investigational New Drug Application (IND) or its equivalent, toxicology studies, and manufacture of preclinical and clinical supplies.</w:t>
      </w:r>
    </w:p>
    <w:p>
      <w:pPr>
        <w:spacing w:after="0" w:line="179" w:lineRule="exact"/>
        <w:rPr>
          <w:sz w:val="20"/>
          <w:szCs w:val="20"/>
          <w:color w:val="auto"/>
        </w:rPr>
      </w:pPr>
    </w:p>
    <w:p>
      <w:pPr>
        <w:jc w:val="both"/>
        <w:ind w:firstLine="230"/>
        <w:spacing w:after="0" w:line="267" w:lineRule="auto"/>
        <w:rPr>
          <w:sz w:val="20"/>
          <w:szCs w:val="20"/>
          <w:color w:val="auto"/>
        </w:rPr>
      </w:pPr>
      <w:r>
        <w:rPr>
          <w:rFonts w:ascii="Arial" w:cs="Arial" w:eastAsia="Arial" w:hAnsi="Arial"/>
          <w:sz w:val="14"/>
          <w:szCs w:val="14"/>
          <w:color w:val="auto"/>
        </w:rPr>
        <w:t>For each drug candidate identified through discovery research under the discovery agreement, Sanofi has the option to license rights to the candidate under the license agreement. If it elects to do so, Sanofi will co-develop the drug candidate with us through product approval. Development costs for the drug candidate are shared between the companies, with Sanofi generally funding these costs up front, except that following receipt of the first positive Phase 3 trial results for a co-developed drug candidate, subsequent Phase 3 trial-related costs for that drug candidate are shared 80% by Sanofi and 20% by us. We are generally responsible for reimbursing Sanofi for half of the total development costs for all collaboration antibody products from our share of profits from commercialization of collaboration products to the extent they are sufficient for this purpose. However, we are not required to apply more than 10% of our share of the profits from collaboration products in any calendar quarter towards reimbursing Sanofi for these development costs.</w:t>
      </w:r>
    </w:p>
    <w:p>
      <w:pPr>
        <w:spacing w:after="0" w:line="198"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4"/>
          <w:szCs w:val="14"/>
          <w:color w:val="auto"/>
        </w:rPr>
        <w:t>Sanofi will lead commercialization activities for products developed under the license agreement, subject to our right to co-promote such products. The parties will equally share profits and losses from sales within the U.S. The parties will share profits outside the U.S. on a sliding scale based on sales starting at 65% (Sanofi)/35% (us) and ending at 55% (Sanofi)/45% (us), and will share losses outside the U.S. at 55% (Sanofi)/45% (us). In addition to profit sharing, we are entitled to receive up to $250 million in sales milestone payments, with milestone payments commencing after aggregate annual sales outside the U.S. exceed $1.0 billion on a rolling 12-month basis.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5" w:right="219" w:bottom="1440" w:gutter="0" w:footer="0" w:header="0"/>
        </w:sectPr>
      </w:pPr>
    </w:p>
    <w:bookmarkStart w:id="27" w:name="page28"/>
    <w:bookmarkEnd w:id="27"/>
    <w:p>
      <w:pPr>
        <w:jc w:val="both"/>
        <w:ind w:firstLine="241"/>
        <w:spacing w:after="0" w:line="299" w:lineRule="auto"/>
        <w:rPr>
          <w:sz w:val="20"/>
          <w:szCs w:val="20"/>
          <w:color w:val="auto"/>
        </w:rPr>
      </w:pPr>
      <w:r>
        <w:rPr>
          <w:rFonts w:ascii="Arial" w:cs="Arial" w:eastAsia="Arial" w:hAnsi="Arial"/>
          <w:sz w:val="14"/>
          <w:szCs w:val="14"/>
          <w:color w:val="auto"/>
        </w:rPr>
        <w:t>In November 2009, we and Sanofi amended these agreements to expand and extend our antibody collaboration. The goal of the expanded collaboration is to advance a total of approximately 30 new antibody product candidates into clinical development from 2010 through 2017.</w:t>
      </w:r>
    </w:p>
    <w:p>
      <w:pPr>
        <w:spacing w:after="0" w:line="173" w:lineRule="exact"/>
        <w:rPr>
          <w:sz w:val="20"/>
          <w:szCs w:val="20"/>
          <w:color w:val="auto"/>
        </w:rPr>
      </w:pPr>
    </w:p>
    <w:p>
      <w:pPr>
        <w:jc w:val="both"/>
        <w:ind w:firstLine="241"/>
        <w:spacing w:after="0" w:line="271" w:lineRule="auto"/>
        <w:rPr>
          <w:sz w:val="20"/>
          <w:szCs w:val="20"/>
          <w:color w:val="auto"/>
        </w:rPr>
      </w:pPr>
      <w:r>
        <w:rPr>
          <w:rFonts w:ascii="Arial" w:cs="Arial" w:eastAsia="Arial" w:hAnsi="Arial"/>
          <w:sz w:val="14"/>
          <w:szCs w:val="14"/>
          <w:color w:val="auto"/>
        </w:rPr>
        <w:t>Under the amended discovery agreement, Sanofi agreed to fund up to $160 million per year of our antibody discovery activities over the period from 2010-2017, subject to a one-time option for Sanofi to adjust the maximum reimbursement amount down to $120 million per year commencing in 2014 if over the prior two years certain specified criteria were not satisfied. Sanofi has an option to extend the discovery program for up to an additional three years after 2017 for further antibody development and preclinical activities. Pursuant to the collaboration, Sanofi is also obligated to fund up to $30 million of agreed-upon costs we incur to expand our manufacturing capacity at our Rensselaer, New York facilities.</w:t>
      </w:r>
    </w:p>
    <w:p>
      <w:pPr>
        <w:spacing w:after="0" w:line="194" w:lineRule="exact"/>
        <w:rPr>
          <w:sz w:val="20"/>
          <w:szCs w:val="20"/>
          <w:color w:val="auto"/>
        </w:rPr>
      </w:pPr>
    </w:p>
    <w:p>
      <w:pPr>
        <w:jc w:val="both"/>
        <w:ind w:firstLine="219"/>
        <w:spacing w:after="0" w:line="291" w:lineRule="auto"/>
        <w:rPr>
          <w:sz w:val="20"/>
          <w:szCs w:val="20"/>
          <w:color w:val="auto"/>
        </w:rPr>
      </w:pPr>
      <w:r>
        <w:rPr>
          <w:rFonts w:ascii="Arial" w:cs="Arial" w:eastAsia="Arial" w:hAnsi="Arial"/>
          <w:sz w:val="14"/>
          <w:szCs w:val="14"/>
          <w:color w:val="auto"/>
        </w:rPr>
        <w:t>In 2010, as we scaled up our capacity to conduct antibody discovery activities, Sanofi funded $137.7 million of our preclinical research under the expanded collaboration. The balance between that amount and $160 million, or $22.3 million, has been added to the funding otherwise available to us in 2011-2012 under the amended discovery agreement.</w:t>
      </w:r>
    </w:p>
    <w:p>
      <w:pPr>
        <w:spacing w:after="0" w:line="180" w:lineRule="exact"/>
        <w:rPr>
          <w:sz w:val="20"/>
          <w:szCs w:val="20"/>
          <w:color w:val="auto"/>
        </w:rPr>
      </w:pPr>
    </w:p>
    <w:p>
      <w:pPr>
        <w:jc w:val="both"/>
        <w:ind w:firstLine="252"/>
        <w:spacing w:after="0" w:line="291" w:lineRule="auto"/>
        <w:rPr>
          <w:sz w:val="20"/>
          <w:szCs w:val="20"/>
          <w:color w:val="auto"/>
        </w:rPr>
      </w:pPr>
      <w:r>
        <w:rPr>
          <w:rFonts w:ascii="Arial" w:cs="Arial" w:eastAsia="Arial" w:hAnsi="Arial"/>
          <w:sz w:val="14"/>
          <w:szCs w:val="14"/>
          <w:color w:val="auto"/>
        </w:rPr>
        <w:t>From the collaboration's inception in November 2007 through September 30, 2011, Sanofi has funded a total of $435.3 million of our costs under the discovery agreement and a total of $364.9 million of our development costs under the license agreement, or a total of $800.2 million in funding for our antibody research and development activities during this period.</w:t>
      </w:r>
    </w:p>
    <w:p>
      <w:pPr>
        <w:spacing w:after="0" w:line="178" w:lineRule="exact"/>
        <w:rPr>
          <w:sz w:val="20"/>
          <w:szCs w:val="20"/>
          <w:color w:val="auto"/>
        </w:rPr>
      </w:pPr>
    </w:p>
    <w:p>
      <w:pPr>
        <w:jc w:val="both"/>
        <w:ind w:firstLine="219"/>
        <w:spacing w:after="0" w:line="267" w:lineRule="auto"/>
        <w:rPr>
          <w:sz w:val="20"/>
          <w:szCs w:val="20"/>
          <w:color w:val="auto"/>
        </w:rPr>
      </w:pPr>
      <w:r>
        <w:rPr>
          <w:rFonts w:ascii="Arial" w:cs="Arial" w:eastAsia="Arial" w:hAnsi="Arial"/>
          <w:sz w:val="13"/>
          <w:szCs w:val="13"/>
          <w:color w:val="auto"/>
        </w:rPr>
        <w:t xml:space="preserve">In August 2008, we entered into an agreement with Sanofi to use our </w:t>
      </w:r>
      <w:r>
        <w:rPr>
          <w:rFonts w:ascii="Arial" w:cs="Arial" w:eastAsia="Arial" w:hAnsi="Arial"/>
          <w:sz w:val="13"/>
          <w:szCs w:val="13"/>
          <w:i w:val="1"/>
          <w:iCs w:val="1"/>
          <w:color w:val="auto"/>
        </w:rPr>
        <w:t>VelociGene</w:t>
      </w:r>
      <w:r>
        <w:rPr>
          <w:rFonts w:ascii="Arial" w:cs="Arial" w:eastAsia="Arial" w:hAnsi="Arial"/>
          <w:sz w:val="17"/>
          <w:szCs w:val="17"/>
          <w:i w:val="1"/>
          <w:iCs w:val="1"/>
          <w:color w:val="auto"/>
          <w:vertAlign w:val="superscript"/>
        </w:rPr>
        <w:t>®</w:t>
      </w:r>
      <w:r>
        <w:rPr>
          <w:rFonts w:ascii="Arial" w:cs="Arial" w:eastAsia="Arial" w:hAnsi="Arial"/>
          <w:sz w:val="13"/>
          <w:szCs w:val="13"/>
          <w:color w:val="auto"/>
        </w:rPr>
        <w:t xml:space="preserve"> platform to supply Sanofi with genetically modified mammalian models of gene function and disease. Under this agreement, Sanofi is required to pay us a minimum of $21.5 million for the term of the agreement, which extends through December 2012, for knock-out and transgenic models of gene function for target genes identified by Sanofi. Sanofi will use these models for its internal research programs that are outside of the scope of our antibody collaboration.</w:t>
      </w:r>
    </w:p>
    <w:p>
      <w:pPr>
        <w:spacing w:after="0" w:line="194" w:lineRule="exact"/>
        <w:rPr>
          <w:sz w:val="20"/>
          <w:szCs w:val="20"/>
          <w:color w:val="auto"/>
        </w:rPr>
      </w:pPr>
    </w:p>
    <w:p>
      <w:pPr>
        <w:jc w:val="both"/>
        <w:ind w:firstLine="219"/>
        <w:spacing w:after="0" w:line="283" w:lineRule="auto"/>
        <w:rPr>
          <w:sz w:val="20"/>
          <w:szCs w:val="20"/>
          <w:color w:val="auto"/>
        </w:rPr>
      </w:pPr>
      <w:r>
        <w:rPr>
          <w:rFonts w:ascii="Arial" w:cs="Arial" w:eastAsia="Arial" w:hAnsi="Arial"/>
          <w:sz w:val="13"/>
          <w:szCs w:val="13"/>
          <w:b w:val="1"/>
          <w:bCs w:val="1"/>
          <w:color w:val="auto"/>
        </w:rPr>
        <w:t xml:space="preserve">Astellas Pharma Inc. </w:t>
      </w:r>
      <w:r>
        <w:rPr>
          <w:rFonts w:ascii="Arial" w:cs="Arial" w:eastAsia="Arial" w:hAnsi="Arial"/>
          <w:sz w:val="13"/>
          <w:szCs w:val="13"/>
          <w:color w:val="auto"/>
        </w:rPr>
        <w:t>In March 2007, we entered into a six-year, non-exclusive license agreement with Astellas Pharma Inc. to allow Astellas to utilize our</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VelocImmune</w:t>
      </w:r>
      <w:r>
        <w:rPr>
          <w:rFonts w:ascii="Arial" w:cs="Arial" w:eastAsia="Arial" w:hAnsi="Arial"/>
          <w:sz w:val="17"/>
          <w:szCs w:val="17"/>
          <w:i w:val="1"/>
          <w:iCs w:val="1"/>
          <w:color w:val="auto"/>
          <w:vertAlign w:val="superscript"/>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technology in its internal</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research programs to discover human monoclonal antibodies. Under the terms of the agreement, Astellas made a $20.0 million annual, non-refundable payment to us in each of the second quarters of 2007, 2008, 2009, and 2010. In July 2010, the license agreement with Astellas was amended and extended through June 2023. Under the terms of the amended agreement, Astellas made a $165.0 million up-front payment to us in August 2010. In addition, Astellas will make a $130.0 million second payment to us in June 2018 unless the license agreement has been terminated prior to that date. Astellas has the right to terminate the agreement at any time by providing 90 days’ advance written notice. Under certain limited circumstances, such as our material breach of the agreement, Astellas may terminate the agreement and receive a refund of a portion of its up-front payment or, if such termination occurs after June 2018, a portion of its second payment, to us under the July 2010 amendment to the agreement. We are entitled to receive a mid-single-digit royalty on any future sales of antibody products discovered by Astellas using our </w:t>
      </w:r>
      <w:r>
        <w:rPr>
          <w:rFonts w:ascii="Arial" w:cs="Arial" w:eastAsia="Arial" w:hAnsi="Arial"/>
          <w:sz w:val="13"/>
          <w:szCs w:val="13"/>
          <w:i w:val="1"/>
          <w:iCs w:val="1"/>
          <w:color w:val="auto"/>
        </w:rPr>
        <w:t>VelocImmune</w:t>
      </w:r>
      <w:r>
        <w:rPr>
          <w:rFonts w:ascii="Arial" w:cs="Arial" w:eastAsia="Arial" w:hAnsi="Arial"/>
          <w:sz w:val="17"/>
          <w:szCs w:val="17"/>
          <w:i w:val="1"/>
          <w:iCs w:val="1"/>
          <w:color w:val="auto"/>
          <w:vertAlign w:val="superscript"/>
        </w:rPr>
        <w:t>®</w:t>
      </w:r>
      <w:r>
        <w:rPr>
          <w:rFonts w:ascii="Arial" w:cs="Arial" w:eastAsia="Arial" w:hAnsi="Arial"/>
          <w:sz w:val="13"/>
          <w:szCs w:val="13"/>
          <w:color w:val="auto"/>
        </w:rPr>
        <w:t xml:space="preserve"> technology.</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Royalty Agreement with Novartis Pharma AG</w:t>
      </w:r>
    </w:p>
    <w:p>
      <w:pPr>
        <w:spacing w:after="0" w:line="238" w:lineRule="exact"/>
        <w:rPr>
          <w:sz w:val="20"/>
          <w:szCs w:val="20"/>
          <w:color w:val="auto"/>
        </w:rPr>
      </w:pPr>
    </w:p>
    <w:p>
      <w:pPr>
        <w:jc w:val="both"/>
        <w:ind w:firstLine="230"/>
        <w:spacing w:after="0" w:line="267" w:lineRule="auto"/>
        <w:rPr>
          <w:sz w:val="20"/>
          <w:szCs w:val="20"/>
          <w:color w:val="auto"/>
        </w:rPr>
      </w:pPr>
      <w:r>
        <w:rPr>
          <w:rFonts w:ascii="Arial" w:cs="Arial" w:eastAsia="Arial" w:hAnsi="Arial"/>
          <w:sz w:val="14"/>
          <w:szCs w:val="14"/>
          <w:color w:val="auto"/>
        </w:rPr>
        <w:t>Under a June 2009 agreement with Novartis (that replaced a previous collaboration and license agreement), we receive royalties on worldwide sales of Novartis’ canakinumab, a fully human anti-interleukin-IL1ß antibody. The royalty rates in the agreement start at 4% and reach 15% when annual sales exceed $1.5 billion. Canakinumab is marketed for the treatment of CAPS, has completed Phase 3 development for gout, and is in earlier stage development for atherosclerosis and other inflammatory diseases. While our royalties under this agreement could be significant if canakinumab is approved and successfully commercialized for additional disease indications, to date these royalties have been minimal. We are unable to predict whether canakinumab will be approved for gout or any other indication in addition to CAPS, or whether, even if approved, canakinumab for such indication(s) will be successfully commercialized. Accordingly, we are unable to predict whether these royalties will ever contribute materially to our results of operations or financial condition.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6" w:right="21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color w:val="auto"/>
        </w:rPr>
        <w:t>National Institutes of Health Grant</w:t>
      </w:r>
    </w:p>
    <w:p>
      <w:pPr>
        <w:spacing w:after="0" w:line="216" w:lineRule="exact"/>
        <w:rPr>
          <w:sz w:val="20"/>
          <w:szCs w:val="20"/>
          <w:color w:val="auto"/>
        </w:rPr>
      </w:pPr>
    </w:p>
    <w:p>
      <w:pPr>
        <w:jc w:val="both"/>
        <w:ind w:firstLine="241"/>
        <w:spacing w:after="0" w:line="307" w:lineRule="auto"/>
        <w:rPr>
          <w:sz w:val="20"/>
          <w:szCs w:val="20"/>
          <w:color w:val="auto"/>
        </w:rPr>
      </w:pPr>
      <w:r>
        <w:rPr>
          <w:rFonts w:ascii="Arial" w:cs="Arial" w:eastAsia="Arial" w:hAnsi="Arial"/>
          <w:sz w:val="13"/>
          <w:szCs w:val="13"/>
          <w:color w:val="auto"/>
        </w:rPr>
        <w:t>In September 2006, we were awarded a five-year grant from the National Institutes of Health (NIH) as part of the NIH’s Knockout Mouse Project. The goal of the Knockout Mouse Project is to build a comprehensive and broadly available resource of knockout mice to accelerate the understanding of gene function and human diseases. Under the NIH grant, as amended, $24.6 million has been received or is receivable from the grant’s inception as of September 30, 2011 and we are entitled to receive an additional $0.7 million through the remaining term of the grant.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Programs</w:t>
      </w:r>
    </w:p>
    <w:p>
      <w:pPr>
        <w:spacing w:after="0" w:line="238" w:lineRule="exact"/>
        <w:rPr>
          <w:sz w:val="20"/>
          <w:szCs w:val="20"/>
          <w:color w:val="auto"/>
        </w:rPr>
      </w:pPr>
    </w:p>
    <w:p>
      <w:pPr>
        <w:jc w:val="both"/>
        <w:ind w:firstLine="219"/>
        <w:spacing w:after="0" w:line="291" w:lineRule="auto"/>
        <w:rPr>
          <w:sz w:val="20"/>
          <w:szCs w:val="20"/>
          <w:color w:val="auto"/>
        </w:rPr>
      </w:pPr>
      <w:r>
        <w:rPr>
          <w:rFonts w:ascii="Arial" w:cs="Arial" w:eastAsia="Arial" w:hAnsi="Arial"/>
          <w:sz w:val="14"/>
          <w:szCs w:val="14"/>
          <w:color w:val="auto"/>
        </w:rPr>
        <w:t>Our preclinical research programs are in the areas of oncology and angiogenesis, ophthalmology, metabolic and related diseases, muscle diseases and disorders, inflammation and immune diseases, bone and cartilage, pain, cardiovascular diseases, and infectious diseases.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General:</w:t>
      </w:r>
    </w:p>
    <w:p>
      <w:pPr>
        <w:spacing w:after="0" w:line="23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4"/>
          <w:szCs w:val="14"/>
          <w:color w:val="auto"/>
        </w:rPr>
        <w:t>Developing and commercializing new medicines entails significant risk and expense. Since inception we have not generated any significant sales or profits from the commercialization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or any of our other product candidates. Before significant revenues from the commercialization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or our other product candidates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209" w:lineRule="exact"/>
        <w:rPr>
          <w:sz w:val="20"/>
          <w:szCs w:val="20"/>
          <w:color w:val="auto"/>
        </w:rPr>
      </w:pPr>
    </w:p>
    <w:p>
      <w:pPr>
        <w:jc w:val="both"/>
        <w:ind w:firstLine="241"/>
        <w:spacing w:after="0" w:line="235" w:lineRule="auto"/>
        <w:rPr>
          <w:sz w:val="20"/>
          <w:szCs w:val="20"/>
          <w:color w:val="auto"/>
        </w:rPr>
      </w:pPr>
      <w:r>
        <w:rPr>
          <w:rFonts w:ascii="Arial" w:cs="Arial" w:eastAsia="Arial" w:hAnsi="Arial"/>
          <w:sz w:val="14"/>
          <w:szCs w:val="14"/>
          <w:color w:val="auto"/>
        </w:rPr>
        <w:t>From inception on January 8, 1988 through September 30, 2011, we had a cumulative loss of $1.2 billion, principally related to our research and development activities. We expect to continue to incur substantial expenses related to our research and development activities, a significant portion of which we expect to be reimbursed by our collaborators. We submitted a BLA to the FDA in February 2011 for marketing approval of EYLEA</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in wet AMD in the U.S. In April 2011, the FDA accepted the BLA for filing and granted our request for Priority Review. In August 2011, Regeneron announced that we received notification from the FDA that the agency had extended its target date to complete the priority review of our BLA for EYLEA</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to November 18, 2011</w:t>
      </w:r>
      <w:r>
        <w:rPr>
          <w:rFonts w:ascii="Arial" w:cs="Arial" w:eastAsia="Arial" w:hAnsi="Arial"/>
          <w:sz w:val="13"/>
          <w:szCs w:val="13"/>
          <w:color w:val="auto"/>
        </w:rPr>
        <w:t>, which</w:t>
      </w:r>
      <w:r>
        <w:rPr>
          <w:rFonts w:ascii="Arial" w:cs="Arial" w:eastAsia="Arial" w:hAnsi="Arial"/>
          <w:sz w:val="14"/>
          <w:szCs w:val="14"/>
          <w:color w:val="auto"/>
        </w:rPr>
        <w:t xml:space="preserve"> </w:t>
      </w:r>
      <w:r>
        <w:rPr>
          <w:rFonts w:ascii="Arial" w:cs="Arial" w:eastAsia="Arial" w:hAnsi="Arial"/>
          <w:sz w:val="13"/>
          <w:szCs w:val="13"/>
          <w:color w:val="auto"/>
        </w:rPr>
        <w:t>is a three month extension from the original PDUFA action date. The extension is a result of the agency classifying our responses to questions regarding the CMC section of the BLA as a major amendment to the BLA. The new action date provides the agency additional time to review the information submitted. In June 2011, Bayer HealthCare submitted regulatory applications for marketing approval of EYLEA</w:t>
      </w:r>
      <w:r>
        <w:rPr>
          <w:rFonts w:ascii="Arial" w:cs="Arial" w:eastAsia="Arial" w:hAnsi="Arial"/>
          <w:sz w:val="18"/>
          <w:szCs w:val="18"/>
          <w:color w:val="auto"/>
          <w:vertAlign w:val="superscript"/>
        </w:rPr>
        <w:t>TM</w:t>
      </w:r>
      <w:r>
        <w:rPr>
          <w:rFonts w:ascii="Arial" w:cs="Arial" w:eastAsia="Arial" w:hAnsi="Arial"/>
          <w:sz w:val="13"/>
          <w:szCs w:val="13"/>
          <w:color w:val="auto"/>
        </w:rPr>
        <w:t xml:space="preserve"> in wet AMD in the European Union and in Japan. We intend to submit a BLA to the FDA by the end of 2011 for marketing approval of EYLEA</w:t>
      </w:r>
      <w:r>
        <w:rPr>
          <w:rFonts w:ascii="Arial" w:cs="Arial" w:eastAsia="Arial" w:hAnsi="Arial"/>
          <w:sz w:val="18"/>
          <w:szCs w:val="18"/>
          <w:color w:val="auto"/>
          <w:vertAlign w:val="superscript"/>
        </w:rPr>
        <w:t>TM</w:t>
      </w:r>
      <w:r>
        <w:rPr>
          <w:rFonts w:ascii="Arial" w:cs="Arial" w:eastAsia="Arial" w:hAnsi="Arial"/>
          <w:sz w:val="13"/>
          <w:szCs w:val="13"/>
          <w:color w:val="auto"/>
        </w:rPr>
        <w:t xml:space="preserve"> in CRVO in the U.S., and Bayer HealthCare is planning to submit regulatory applications for marketing approval of EYLEA</w:t>
      </w:r>
      <w:r>
        <w:rPr>
          <w:rFonts w:ascii="Arial" w:cs="Arial" w:eastAsia="Arial" w:hAnsi="Arial"/>
          <w:sz w:val="18"/>
          <w:szCs w:val="18"/>
          <w:color w:val="auto"/>
          <w:vertAlign w:val="superscript"/>
        </w:rPr>
        <w:t>TM</w:t>
      </w:r>
      <w:r>
        <w:rPr>
          <w:rFonts w:ascii="Arial" w:cs="Arial" w:eastAsia="Arial" w:hAnsi="Arial"/>
          <w:sz w:val="13"/>
          <w:szCs w:val="13"/>
          <w:color w:val="auto"/>
        </w:rPr>
        <w:t xml:space="preserve"> in CRVO in Europe in 2012. We have also submitted a supplemental BLA for marketing approval in the U.S. of ARCALYST</w:t>
      </w:r>
      <w:r>
        <w:rPr>
          <w:rFonts w:ascii="Arial" w:cs="Arial" w:eastAsia="Arial" w:hAnsi="Arial"/>
          <w:sz w:val="18"/>
          <w:szCs w:val="18"/>
          <w:color w:val="auto"/>
          <w:vertAlign w:val="superscript"/>
        </w:rPr>
        <w:t>®</w:t>
      </w:r>
      <w:r>
        <w:rPr>
          <w:rFonts w:ascii="Arial" w:cs="Arial" w:eastAsia="Arial" w:hAnsi="Arial"/>
          <w:sz w:val="13"/>
          <w:szCs w:val="13"/>
          <w:color w:val="auto"/>
        </w:rPr>
        <w:t xml:space="preserve"> for the prevention of gout flares in patients initiating uric acid-lowering therapy. We and Sanofi plan to submit regulatory applications for marketing approval of ZALTRAP</w:t>
      </w:r>
      <w:r>
        <w:rPr>
          <w:rFonts w:ascii="Arial" w:cs="Arial" w:eastAsia="Arial" w:hAnsi="Arial"/>
          <w:sz w:val="18"/>
          <w:szCs w:val="18"/>
          <w:color w:val="auto"/>
          <w:vertAlign w:val="superscript"/>
        </w:rPr>
        <w:t>®</w:t>
      </w:r>
      <w:r>
        <w:rPr>
          <w:rFonts w:ascii="Arial" w:cs="Arial" w:eastAsia="Arial" w:hAnsi="Arial"/>
          <w:sz w:val="13"/>
          <w:szCs w:val="13"/>
          <w:color w:val="auto"/>
        </w:rPr>
        <w:t xml:space="preserve"> for the treatment of patients with previously treated mCRC to the FDA and the EMA by the end of 2011.</w:t>
      </w:r>
    </w:p>
    <w:p>
      <w:pPr>
        <w:spacing w:after="0" w:line="139" w:lineRule="exact"/>
        <w:rPr>
          <w:sz w:val="20"/>
          <w:szCs w:val="20"/>
          <w:color w:val="auto"/>
        </w:rPr>
      </w:pPr>
    </w:p>
    <w:p>
      <w:pPr>
        <w:jc w:val="both"/>
        <w:ind w:firstLine="230"/>
        <w:spacing w:after="0" w:line="252" w:lineRule="auto"/>
        <w:rPr>
          <w:sz w:val="20"/>
          <w:szCs w:val="20"/>
          <w:color w:val="auto"/>
        </w:rPr>
      </w:pPr>
      <w:r>
        <w:rPr>
          <w:rFonts w:ascii="Arial" w:cs="Arial" w:eastAsia="Arial" w:hAnsi="Arial"/>
          <w:sz w:val="14"/>
          <w:szCs w:val="14"/>
          <w:color w:val="auto"/>
        </w:rPr>
        <w:t>We expect to incur substantial costs to prepare for potential commercialization of these late-stage product candidates and, if one or more of these product candidates receive regulatory approval, to fund the launch of the product(s). Thus, we expect to continue to incur substantial operating losses over at least the next few years related primarily to our research and development and commercialization activities. Also, our research and development activities outside our collaborations, the costs of which are not reimbursed, may expand and require additional resources. Our losses may fluctuate from quarter to quarter and will depend on, among other factors, the scope and progress of our research and development efforts, the progress of our efforts to commercialize our late-stage product candidates, the timing of certain expenses, and the amount of reimbursement that we receive from collaborators. We cannot predict whether or when our late-stage product candidates, including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wet AMD, will receive regulatory approval or, if such approval is received, whether we will be able to successfully commercialize such product(s), or if we do commercialize such product(s), whether or when they may become profitable.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29" w:name="page30"/>
    <w:bookmarkEnd w:id="29"/>
    <w:p>
      <w:pPr>
        <w:ind w:right="40" w:firstLine="219"/>
        <w:spacing w:after="0" w:line="291" w:lineRule="auto"/>
        <w:rPr>
          <w:sz w:val="20"/>
          <w:szCs w:val="20"/>
          <w:color w:val="auto"/>
        </w:rPr>
      </w:pPr>
      <w:r>
        <w:rPr>
          <w:rFonts w:ascii="Arial" w:cs="Arial" w:eastAsia="Arial" w:hAnsi="Arial"/>
          <w:sz w:val="14"/>
          <w:szCs w:val="14"/>
          <w:color w:val="auto"/>
        </w:rPr>
        <w:t>The planning, execution, and results of our clinical programs are significant factors that can affect our operating and financial results. In our clinical programs, key events in 2011 to date were, and plans for the next 12 months are, as follows:</w:t>
      </w:r>
    </w:p>
    <w:p>
      <w:pPr>
        <w:spacing w:after="0" w:line="143"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2011-12 Plans</w:t>
      </w:r>
    </w:p>
    <w:p>
      <w:pPr>
        <w:spacing w:after="0" w:line="36" w:lineRule="exact"/>
        <w:rPr>
          <w:sz w:val="20"/>
          <w:szCs w:val="20"/>
          <w:color w:val="auto"/>
        </w:rPr>
      </w:pPr>
    </w:p>
    <w:p>
      <w:pPr>
        <w:ind w:left="1320"/>
        <w:spacing w:after="0"/>
        <w:tabs>
          <w:tab w:leader="none" w:pos="5100" w:val="left"/>
          <w:tab w:leader="none" w:pos="9080" w:val="left"/>
        </w:tabs>
        <w:rPr>
          <w:sz w:val="20"/>
          <w:szCs w:val="20"/>
          <w:color w:val="auto"/>
        </w:rPr>
      </w:pPr>
      <w:r>
        <w:rPr>
          <w:rFonts w:ascii="Arial" w:cs="Arial" w:eastAsia="Arial" w:hAnsi="Arial"/>
          <w:sz w:val="14"/>
          <w:szCs w:val="14"/>
          <w:b w:val="1"/>
          <w:bCs w:val="1"/>
          <w:color w:val="auto"/>
        </w:rPr>
        <w:t>Clinical Program</w:t>
      </w:r>
      <w:r>
        <w:rPr>
          <w:sz w:val="20"/>
          <w:szCs w:val="20"/>
          <w:color w:val="auto"/>
        </w:rPr>
        <w:tab/>
      </w:r>
      <w:r>
        <w:rPr>
          <w:rFonts w:ascii="Arial" w:cs="Arial" w:eastAsia="Arial" w:hAnsi="Arial"/>
          <w:sz w:val="14"/>
          <w:szCs w:val="14"/>
          <w:b w:val="1"/>
          <w:bCs w:val="1"/>
          <w:color w:val="auto"/>
        </w:rPr>
        <w:t>2011 Events to Date</w:t>
      </w:r>
      <w:r>
        <w:rPr>
          <w:sz w:val="20"/>
          <w:szCs w:val="20"/>
          <w:color w:val="auto"/>
        </w:rPr>
        <w:tab/>
      </w:r>
      <w:r>
        <w:rPr>
          <w:rFonts w:ascii="Arial" w:cs="Arial" w:eastAsia="Arial" w:hAnsi="Arial"/>
          <w:sz w:val="12"/>
          <w:szCs w:val="12"/>
          <w:b w:val="1"/>
          <w:bCs w:val="1"/>
          <w:color w:val="auto"/>
        </w:rPr>
        <w:t>(next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7202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6985"/>
                    </a:xfrm>
                    <a:prstGeom prst="rect">
                      <a:avLst/>
                    </a:prstGeom>
                    <a:noFill/>
                  </pic:spPr>
                </pic:pic>
              </a:graphicData>
            </a:graphic>
          </wp:anchor>
        </w:drawing>
      </w:r>
    </w:p>
    <w:p>
      <w:pPr>
        <w:sectPr>
          <w:pgSz w:w="11900" w:h="16838" w:orient="portrait"/>
          <w:cols w:equalWidth="0" w:num="1">
            <w:col w:w="11440"/>
          </w:cols>
          <w:pgMar w:left="220" w:top="549" w:right="239" w:bottom="1440" w:gutter="0" w:footer="0" w:header="0"/>
        </w:sectPr>
      </w:pP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20"/>
                <w:szCs w:val="20"/>
                <w:color w:val="auto"/>
              </w:rPr>
            </w:pPr>
            <w:r>
              <w:rPr>
                <w:rFonts w:ascii="Arial" w:cs="Arial" w:eastAsia="Arial" w:hAnsi="Arial"/>
                <w:sz w:val="14"/>
                <w:szCs w:val="14"/>
                <w:color w:val="auto"/>
              </w:rPr>
              <w:t>EYLEA</w:t>
            </w:r>
            <w:r>
              <w:rPr>
                <w:rFonts w:ascii="Arial" w:cs="Arial" w:eastAsia="Arial" w:hAnsi="Arial"/>
                <w:sz w:val="8"/>
                <w:szCs w:val="8"/>
                <w:color w:val="auto"/>
              </w:rPr>
              <w:t>TM</w:t>
            </w:r>
          </w:p>
        </w:tc>
        <w:tc>
          <w:tcPr>
            <w:tcW w:w="4920" w:type="dxa"/>
            <w:vAlign w:val="bottom"/>
          </w:tcPr>
          <w:p>
            <w:pPr>
              <w:ind w:left="1960"/>
              <w:spacing w:after="0"/>
              <w:rPr>
                <w:sz w:val="20"/>
                <w:szCs w:val="20"/>
                <w:color w:val="auto"/>
              </w:rPr>
            </w:pPr>
            <w:r>
              <w:rPr>
                <w:rFonts w:ascii="Arial" w:cs="Arial" w:eastAsia="Arial" w:hAnsi="Arial"/>
                <w:sz w:val="14"/>
                <w:szCs w:val="14"/>
                <w:color w:val="auto"/>
                <w:w w:val="93"/>
              </w:rPr>
              <w:t>Submitted a BLA to the U.S. FDA for the treatment</w:t>
            </w:r>
          </w:p>
        </w:tc>
      </w:tr>
      <w:tr>
        <w:trPr>
          <w:trHeight w:val="208"/>
        </w:trPr>
        <w:tc>
          <w:tcPr>
            <w:tcW w:w="2580" w:type="dxa"/>
            <w:vAlign w:val="bottom"/>
          </w:tcPr>
          <w:p>
            <w:pPr>
              <w:spacing w:after="0"/>
              <w:rPr>
                <w:sz w:val="18"/>
                <w:szCs w:val="18"/>
                <w:color w:val="auto"/>
              </w:rPr>
            </w:pPr>
          </w:p>
        </w:tc>
        <w:tc>
          <w:tcPr>
            <w:tcW w:w="4920" w:type="dxa"/>
            <w:vAlign w:val="bottom"/>
          </w:tcPr>
          <w:p>
            <w:pPr>
              <w:ind w:left="1960"/>
              <w:spacing w:after="0"/>
              <w:rPr>
                <w:sz w:val="20"/>
                <w:szCs w:val="20"/>
                <w:color w:val="auto"/>
              </w:rPr>
            </w:pPr>
            <w:r>
              <w:rPr>
                <w:rFonts w:ascii="Arial" w:cs="Arial" w:eastAsia="Arial" w:hAnsi="Arial"/>
                <w:sz w:val="14"/>
                <w:szCs w:val="14"/>
                <w:color w:val="auto"/>
              </w:rPr>
              <w:t>of wet AMD</w:t>
            </w:r>
          </w:p>
        </w:tc>
      </w:tr>
      <w:tr>
        <w:trPr>
          <w:trHeight w:val="208"/>
        </w:trPr>
        <w:tc>
          <w:tcPr>
            <w:tcW w:w="2580" w:type="dxa"/>
            <w:vAlign w:val="bottom"/>
          </w:tcPr>
          <w:p>
            <w:pPr>
              <w:spacing w:after="0"/>
              <w:rPr>
                <w:sz w:val="18"/>
                <w:szCs w:val="18"/>
                <w:color w:val="auto"/>
              </w:rPr>
            </w:pPr>
          </w:p>
        </w:tc>
        <w:tc>
          <w:tcPr>
            <w:tcW w:w="4920" w:type="dxa"/>
            <w:vAlign w:val="bottom"/>
          </w:tcPr>
          <w:p>
            <w:pPr>
              <w:ind w:left="1960"/>
              <w:spacing w:after="0"/>
              <w:rPr>
                <w:sz w:val="20"/>
                <w:szCs w:val="20"/>
                <w:color w:val="auto"/>
              </w:rPr>
            </w:pPr>
            <w:r>
              <w:rPr>
                <w:rFonts w:ascii="Arial" w:cs="Arial" w:eastAsia="Arial" w:hAnsi="Arial"/>
                <w:sz w:val="14"/>
                <w:szCs w:val="14"/>
                <w:color w:val="auto"/>
                <w:w w:val="97"/>
              </w:rPr>
              <w:t>FDA accepted BLA for wet AMD and granted our</w:t>
            </w:r>
          </w:p>
        </w:tc>
      </w:tr>
      <w:tr>
        <w:trPr>
          <w:trHeight w:val="208"/>
        </w:trPr>
        <w:tc>
          <w:tcPr>
            <w:tcW w:w="2580" w:type="dxa"/>
            <w:vAlign w:val="bottom"/>
          </w:tcPr>
          <w:p>
            <w:pPr>
              <w:spacing w:after="0"/>
              <w:rPr>
                <w:sz w:val="18"/>
                <w:szCs w:val="18"/>
                <w:color w:val="auto"/>
              </w:rPr>
            </w:pPr>
          </w:p>
        </w:tc>
        <w:tc>
          <w:tcPr>
            <w:tcW w:w="4920" w:type="dxa"/>
            <w:vAlign w:val="bottom"/>
          </w:tcPr>
          <w:p>
            <w:pPr>
              <w:ind w:left="1960"/>
              <w:spacing w:after="0"/>
              <w:rPr>
                <w:sz w:val="20"/>
                <w:szCs w:val="20"/>
                <w:color w:val="auto"/>
              </w:rPr>
            </w:pPr>
            <w:r>
              <w:rPr>
                <w:rFonts w:ascii="Arial" w:cs="Arial" w:eastAsia="Arial" w:hAnsi="Arial"/>
                <w:sz w:val="14"/>
                <w:szCs w:val="14"/>
                <w:color w:val="auto"/>
              </w:rPr>
              <w:t>request for Priority Review</w:t>
            </w:r>
          </w:p>
        </w:tc>
      </w:tr>
      <w:tr>
        <w:trPr>
          <w:trHeight w:val="208"/>
        </w:trPr>
        <w:tc>
          <w:tcPr>
            <w:tcW w:w="2580" w:type="dxa"/>
            <w:vAlign w:val="bottom"/>
          </w:tcPr>
          <w:p>
            <w:pPr>
              <w:spacing w:after="0"/>
              <w:rPr>
                <w:sz w:val="18"/>
                <w:szCs w:val="18"/>
                <w:color w:val="auto"/>
              </w:rPr>
            </w:pPr>
          </w:p>
        </w:tc>
        <w:tc>
          <w:tcPr>
            <w:tcW w:w="4920" w:type="dxa"/>
            <w:vAlign w:val="bottom"/>
          </w:tcPr>
          <w:p>
            <w:pPr>
              <w:ind w:left="1960"/>
              <w:spacing w:after="0"/>
              <w:rPr>
                <w:sz w:val="20"/>
                <w:szCs w:val="20"/>
                <w:color w:val="auto"/>
              </w:rPr>
            </w:pPr>
            <w:r>
              <w:rPr>
                <w:rFonts w:ascii="Arial" w:cs="Arial" w:eastAsia="Arial" w:hAnsi="Arial"/>
                <w:sz w:val="14"/>
                <w:szCs w:val="14"/>
                <w:color w:val="auto"/>
              </w:rPr>
              <w:t>FDA Advisory Committee unanimously</w:t>
            </w:r>
          </w:p>
        </w:tc>
      </w:tr>
      <w:tr>
        <w:trPr>
          <w:trHeight w:val="208"/>
        </w:trPr>
        <w:tc>
          <w:tcPr>
            <w:tcW w:w="2580" w:type="dxa"/>
            <w:vAlign w:val="bottom"/>
          </w:tcPr>
          <w:p>
            <w:pPr>
              <w:spacing w:after="0"/>
              <w:rPr>
                <w:sz w:val="18"/>
                <w:szCs w:val="18"/>
                <w:color w:val="auto"/>
              </w:rPr>
            </w:pPr>
          </w:p>
        </w:tc>
        <w:tc>
          <w:tcPr>
            <w:tcW w:w="4920" w:type="dxa"/>
            <w:vAlign w:val="bottom"/>
          </w:tcPr>
          <w:p>
            <w:pPr>
              <w:ind w:left="1960"/>
              <w:spacing w:after="0"/>
              <w:rPr>
                <w:sz w:val="20"/>
                <w:szCs w:val="20"/>
                <w:color w:val="auto"/>
              </w:rPr>
            </w:pPr>
            <w:r>
              <w:rPr>
                <w:rFonts w:ascii="Arial" w:cs="Arial" w:eastAsia="Arial" w:hAnsi="Arial"/>
                <w:sz w:val="14"/>
                <w:szCs w:val="14"/>
                <w:color w:val="auto"/>
              </w:rPr>
              <w:t>recommended FDA approval of BLA for the</w:t>
            </w:r>
          </w:p>
        </w:tc>
      </w:tr>
      <w:tr>
        <w:trPr>
          <w:trHeight w:val="208"/>
        </w:trPr>
        <w:tc>
          <w:tcPr>
            <w:tcW w:w="2580" w:type="dxa"/>
            <w:vAlign w:val="bottom"/>
          </w:tcPr>
          <w:p>
            <w:pPr>
              <w:spacing w:after="0"/>
              <w:rPr>
                <w:sz w:val="18"/>
                <w:szCs w:val="18"/>
                <w:color w:val="auto"/>
              </w:rPr>
            </w:pPr>
          </w:p>
        </w:tc>
        <w:tc>
          <w:tcPr>
            <w:tcW w:w="4920" w:type="dxa"/>
            <w:vAlign w:val="bottom"/>
          </w:tcPr>
          <w:p>
            <w:pPr>
              <w:ind w:left="1960"/>
              <w:spacing w:after="0"/>
              <w:rPr>
                <w:sz w:val="20"/>
                <w:szCs w:val="20"/>
                <w:color w:val="auto"/>
              </w:rPr>
            </w:pPr>
            <w:r>
              <w:rPr>
                <w:rFonts w:ascii="Arial" w:cs="Arial" w:eastAsia="Arial" w:hAnsi="Arial"/>
                <w:sz w:val="14"/>
                <w:szCs w:val="14"/>
                <w:color w:val="auto"/>
              </w:rPr>
              <w:t>treatment of wet AMD</w:t>
            </w:r>
          </w:p>
        </w:tc>
      </w:tr>
      <w:tr>
        <w:trPr>
          <w:trHeight w:val="208"/>
        </w:trPr>
        <w:tc>
          <w:tcPr>
            <w:tcW w:w="2580" w:type="dxa"/>
            <w:vAlign w:val="bottom"/>
          </w:tcPr>
          <w:p>
            <w:pPr>
              <w:spacing w:after="0"/>
              <w:rPr>
                <w:sz w:val="18"/>
                <w:szCs w:val="18"/>
                <w:color w:val="auto"/>
              </w:rPr>
            </w:pPr>
          </w:p>
        </w:tc>
        <w:tc>
          <w:tcPr>
            <w:tcW w:w="4920" w:type="dxa"/>
            <w:vAlign w:val="bottom"/>
          </w:tcPr>
          <w:p>
            <w:pPr>
              <w:ind w:left="1960"/>
              <w:spacing w:after="0"/>
              <w:rPr>
                <w:sz w:val="20"/>
                <w:szCs w:val="20"/>
                <w:color w:val="auto"/>
              </w:rPr>
            </w:pPr>
            <w:r>
              <w:rPr>
                <w:rFonts w:ascii="Arial" w:cs="Arial" w:eastAsia="Arial" w:hAnsi="Arial"/>
                <w:sz w:val="14"/>
                <w:szCs w:val="14"/>
                <w:color w:val="auto"/>
                <w:w w:val="93"/>
              </w:rPr>
              <w:t>FDA extended the target date for a decision on the</w:t>
            </w:r>
          </w:p>
        </w:tc>
      </w:tr>
      <w:tr>
        <w:trPr>
          <w:trHeight w:val="208"/>
        </w:trPr>
        <w:tc>
          <w:tcPr>
            <w:tcW w:w="2580" w:type="dxa"/>
            <w:vAlign w:val="bottom"/>
          </w:tcPr>
          <w:p>
            <w:pPr>
              <w:spacing w:after="0"/>
              <w:rPr>
                <w:sz w:val="18"/>
                <w:szCs w:val="18"/>
                <w:color w:val="auto"/>
              </w:rPr>
            </w:pPr>
          </w:p>
        </w:tc>
        <w:tc>
          <w:tcPr>
            <w:tcW w:w="4920" w:type="dxa"/>
            <w:vAlign w:val="bottom"/>
          </w:tcPr>
          <w:p>
            <w:pPr>
              <w:ind w:left="1960"/>
              <w:spacing w:after="0"/>
              <w:rPr>
                <w:sz w:val="20"/>
                <w:szCs w:val="20"/>
                <w:color w:val="auto"/>
              </w:rPr>
            </w:pPr>
            <w:r>
              <w:rPr>
                <w:rFonts w:ascii="Arial" w:cs="Arial" w:eastAsia="Arial" w:hAnsi="Arial"/>
                <w:sz w:val="14"/>
                <w:szCs w:val="14"/>
                <w:color w:val="auto"/>
              </w:rPr>
              <w:t>BLA for the treatment of wet AMD to November</w:t>
            </w:r>
          </w:p>
        </w:tc>
      </w:tr>
      <w:tr>
        <w:trPr>
          <w:trHeight w:val="208"/>
        </w:trPr>
        <w:tc>
          <w:tcPr>
            <w:tcW w:w="2580" w:type="dxa"/>
            <w:vAlign w:val="bottom"/>
          </w:tcPr>
          <w:p>
            <w:pPr>
              <w:spacing w:after="0"/>
              <w:rPr>
                <w:sz w:val="18"/>
                <w:szCs w:val="18"/>
                <w:color w:val="auto"/>
              </w:rPr>
            </w:pPr>
          </w:p>
        </w:tc>
        <w:tc>
          <w:tcPr>
            <w:tcW w:w="4920" w:type="dxa"/>
            <w:vAlign w:val="bottom"/>
          </w:tcPr>
          <w:p>
            <w:pPr>
              <w:ind w:left="1960"/>
              <w:spacing w:after="0"/>
              <w:rPr>
                <w:sz w:val="20"/>
                <w:szCs w:val="20"/>
                <w:color w:val="auto"/>
              </w:rPr>
            </w:pPr>
            <w:r>
              <w:rPr>
                <w:rFonts w:ascii="Arial" w:cs="Arial" w:eastAsia="Arial" w:hAnsi="Arial"/>
                <w:sz w:val="14"/>
                <w:szCs w:val="14"/>
                <w:color w:val="auto"/>
              </w:rPr>
              <w:t>18, 2011</w:t>
            </w:r>
          </w:p>
        </w:tc>
      </w:tr>
      <w:tr>
        <w:trPr>
          <w:trHeight w:val="208"/>
        </w:trPr>
        <w:tc>
          <w:tcPr>
            <w:tcW w:w="2580" w:type="dxa"/>
            <w:vAlign w:val="bottom"/>
          </w:tcPr>
          <w:p>
            <w:pPr>
              <w:spacing w:after="0"/>
              <w:rPr>
                <w:sz w:val="18"/>
                <w:szCs w:val="18"/>
                <w:color w:val="auto"/>
              </w:rPr>
            </w:pPr>
          </w:p>
        </w:tc>
        <w:tc>
          <w:tcPr>
            <w:tcW w:w="4920" w:type="dxa"/>
            <w:vAlign w:val="bottom"/>
          </w:tcPr>
          <w:p>
            <w:pPr>
              <w:ind w:left="1960"/>
              <w:spacing w:after="0"/>
              <w:rPr>
                <w:sz w:val="20"/>
                <w:szCs w:val="20"/>
                <w:color w:val="auto"/>
              </w:rPr>
            </w:pPr>
            <w:r>
              <w:rPr>
                <w:rFonts w:ascii="Arial" w:cs="Arial" w:eastAsia="Arial" w:hAnsi="Arial"/>
                <w:sz w:val="14"/>
                <w:szCs w:val="14"/>
                <w:color w:val="auto"/>
                <w:w w:val="91"/>
              </w:rPr>
              <w:t>Bayer HealthCare submitted regulatory applications</w:t>
            </w:r>
          </w:p>
        </w:tc>
      </w:tr>
      <w:tr>
        <w:trPr>
          <w:trHeight w:val="208"/>
        </w:trPr>
        <w:tc>
          <w:tcPr>
            <w:tcW w:w="2580" w:type="dxa"/>
            <w:vAlign w:val="bottom"/>
          </w:tcPr>
          <w:p>
            <w:pPr>
              <w:spacing w:after="0"/>
              <w:rPr>
                <w:sz w:val="18"/>
                <w:szCs w:val="18"/>
                <w:color w:val="auto"/>
              </w:rPr>
            </w:pPr>
          </w:p>
        </w:tc>
        <w:tc>
          <w:tcPr>
            <w:tcW w:w="4920" w:type="dxa"/>
            <w:vAlign w:val="bottom"/>
          </w:tcPr>
          <w:p>
            <w:pPr>
              <w:ind w:left="1960"/>
              <w:spacing w:after="0"/>
              <w:rPr>
                <w:sz w:val="20"/>
                <w:szCs w:val="20"/>
                <w:color w:val="auto"/>
              </w:rPr>
            </w:pPr>
            <w:r>
              <w:rPr>
                <w:rFonts w:ascii="Arial" w:cs="Arial" w:eastAsia="Arial" w:hAnsi="Arial"/>
                <w:sz w:val="14"/>
                <w:szCs w:val="14"/>
                <w:color w:val="auto"/>
              </w:rPr>
              <w:t>for marketing approval for EYLEA</w:t>
            </w:r>
            <w:r>
              <w:rPr>
                <w:rFonts w:ascii="Arial" w:cs="Arial" w:eastAsia="Arial" w:hAnsi="Arial"/>
                <w:sz w:val="9"/>
                <w:szCs w:val="9"/>
                <w:color w:val="auto"/>
              </w:rPr>
              <w:t>TM</w:t>
            </w:r>
            <w:r>
              <w:rPr>
                <w:rFonts w:ascii="Arial" w:cs="Arial" w:eastAsia="Arial" w:hAnsi="Arial"/>
                <w:sz w:val="14"/>
                <w:szCs w:val="14"/>
                <w:color w:val="auto"/>
              </w:rPr>
              <w:t xml:space="preserve"> for the</w:t>
            </w:r>
          </w:p>
        </w:tc>
      </w:tr>
      <w:tr>
        <w:trPr>
          <w:trHeight w:val="219"/>
        </w:trPr>
        <w:tc>
          <w:tcPr>
            <w:tcW w:w="2580" w:type="dxa"/>
            <w:vAlign w:val="bottom"/>
          </w:tcPr>
          <w:p>
            <w:pPr>
              <w:spacing w:after="0"/>
              <w:rPr>
                <w:sz w:val="19"/>
                <w:szCs w:val="19"/>
                <w:color w:val="auto"/>
              </w:rPr>
            </w:pPr>
          </w:p>
        </w:tc>
        <w:tc>
          <w:tcPr>
            <w:tcW w:w="4920" w:type="dxa"/>
            <w:vAlign w:val="bottom"/>
          </w:tcPr>
          <w:p>
            <w:pPr>
              <w:ind w:left="1960"/>
              <w:spacing w:after="0"/>
              <w:rPr>
                <w:sz w:val="20"/>
                <w:szCs w:val="20"/>
                <w:color w:val="auto"/>
              </w:rPr>
            </w:pPr>
            <w:r>
              <w:rPr>
                <w:rFonts w:ascii="Arial" w:cs="Arial" w:eastAsia="Arial" w:hAnsi="Arial"/>
                <w:sz w:val="14"/>
                <w:szCs w:val="14"/>
                <w:color w:val="auto"/>
                <w:w w:val="96"/>
              </w:rPr>
              <w:t>treatment of wet AMD in the European Union and</w:t>
            </w:r>
          </w:p>
        </w:tc>
      </w:tr>
      <w:tr>
        <w:trPr>
          <w:trHeight w:val="208"/>
        </w:trPr>
        <w:tc>
          <w:tcPr>
            <w:tcW w:w="2580" w:type="dxa"/>
            <w:vAlign w:val="bottom"/>
          </w:tcPr>
          <w:p>
            <w:pPr>
              <w:spacing w:after="0"/>
              <w:rPr>
                <w:sz w:val="18"/>
                <w:szCs w:val="18"/>
                <w:color w:val="auto"/>
              </w:rPr>
            </w:pPr>
          </w:p>
        </w:tc>
        <w:tc>
          <w:tcPr>
            <w:tcW w:w="4920" w:type="dxa"/>
            <w:vAlign w:val="bottom"/>
          </w:tcPr>
          <w:p>
            <w:pPr>
              <w:ind w:left="1960"/>
              <w:spacing w:after="0"/>
              <w:rPr>
                <w:sz w:val="20"/>
                <w:szCs w:val="20"/>
                <w:color w:val="auto"/>
              </w:rPr>
            </w:pPr>
            <w:r>
              <w:rPr>
                <w:rFonts w:ascii="Arial" w:cs="Arial" w:eastAsia="Arial" w:hAnsi="Arial"/>
                <w:sz w:val="14"/>
                <w:szCs w:val="14"/>
                <w:color w:val="auto"/>
              </w:rPr>
              <w:t>Japan</w:t>
            </w:r>
          </w:p>
        </w:tc>
      </w:tr>
      <w:tr>
        <w:trPr>
          <w:trHeight w:val="208"/>
        </w:trPr>
        <w:tc>
          <w:tcPr>
            <w:tcW w:w="2580" w:type="dxa"/>
            <w:vAlign w:val="bottom"/>
          </w:tcPr>
          <w:p>
            <w:pPr>
              <w:spacing w:after="0"/>
              <w:rPr>
                <w:sz w:val="18"/>
                <w:szCs w:val="18"/>
                <w:color w:val="auto"/>
              </w:rPr>
            </w:pPr>
          </w:p>
        </w:tc>
        <w:tc>
          <w:tcPr>
            <w:tcW w:w="4920" w:type="dxa"/>
            <w:vAlign w:val="bottom"/>
          </w:tcPr>
          <w:p>
            <w:pPr>
              <w:ind w:left="1960"/>
              <w:spacing w:after="0"/>
              <w:rPr>
                <w:sz w:val="20"/>
                <w:szCs w:val="20"/>
                <w:color w:val="auto"/>
              </w:rPr>
            </w:pPr>
            <w:r>
              <w:rPr>
                <w:rFonts w:ascii="Arial" w:cs="Arial" w:eastAsia="Arial" w:hAnsi="Arial"/>
                <w:sz w:val="14"/>
                <w:szCs w:val="14"/>
                <w:color w:val="auto"/>
                <w:w w:val="94"/>
              </w:rPr>
              <w:t>Reported positive six-month results in the Phase 3</w:t>
            </w:r>
          </w:p>
        </w:tc>
      </w:tr>
      <w:tr>
        <w:trPr>
          <w:trHeight w:val="208"/>
        </w:trPr>
        <w:tc>
          <w:tcPr>
            <w:tcW w:w="2580" w:type="dxa"/>
            <w:vAlign w:val="bottom"/>
          </w:tcPr>
          <w:p>
            <w:pPr>
              <w:spacing w:after="0"/>
              <w:rPr>
                <w:sz w:val="18"/>
                <w:szCs w:val="18"/>
                <w:color w:val="auto"/>
              </w:rPr>
            </w:pPr>
          </w:p>
        </w:tc>
        <w:tc>
          <w:tcPr>
            <w:tcW w:w="4920" w:type="dxa"/>
            <w:vAlign w:val="bottom"/>
          </w:tcPr>
          <w:p>
            <w:pPr>
              <w:ind w:left="1960"/>
              <w:spacing w:after="0"/>
              <w:rPr>
                <w:sz w:val="20"/>
                <w:szCs w:val="20"/>
                <w:color w:val="auto"/>
              </w:rPr>
            </w:pPr>
            <w:r>
              <w:rPr>
                <w:rFonts w:ascii="Arial" w:cs="Arial" w:eastAsia="Arial" w:hAnsi="Arial"/>
                <w:sz w:val="14"/>
                <w:szCs w:val="14"/>
                <w:color w:val="auto"/>
              </w:rPr>
              <w:t>GALILEO trial in CRVO</w:t>
            </w:r>
          </w:p>
        </w:tc>
      </w:tr>
      <w:tr>
        <w:trPr>
          <w:trHeight w:val="208"/>
        </w:trPr>
        <w:tc>
          <w:tcPr>
            <w:tcW w:w="2580" w:type="dxa"/>
            <w:vAlign w:val="bottom"/>
          </w:tcPr>
          <w:p>
            <w:pPr>
              <w:spacing w:after="0"/>
              <w:rPr>
                <w:sz w:val="18"/>
                <w:szCs w:val="18"/>
                <w:color w:val="auto"/>
              </w:rPr>
            </w:pPr>
          </w:p>
        </w:tc>
        <w:tc>
          <w:tcPr>
            <w:tcW w:w="4920" w:type="dxa"/>
            <w:vAlign w:val="bottom"/>
          </w:tcPr>
          <w:p>
            <w:pPr>
              <w:ind w:left="1960"/>
              <w:spacing w:after="0"/>
              <w:rPr>
                <w:sz w:val="20"/>
                <w:szCs w:val="20"/>
                <w:color w:val="auto"/>
              </w:rPr>
            </w:pPr>
            <w:r>
              <w:rPr>
                <w:rFonts w:ascii="Arial" w:cs="Arial" w:eastAsia="Arial" w:hAnsi="Arial"/>
                <w:sz w:val="14"/>
                <w:szCs w:val="14"/>
                <w:color w:val="auto"/>
                <w:w w:val="94"/>
              </w:rPr>
              <w:t>Reported positive one-year data from the Phase 3</w:t>
            </w:r>
          </w:p>
        </w:tc>
      </w:tr>
      <w:tr>
        <w:trPr>
          <w:trHeight w:val="208"/>
        </w:trPr>
        <w:tc>
          <w:tcPr>
            <w:tcW w:w="2580" w:type="dxa"/>
            <w:vAlign w:val="bottom"/>
          </w:tcPr>
          <w:p>
            <w:pPr>
              <w:spacing w:after="0"/>
              <w:rPr>
                <w:sz w:val="18"/>
                <w:szCs w:val="18"/>
                <w:color w:val="auto"/>
              </w:rPr>
            </w:pPr>
          </w:p>
        </w:tc>
        <w:tc>
          <w:tcPr>
            <w:tcW w:w="4920" w:type="dxa"/>
            <w:vAlign w:val="bottom"/>
          </w:tcPr>
          <w:p>
            <w:pPr>
              <w:ind w:left="1960"/>
              <w:spacing w:after="0"/>
              <w:rPr>
                <w:sz w:val="20"/>
                <w:szCs w:val="20"/>
                <w:color w:val="auto"/>
              </w:rPr>
            </w:pPr>
            <w:r>
              <w:rPr>
                <w:rFonts w:ascii="Arial" w:cs="Arial" w:eastAsia="Arial" w:hAnsi="Arial"/>
                <w:sz w:val="14"/>
                <w:szCs w:val="14"/>
                <w:color w:val="auto"/>
              </w:rPr>
              <w:t>COPERICUS trial in CRVO</w:t>
            </w:r>
          </w:p>
        </w:tc>
      </w:tr>
      <w:tr>
        <w:trPr>
          <w:trHeight w:val="208"/>
        </w:trPr>
        <w:tc>
          <w:tcPr>
            <w:tcW w:w="2580" w:type="dxa"/>
            <w:vAlign w:val="bottom"/>
          </w:tcPr>
          <w:p>
            <w:pPr>
              <w:spacing w:after="0"/>
              <w:rPr>
                <w:sz w:val="18"/>
                <w:szCs w:val="18"/>
                <w:color w:val="auto"/>
              </w:rPr>
            </w:pPr>
          </w:p>
        </w:tc>
        <w:tc>
          <w:tcPr>
            <w:tcW w:w="4920" w:type="dxa"/>
            <w:vAlign w:val="bottom"/>
          </w:tcPr>
          <w:p>
            <w:pPr>
              <w:ind w:left="1960"/>
              <w:spacing w:after="0"/>
              <w:rPr>
                <w:sz w:val="20"/>
                <w:szCs w:val="20"/>
                <w:color w:val="auto"/>
              </w:rPr>
            </w:pPr>
            <w:r>
              <w:rPr>
                <w:rFonts w:ascii="Arial" w:cs="Arial" w:eastAsia="Arial" w:hAnsi="Arial"/>
                <w:sz w:val="14"/>
                <w:szCs w:val="14"/>
                <w:color w:val="auto"/>
              </w:rPr>
              <w:t>Initiated Phase 3 trials in DME in the U.S. and</w:t>
            </w:r>
          </w:p>
        </w:tc>
      </w:tr>
      <w:tr>
        <w:trPr>
          <w:trHeight w:val="208"/>
        </w:trPr>
        <w:tc>
          <w:tcPr>
            <w:tcW w:w="2580" w:type="dxa"/>
            <w:vAlign w:val="bottom"/>
          </w:tcPr>
          <w:p>
            <w:pPr>
              <w:spacing w:after="0"/>
              <w:rPr>
                <w:sz w:val="18"/>
                <w:szCs w:val="18"/>
                <w:color w:val="auto"/>
              </w:rPr>
            </w:pPr>
          </w:p>
        </w:tc>
        <w:tc>
          <w:tcPr>
            <w:tcW w:w="4920" w:type="dxa"/>
            <w:vAlign w:val="bottom"/>
          </w:tcPr>
          <w:p>
            <w:pPr>
              <w:ind w:left="1960"/>
              <w:spacing w:after="0"/>
              <w:rPr>
                <w:sz w:val="20"/>
                <w:szCs w:val="20"/>
                <w:color w:val="auto"/>
              </w:rPr>
            </w:pPr>
            <w:r>
              <w:rPr>
                <w:rFonts w:ascii="Arial" w:cs="Arial" w:eastAsia="Arial" w:hAnsi="Arial"/>
                <w:sz w:val="14"/>
                <w:szCs w:val="14"/>
                <w:color w:val="auto"/>
              </w:rPr>
              <w:t>outside the U.S.</w:t>
            </w:r>
          </w:p>
        </w:tc>
      </w:tr>
      <w:tr>
        <w:trPr>
          <w:trHeight w:val="208"/>
        </w:trPr>
        <w:tc>
          <w:tcPr>
            <w:tcW w:w="2580" w:type="dxa"/>
            <w:vAlign w:val="bottom"/>
          </w:tcPr>
          <w:p>
            <w:pPr>
              <w:spacing w:after="0"/>
              <w:rPr>
                <w:sz w:val="18"/>
                <w:szCs w:val="18"/>
                <w:color w:val="auto"/>
              </w:rPr>
            </w:pPr>
          </w:p>
        </w:tc>
        <w:tc>
          <w:tcPr>
            <w:tcW w:w="4920" w:type="dxa"/>
            <w:vAlign w:val="bottom"/>
          </w:tcPr>
          <w:p>
            <w:pPr>
              <w:ind w:left="1960"/>
              <w:spacing w:after="0"/>
              <w:rPr>
                <w:sz w:val="20"/>
                <w:szCs w:val="20"/>
                <w:color w:val="auto"/>
              </w:rPr>
            </w:pPr>
            <w:r>
              <w:rPr>
                <w:rFonts w:ascii="Arial" w:cs="Arial" w:eastAsia="Arial" w:hAnsi="Arial"/>
                <w:sz w:val="14"/>
                <w:szCs w:val="14"/>
                <w:color w:val="auto"/>
                <w:w w:val="92"/>
              </w:rPr>
              <w:t>Bayer HealthCare initiated a Phase 3 trial in Asia in</w:t>
            </w:r>
          </w:p>
        </w:tc>
      </w:tr>
      <w:tr>
        <w:trPr>
          <w:trHeight w:val="208"/>
        </w:trPr>
        <w:tc>
          <w:tcPr>
            <w:tcW w:w="2580" w:type="dxa"/>
            <w:vAlign w:val="bottom"/>
          </w:tcPr>
          <w:p>
            <w:pPr>
              <w:spacing w:after="0"/>
              <w:rPr>
                <w:sz w:val="18"/>
                <w:szCs w:val="18"/>
                <w:color w:val="auto"/>
              </w:rPr>
            </w:pPr>
          </w:p>
        </w:tc>
        <w:tc>
          <w:tcPr>
            <w:tcW w:w="4920" w:type="dxa"/>
            <w:vAlign w:val="bottom"/>
          </w:tcPr>
          <w:p>
            <w:pPr>
              <w:ind w:left="1960"/>
              <w:spacing w:after="0"/>
              <w:rPr>
                <w:sz w:val="20"/>
                <w:szCs w:val="20"/>
                <w:color w:val="auto"/>
              </w:rPr>
            </w:pPr>
            <w:r>
              <w:rPr>
                <w:rFonts w:ascii="Arial" w:cs="Arial" w:eastAsia="Arial" w:hAnsi="Arial"/>
                <w:sz w:val="14"/>
                <w:szCs w:val="14"/>
                <w:color w:val="auto"/>
                <w:w w:val="95"/>
              </w:rPr>
              <w:t>CNV of the retina as a result of pathologic myopia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7202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698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-2874010</wp:posOffset>
            </wp:positionV>
            <wp:extent cx="60325" cy="603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-2609215</wp:posOffset>
            </wp:positionV>
            <wp:extent cx="60325" cy="603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-2344420</wp:posOffset>
            </wp:positionV>
            <wp:extent cx="60325" cy="603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-1947545</wp:posOffset>
            </wp:positionV>
            <wp:extent cx="60325" cy="603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-1550035</wp:posOffset>
            </wp:positionV>
            <wp:extent cx="60325" cy="603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-1014095</wp:posOffset>
            </wp:positionV>
            <wp:extent cx="60325" cy="603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-749300</wp:posOffset>
            </wp:positionV>
            <wp:extent cx="60325" cy="603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-484505</wp:posOffset>
            </wp:positionV>
            <wp:extent cx="60325" cy="603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-219710</wp:posOffset>
            </wp:positionV>
            <wp:extent cx="60325" cy="603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60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280"/>
        <w:spacing w:after="0" w:line="310" w:lineRule="auto"/>
        <w:rPr>
          <w:sz w:val="20"/>
          <w:szCs w:val="20"/>
          <w:color w:val="auto"/>
        </w:rPr>
      </w:pPr>
      <w:r>
        <w:rPr>
          <w:rFonts w:ascii="Arial" w:cs="Arial" w:eastAsia="Arial" w:hAnsi="Arial"/>
          <w:sz w:val="14"/>
          <w:szCs w:val="14"/>
          <w:color w:val="auto"/>
        </w:rPr>
        <w:t>Report two-year data from VIEW 1 and VIEW 2 trials in wet AMD by the end of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-236855</wp:posOffset>
            </wp:positionV>
            <wp:extent cx="60325" cy="603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60325"/>
                    </a:xfrm>
                    <a:prstGeom prst="rect">
                      <a:avLst/>
                    </a:prstGeom>
                    <a:noFill/>
                  </pic:spPr>
                </pic:pic>
              </a:graphicData>
            </a:graphic>
          </wp:anchor>
        </w:drawing>
      </w:r>
    </w:p>
    <w:p>
      <w:pPr>
        <w:ind w:right="80"/>
        <w:spacing w:after="0" w:line="310" w:lineRule="auto"/>
        <w:rPr>
          <w:sz w:val="20"/>
          <w:szCs w:val="20"/>
          <w:color w:val="auto"/>
        </w:rPr>
      </w:pPr>
      <w:r>
        <w:rPr>
          <w:rFonts w:ascii="Arial" w:cs="Arial" w:eastAsia="Arial" w:hAnsi="Arial"/>
          <w:sz w:val="14"/>
          <w:szCs w:val="14"/>
          <w:color w:val="auto"/>
        </w:rPr>
        <w:t>Report one-year data from GALILEO trial in CRVO by the end of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-236855</wp:posOffset>
            </wp:positionV>
            <wp:extent cx="60325" cy="603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60325"/>
                    </a:xfrm>
                    <a:prstGeom prst="rect">
                      <a:avLst/>
                    </a:prstGeom>
                    <a:noFill/>
                  </pic:spPr>
                </pic:pic>
              </a:graphicData>
            </a:graphic>
          </wp:anchor>
        </w:drawing>
      </w:r>
    </w:p>
    <w:p>
      <w:pPr>
        <w:spacing w:after="0" w:line="310" w:lineRule="auto"/>
        <w:rPr>
          <w:sz w:val="20"/>
          <w:szCs w:val="20"/>
          <w:color w:val="auto"/>
        </w:rPr>
      </w:pPr>
      <w:r>
        <w:rPr>
          <w:rFonts w:ascii="Arial" w:cs="Arial" w:eastAsia="Arial" w:hAnsi="Arial"/>
          <w:sz w:val="14"/>
          <w:szCs w:val="14"/>
          <w:color w:val="auto"/>
        </w:rPr>
        <w:t>Submit a BLA to the FDA for the treatment of CRVO by the end of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-236855</wp:posOffset>
            </wp:positionV>
            <wp:extent cx="60325" cy="603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60325"/>
                    </a:xfrm>
                    <a:prstGeom prst="rect">
                      <a:avLst/>
                    </a:prstGeom>
                    <a:noFill/>
                  </pic:spPr>
                </pic:pic>
              </a:graphicData>
            </a:graphic>
          </wp:anchor>
        </w:drawing>
      </w:r>
    </w:p>
    <w:p>
      <w:pPr>
        <w:ind w:right="480"/>
        <w:spacing w:after="0" w:line="385" w:lineRule="auto"/>
        <w:rPr>
          <w:sz w:val="20"/>
          <w:szCs w:val="20"/>
          <w:color w:val="auto"/>
        </w:rPr>
      </w:pPr>
      <w:r>
        <w:rPr>
          <w:rFonts w:ascii="Arial" w:cs="Arial" w:eastAsia="Arial" w:hAnsi="Arial"/>
          <w:sz w:val="13"/>
          <w:szCs w:val="13"/>
          <w:color w:val="auto"/>
        </w:rPr>
        <w:t>Target date for FDA decision on BLA for the treatment of wet AMD is November 18,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-276860</wp:posOffset>
            </wp:positionV>
            <wp:extent cx="60325" cy="603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60325"/>
                    </a:xfrm>
                    <a:prstGeom prst="rect">
                      <a:avLst/>
                    </a:prstGeom>
                    <a:noFill/>
                  </pic:spPr>
                </pic:pic>
              </a:graphicData>
            </a:graphic>
          </wp:anchor>
        </w:drawing>
      </w:r>
    </w:p>
    <w:p>
      <w:pPr>
        <w:spacing w:after="0" w:line="3038" w:lineRule="exact"/>
        <w:rPr>
          <w:sz w:val="20"/>
          <w:szCs w:val="20"/>
          <w:color w:val="auto"/>
        </w:rPr>
      </w:pPr>
    </w:p>
    <w:p>
      <w:pPr>
        <w:sectPr>
          <w:pgSz w:w="11900" w:h="16838" w:orient="portrait"/>
          <w:cols w:equalWidth="0" w:num="2">
            <w:col w:w="7640" w:space="720"/>
            <w:col w:w="3080"/>
          </w:cols>
          <w:pgMar w:left="220" w:top="549" w:right="2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20"/>
                <w:szCs w:val="20"/>
                <w:color w:val="auto"/>
              </w:rPr>
            </w:pPr>
            <w:r>
              <w:rPr>
                <w:rFonts w:ascii="Arial" w:cs="Arial" w:eastAsia="Arial" w:hAnsi="Arial"/>
                <w:sz w:val="14"/>
                <w:szCs w:val="14"/>
                <w:color w:val="auto"/>
              </w:rPr>
              <w:t>ZALTRAP</w:t>
            </w:r>
            <w:r>
              <w:rPr>
                <w:rFonts w:ascii="Arial" w:cs="Arial" w:eastAsia="Arial" w:hAnsi="Arial"/>
                <w:sz w:val="9"/>
                <w:szCs w:val="9"/>
                <w:color w:val="auto"/>
              </w:rPr>
              <w:t>®</w:t>
            </w:r>
          </w:p>
        </w:tc>
        <w:tc>
          <w:tcPr>
            <w:tcW w:w="4880" w:type="dxa"/>
            <w:vAlign w:val="bottom"/>
          </w:tcPr>
          <w:p>
            <w:pPr>
              <w:ind w:left="1920"/>
              <w:spacing w:after="0"/>
              <w:rPr>
                <w:sz w:val="20"/>
                <w:szCs w:val="20"/>
                <w:color w:val="auto"/>
              </w:rPr>
            </w:pPr>
            <w:r>
              <w:rPr>
                <w:rFonts w:ascii="Arial" w:cs="Arial" w:eastAsia="Arial" w:hAnsi="Arial"/>
                <w:sz w:val="14"/>
                <w:szCs w:val="14"/>
                <w:color w:val="auto"/>
              </w:rPr>
              <w:t>Presented positive results from the Phase 3</w:t>
            </w:r>
          </w:p>
        </w:tc>
      </w:tr>
      <w:tr>
        <w:trPr>
          <w:trHeight w:val="208"/>
        </w:trPr>
        <w:tc>
          <w:tcPr>
            <w:tcW w:w="2620" w:type="dxa"/>
            <w:vAlign w:val="bottom"/>
          </w:tcPr>
          <w:p>
            <w:pPr>
              <w:spacing w:after="0"/>
              <w:rPr>
                <w:sz w:val="18"/>
                <w:szCs w:val="18"/>
                <w:color w:val="auto"/>
              </w:rPr>
            </w:pPr>
          </w:p>
        </w:tc>
        <w:tc>
          <w:tcPr>
            <w:tcW w:w="4880" w:type="dxa"/>
            <w:vAlign w:val="bottom"/>
          </w:tcPr>
          <w:p>
            <w:pPr>
              <w:ind w:left="1920"/>
              <w:spacing w:after="0"/>
              <w:rPr>
                <w:sz w:val="20"/>
                <w:szCs w:val="20"/>
                <w:color w:val="auto"/>
              </w:rPr>
            </w:pPr>
            <w:r>
              <w:rPr>
                <w:rFonts w:ascii="Arial" w:cs="Arial" w:eastAsia="Arial" w:hAnsi="Arial"/>
                <w:sz w:val="14"/>
                <w:szCs w:val="14"/>
                <w:color w:val="auto"/>
                <w:w w:val="94"/>
              </w:rPr>
              <w:t>VELOUR trial in previously treated mCRC patients</w:t>
            </w:r>
          </w:p>
        </w:tc>
      </w:tr>
      <w:tr>
        <w:trPr>
          <w:trHeight w:val="208"/>
        </w:trPr>
        <w:tc>
          <w:tcPr>
            <w:tcW w:w="2620" w:type="dxa"/>
            <w:vAlign w:val="bottom"/>
          </w:tcPr>
          <w:p>
            <w:pPr>
              <w:spacing w:after="0"/>
              <w:rPr>
                <w:sz w:val="18"/>
                <w:szCs w:val="18"/>
                <w:color w:val="auto"/>
              </w:rPr>
            </w:pPr>
          </w:p>
        </w:tc>
        <w:tc>
          <w:tcPr>
            <w:tcW w:w="4880" w:type="dxa"/>
            <w:vAlign w:val="bottom"/>
          </w:tcPr>
          <w:p>
            <w:pPr>
              <w:ind w:left="1920"/>
              <w:spacing w:after="0"/>
              <w:rPr>
                <w:sz w:val="20"/>
                <w:szCs w:val="20"/>
                <w:color w:val="auto"/>
              </w:rPr>
            </w:pPr>
            <w:r>
              <w:rPr>
                <w:rFonts w:ascii="Arial" w:cs="Arial" w:eastAsia="Arial" w:hAnsi="Arial"/>
                <w:sz w:val="14"/>
                <w:szCs w:val="14"/>
                <w:color w:val="auto"/>
              </w:rPr>
              <w:t>IDMC reviewed interim results for the Phase 3</w:t>
            </w:r>
          </w:p>
        </w:tc>
      </w:tr>
      <w:tr>
        <w:trPr>
          <w:trHeight w:val="208"/>
        </w:trPr>
        <w:tc>
          <w:tcPr>
            <w:tcW w:w="2620" w:type="dxa"/>
            <w:vAlign w:val="bottom"/>
          </w:tcPr>
          <w:p>
            <w:pPr>
              <w:spacing w:after="0"/>
              <w:rPr>
                <w:sz w:val="18"/>
                <w:szCs w:val="18"/>
                <w:color w:val="auto"/>
              </w:rPr>
            </w:pPr>
          </w:p>
        </w:tc>
        <w:tc>
          <w:tcPr>
            <w:tcW w:w="4880" w:type="dxa"/>
            <w:vAlign w:val="bottom"/>
          </w:tcPr>
          <w:p>
            <w:pPr>
              <w:ind w:left="1920"/>
              <w:spacing w:after="0"/>
              <w:rPr>
                <w:sz w:val="20"/>
                <w:szCs w:val="20"/>
                <w:color w:val="auto"/>
              </w:rPr>
            </w:pPr>
            <w:r>
              <w:rPr>
                <w:rFonts w:ascii="Arial" w:cs="Arial" w:eastAsia="Arial" w:hAnsi="Arial"/>
                <w:sz w:val="14"/>
                <w:szCs w:val="14"/>
                <w:color w:val="auto"/>
                <w:w w:val="93"/>
              </w:rPr>
              <w:t>VENICE trial in prostate cancer and recommended</w:t>
            </w:r>
          </w:p>
        </w:tc>
      </w:tr>
      <w:tr>
        <w:trPr>
          <w:trHeight w:val="208"/>
        </w:trPr>
        <w:tc>
          <w:tcPr>
            <w:tcW w:w="2620" w:type="dxa"/>
            <w:vAlign w:val="bottom"/>
          </w:tcPr>
          <w:p>
            <w:pPr>
              <w:spacing w:after="0"/>
              <w:rPr>
                <w:sz w:val="18"/>
                <w:szCs w:val="18"/>
                <w:color w:val="auto"/>
              </w:rPr>
            </w:pPr>
          </w:p>
        </w:tc>
        <w:tc>
          <w:tcPr>
            <w:tcW w:w="4880" w:type="dxa"/>
            <w:vAlign w:val="bottom"/>
          </w:tcPr>
          <w:p>
            <w:pPr>
              <w:ind w:left="1920"/>
              <w:spacing w:after="0"/>
              <w:rPr>
                <w:sz w:val="20"/>
                <w:szCs w:val="20"/>
                <w:color w:val="auto"/>
              </w:rPr>
            </w:pPr>
            <w:r>
              <w:rPr>
                <w:rFonts w:ascii="Arial" w:cs="Arial" w:eastAsia="Arial" w:hAnsi="Arial"/>
                <w:sz w:val="14"/>
                <w:szCs w:val="14"/>
                <w:color w:val="auto"/>
              </w:rPr>
              <w:t>study continue to completion</w:t>
            </w:r>
          </w:p>
        </w:tc>
      </w:tr>
      <w:tr>
        <w:trPr>
          <w:trHeight w:val="208"/>
        </w:trPr>
        <w:tc>
          <w:tcPr>
            <w:tcW w:w="2620" w:type="dxa"/>
            <w:vAlign w:val="bottom"/>
          </w:tcPr>
          <w:p>
            <w:pPr>
              <w:spacing w:after="0"/>
              <w:rPr>
                <w:sz w:val="18"/>
                <w:szCs w:val="18"/>
                <w:color w:val="auto"/>
              </w:rPr>
            </w:pPr>
          </w:p>
        </w:tc>
        <w:tc>
          <w:tcPr>
            <w:tcW w:w="4880" w:type="dxa"/>
            <w:vAlign w:val="bottom"/>
          </w:tcPr>
          <w:p>
            <w:pPr>
              <w:ind w:left="1920"/>
              <w:spacing w:after="0"/>
              <w:rPr>
                <w:sz w:val="20"/>
                <w:szCs w:val="20"/>
                <w:color w:val="auto"/>
              </w:rPr>
            </w:pPr>
            <w:r>
              <w:rPr>
                <w:rFonts w:ascii="Arial" w:cs="Arial" w:eastAsia="Arial" w:hAnsi="Arial"/>
                <w:sz w:val="14"/>
                <w:szCs w:val="14"/>
                <w:color w:val="auto"/>
                <w:w w:val="99"/>
              </w:rPr>
              <w:t>Reported results for the VITAL trial in non-small</w:t>
            </w:r>
          </w:p>
        </w:tc>
      </w:tr>
      <w:tr>
        <w:trPr>
          <w:trHeight w:val="208"/>
        </w:trPr>
        <w:tc>
          <w:tcPr>
            <w:tcW w:w="2620" w:type="dxa"/>
            <w:vAlign w:val="bottom"/>
          </w:tcPr>
          <w:p>
            <w:pPr>
              <w:spacing w:after="0"/>
              <w:rPr>
                <w:sz w:val="18"/>
                <w:szCs w:val="18"/>
                <w:color w:val="auto"/>
              </w:rPr>
            </w:pPr>
          </w:p>
        </w:tc>
        <w:tc>
          <w:tcPr>
            <w:tcW w:w="4880" w:type="dxa"/>
            <w:vAlign w:val="bottom"/>
          </w:tcPr>
          <w:p>
            <w:pPr>
              <w:ind w:left="1920"/>
              <w:spacing w:after="0"/>
              <w:rPr>
                <w:sz w:val="20"/>
                <w:szCs w:val="20"/>
                <w:color w:val="auto"/>
              </w:rPr>
            </w:pPr>
            <w:r>
              <w:rPr>
                <w:rFonts w:ascii="Arial" w:cs="Arial" w:eastAsia="Arial" w:hAnsi="Arial"/>
                <w:sz w:val="14"/>
                <w:szCs w:val="14"/>
                <w:color w:val="auto"/>
                <w:w w:val="96"/>
              </w:rPr>
              <w:t>cell lung cancer. ZALTRAP</w:t>
            </w:r>
            <w:r>
              <w:rPr>
                <w:rFonts w:ascii="Arial" w:cs="Arial" w:eastAsia="Arial" w:hAnsi="Arial"/>
                <w:sz w:val="9"/>
                <w:szCs w:val="9"/>
                <w:color w:val="auto"/>
                <w:w w:val="96"/>
              </w:rPr>
              <w:t>®</w:t>
            </w:r>
            <w:r>
              <w:rPr>
                <w:rFonts w:ascii="Arial" w:cs="Arial" w:eastAsia="Arial" w:hAnsi="Arial"/>
                <w:sz w:val="14"/>
                <w:szCs w:val="14"/>
                <w:color w:val="auto"/>
                <w:w w:val="96"/>
              </w:rPr>
              <w:t xml:space="preserve"> did not meet primary</w:t>
            </w:r>
          </w:p>
        </w:tc>
      </w:tr>
      <w:tr>
        <w:trPr>
          <w:trHeight w:val="219"/>
        </w:trPr>
        <w:tc>
          <w:tcPr>
            <w:tcW w:w="2620" w:type="dxa"/>
            <w:vAlign w:val="bottom"/>
          </w:tcPr>
          <w:p>
            <w:pPr>
              <w:spacing w:after="0"/>
              <w:rPr>
                <w:sz w:val="19"/>
                <w:szCs w:val="19"/>
                <w:color w:val="auto"/>
              </w:rPr>
            </w:pPr>
          </w:p>
        </w:tc>
        <w:tc>
          <w:tcPr>
            <w:tcW w:w="4880" w:type="dxa"/>
            <w:vAlign w:val="bottom"/>
          </w:tcPr>
          <w:p>
            <w:pPr>
              <w:ind w:left="1920"/>
              <w:spacing w:after="0"/>
              <w:rPr>
                <w:sz w:val="20"/>
                <w:szCs w:val="20"/>
                <w:color w:val="auto"/>
              </w:rPr>
            </w:pPr>
            <w:r>
              <w:rPr>
                <w:rFonts w:ascii="Arial" w:cs="Arial" w:eastAsia="Arial" w:hAnsi="Arial"/>
                <w:sz w:val="14"/>
                <w:szCs w:val="14"/>
                <w:color w:val="auto"/>
              </w:rPr>
              <w:t>study endpoint.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7202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698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-1021080</wp:posOffset>
            </wp:positionV>
            <wp:extent cx="60325" cy="603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-756285</wp:posOffset>
            </wp:positionV>
            <wp:extent cx="60325" cy="603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-359410</wp:posOffset>
            </wp:positionV>
            <wp:extent cx="60325" cy="603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60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310" w:lineRule="auto"/>
        <w:rPr>
          <w:sz w:val="20"/>
          <w:szCs w:val="20"/>
          <w:color w:val="auto"/>
        </w:rPr>
      </w:pPr>
      <w:r>
        <w:rPr>
          <w:rFonts w:ascii="Arial" w:cs="Arial" w:eastAsia="Arial" w:hAnsi="Arial"/>
          <w:sz w:val="14"/>
          <w:szCs w:val="14"/>
          <w:color w:val="auto"/>
        </w:rPr>
        <w:t>Submit a BLA to the FDA for the treatment of mCRC by the end of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-236855</wp:posOffset>
            </wp:positionV>
            <wp:extent cx="60325" cy="603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60325"/>
                    </a:xfrm>
                    <a:prstGeom prst="rect">
                      <a:avLst/>
                    </a:prstGeom>
                    <a:noFill/>
                  </pic:spPr>
                </pic:pic>
              </a:graphicData>
            </a:graphic>
          </wp:anchor>
        </w:drawing>
      </w:r>
    </w:p>
    <w:p>
      <w:pPr>
        <w:ind w:right="100"/>
        <w:spacing w:after="0" w:line="310" w:lineRule="auto"/>
        <w:rPr>
          <w:sz w:val="20"/>
          <w:szCs w:val="20"/>
          <w:color w:val="auto"/>
        </w:rPr>
      </w:pPr>
      <w:r>
        <w:rPr>
          <w:rFonts w:ascii="Arial" w:cs="Arial" w:eastAsia="Arial" w:hAnsi="Arial"/>
          <w:sz w:val="14"/>
          <w:szCs w:val="14"/>
          <w:color w:val="auto"/>
        </w:rPr>
        <w:t>Report initial results in the Phase 2 AFFIRM trial in first-line mCRC by the end of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-236855</wp:posOffset>
            </wp:positionV>
            <wp:extent cx="60325" cy="603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60325"/>
                    </a:xfrm>
                    <a:prstGeom prst="rect">
                      <a:avLst/>
                    </a:prstGeom>
                    <a:noFill/>
                  </pic:spPr>
                </pic:pic>
              </a:graphicData>
            </a:graphic>
          </wp:anchor>
        </w:drawing>
      </w:r>
    </w:p>
    <w:p>
      <w:pPr>
        <w:ind w:right="180"/>
        <w:spacing w:after="0" w:line="340" w:lineRule="auto"/>
        <w:rPr>
          <w:sz w:val="20"/>
          <w:szCs w:val="20"/>
          <w:color w:val="auto"/>
        </w:rPr>
      </w:pPr>
      <w:r>
        <w:rPr>
          <w:rFonts w:ascii="Arial" w:cs="Arial" w:eastAsia="Arial" w:hAnsi="Arial"/>
          <w:sz w:val="14"/>
          <w:szCs w:val="14"/>
          <w:color w:val="auto"/>
        </w:rPr>
        <w:t>Report final results in the Phase 3 VENICE trial in prostate cancer in the first half of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-262255</wp:posOffset>
            </wp:positionV>
            <wp:extent cx="60325" cy="603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60325"/>
                    </a:xfrm>
                    <a:prstGeom prst="rect">
                      <a:avLst/>
                    </a:prstGeom>
                    <a:noFill/>
                  </pic:spPr>
                </pic:pic>
              </a:graphicData>
            </a:graphic>
          </wp:anchor>
        </w:drawing>
      </w:r>
    </w:p>
    <w:p>
      <w:pPr>
        <w:spacing w:after="0" w:line="561" w:lineRule="exact"/>
        <w:rPr>
          <w:sz w:val="20"/>
          <w:szCs w:val="20"/>
          <w:color w:val="auto"/>
        </w:rPr>
      </w:pPr>
    </w:p>
    <w:p>
      <w:pPr>
        <w:sectPr>
          <w:pgSz w:w="11900" w:h="16838" w:orient="portrait"/>
          <w:cols w:equalWidth="0" w:num="2">
            <w:col w:w="7640" w:space="720"/>
            <w:col w:w="3080"/>
          </w:cols>
          <w:pgMar w:left="220" w:top="549" w:right="239" w:bottom="1440" w:gutter="0" w:footer="0" w:header="0"/>
          <w:type w:val="continuous"/>
        </w:sectPr>
      </w:pP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207010</wp:posOffset>
            </wp:positionV>
            <wp:extent cx="7291705" cy="19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40"/>
          </w:cols>
          <w:pgMar w:left="220" w:top="549" w:right="2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185"/>
        </w:trPr>
        <w:tc>
          <w:tcPr>
            <w:tcW w:w="3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520" w:type="dxa"/>
            <w:vAlign w:val="bottom"/>
          </w:tcPr>
          <w:p>
            <w:pPr>
              <w:jc w:val="center"/>
              <w:ind w:right="128"/>
              <w:spacing w:after="0"/>
              <w:rPr>
                <w:sz w:val="20"/>
                <w:szCs w:val="20"/>
                <w:color w:val="auto"/>
              </w:rPr>
            </w:pPr>
            <w:r>
              <w:rPr>
                <w:rFonts w:ascii="Arial" w:cs="Arial" w:eastAsia="Arial" w:hAnsi="Arial"/>
                <w:sz w:val="14"/>
                <w:szCs w:val="14"/>
                <w:b w:val="1"/>
                <w:bCs w:val="1"/>
                <w:color w:val="auto"/>
                <w:w w:val="90"/>
              </w:rPr>
              <w:t>2011-12 Plans</w:t>
            </w:r>
          </w:p>
        </w:tc>
      </w:tr>
      <w:tr>
        <w:trPr>
          <w:trHeight w:val="204"/>
        </w:trPr>
        <w:tc>
          <w:tcPr>
            <w:tcW w:w="346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Clinical Program</w:t>
            </w:r>
          </w:p>
        </w:tc>
        <w:tc>
          <w:tcPr>
            <w:tcW w:w="448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2011 Events to Date</w:t>
            </w:r>
          </w:p>
        </w:tc>
        <w:tc>
          <w:tcPr>
            <w:tcW w:w="35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1"/>
              </w:rPr>
              <w:t>(next 12 months)</w:t>
            </w:r>
          </w:p>
        </w:tc>
      </w:tr>
      <w:tr>
        <w:trPr>
          <w:trHeight w:val="184"/>
        </w:trPr>
        <w:tc>
          <w:tcPr>
            <w:tcW w:w="3460" w:type="dxa"/>
            <w:vAlign w:val="bottom"/>
          </w:tcPr>
          <w:p>
            <w:pPr>
              <w:spacing w:after="0"/>
              <w:rPr>
                <w:sz w:val="20"/>
                <w:szCs w:val="20"/>
                <w:color w:val="auto"/>
              </w:rPr>
            </w:pPr>
            <w:r>
              <w:rPr>
                <w:rFonts w:ascii="Arial" w:cs="Arial" w:eastAsia="Arial" w:hAnsi="Arial"/>
                <w:sz w:val="14"/>
                <w:szCs w:val="14"/>
                <w:color w:val="auto"/>
              </w:rPr>
              <w:t>ARCALYST</w:t>
            </w:r>
            <w:r>
              <w:rPr>
                <w:rFonts w:ascii="Arial" w:cs="Arial" w:eastAsia="Arial" w:hAnsi="Arial"/>
                <w:sz w:val="9"/>
                <w:szCs w:val="9"/>
                <w:color w:val="auto"/>
              </w:rPr>
              <w:t>®</w:t>
            </w:r>
          </w:p>
        </w:tc>
        <w:tc>
          <w:tcPr>
            <w:tcW w:w="4480" w:type="dxa"/>
            <w:vAlign w:val="bottom"/>
          </w:tcPr>
          <w:p>
            <w:pPr>
              <w:ind w:left="1060"/>
              <w:spacing w:after="0"/>
              <w:rPr>
                <w:sz w:val="20"/>
                <w:szCs w:val="20"/>
                <w:color w:val="auto"/>
              </w:rPr>
            </w:pPr>
            <w:r>
              <w:rPr>
                <w:rFonts w:ascii="Arial" w:cs="Arial" w:eastAsia="Arial" w:hAnsi="Arial"/>
                <w:sz w:val="14"/>
                <w:szCs w:val="14"/>
                <w:color w:val="auto"/>
              </w:rPr>
              <w:t>Reported positive results from two Phase 3 studies</w:t>
            </w:r>
          </w:p>
        </w:tc>
        <w:tc>
          <w:tcPr>
            <w:tcW w:w="3520" w:type="dxa"/>
            <w:vAlign w:val="bottom"/>
          </w:tcPr>
          <w:p>
            <w:pPr>
              <w:ind w:left="420"/>
              <w:spacing w:after="0"/>
              <w:rPr>
                <w:sz w:val="20"/>
                <w:szCs w:val="20"/>
                <w:color w:val="auto"/>
              </w:rPr>
            </w:pPr>
            <w:r>
              <w:rPr>
                <w:rFonts w:ascii="Arial" w:cs="Arial" w:eastAsia="Arial" w:hAnsi="Arial"/>
                <w:sz w:val="15"/>
                <w:szCs w:val="15"/>
                <w:color w:val="auto"/>
                <w:w w:val="93"/>
              </w:rPr>
              <w:t>Initiate a long-term safety study for the prevention</w:t>
            </w:r>
          </w:p>
        </w:tc>
      </w:tr>
      <w:tr>
        <w:trPr>
          <w:trHeight w:val="197"/>
        </w:trPr>
        <w:tc>
          <w:tcPr>
            <w:tcW w:w="3460" w:type="dxa"/>
            <w:vAlign w:val="bottom"/>
          </w:tcPr>
          <w:p>
            <w:pPr>
              <w:spacing w:after="0"/>
              <w:rPr>
                <w:sz w:val="17"/>
                <w:szCs w:val="17"/>
                <w:color w:val="auto"/>
              </w:rPr>
            </w:pPr>
          </w:p>
        </w:tc>
        <w:tc>
          <w:tcPr>
            <w:tcW w:w="4480" w:type="dxa"/>
            <w:vAlign w:val="bottom"/>
          </w:tcPr>
          <w:p>
            <w:pPr>
              <w:ind w:left="1060"/>
              <w:spacing w:after="0"/>
              <w:rPr>
                <w:sz w:val="20"/>
                <w:szCs w:val="20"/>
                <w:color w:val="auto"/>
              </w:rPr>
            </w:pPr>
            <w:r>
              <w:rPr>
                <w:rFonts w:ascii="Arial" w:cs="Arial" w:eastAsia="Arial" w:hAnsi="Arial"/>
                <w:sz w:val="14"/>
                <w:szCs w:val="14"/>
                <w:color w:val="auto"/>
              </w:rPr>
              <w:t>for the prevention of gout flares (PRE-SURGE 2</w:t>
            </w:r>
          </w:p>
        </w:tc>
        <w:tc>
          <w:tcPr>
            <w:tcW w:w="3520" w:type="dxa"/>
            <w:vAlign w:val="bottom"/>
          </w:tcPr>
          <w:p>
            <w:pPr>
              <w:ind w:left="420"/>
              <w:spacing w:after="0"/>
              <w:rPr>
                <w:sz w:val="20"/>
                <w:szCs w:val="20"/>
                <w:color w:val="auto"/>
              </w:rPr>
            </w:pPr>
            <w:r>
              <w:rPr>
                <w:rFonts w:ascii="Arial" w:cs="Arial" w:eastAsia="Arial" w:hAnsi="Arial"/>
                <w:sz w:val="15"/>
                <w:szCs w:val="15"/>
                <w:color w:val="auto"/>
              </w:rPr>
              <w:t>of gout flares (UPSURGE)</w:t>
            </w:r>
          </w:p>
        </w:tc>
      </w:tr>
      <w:tr>
        <w:trPr>
          <w:trHeight w:val="195"/>
        </w:trPr>
        <w:tc>
          <w:tcPr>
            <w:tcW w:w="3460" w:type="dxa"/>
            <w:vAlign w:val="bottom"/>
          </w:tcPr>
          <w:p>
            <w:pPr>
              <w:spacing w:after="0"/>
              <w:rPr>
                <w:sz w:val="16"/>
                <w:szCs w:val="16"/>
                <w:color w:val="auto"/>
              </w:rPr>
            </w:pPr>
          </w:p>
        </w:tc>
        <w:tc>
          <w:tcPr>
            <w:tcW w:w="4480" w:type="dxa"/>
            <w:vAlign w:val="bottom"/>
          </w:tcPr>
          <w:p>
            <w:pPr>
              <w:ind w:left="1060"/>
              <w:spacing w:after="0"/>
              <w:rPr>
                <w:sz w:val="20"/>
                <w:szCs w:val="20"/>
                <w:color w:val="auto"/>
              </w:rPr>
            </w:pPr>
            <w:r>
              <w:rPr>
                <w:rFonts w:ascii="Arial" w:cs="Arial" w:eastAsia="Arial" w:hAnsi="Arial"/>
                <w:sz w:val="14"/>
                <w:szCs w:val="14"/>
                <w:color w:val="auto"/>
              </w:rPr>
              <w:t>and RE-SURGE)</w:t>
            </w:r>
          </w:p>
        </w:tc>
        <w:tc>
          <w:tcPr>
            <w:tcW w:w="3520" w:type="dxa"/>
            <w:vAlign w:val="bottom"/>
          </w:tcPr>
          <w:p>
            <w:pPr>
              <w:spacing w:after="0"/>
              <w:rPr>
                <w:sz w:val="16"/>
                <w:szCs w:val="16"/>
                <w:color w:val="auto"/>
              </w:rPr>
            </w:pPr>
          </w:p>
        </w:tc>
      </w:tr>
      <w:tr>
        <w:trPr>
          <w:trHeight w:val="199"/>
        </w:trPr>
        <w:tc>
          <w:tcPr>
            <w:tcW w:w="3460" w:type="dxa"/>
            <w:vAlign w:val="bottom"/>
          </w:tcPr>
          <w:p>
            <w:pPr>
              <w:spacing w:after="0"/>
              <w:rPr>
                <w:sz w:val="17"/>
                <w:szCs w:val="17"/>
                <w:color w:val="auto"/>
              </w:rPr>
            </w:pPr>
          </w:p>
        </w:tc>
        <w:tc>
          <w:tcPr>
            <w:tcW w:w="4480" w:type="dxa"/>
            <w:vAlign w:val="bottom"/>
          </w:tcPr>
          <w:p>
            <w:pPr>
              <w:ind w:left="1060"/>
              <w:spacing w:after="0"/>
              <w:rPr>
                <w:sz w:val="20"/>
                <w:szCs w:val="20"/>
                <w:color w:val="auto"/>
              </w:rPr>
            </w:pPr>
            <w:r>
              <w:rPr>
                <w:rFonts w:ascii="Arial" w:cs="Arial" w:eastAsia="Arial" w:hAnsi="Arial"/>
                <w:sz w:val="15"/>
                <w:szCs w:val="15"/>
                <w:color w:val="auto"/>
              </w:rPr>
              <w:t>Submitted a supplemental BLA for U.S. regulatory</w:t>
            </w:r>
          </w:p>
        </w:tc>
        <w:tc>
          <w:tcPr>
            <w:tcW w:w="3520" w:type="dxa"/>
            <w:vAlign w:val="bottom"/>
          </w:tcPr>
          <w:p>
            <w:pPr>
              <w:spacing w:after="0"/>
              <w:rPr>
                <w:sz w:val="17"/>
                <w:szCs w:val="17"/>
                <w:color w:val="auto"/>
              </w:rPr>
            </w:pPr>
          </w:p>
        </w:tc>
      </w:tr>
      <w:tr>
        <w:trPr>
          <w:trHeight w:val="203"/>
        </w:trPr>
        <w:tc>
          <w:tcPr>
            <w:tcW w:w="3460" w:type="dxa"/>
            <w:vAlign w:val="bottom"/>
            <w:tcBorders>
              <w:bottom w:val="single" w:sz="8" w:color="auto"/>
            </w:tcBorders>
          </w:tcPr>
          <w:p>
            <w:pPr>
              <w:spacing w:after="0"/>
              <w:rPr>
                <w:sz w:val="17"/>
                <w:szCs w:val="17"/>
                <w:color w:val="auto"/>
              </w:rPr>
            </w:pPr>
          </w:p>
        </w:tc>
        <w:tc>
          <w:tcPr>
            <w:tcW w:w="4480" w:type="dxa"/>
            <w:vAlign w:val="bottom"/>
            <w:tcBorders>
              <w:bottom w:val="single" w:sz="8" w:color="auto"/>
            </w:tcBorders>
          </w:tcPr>
          <w:p>
            <w:pPr>
              <w:ind w:left="1060"/>
              <w:spacing w:after="0"/>
              <w:rPr>
                <w:sz w:val="20"/>
                <w:szCs w:val="20"/>
                <w:color w:val="auto"/>
              </w:rPr>
            </w:pPr>
            <w:r>
              <w:rPr>
                <w:rFonts w:ascii="Arial" w:cs="Arial" w:eastAsia="Arial" w:hAnsi="Arial"/>
                <w:sz w:val="15"/>
                <w:szCs w:val="15"/>
                <w:color w:val="auto"/>
              </w:rPr>
              <w:t>approval for the prevention of gout flares</w:t>
            </w:r>
          </w:p>
        </w:tc>
        <w:tc>
          <w:tcPr>
            <w:tcW w:w="3520" w:type="dxa"/>
            <w:vAlign w:val="bottom"/>
            <w:tcBorders>
              <w:bottom w:val="single" w:sz="8" w:color="auto"/>
            </w:tcBorders>
          </w:tcPr>
          <w:p>
            <w:pPr>
              <w:spacing w:after="0"/>
              <w:rPr>
                <w:sz w:val="17"/>
                <w:szCs w:val="17"/>
                <w:color w:val="auto"/>
              </w:rPr>
            </w:pPr>
          </w:p>
        </w:tc>
      </w:tr>
      <w:tr>
        <w:trPr>
          <w:trHeight w:val="181"/>
        </w:trPr>
        <w:tc>
          <w:tcPr>
            <w:tcW w:w="3460" w:type="dxa"/>
            <w:vAlign w:val="bottom"/>
          </w:tcPr>
          <w:p>
            <w:pPr>
              <w:spacing w:after="0"/>
              <w:rPr>
                <w:sz w:val="20"/>
                <w:szCs w:val="20"/>
                <w:color w:val="auto"/>
              </w:rPr>
            </w:pPr>
            <w:r>
              <w:rPr>
                <w:rFonts w:ascii="Arial" w:cs="Arial" w:eastAsia="Arial" w:hAnsi="Arial"/>
                <w:sz w:val="14"/>
                <w:szCs w:val="14"/>
                <w:color w:val="auto"/>
              </w:rPr>
              <w:t>Sarilumab</w:t>
            </w:r>
          </w:p>
        </w:tc>
        <w:tc>
          <w:tcPr>
            <w:tcW w:w="4480" w:type="dxa"/>
            <w:vAlign w:val="bottom"/>
          </w:tcPr>
          <w:p>
            <w:pPr>
              <w:ind w:left="1060"/>
              <w:spacing w:after="0"/>
              <w:rPr>
                <w:sz w:val="20"/>
                <w:szCs w:val="20"/>
                <w:color w:val="auto"/>
              </w:rPr>
            </w:pPr>
            <w:r>
              <w:rPr>
                <w:rFonts w:ascii="Arial" w:cs="Arial" w:eastAsia="Arial" w:hAnsi="Arial"/>
                <w:sz w:val="14"/>
                <w:szCs w:val="14"/>
                <w:color w:val="auto"/>
              </w:rPr>
              <w:t>Reported positive Phase 2b data from the</w:t>
            </w:r>
          </w:p>
        </w:tc>
        <w:tc>
          <w:tcPr>
            <w:tcW w:w="3520" w:type="dxa"/>
            <w:vAlign w:val="bottom"/>
          </w:tcPr>
          <w:p>
            <w:pPr>
              <w:spacing w:after="0"/>
              <w:rPr>
                <w:sz w:val="15"/>
                <w:szCs w:val="15"/>
                <w:color w:val="auto"/>
              </w:rPr>
            </w:pPr>
          </w:p>
        </w:tc>
      </w:tr>
      <w:tr>
        <w:trPr>
          <w:trHeight w:val="197"/>
        </w:trPr>
        <w:tc>
          <w:tcPr>
            <w:tcW w:w="3460" w:type="dxa"/>
            <w:vAlign w:val="bottom"/>
          </w:tcPr>
          <w:p>
            <w:pPr>
              <w:spacing w:after="0"/>
              <w:rPr>
                <w:sz w:val="20"/>
                <w:szCs w:val="20"/>
                <w:color w:val="auto"/>
              </w:rPr>
            </w:pPr>
            <w:r>
              <w:rPr>
                <w:rFonts w:ascii="Arial" w:cs="Arial" w:eastAsia="Arial" w:hAnsi="Arial"/>
                <w:sz w:val="14"/>
                <w:szCs w:val="14"/>
                <w:color w:val="auto"/>
              </w:rPr>
              <w:t>(IL-6R Antibody)</w:t>
            </w:r>
          </w:p>
        </w:tc>
        <w:tc>
          <w:tcPr>
            <w:tcW w:w="4480" w:type="dxa"/>
            <w:vAlign w:val="bottom"/>
          </w:tcPr>
          <w:p>
            <w:pPr>
              <w:ind w:left="1060"/>
              <w:spacing w:after="0"/>
              <w:rPr>
                <w:sz w:val="20"/>
                <w:szCs w:val="20"/>
                <w:color w:val="auto"/>
              </w:rPr>
            </w:pPr>
            <w:r>
              <w:rPr>
                <w:rFonts w:ascii="Arial" w:cs="Arial" w:eastAsia="Arial" w:hAnsi="Arial"/>
                <w:sz w:val="14"/>
                <w:szCs w:val="14"/>
                <w:color w:val="auto"/>
              </w:rPr>
              <w:t>MOBILITY trial in rheumatoid arthritis</w:t>
            </w:r>
          </w:p>
        </w:tc>
        <w:tc>
          <w:tcPr>
            <w:tcW w:w="35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-840105</wp:posOffset>
            </wp:positionV>
            <wp:extent cx="53340" cy="533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-463550</wp:posOffset>
            </wp:positionV>
            <wp:extent cx="53340" cy="53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-840105</wp:posOffset>
            </wp:positionV>
            <wp:extent cx="53340" cy="53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-205740</wp:posOffset>
            </wp:positionV>
            <wp:extent cx="53340" cy="533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5"/>
          <w:szCs w:val="15"/>
          <w:color w:val="auto"/>
        </w:rPr>
        <w:t>Reported that the Phase 2b trial in ankylosing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-73025</wp:posOffset>
            </wp:positionV>
            <wp:extent cx="53340" cy="533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spondylitis did not meet its primary endpoint</w:t>
      </w:r>
    </w:p>
    <w:p>
      <w:pPr>
        <w:spacing w:after="0" w:line="25"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Initiated the Phase 3 stage of the Phase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-73025</wp:posOffset>
            </wp:positionV>
            <wp:extent cx="53340" cy="53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MOBILITY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7202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6985"/>
                    </a:xfrm>
                    <a:prstGeom prst="rect">
                      <a:avLst/>
                    </a:prstGeom>
                    <a:noFill/>
                  </pic:spPr>
                </pic:pic>
              </a:graphicData>
            </a:graphic>
          </wp:anchor>
        </w:drawing>
      </w:r>
    </w:p>
    <w:p>
      <w:pPr>
        <w:sectPr>
          <w:pgSz w:w="11900" w:h="16838" w:orient="portrait"/>
          <w:cols w:equalWidth="0" w:num="1">
            <w:col w:w="11480"/>
          </w:cols>
          <w:pgMar w:left="220" w:top="534" w:right="199" w:bottom="1440" w:gutter="0" w:footer="0" w:header="0"/>
        </w:sectPr>
      </w:pPr>
    </w:p>
    <w:p>
      <w:pPr>
        <w:spacing w:after="0" w:line="39" w:lineRule="exact"/>
        <w:rPr>
          <w:sz w:val="20"/>
          <w:szCs w:val="20"/>
          <w:color w:val="auto"/>
        </w:rPr>
      </w:pPr>
    </w:p>
    <w:p>
      <w:pPr>
        <w:spacing w:after="0"/>
        <w:tabs>
          <w:tab w:leader="none" w:pos="4322" w:val="left"/>
        </w:tabs>
        <w:rPr>
          <w:sz w:val="20"/>
          <w:szCs w:val="20"/>
          <w:color w:val="auto"/>
        </w:rPr>
      </w:pPr>
      <w:r>
        <w:rPr>
          <w:rFonts w:ascii="Arial" w:cs="Arial" w:eastAsia="Arial" w:hAnsi="Arial"/>
          <w:sz w:val="12"/>
          <w:szCs w:val="12"/>
          <w:color w:val="auto"/>
        </w:rPr>
        <w:t>REGN727</w:t>
      </w:r>
      <w:r>
        <w:rPr>
          <w:sz w:val="20"/>
          <w:szCs w:val="20"/>
          <w:color w:val="auto"/>
        </w:rPr>
        <w:tab/>
      </w:r>
      <w:r>
        <w:rPr>
          <w:sz w:val="1"/>
          <w:szCs w:val="1"/>
          <w:color w:val="auto"/>
        </w:rPr>
        <w:drawing>
          <wp:inline distT="0" distB="0" distL="0" distR="0">
            <wp:extent cx="53340" cy="5334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340" cy="53340"/>
                    </a:xfrm>
                    <a:prstGeom prst="rect">
                      <a:avLst/>
                    </a:prstGeom>
                    <a:noFill/>
                    <a:ln>
                      <a:noFill/>
                    </a:ln>
                  </pic:spPr>
                </pic:pic>
              </a:graphicData>
            </a:graphic>
          </wp:inline>
        </w:drawing>
      </w:r>
      <w:r>
        <w:rPr>
          <w:rFonts w:ascii="Arial" w:cs="Arial" w:eastAsia="Arial" w:hAnsi="Arial"/>
          <w:sz w:val="12"/>
          <w:szCs w:val="12"/>
          <w:color w:val="auto"/>
        </w:rPr>
        <w:t xml:space="preserve">  Initiated Phase 2 studies for LDL cholesterol</w:t>
      </w:r>
    </w:p>
    <w:p>
      <w:pPr>
        <w:spacing w:after="0" w:line="59" w:lineRule="exact"/>
        <w:rPr>
          <w:sz w:val="20"/>
          <w:szCs w:val="20"/>
          <w:color w:val="auto"/>
        </w:rPr>
      </w:pPr>
    </w:p>
    <w:p>
      <w:pPr>
        <w:spacing w:after="0"/>
        <w:tabs>
          <w:tab w:leader="none" w:pos="4500" w:val="left"/>
        </w:tabs>
        <w:rPr>
          <w:sz w:val="20"/>
          <w:szCs w:val="20"/>
          <w:color w:val="auto"/>
        </w:rPr>
      </w:pPr>
      <w:r>
        <w:rPr>
          <w:rFonts w:ascii="Arial" w:cs="Arial" w:eastAsia="Arial" w:hAnsi="Arial"/>
          <w:sz w:val="14"/>
          <w:szCs w:val="14"/>
          <w:color w:val="auto"/>
        </w:rPr>
        <w:t>(PCSK9 Antibody)</w:t>
      </w:r>
      <w:r>
        <w:rPr>
          <w:sz w:val="20"/>
          <w:szCs w:val="20"/>
          <w:color w:val="auto"/>
        </w:rPr>
        <w:tab/>
      </w:r>
      <w:r>
        <w:rPr>
          <w:rFonts w:ascii="Arial" w:cs="Arial" w:eastAsia="Arial" w:hAnsi="Arial"/>
          <w:sz w:val="13"/>
          <w:szCs w:val="13"/>
          <w:color w:val="auto"/>
        </w:rPr>
        <w:t>reduction</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right="60"/>
        <w:spacing w:after="0" w:line="291" w:lineRule="auto"/>
        <w:rPr>
          <w:sz w:val="20"/>
          <w:szCs w:val="20"/>
          <w:color w:val="auto"/>
        </w:rPr>
      </w:pPr>
      <w:r>
        <w:rPr>
          <w:rFonts w:ascii="Arial" w:cs="Arial" w:eastAsia="Arial" w:hAnsi="Arial"/>
          <w:sz w:val="14"/>
          <w:szCs w:val="14"/>
          <w:color w:val="auto"/>
        </w:rPr>
        <w:t>Report initial data from the Phase 2 program for LDL cholesterol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-213360</wp:posOffset>
            </wp:positionV>
            <wp:extent cx="53340" cy="533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right="480"/>
        <w:spacing w:after="0" w:line="280" w:lineRule="auto"/>
        <w:rPr>
          <w:sz w:val="20"/>
          <w:szCs w:val="20"/>
          <w:color w:val="auto"/>
        </w:rPr>
      </w:pPr>
      <w:r>
        <w:rPr>
          <w:rFonts w:ascii="Arial" w:cs="Arial" w:eastAsia="Arial" w:hAnsi="Arial"/>
          <w:sz w:val="15"/>
          <w:szCs w:val="15"/>
          <w:color w:val="auto"/>
        </w:rPr>
        <w:t>Initiate Phase 3 program for LDL cholesterol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-219075</wp:posOffset>
            </wp:positionV>
            <wp:extent cx="53340" cy="53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640" w:space="720"/>
            <w:col w:w="3120"/>
          </w:cols>
          <w:pgMar w:left="220" w:top="534" w:right="19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8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REGN668</w:t>
            </w:r>
          </w:p>
        </w:tc>
        <w:tc>
          <w:tcPr>
            <w:tcW w:w="4980" w:type="dxa"/>
            <w:vAlign w:val="bottom"/>
            <w:tcBorders>
              <w:top w:val="single" w:sz="8" w:color="auto"/>
            </w:tcBorders>
          </w:tcPr>
          <w:p>
            <w:pPr>
              <w:ind w:left="1660"/>
              <w:spacing w:after="0"/>
              <w:rPr>
                <w:sz w:val="20"/>
                <w:szCs w:val="20"/>
                <w:color w:val="auto"/>
              </w:rPr>
            </w:pPr>
            <w:r>
              <w:rPr>
                <w:rFonts w:ascii="Arial" w:cs="Arial" w:eastAsia="Arial" w:hAnsi="Arial"/>
                <w:sz w:val="14"/>
                <w:szCs w:val="14"/>
                <w:color w:val="auto"/>
              </w:rPr>
              <w:t>Initiated Phase 1b study in atopic dermatitis and</w:t>
            </w:r>
          </w:p>
        </w:tc>
        <w:tc>
          <w:tcPr>
            <w:tcW w:w="3620" w:type="dxa"/>
            <w:vAlign w:val="bottom"/>
            <w:tcBorders>
              <w:top w:val="single" w:sz="8" w:color="auto"/>
            </w:tcBorders>
          </w:tcPr>
          <w:p>
            <w:pPr>
              <w:ind w:left="520"/>
              <w:spacing w:after="0"/>
              <w:rPr>
                <w:sz w:val="20"/>
                <w:szCs w:val="20"/>
                <w:color w:val="auto"/>
              </w:rPr>
            </w:pPr>
            <w:r>
              <w:rPr>
                <w:rFonts w:ascii="Arial" w:cs="Arial" w:eastAsia="Arial" w:hAnsi="Arial"/>
                <w:sz w:val="14"/>
                <w:szCs w:val="14"/>
                <w:color w:val="auto"/>
              </w:rPr>
              <w:t>Initiate Phase 2 program in atopic dermatitis</w:t>
            </w:r>
          </w:p>
        </w:tc>
        <w:tc>
          <w:tcPr>
            <w:tcW w:w="20" w:type="dxa"/>
            <w:vAlign w:val="bottom"/>
          </w:tcPr>
          <w:p>
            <w:pPr>
              <w:spacing w:after="0"/>
              <w:rPr>
                <w:sz w:val="14"/>
                <w:szCs w:val="14"/>
                <w:color w:val="auto"/>
              </w:rPr>
            </w:pPr>
          </w:p>
        </w:tc>
      </w:tr>
      <w:tr>
        <w:trPr>
          <w:trHeight w:val="197"/>
        </w:trPr>
        <w:tc>
          <w:tcPr>
            <w:tcW w:w="2860" w:type="dxa"/>
            <w:vAlign w:val="bottom"/>
          </w:tcPr>
          <w:p>
            <w:pPr>
              <w:spacing w:after="0"/>
              <w:rPr>
                <w:sz w:val="20"/>
                <w:szCs w:val="20"/>
                <w:color w:val="auto"/>
              </w:rPr>
            </w:pPr>
            <w:r>
              <w:rPr>
                <w:rFonts w:ascii="Arial" w:cs="Arial" w:eastAsia="Arial" w:hAnsi="Arial"/>
                <w:sz w:val="14"/>
                <w:szCs w:val="14"/>
                <w:color w:val="auto"/>
              </w:rPr>
              <w:t>(IL-4R Antibody)</w:t>
            </w:r>
          </w:p>
        </w:tc>
        <w:tc>
          <w:tcPr>
            <w:tcW w:w="4980" w:type="dxa"/>
            <w:vAlign w:val="bottom"/>
          </w:tcPr>
          <w:p>
            <w:pPr>
              <w:ind w:left="1660"/>
              <w:spacing w:after="0"/>
              <w:rPr>
                <w:sz w:val="20"/>
                <w:szCs w:val="20"/>
                <w:color w:val="auto"/>
              </w:rPr>
            </w:pPr>
            <w:r>
              <w:rPr>
                <w:rFonts w:ascii="Arial" w:cs="Arial" w:eastAsia="Arial" w:hAnsi="Arial"/>
                <w:sz w:val="14"/>
                <w:szCs w:val="14"/>
                <w:color w:val="auto"/>
              </w:rPr>
              <w:t>Phase 2 proof of concept study in eosinophilic</w:t>
            </w:r>
          </w:p>
        </w:tc>
        <w:tc>
          <w:tcPr>
            <w:tcW w:w="3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2860" w:type="dxa"/>
            <w:vAlign w:val="bottom"/>
            <w:tcBorders>
              <w:bottom w:val="single" w:sz="8" w:color="auto"/>
            </w:tcBorders>
          </w:tcPr>
          <w:p>
            <w:pPr>
              <w:spacing w:after="0"/>
              <w:rPr>
                <w:sz w:val="17"/>
                <w:szCs w:val="17"/>
                <w:color w:val="auto"/>
              </w:rPr>
            </w:pPr>
          </w:p>
        </w:tc>
        <w:tc>
          <w:tcPr>
            <w:tcW w:w="4980" w:type="dxa"/>
            <w:vAlign w:val="bottom"/>
            <w:tcBorders>
              <w:bottom w:val="single" w:sz="8" w:color="auto"/>
            </w:tcBorders>
          </w:tcPr>
          <w:p>
            <w:pPr>
              <w:ind w:left="1660"/>
              <w:spacing w:after="0"/>
              <w:rPr>
                <w:sz w:val="20"/>
                <w:szCs w:val="20"/>
                <w:color w:val="auto"/>
              </w:rPr>
            </w:pPr>
            <w:r>
              <w:rPr>
                <w:rFonts w:ascii="Arial" w:cs="Arial" w:eastAsia="Arial" w:hAnsi="Arial"/>
                <w:sz w:val="14"/>
                <w:szCs w:val="14"/>
                <w:color w:val="auto"/>
              </w:rPr>
              <w:t>asthma</w:t>
            </w:r>
          </w:p>
        </w:tc>
        <w:tc>
          <w:tcPr>
            <w:tcW w:w="36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2"/>
        </w:trPr>
        <w:tc>
          <w:tcPr>
            <w:tcW w:w="2860" w:type="dxa"/>
            <w:vAlign w:val="bottom"/>
          </w:tcPr>
          <w:p>
            <w:pPr>
              <w:spacing w:after="0"/>
              <w:rPr>
                <w:sz w:val="20"/>
                <w:szCs w:val="20"/>
                <w:color w:val="auto"/>
              </w:rPr>
            </w:pPr>
            <w:r>
              <w:rPr>
                <w:rFonts w:ascii="Arial" w:cs="Arial" w:eastAsia="Arial" w:hAnsi="Arial"/>
                <w:sz w:val="14"/>
                <w:szCs w:val="14"/>
                <w:color w:val="auto"/>
              </w:rPr>
              <w:t>REGN421</w:t>
            </w:r>
          </w:p>
        </w:tc>
        <w:tc>
          <w:tcPr>
            <w:tcW w:w="4980" w:type="dxa"/>
            <w:vAlign w:val="bottom"/>
          </w:tcPr>
          <w:p>
            <w:pPr>
              <w:ind w:left="1660"/>
              <w:spacing w:after="0"/>
              <w:rPr>
                <w:sz w:val="20"/>
                <w:szCs w:val="20"/>
                <w:color w:val="auto"/>
              </w:rPr>
            </w:pPr>
            <w:r>
              <w:rPr>
                <w:rFonts w:ascii="Arial" w:cs="Arial" w:eastAsia="Arial" w:hAnsi="Arial"/>
                <w:sz w:val="14"/>
                <w:szCs w:val="14"/>
                <w:color w:val="auto"/>
              </w:rPr>
              <w:t>Continued patient enrollment in Phase 1 program</w:t>
            </w:r>
          </w:p>
        </w:tc>
        <w:tc>
          <w:tcPr>
            <w:tcW w:w="3620" w:type="dxa"/>
            <w:vAlign w:val="bottom"/>
          </w:tcPr>
          <w:p>
            <w:pPr>
              <w:ind w:left="520"/>
              <w:spacing w:after="0"/>
              <w:rPr>
                <w:sz w:val="20"/>
                <w:szCs w:val="20"/>
                <w:color w:val="auto"/>
              </w:rPr>
            </w:pPr>
            <w:r>
              <w:rPr>
                <w:rFonts w:ascii="Arial" w:cs="Arial" w:eastAsia="Arial" w:hAnsi="Arial"/>
                <w:sz w:val="14"/>
                <w:szCs w:val="14"/>
                <w:color w:val="auto"/>
                <w:w w:val="91"/>
              </w:rPr>
              <w:t>Initiate a Phase 1b program in advanced malignancies</w:t>
            </w:r>
          </w:p>
        </w:tc>
        <w:tc>
          <w:tcPr>
            <w:tcW w:w="20" w:type="dxa"/>
            <w:vAlign w:val="bottom"/>
          </w:tcPr>
          <w:p>
            <w:pPr>
              <w:spacing w:after="0"/>
              <w:rPr>
                <w:sz w:val="15"/>
                <w:szCs w:val="15"/>
                <w:color w:val="auto"/>
              </w:rPr>
            </w:pPr>
          </w:p>
        </w:tc>
      </w:tr>
      <w:tr>
        <w:trPr>
          <w:trHeight w:val="204"/>
        </w:trPr>
        <w:tc>
          <w:tcPr>
            <w:tcW w:w="2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(Dll4 Antibody)</w:t>
            </w:r>
          </w:p>
        </w:tc>
        <w:tc>
          <w:tcPr>
            <w:tcW w:w="498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2"/>
        </w:trPr>
        <w:tc>
          <w:tcPr>
            <w:tcW w:w="2860" w:type="dxa"/>
            <w:vAlign w:val="bottom"/>
          </w:tcPr>
          <w:p>
            <w:pPr>
              <w:spacing w:after="0"/>
              <w:rPr>
                <w:sz w:val="20"/>
                <w:szCs w:val="20"/>
                <w:color w:val="auto"/>
              </w:rPr>
            </w:pPr>
            <w:r>
              <w:rPr>
                <w:rFonts w:ascii="Arial" w:cs="Arial" w:eastAsia="Arial" w:hAnsi="Arial"/>
                <w:sz w:val="14"/>
                <w:szCs w:val="14"/>
                <w:color w:val="auto"/>
              </w:rPr>
              <w:t>REGN910</w:t>
            </w:r>
          </w:p>
        </w:tc>
        <w:tc>
          <w:tcPr>
            <w:tcW w:w="4980" w:type="dxa"/>
            <w:vAlign w:val="bottom"/>
          </w:tcPr>
          <w:p>
            <w:pPr>
              <w:ind w:left="1660"/>
              <w:spacing w:after="0"/>
              <w:rPr>
                <w:sz w:val="20"/>
                <w:szCs w:val="20"/>
                <w:color w:val="auto"/>
              </w:rPr>
            </w:pPr>
            <w:r>
              <w:rPr>
                <w:rFonts w:ascii="Arial" w:cs="Arial" w:eastAsia="Arial" w:hAnsi="Arial"/>
                <w:sz w:val="14"/>
                <w:szCs w:val="14"/>
                <w:color w:val="auto"/>
              </w:rPr>
              <w:t>Continued patient enrollment in Phase 1 program</w:t>
            </w:r>
          </w:p>
        </w:tc>
        <w:tc>
          <w:tcPr>
            <w:tcW w:w="3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4"/>
        </w:trPr>
        <w:tc>
          <w:tcPr>
            <w:tcW w:w="2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(ANG2 Antibody)</w:t>
            </w:r>
          </w:p>
        </w:tc>
        <w:tc>
          <w:tcPr>
            <w:tcW w:w="498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2"/>
        </w:trPr>
        <w:tc>
          <w:tcPr>
            <w:tcW w:w="2860" w:type="dxa"/>
            <w:vAlign w:val="bottom"/>
          </w:tcPr>
          <w:p>
            <w:pPr>
              <w:spacing w:after="0"/>
              <w:rPr>
                <w:sz w:val="20"/>
                <w:szCs w:val="20"/>
                <w:color w:val="auto"/>
              </w:rPr>
            </w:pPr>
            <w:r>
              <w:rPr>
                <w:rFonts w:ascii="Arial" w:cs="Arial" w:eastAsia="Arial" w:hAnsi="Arial"/>
                <w:sz w:val="14"/>
                <w:szCs w:val="14"/>
                <w:color w:val="auto"/>
              </w:rPr>
              <w:t>REGN475</w:t>
            </w:r>
          </w:p>
        </w:tc>
        <w:tc>
          <w:tcPr>
            <w:tcW w:w="4980" w:type="dxa"/>
            <w:vAlign w:val="bottom"/>
          </w:tcPr>
          <w:p>
            <w:pPr>
              <w:ind w:left="1660"/>
              <w:spacing w:after="0"/>
              <w:rPr>
                <w:sz w:val="20"/>
                <w:szCs w:val="20"/>
                <w:color w:val="auto"/>
              </w:rPr>
            </w:pPr>
            <w:r>
              <w:rPr>
                <w:rFonts w:ascii="Arial" w:cs="Arial" w:eastAsia="Arial" w:hAnsi="Arial"/>
                <w:sz w:val="14"/>
                <w:szCs w:val="14"/>
                <w:color w:val="auto"/>
              </w:rPr>
              <w:t>On clinical hold</w:t>
            </w:r>
          </w:p>
        </w:tc>
        <w:tc>
          <w:tcPr>
            <w:tcW w:w="3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4"/>
        </w:trPr>
        <w:tc>
          <w:tcPr>
            <w:tcW w:w="2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(NGF Antibody)</w:t>
            </w:r>
          </w:p>
        </w:tc>
        <w:tc>
          <w:tcPr>
            <w:tcW w:w="498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2"/>
        </w:trPr>
        <w:tc>
          <w:tcPr>
            <w:tcW w:w="2860" w:type="dxa"/>
            <w:vAlign w:val="bottom"/>
          </w:tcPr>
          <w:p>
            <w:pPr>
              <w:spacing w:after="0"/>
              <w:rPr>
                <w:sz w:val="20"/>
                <w:szCs w:val="20"/>
                <w:color w:val="auto"/>
              </w:rPr>
            </w:pPr>
            <w:r>
              <w:rPr>
                <w:rFonts w:ascii="Arial" w:cs="Arial" w:eastAsia="Arial" w:hAnsi="Arial"/>
                <w:sz w:val="14"/>
                <w:szCs w:val="14"/>
                <w:color w:val="auto"/>
              </w:rPr>
              <w:t>REGN728</w:t>
            </w:r>
          </w:p>
        </w:tc>
        <w:tc>
          <w:tcPr>
            <w:tcW w:w="4980" w:type="dxa"/>
            <w:vAlign w:val="bottom"/>
          </w:tcPr>
          <w:p>
            <w:pPr>
              <w:ind w:left="1660"/>
              <w:spacing w:after="0"/>
              <w:rPr>
                <w:sz w:val="20"/>
                <w:szCs w:val="20"/>
                <w:color w:val="auto"/>
              </w:rPr>
            </w:pPr>
            <w:r>
              <w:rPr>
                <w:rFonts w:ascii="Arial" w:cs="Arial" w:eastAsia="Arial" w:hAnsi="Arial"/>
                <w:sz w:val="14"/>
                <w:szCs w:val="14"/>
                <w:color w:val="auto"/>
              </w:rPr>
              <w:t>Continued patient enrollment in Phase 1 program</w:t>
            </w:r>
          </w:p>
        </w:tc>
        <w:tc>
          <w:tcPr>
            <w:tcW w:w="3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4"/>
        </w:trPr>
        <w:tc>
          <w:tcPr>
            <w:tcW w:w="2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(target not disclosed)</w:t>
            </w:r>
          </w:p>
        </w:tc>
        <w:tc>
          <w:tcPr>
            <w:tcW w:w="498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2"/>
        </w:trPr>
        <w:tc>
          <w:tcPr>
            <w:tcW w:w="2860" w:type="dxa"/>
            <w:vAlign w:val="bottom"/>
          </w:tcPr>
          <w:p>
            <w:pPr>
              <w:spacing w:after="0"/>
              <w:rPr>
                <w:sz w:val="20"/>
                <w:szCs w:val="20"/>
                <w:color w:val="auto"/>
              </w:rPr>
            </w:pPr>
            <w:r>
              <w:rPr>
                <w:rFonts w:ascii="Arial" w:cs="Arial" w:eastAsia="Arial" w:hAnsi="Arial"/>
                <w:sz w:val="14"/>
                <w:szCs w:val="14"/>
                <w:color w:val="auto"/>
              </w:rPr>
              <w:t>REGN846</w:t>
            </w:r>
          </w:p>
        </w:tc>
        <w:tc>
          <w:tcPr>
            <w:tcW w:w="4980" w:type="dxa"/>
            <w:vAlign w:val="bottom"/>
          </w:tcPr>
          <w:p>
            <w:pPr>
              <w:ind w:left="1660"/>
              <w:spacing w:after="0"/>
              <w:rPr>
                <w:sz w:val="20"/>
                <w:szCs w:val="20"/>
                <w:color w:val="auto"/>
              </w:rPr>
            </w:pPr>
            <w:r>
              <w:rPr>
                <w:rFonts w:ascii="Arial" w:cs="Arial" w:eastAsia="Arial" w:hAnsi="Arial"/>
                <w:sz w:val="14"/>
                <w:szCs w:val="14"/>
                <w:color w:val="auto"/>
              </w:rPr>
              <w:t>Continued patient enrollment in Phase 1 program</w:t>
            </w:r>
          </w:p>
        </w:tc>
        <w:tc>
          <w:tcPr>
            <w:tcW w:w="3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9"/>
        </w:trPr>
        <w:tc>
          <w:tcPr>
            <w:tcW w:w="2860" w:type="dxa"/>
            <w:vAlign w:val="bottom"/>
          </w:tcPr>
          <w:p>
            <w:pPr>
              <w:spacing w:after="0"/>
              <w:rPr>
                <w:sz w:val="20"/>
                <w:szCs w:val="20"/>
                <w:color w:val="auto"/>
              </w:rPr>
            </w:pPr>
            <w:r>
              <w:rPr>
                <w:rFonts w:ascii="Arial" w:cs="Arial" w:eastAsia="Arial" w:hAnsi="Arial"/>
                <w:sz w:val="14"/>
                <w:szCs w:val="14"/>
                <w:color w:val="auto"/>
              </w:rPr>
              <w:t>(target not disclosed)</w:t>
            </w:r>
          </w:p>
        </w:tc>
        <w:tc>
          <w:tcPr>
            <w:tcW w:w="4980" w:type="dxa"/>
            <w:vAlign w:val="bottom"/>
          </w:tcPr>
          <w:p>
            <w:pPr>
              <w:ind w:left="1660"/>
              <w:spacing w:after="0"/>
              <w:rPr>
                <w:sz w:val="20"/>
                <w:szCs w:val="20"/>
                <w:color w:val="auto"/>
              </w:rPr>
            </w:pPr>
            <w:r>
              <w:rPr>
                <w:rFonts w:ascii="Arial" w:cs="Arial" w:eastAsia="Arial" w:hAnsi="Arial"/>
                <w:sz w:val="15"/>
                <w:szCs w:val="15"/>
                <w:color w:val="auto"/>
              </w:rPr>
              <w:t>Sanofi elected not to co-develop REGN846</w:t>
            </w:r>
          </w:p>
        </w:tc>
        <w:tc>
          <w:tcPr>
            <w:tcW w:w="3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860" w:type="dxa"/>
            <w:vAlign w:val="bottom"/>
            <w:tcBorders>
              <w:bottom w:val="single" w:sz="8" w:color="auto"/>
            </w:tcBorders>
          </w:tcPr>
          <w:p>
            <w:pPr>
              <w:spacing w:after="0"/>
              <w:rPr>
                <w:sz w:val="17"/>
                <w:szCs w:val="17"/>
                <w:color w:val="auto"/>
              </w:rPr>
            </w:pPr>
          </w:p>
        </w:tc>
        <w:tc>
          <w:tcPr>
            <w:tcW w:w="4980" w:type="dxa"/>
            <w:vAlign w:val="bottom"/>
            <w:tcBorders>
              <w:bottom w:val="single" w:sz="8" w:color="auto"/>
            </w:tcBorders>
          </w:tcPr>
          <w:p>
            <w:pPr>
              <w:ind w:left="1660"/>
              <w:spacing w:after="0"/>
              <w:rPr>
                <w:sz w:val="20"/>
                <w:szCs w:val="20"/>
                <w:color w:val="auto"/>
              </w:rPr>
            </w:pPr>
            <w:r>
              <w:rPr>
                <w:rFonts w:ascii="Arial" w:cs="Arial" w:eastAsia="Arial" w:hAnsi="Arial"/>
                <w:sz w:val="15"/>
                <w:szCs w:val="15"/>
                <w:color w:val="auto"/>
              </w:rPr>
              <w:t>Initiated Phase 2a program in atopic dermatitis</w:t>
            </w:r>
          </w:p>
        </w:tc>
        <w:tc>
          <w:tcPr>
            <w:tcW w:w="36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367"/>
        </w:trPr>
        <w:tc>
          <w:tcPr>
            <w:tcW w:w="2860" w:type="dxa"/>
            <w:vAlign w:val="bottom"/>
          </w:tcPr>
          <w:p>
            <w:pPr>
              <w:spacing w:after="0"/>
              <w:rPr>
                <w:sz w:val="24"/>
                <w:szCs w:val="24"/>
                <w:color w:val="auto"/>
              </w:rPr>
            </w:pPr>
          </w:p>
        </w:tc>
        <w:tc>
          <w:tcPr>
            <w:tcW w:w="4980" w:type="dxa"/>
            <w:vAlign w:val="bottom"/>
          </w:tcPr>
          <w:p>
            <w:pPr>
              <w:ind w:left="2800"/>
              <w:spacing w:after="0"/>
              <w:rPr>
                <w:sz w:val="20"/>
                <w:szCs w:val="20"/>
                <w:color w:val="auto"/>
              </w:rPr>
            </w:pPr>
            <w:r>
              <w:rPr>
                <w:rFonts w:ascii="Arial" w:cs="Arial" w:eastAsia="Arial" w:hAnsi="Arial"/>
                <w:sz w:val="14"/>
                <w:szCs w:val="14"/>
                <w:color w:val="auto"/>
              </w:rPr>
              <w:t>31</w:t>
            </w: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4"/>
        </w:trPr>
        <w:tc>
          <w:tcPr>
            <w:tcW w:w="2860" w:type="dxa"/>
            <w:vAlign w:val="bottom"/>
            <w:tcBorders>
              <w:bottom w:val="single" w:sz="8" w:color="808080"/>
            </w:tcBorders>
          </w:tcPr>
          <w:p>
            <w:pPr>
              <w:spacing w:after="0"/>
              <w:rPr>
                <w:sz w:val="24"/>
                <w:szCs w:val="24"/>
                <w:color w:val="auto"/>
              </w:rPr>
            </w:pPr>
          </w:p>
        </w:tc>
        <w:tc>
          <w:tcPr>
            <w:tcW w:w="498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-12700</wp:posOffset>
            </wp:positionV>
            <wp:extent cx="1270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-2195195</wp:posOffset>
            </wp:positionV>
            <wp:extent cx="53340" cy="533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-2195195</wp:posOffset>
            </wp:positionV>
            <wp:extent cx="53340" cy="533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-1812290</wp:posOffset>
            </wp:positionV>
            <wp:extent cx="53340" cy="53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-1812290</wp:posOffset>
            </wp:positionV>
            <wp:extent cx="53340" cy="533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-1554480</wp:posOffset>
            </wp:positionV>
            <wp:extent cx="53340" cy="53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-1296670</wp:posOffset>
            </wp:positionV>
            <wp:extent cx="53340" cy="533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-1038860</wp:posOffset>
            </wp:positionV>
            <wp:extent cx="53340" cy="533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-781050</wp:posOffset>
            </wp:positionV>
            <wp:extent cx="53340" cy="533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-655955</wp:posOffset>
            </wp:positionV>
            <wp:extent cx="53340" cy="533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-530225</wp:posOffset>
            </wp:positionV>
            <wp:extent cx="53340" cy="53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sectPr>
          <w:pgSz w:w="11900" w:h="16838" w:orient="portrait"/>
          <w:cols w:equalWidth="0" w:num="1">
            <w:col w:w="11480"/>
          </w:cols>
          <w:pgMar w:left="220" w:top="534" w:right="1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b w:val="1"/>
          <w:bCs w:val="1"/>
          <w:color w:val="auto"/>
        </w:rPr>
        <w:t>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Three Months Ended September 30, 2011 and 2010</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Loss</w:t>
      </w:r>
    </w:p>
    <w:p>
      <w:pPr>
        <w:spacing w:after="0" w:line="234" w:lineRule="exact"/>
        <w:rPr>
          <w:sz w:val="20"/>
          <w:szCs w:val="20"/>
          <w:color w:val="auto"/>
        </w:rPr>
      </w:pPr>
    </w:p>
    <w:p>
      <w:pPr>
        <w:jc w:val="both"/>
        <w:ind w:firstLine="241"/>
        <w:spacing w:after="0" w:line="283" w:lineRule="auto"/>
        <w:rPr>
          <w:sz w:val="20"/>
          <w:szCs w:val="20"/>
          <w:color w:val="auto"/>
        </w:rPr>
      </w:pPr>
      <w:r>
        <w:rPr>
          <w:rFonts w:ascii="Arial" w:cs="Arial" w:eastAsia="Arial" w:hAnsi="Arial"/>
          <w:sz w:val="14"/>
          <w:szCs w:val="14"/>
          <w:color w:val="auto"/>
        </w:rPr>
        <w:t>Regeneron reported a net loss of $62.4 million, or $0.68 per share (basic and diluted), for the third quarter of 2011, compared to a net loss of $33.9 million, or $0.41 per share (basic and diluted), for the third quarter of 2010. The increase in our net loss in 2011 was principally due to higher selling, general, and administrative expenses, partly in connection with preparing to commercialize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wet AMD, and higher research and development expenses.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120" w:type="dxa"/>
            <w:vAlign w:val="bottom"/>
          </w:tcPr>
          <w:p>
            <w:pPr>
              <w:spacing w:after="0"/>
              <w:rPr>
                <w:sz w:val="20"/>
                <w:szCs w:val="20"/>
                <w:color w:val="auto"/>
              </w:rPr>
            </w:pPr>
            <w:r>
              <w:rPr>
                <w:rFonts w:ascii="Arial" w:cs="Arial" w:eastAsia="Arial" w:hAnsi="Arial"/>
                <w:sz w:val="14"/>
                <w:szCs w:val="14"/>
                <w:b w:val="1"/>
                <w:bCs w:val="1"/>
                <w:i w:val="1"/>
                <w:iCs w:val="1"/>
                <w:color w:val="auto"/>
              </w:rPr>
              <w:t>Revenues</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5"/>
        </w:trPr>
        <w:tc>
          <w:tcPr>
            <w:tcW w:w="10120" w:type="dxa"/>
            <w:vAlign w:val="bottom"/>
          </w:tcPr>
          <w:p>
            <w:pPr>
              <w:ind w:left="220"/>
              <w:spacing w:after="0"/>
              <w:rPr>
                <w:sz w:val="20"/>
                <w:szCs w:val="20"/>
                <w:color w:val="auto"/>
              </w:rPr>
            </w:pPr>
            <w:r>
              <w:rPr>
                <w:rFonts w:ascii="Arial" w:cs="Arial" w:eastAsia="Arial" w:hAnsi="Arial"/>
                <w:sz w:val="14"/>
                <w:szCs w:val="14"/>
                <w:color w:val="auto"/>
              </w:rPr>
              <w:t>Revenues for the three months ended September 30, 2011 and 2010 consist of the following:</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10120" w:type="dxa"/>
            <w:vAlign w:val="bottom"/>
            <w:tcBorders>
              <w:bottom w:val="single" w:sz="8" w:color="C0C0C0"/>
            </w:tcBorders>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6"/>
              </w:rPr>
              <w:t>2011</w:t>
            </w:r>
          </w:p>
        </w:tc>
        <w:tc>
          <w:tcPr>
            <w:tcW w:w="220" w:type="dxa"/>
            <w:vAlign w:val="bottom"/>
            <w:tcBorders>
              <w:bottom w:val="single" w:sz="8" w:color="C0C0C0"/>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6"/>
              </w:rPr>
              <w:t>2010</w:t>
            </w:r>
          </w:p>
        </w:tc>
        <w:tc>
          <w:tcPr>
            <w:tcW w:w="0" w:type="dxa"/>
            <w:vAlign w:val="bottom"/>
          </w:tcPr>
          <w:p>
            <w:pPr>
              <w:spacing w:after="0"/>
              <w:rPr>
                <w:sz w:val="1"/>
                <w:szCs w:val="1"/>
                <w:color w:val="auto"/>
              </w:rPr>
            </w:pPr>
          </w:p>
        </w:tc>
      </w:tr>
      <w:tr>
        <w:trPr>
          <w:trHeight w:val="195"/>
        </w:trPr>
        <w:tc>
          <w:tcPr>
            <w:tcW w:w="10120" w:type="dxa"/>
            <w:vAlign w:val="bottom"/>
            <w:shd w:val="clear" w:color="auto" w:fill="C0C0C0"/>
          </w:tcPr>
          <w:p>
            <w:pPr>
              <w:spacing w:after="0"/>
              <w:rPr>
                <w:sz w:val="20"/>
                <w:szCs w:val="20"/>
                <w:color w:val="auto"/>
              </w:rPr>
            </w:pPr>
            <w:r>
              <w:rPr>
                <w:rFonts w:ascii="Arial" w:cs="Arial" w:eastAsia="Arial" w:hAnsi="Arial"/>
                <w:sz w:val="14"/>
                <w:szCs w:val="14"/>
                <w:color w:val="auto"/>
              </w:rPr>
              <w:t>Collaboration revenue</w:t>
            </w:r>
          </w:p>
        </w:tc>
        <w:tc>
          <w:tcPr>
            <w:tcW w:w="100" w:type="dxa"/>
            <w:vAlign w:val="bottom"/>
            <w:shd w:val="clear" w:color="auto" w:fill="C0C0C0"/>
          </w:tcPr>
          <w:p>
            <w:pPr>
              <w:spacing w:after="0"/>
              <w:rPr>
                <w:sz w:val="16"/>
                <w:szCs w:val="16"/>
                <w:color w:val="auto"/>
              </w:rPr>
            </w:pPr>
          </w:p>
        </w:tc>
        <w:tc>
          <w:tcPr>
            <w:tcW w:w="46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460" w:type="dxa"/>
            <w:vAlign w:val="bottom"/>
            <w:shd w:val="clear" w:color="auto" w:fill="C0C0C0"/>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120" w:type="dxa"/>
            <w:vAlign w:val="bottom"/>
          </w:tcPr>
          <w:p>
            <w:pPr>
              <w:ind w:left="260"/>
              <w:spacing w:after="0"/>
              <w:rPr>
                <w:sz w:val="20"/>
                <w:szCs w:val="20"/>
                <w:color w:val="auto"/>
              </w:rPr>
            </w:pPr>
            <w:r>
              <w:rPr>
                <w:rFonts w:ascii="Arial" w:cs="Arial" w:eastAsia="Arial" w:hAnsi="Arial"/>
                <w:sz w:val="14"/>
                <w:szCs w:val="14"/>
                <w:color w:val="auto"/>
              </w:rPr>
              <w:t>Sanofi</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79.8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75.6</w:t>
            </w:r>
          </w:p>
        </w:tc>
        <w:tc>
          <w:tcPr>
            <w:tcW w:w="0" w:type="dxa"/>
            <w:vAlign w:val="bottom"/>
          </w:tcPr>
          <w:p>
            <w:pPr>
              <w:spacing w:after="0"/>
              <w:rPr>
                <w:sz w:val="1"/>
                <w:szCs w:val="1"/>
                <w:color w:val="auto"/>
              </w:rPr>
            </w:pPr>
          </w:p>
        </w:tc>
      </w:tr>
      <w:tr>
        <w:trPr>
          <w:trHeight w:val="204"/>
        </w:trPr>
        <w:tc>
          <w:tcPr>
            <w:tcW w:w="10120" w:type="dxa"/>
            <w:vAlign w:val="bottom"/>
            <w:shd w:val="clear" w:color="auto" w:fill="C0C0C0"/>
          </w:tcPr>
          <w:p>
            <w:pPr>
              <w:ind w:left="260"/>
              <w:spacing w:after="0"/>
              <w:rPr>
                <w:sz w:val="20"/>
                <w:szCs w:val="20"/>
                <w:color w:val="auto"/>
              </w:rPr>
            </w:pPr>
            <w:r>
              <w:rPr>
                <w:rFonts w:ascii="Arial" w:cs="Arial" w:eastAsia="Arial" w:hAnsi="Arial"/>
                <w:sz w:val="14"/>
                <w:szCs w:val="14"/>
                <w:color w:val="auto"/>
              </w:rPr>
              <w:t>Bayer HealthCare</w:t>
            </w:r>
          </w:p>
        </w:tc>
        <w:tc>
          <w:tcPr>
            <w:tcW w:w="1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0C0C0"/>
          </w:tcPr>
          <w:p>
            <w:pPr>
              <w:spacing w:after="0"/>
              <w:rPr>
                <w:sz w:val="17"/>
                <w:szCs w:val="17"/>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0"/>
        </w:trPr>
        <w:tc>
          <w:tcPr>
            <w:tcW w:w="10120" w:type="dxa"/>
            <w:vAlign w:val="bottom"/>
            <w:vMerge w:val="restart"/>
          </w:tcPr>
          <w:p>
            <w:pPr>
              <w:ind w:left="500"/>
              <w:spacing w:after="0"/>
              <w:rPr>
                <w:sz w:val="20"/>
                <w:szCs w:val="20"/>
                <w:color w:val="auto"/>
              </w:rPr>
            </w:pPr>
            <w:r>
              <w:rPr>
                <w:rFonts w:ascii="Arial" w:cs="Arial" w:eastAsia="Arial" w:hAnsi="Arial"/>
                <w:sz w:val="14"/>
                <w:szCs w:val="14"/>
                <w:color w:val="auto"/>
              </w:rPr>
              <w:t>Total collaboration revenue</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89.9</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89.4</w:t>
            </w:r>
          </w:p>
        </w:tc>
        <w:tc>
          <w:tcPr>
            <w:tcW w:w="0" w:type="dxa"/>
            <w:vAlign w:val="bottom"/>
          </w:tcPr>
          <w:p>
            <w:pPr>
              <w:spacing w:after="0"/>
              <w:rPr>
                <w:sz w:val="1"/>
                <w:szCs w:val="1"/>
                <w:color w:val="auto"/>
              </w:rPr>
            </w:pPr>
          </w:p>
        </w:tc>
      </w:tr>
      <w:tr>
        <w:trPr>
          <w:trHeight w:val="204"/>
        </w:trPr>
        <w:tc>
          <w:tcPr>
            <w:tcW w:w="10120" w:type="dxa"/>
            <w:vAlign w:val="bottom"/>
            <w:shd w:val="clear" w:color="auto" w:fill="C0C0C0"/>
          </w:tcPr>
          <w:p>
            <w:pPr>
              <w:spacing w:after="0"/>
              <w:rPr>
                <w:sz w:val="20"/>
                <w:szCs w:val="20"/>
                <w:color w:val="auto"/>
              </w:rPr>
            </w:pPr>
            <w:r>
              <w:rPr>
                <w:rFonts w:ascii="Arial" w:cs="Arial" w:eastAsia="Arial" w:hAnsi="Arial"/>
                <w:sz w:val="14"/>
                <w:szCs w:val="14"/>
                <w:color w:val="auto"/>
              </w:rPr>
              <w:t>Technology licensing revenue</w:t>
            </w:r>
          </w:p>
        </w:tc>
        <w:tc>
          <w:tcPr>
            <w:tcW w:w="1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0C0C0"/>
          </w:tcPr>
          <w:p>
            <w:pPr>
              <w:spacing w:after="0"/>
              <w:rPr>
                <w:sz w:val="17"/>
                <w:szCs w:val="17"/>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91"/>
        </w:trPr>
        <w:tc>
          <w:tcPr>
            <w:tcW w:w="10120" w:type="dxa"/>
            <w:vAlign w:val="bottom"/>
          </w:tcPr>
          <w:p>
            <w:pPr>
              <w:spacing w:after="0"/>
              <w:rPr>
                <w:sz w:val="20"/>
                <w:szCs w:val="20"/>
                <w:color w:val="auto"/>
              </w:rPr>
            </w:pPr>
            <w:r>
              <w:rPr>
                <w:rFonts w:ascii="Arial" w:cs="Arial" w:eastAsia="Arial" w:hAnsi="Arial"/>
                <w:sz w:val="14"/>
                <w:szCs w:val="14"/>
                <w:color w:val="auto"/>
              </w:rPr>
              <w:t>Net product sales</w:t>
            </w:r>
          </w:p>
        </w:tc>
        <w:tc>
          <w:tcPr>
            <w:tcW w:w="10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97"/>
        </w:trPr>
        <w:tc>
          <w:tcPr>
            <w:tcW w:w="10120" w:type="dxa"/>
            <w:vAlign w:val="bottom"/>
            <w:shd w:val="clear" w:color="auto" w:fill="C0C0C0"/>
          </w:tcPr>
          <w:p>
            <w:pPr>
              <w:spacing w:after="0"/>
              <w:rPr>
                <w:sz w:val="20"/>
                <w:szCs w:val="20"/>
                <w:color w:val="auto"/>
              </w:rPr>
            </w:pPr>
            <w:r>
              <w:rPr>
                <w:rFonts w:ascii="Arial" w:cs="Arial" w:eastAsia="Arial" w:hAnsi="Arial"/>
                <w:sz w:val="14"/>
                <w:szCs w:val="14"/>
                <w:color w:val="auto"/>
              </w:rPr>
              <w:t>Contract research and other revenue</w:t>
            </w:r>
          </w:p>
        </w:tc>
        <w:tc>
          <w:tcPr>
            <w:tcW w:w="1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0C0C0"/>
          </w:tcPr>
          <w:p>
            <w:pPr>
              <w:spacing w:after="0"/>
              <w:rPr>
                <w:sz w:val="17"/>
                <w:szCs w:val="17"/>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10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120" w:type="dxa"/>
            <w:vAlign w:val="bottom"/>
          </w:tcPr>
          <w:p>
            <w:pPr>
              <w:ind w:left="500"/>
              <w:spacing w:after="0"/>
              <w:rPr>
                <w:sz w:val="20"/>
                <w:szCs w:val="20"/>
                <w:color w:val="auto"/>
              </w:rPr>
            </w:pPr>
            <w:r>
              <w:rPr>
                <w:rFonts w:ascii="Arial" w:cs="Arial" w:eastAsia="Arial" w:hAnsi="Arial"/>
                <w:sz w:val="14"/>
                <w:szCs w:val="14"/>
                <w:color w:val="auto"/>
              </w:rPr>
              <w:t>Total revenue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102.8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106.0</w:t>
            </w:r>
          </w:p>
        </w:tc>
        <w:tc>
          <w:tcPr>
            <w:tcW w:w="0" w:type="dxa"/>
            <w:vAlign w:val="bottom"/>
          </w:tcPr>
          <w:p>
            <w:pPr>
              <w:spacing w:after="0"/>
              <w:rPr>
                <w:sz w:val="1"/>
                <w:szCs w:val="1"/>
                <w:color w:val="auto"/>
              </w:rPr>
            </w:pPr>
          </w:p>
        </w:tc>
      </w:tr>
      <w:tr>
        <w:trPr>
          <w:trHeight w:val="23"/>
        </w:trPr>
        <w:tc>
          <w:tcPr>
            <w:tcW w:w="10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Sanofi Collaboration Revenue</w:t>
      </w:r>
    </w:p>
    <w:p>
      <w:pPr>
        <w:spacing w:after="0" w:line="234" w:lineRule="exact"/>
        <w:rPr>
          <w:sz w:val="20"/>
          <w:szCs w:val="20"/>
          <w:color w:val="auto"/>
        </w:rPr>
      </w:pPr>
    </w:p>
    <w:p>
      <w:pPr>
        <w:jc w:val="both"/>
        <w:ind w:firstLine="285"/>
        <w:spacing w:after="0" w:line="300" w:lineRule="auto"/>
        <w:rPr>
          <w:sz w:val="20"/>
          <w:szCs w:val="20"/>
          <w:color w:val="auto"/>
        </w:rPr>
      </w:pPr>
      <w:r>
        <w:rPr>
          <w:rFonts w:ascii="Arial" w:cs="Arial" w:eastAsia="Arial" w:hAnsi="Arial"/>
          <w:sz w:val="14"/>
          <w:szCs w:val="14"/>
          <w:color w:val="auto"/>
        </w:rPr>
        <w:t>The collaboration revenue we earned from Sanofi, as detailed below, consisted primarily of reimbursement for research and development expenses and recognition of revenue related to non-refundable up-front payments of $105.0 million related to the ZALTRAP</w:t>
      </w:r>
      <w:r>
        <w:rPr>
          <w:rFonts w:ascii="Arial" w:cs="Arial" w:eastAsia="Arial" w:hAnsi="Arial"/>
          <w:sz w:val="19"/>
          <w:szCs w:val="19"/>
          <w:color w:val="auto"/>
          <w:vertAlign w:val="superscript"/>
        </w:rPr>
        <w:t>®</w:t>
      </w:r>
      <w:r>
        <w:rPr>
          <w:rFonts w:ascii="Arial" w:cs="Arial" w:eastAsia="Arial" w:hAnsi="Arial"/>
          <w:sz w:val="14"/>
          <w:szCs w:val="14"/>
          <w:color w:val="auto"/>
        </w:rPr>
        <w:t xml:space="preserve"> collaboration and $85.0 million related to the antibody collaboration.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5"/>
          </w:tcPr>
          <w:p>
            <w:pPr>
              <w:jc w:val="right"/>
              <w:ind w:right="69"/>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66"/>
        </w:trPr>
        <w:tc>
          <w:tcPr>
            <w:tcW w:w="1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Sanofi Collaboration Revenue</w:t>
            </w:r>
          </w:p>
        </w:tc>
        <w:tc>
          <w:tcPr>
            <w:tcW w:w="50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24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4"/>
        </w:trPr>
        <w:tc>
          <w:tcPr>
            <w:tcW w:w="68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860" w:type="dxa"/>
            <w:vAlign w:val="bottom"/>
            <w:tcBorders>
              <w:bottom w:val="single" w:sz="8" w:color="C0C0C0"/>
            </w:tcBorders>
            <w:gridSpan w:val="2"/>
            <w:vMerge w:val="continue"/>
          </w:tcPr>
          <w:p>
            <w:pPr>
              <w:spacing w:after="0"/>
              <w:rPr>
                <w:sz w:val="15"/>
                <w:szCs w:val="15"/>
                <w:color w:val="auto"/>
              </w:rPr>
            </w:pPr>
          </w:p>
        </w:tc>
        <w:tc>
          <w:tcPr>
            <w:tcW w:w="3080" w:type="dxa"/>
            <w:vAlign w:val="bottom"/>
            <w:tcBorders>
              <w:bottom w:val="single" w:sz="8" w:color="C0C0C0"/>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C0C0C0"/>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96"/>
              </w:rPr>
              <w:t>2010</w:t>
            </w:r>
          </w:p>
        </w:tc>
        <w:tc>
          <w:tcPr>
            <w:tcW w:w="0" w:type="dxa"/>
            <w:vAlign w:val="bottom"/>
          </w:tcPr>
          <w:p>
            <w:pPr>
              <w:spacing w:after="0"/>
              <w:rPr>
                <w:sz w:val="1"/>
                <w:szCs w:val="1"/>
                <w:color w:val="auto"/>
              </w:rPr>
            </w:pPr>
          </w:p>
        </w:tc>
      </w:tr>
      <w:tr>
        <w:trPr>
          <w:trHeight w:val="175"/>
        </w:trPr>
        <w:tc>
          <w:tcPr>
            <w:tcW w:w="686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4"/>
                <w:szCs w:val="14"/>
                <w:color w:val="auto"/>
              </w:rPr>
              <w:t>ZALTRAP</w:t>
            </w:r>
            <w:r>
              <w:rPr>
                <w:rFonts w:ascii="Arial" w:cs="Arial" w:eastAsia="Arial" w:hAnsi="Arial"/>
                <w:sz w:val="9"/>
                <w:szCs w:val="9"/>
                <w:color w:val="auto"/>
              </w:rPr>
              <w:t>®</w:t>
            </w:r>
            <w:r>
              <w:rPr>
                <w:rFonts w:ascii="Arial" w:cs="Arial" w:eastAsia="Arial" w:hAnsi="Arial"/>
                <w:sz w:val="14"/>
                <w:szCs w:val="14"/>
                <w:color w:val="auto"/>
              </w:rPr>
              <w:t>:</w:t>
            </w:r>
          </w:p>
        </w:tc>
        <w:tc>
          <w:tcPr>
            <w:tcW w:w="308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50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220" w:type="dxa"/>
            <w:vAlign w:val="bottom"/>
            <w:tcBorders>
              <w:bottom w:val="single" w:sz="8" w:color="C0C0C0"/>
            </w:tcBorders>
            <w:shd w:val="clear" w:color="auto" w:fill="C0C0C0"/>
          </w:tcPr>
          <w:p>
            <w:pPr>
              <w:spacing w:after="0"/>
              <w:rPr>
                <w:sz w:val="15"/>
                <w:szCs w:val="15"/>
                <w:color w:val="auto"/>
              </w:rPr>
            </w:pPr>
          </w:p>
        </w:tc>
        <w:tc>
          <w:tcPr>
            <w:tcW w:w="120" w:type="dxa"/>
            <w:vAlign w:val="bottom"/>
            <w:tcBorders>
              <w:bottom w:val="single" w:sz="8" w:color="C0C0C0"/>
            </w:tcBorders>
            <w:shd w:val="clear" w:color="auto" w:fill="C0C0C0"/>
          </w:tcPr>
          <w:p>
            <w:pPr>
              <w:spacing w:after="0"/>
              <w:rPr>
                <w:sz w:val="15"/>
                <w:szCs w:val="15"/>
                <w:color w:val="auto"/>
              </w:rPr>
            </w:pPr>
          </w:p>
        </w:tc>
        <w:tc>
          <w:tcPr>
            <w:tcW w:w="480" w:type="dxa"/>
            <w:vAlign w:val="bottom"/>
            <w:tcBorders>
              <w:bottom w:val="single" w:sz="8" w:color="C0C0C0"/>
            </w:tcBorders>
            <w:shd w:val="clear" w:color="auto" w:fill="C0C0C0"/>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860" w:type="dxa"/>
            <w:vAlign w:val="bottom"/>
            <w:gridSpan w:val="2"/>
          </w:tcPr>
          <w:p>
            <w:pPr>
              <w:ind w:left="260"/>
              <w:spacing w:after="0"/>
              <w:rPr>
                <w:sz w:val="20"/>
                <w:szCs w:val="20"/>
                <w:color w:val="auto"/>
              </w:rPr>
            </w:pPr>
            <w:r>
              <w:rPr>
                <w:rFonts w:ascii="Arial" w:cs="Arial" w:eastAsia="Arial" w:hAnsi="Arial"/>
                <w:sz w:val="14"/>
                <w:szCs w:val="14"/>
                <w:color w:val="auto"/>
              </w:rPr>
              <w:t>Regeneron expense reimbursement</w:t>
            </w:r>
          </w:p>
        </w:tc>
        <w:tc>
          <w:tcPr>
            <w:tcW w:w="3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2.9</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15"/>
        </w:trPr>
        <w:tc>
          <w:tcPr>
            <w:tcW w:w="6860" w:type="dxa"/>
            <w:vAlign w:val="bottom"/>
            <w:gridSpan w:val="2"/>
            <w:shd w:val="clear" w:color="auto" w:fill="C0C0C0"/>
          </w:tcPr>
          <w:p>
            <w:pPr>
              <w:ind w:left="260"/>
              <w:spacing w:after="0"/>
              <w:rPr>
                <w:sz w:val="20"/>
                <w:szCs w:val="20"/>
                <w:color w:val="auto"/>
              </w:rPr>
            </w:pPr>
            <w:r>
              <w:rPr>
                <w:rFonts w:ascii="Arial" w:cs="Arial" w:eastAsia="Arial" w:hAnsi="Arial"/>
                <w:sz w:val="14"/>
                <w:szCs w:val="14"/>
                <w:color w:val="auto"/>
              </w:rPr>
              <w:t>Regeneron share of ZALTRAP</w:t>
            </w:r>
            <w:r>
              <w:rPr>
                <w:rFonts w:ascii="Arial" w:cs="Arial" w:eastAsia="Arial" w:hAnsi="Arial"/>
                <w:sz w:val="9"/>
                <w:szCs w:val="9"/>
                <w:color w:val="auto"/>
              </w:rPr>
              <w:t>®</w:t>
            </w:r>
            <w:r>
              <w:rPr>
                <w:rFonts w:ascii="Arial" w:cs="Arial" w:eastAsia="Arial" w:hAnsi="Arial"/>
                <w:sz w:val="14"/>
                <w:szCs w:val="14"/>
                <w:color w:val="auto"/>
              </w:rPr>
              <w:t xml:space="preserve"> commercialization expenses</w:t>
            </w:r>
          </w:p>
        </w:tc>
        <w:tc>
          <w:tcPr>
            <w:tcW w:w="30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00" w:type="dxa"/>
            <w:vAlign w:val="bottom"/>
            <w:gridSpan w:val="2"/>
            <w:shd w:val="clear" w:color="auto" w:fill="C0C0C0"/>
          </w:tcPr>
          <w:p>
            <w:pPr>
              <w:jc w:val="right"/>
              <w:ind w:right="60"/>
              <w:spacing w:after="0"/>
              <w:rPr>
                <w:sz w:val="20"/>
                <w:szCs w:val="20"/>
                <w:color w:val="auto"/>
              </w:rPr>
            </w:pPr>
            <w:r>
              <w:rPr>
                <w:rFonts w:ascii="Arial" w:cs="Arial" w:eastAsia="Arial" w:hAnsi="Arial"/>
                <w:sz w:val="14"/>
                <w:szCs w:val="14"/>
                <w:color w:val="auto"/>
              </w:rPr>
              <w:t>(2.7)</w:t>
            </w:r>
          </w:p>
        </w:tc>
        <w:tc>
          <w:tcPr>
            <w:tcW w:w="2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48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860" w:type="dxa"/>
            <w:vAlign w:val="bottom"/>
            <w:tcBorders>
              <w:bottom w:val="single" w:sz="8" w:color="C0C0C0"/>
            </w:tcBorders>
            <w:gridSpan w:val="2"/>
          </w:tcPr>
          <w:p>
            <w:pPr>
              <w:ind w:left="260"/>
              <w:spacing w:after="0"/>
              <w:rPr>
                <w:sz w:val="20"/>
                <w:szCs w:val="20"/>
                <w:color w:val="auto"/>
              </w:rPr>
            </w:pPr>
            <w:r>
              <w:rPr>
                <w:rFonts w:ascii="Arial" w:cs="Arial" w:eastAsia="Arial" w:hAnsi="Arial"/>
                <w:sz w:val="14"/>
                <w:szCs w:val="14"/>
                <w:color w:val="auto"/>
              </w:rPr>
              <w:t>Recognition of deferred revenue related to up-front payments</w:t>
            </w:r>
          </w:p>
        </w:tc>
        <w:tc>
          <w:tcPr>
            <w:tcW w:w="3080" w:type="dxa"/>
            <w:vAlign w:val="bottom"/>
            <w:tcBorders>
              <w:bottom w:val="single" w:sz="8" w:color="C0C0C0"/>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0C0C0"/>
            </w:tcBorders>
          </w:tcPr>
          <w:p>
            <w:pPr>
              <w:spacing w:after="0"/>
              <w:rPr>
                <w:sz w:val="16"/>
                <w:szCs w:val="16"/>
                <w:color w:val="auto"/>
              </w:rPr>
            </w:pPr>
          </w:p>
        </w:tc>
        <w:tc>
          <w:tcPr>
            <w:tcW w:w="220" w:type="dxa"/>
            <w:vAlign w:val="bottom"/>
            <w:tcBorders>
              <w:bottom w:val="single" w:sz="8" w:color="C0C0C0"/>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5"/>
        </w:trPr>
        <w:tc>
          <w:tcPr>
            <w:tcW w:w="6860" w:type="dxa"/>
            <w:vAlign w:val="bottom"/>
            <w:gridSpan w:val="2"/>
            <w:shd w:val="clear" w:color="auto" w:fill="C0C0C0"/>
          </w:tcPr>
          <w:p>
            <w:pPr>
              <w:ind w:left="500"/>
              <w:spacing w:after="0"/>
              <w:rPr>
                <w:sz w:val="20"/>
                <w:szCs w:val="20"/>
                <w:color w:val="auto"/>
              </w:rPr>
            </w:pPr>
            <w:r>
              <w:rPr>
                <w:rFonts w:ascii="Arial" w:cs="Arial" w:eastAsia="Arial" w:hAnsi="Arial"/>
                <w:sz w:val="14"/>
                <w:szCs w:val="14"/>
                <w:color w:val="auto"/>
              </w:rPr>
              <w:t>Total ZALTRAP</w:t>
            </w:r>
            <w:r>
              <w:rPr>
                <w:rFonts w:ascii="Arial" w:cs="Arial" w:eastAsia="Arial" w:hAnsi="Arial"/>
                <w:sz w:val="9"/>
                <w:szCs w:val="9"/>
                <w:color w:val="auto"/>
              </w:rPr>
              <w:t>®</w:t>
            </w:r>
          </w:p>
        </w:tc>
        <w:tc>
          <w:tcPr>
            <w:tcW w:w="308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600" w:type="dxa"/>
            <w:vAlign w:val="bottom"/>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2.7</w:t>
            </w:r>
          </w:p>
        </w:tc>
        <w:tc>
          <w:tcPr>
            <w:tcW w:w="22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2"/>
        </w:trPr>
        <w:tc>
          <w:tcPr>
            <w:tcW w:w="6860" w:type="dxa"/>
            <w:vAlign w:val="bottom"/>
            <w:gridSpan w:val="2"/>
          </w:tcPr>
          <w:p>
            <w:pPr>
              <w:spacing w:after="0"/>
              <w:rPr>
                <w:sz w:val="20"/>
                <w:szCs w:val="20"/>
                <w:color w:val="auto"/>
              </w:rPr>
            </w:pPr>
            <w:r>
              <w:rPr>
                <w:rFonts w:ascii="Arial" w:cs="Arial" w:eastAsia="Arial" w:hAnsi="Arial"/>
                <w:sz w:val="14"/>
                <w:szCs w:val="14"/>
                <w:color w:val="auto"/>
              </w:rPr>
              <w:t>Antibody:</w:t>
            </w:r>
          </w:p>
        </w:tc>
        <w:tc>
          <w:tcPr>
            <w:tcW w:w="30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60" w:type="dxa"/>
            <w:vAlign w:val="bottom"/>
            <w:gridSpan w:val="2"/>
            <w:shd w:val="clear" w:color="auto" w:fill="C0C0C0"/>
          </w:tcPr>
          <w:p>
            <w:pPr>
              <w:ind w:left="260"/>
              <w:spacing w:after="0"/>
              <w:rPr>
                <w:sz w:val="20"/>
                <w:szCs w:val="20"/>
                <w:color w:val="auto"/>
              </w:rPr>
            </w:pPr>
            <w:r>
              <w:rPr>
                <w:rFonts w:ascii="Arial" w:cs="Arial" w:eastAsia="Arial" w:hAnsi="Arial"/>
                <w:sz w:val="14"/>
                <w:szCs w:val="14"/>
                <w:color w:val="auto"/>
              </w:rPr>
              <w:t>Regeneron expense reimbursement</w:t>
            </w:r>
          </w:p>
        </w:tc>
        <w:tc>
          <w:tcPr>
            <w:tcW w:w="30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600" w:type="dxa"/>
            <w:vAlign w:val="bottom"/>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74.7</w:t>
            </w: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185"/>
        </w:trPr>
        <w:tc>
          <w:tcPr>
            <w:tcW w:w="6860" w:type="dxa"/>
            <w:vAlign w:val="bottom"/>
            <w:gridSpan w:val="2"/>
          </w:tcPr>
          <w:p>
            <w:pPr>
              <w:ind w:left="260"/>
              <w:spacing w:after="0"/>
              <w:rPr>
                <w:sz w:val="20"/>
                <w:szCs w:val="20"/>
                <w:color w:val="auto"/>
              </w:rPr>
            </w:pPr>
            <w:r>
              <w:rPr>
                <w:rFonts w:ascii="Arial" w:cs="Arial" w:eastAsia="Arial" w:hAnsi="Arial"/>
                <w:sz w:val="14"/>
                <w:szCs w:val="14"/>
                <w:color w:val="auto"/>
              </w:rPr>
              <w:t>Recognition of deferred revenue related to up-front and other</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860" w:type="dxa"/>
            <w:vAlign w:val="bottom"/>
            <w:gridSpan w:val="2"/>
          </w:tcPr>
          <w:p>
            <w:pPr>
              <w:ind w:left="500"/>
              <w:spacing w:after="0"/>
              <w:rPr>
                <w:sz w:val="20"/>
                <w:szCs w:val="20"/>
                <w:color w:val="auto"/>
              </w:rPr>
            </w:pPr>
            <w:r>
              <w:rPr>
                <w:rFonts w:ascii="Arial" w:cs="Arial" w:eastAsia="Arial" w:hAnsi="Arial"/>
                <w:sz w:val="14"/>
                <w:szCs w:val="14"/>
                <w:color w:val="auto"/>
              </w:rPr>
              <w:t>payments</w:t>
            </w: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2.0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15"/>
        </w:trPr>
        <w:tc>
          <w:tcPr>
            <w:tcW w:w="6860" w:type="dxa"/>
            <w:vAlign w:val="bottom"/>
            <w:gridSpan w:val="2"/>
            <w:shd w:val="clear" w:color="auto" w:fill="C0C0C0"/>
          </w:tcPr>
          <w:p>
            <w:pPr>
              <w:ind w:left="260"/>
              <w:spacing w:after="0"/>
              <w:rPr>
                <w:sz w:val="20"/>
                <w:szCs w:val="20"/>
                <w:color w:val="auto"/>
              </w:rPr>
            </w:pPr>
            <w:r>
              <w:rPr>
                <w:rFonts w:ascii="Arial" w:cs="Arial" w:eastAsia="Arial" w:hAnsi="Arial"/>
                <w:sz w:val="14"/>
                <w:szCs w:val="14"/>
                <w:color w:val="auto"/>
              </w:rPr>
              <w:t xml:space="preserve">Recognition of revenue related to </w:t>
            </w:r>
            <w:r>
              <w:rPr>
                <w:rFonts w:ascii="Arial" w:cs="Arial" w:eastAsia="Arial" w:hAnsi="Arial"/>
                <w:sz w:val="14"/>
                <w:szCs w:val="14"/>
                <w:i w:val="1"/>
                <w:iCs w:val="1"/>
                <w:color w:val="auto"/>
              </w:rPr>
              <w:t>VelociGene</w:t>
            </w:r>
            <w:r>
              <w:rPr>
                <w:rFonts w:ascii="Arial" w:cs="Arial" w:eastAsia="Arial" w:hAnsi="Arial"/>
                <w:sz w:val="9"/>
                <w:szCs w:val="9"/>
                <w:color w:val="auto"/>
              </w:rPr>
              <w:t>®</w:t>
            </w:r>
            <w:r>
              <w:rPr>
                <w:rFonts w:ascii="Arial" w:cs="Arial" w:eastAsia="Arial" w:hAnsi="Arial"/>
                <w:sz w:val="14"/>
                <w:szCs w:val="14"/>
                <w:color w:val="auto"/>
              </w:rPr>
              <w:t xml:space="preserve"> agreement</w:t>
            </w:r>
          </w:p>
        </w:tc>
        <w:tc>
          <w:tcPr>
            <w:tcW w:w="308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20" w:type="dxa"/>
            <w:vAlign w:val="bottom"/>
            <w:tcBorders>
              <w:bottom w:val="single" w:sz="8" w:color="auto"/>
            </w:tcBorders>
            <w:shd w:val="clear" w:color="auto" w:fill="C0C0C0"/>
          </w:tcPr>
          <w:p>
            <w:pPr>
              <w:spacing w:after="0"/>
              <w:rPr>
                <w:sz w:val="18"/>
                <w:szCs w:val="18"/>
                <w:color w:val="auto"/>
              </w:rPr>
            </w:pP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2"/>
        </w:trPr>
        <w:tc>
          <w:tcPr>
            <w:tcW w:w="6860" w:type="dxa"/>
            <w:vAlign w:val="bottom"/>
            <w:tcBorders>
              <w:bottom w:val="single" w:sz="8" w:color="C0C0C0"/>
            </w:tcBorders>
            <w:gridSpan w:val="2"/>
          </w:tcPr>
          <w:p>
            <w:pPr>
              <w:ind w:left="500"/>
              <w:spacing w:after="0"/>
              <w:rPr>
                <w:sz w:val="20"/>
                <w:szCs w:val="20"/>
                <w:color w:val="auto"/>
              </w:rPr>
            </w:pPr>
            <w:r>
              <w:rPr>
                <w:rFonts w:ascii="Arial" w:cs="Arial" w:eastAsia="Arial" w:hAnsi="Arial"/>
                <w:sz w:val="14"/>
                <w:szCs w:val="14"/>
                <w:color w:val="auto"/>
              </w:rPr>
              <w:t>Total antibody</w:t>
            </w:r>
          </w:p>
        </w:tc>
        <w:tc>
          <w:tcPr>
            <w:tcW w:w="3080" w:type="dxa"/>
            <w:vAlign w:val="bottom"/>
            <w:tcBorders>
              <w:bottom w:val="single" w:sz="8" w:color="C0C0C0"/>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77.1</w:t>
            </w:r>
          </w:p>
        </w:tc>
        <w:tc>
          <w:tcPr>
            <w:tcW w:w="100" w:type="dxa"/>
            <w:vAlign w:val="bottom"/>
            <w:tcBorders>
              <w:bottom w:val="single" w:sz="8" w:color="C0C0C0"/>
            </w:tcBorders>
          </w:tcPr>
          <w:p>
            <w:pPr>
              <w:spacing w:after="0"/>
              <w:rPr>
                <w:sz w:val="15"/>
                <w:szCs w:val="15"/>
                <w:color w:val="auto"/>
              </w:rPr>
            </w:pPr>
          </w:p>
        </w:tc>
        <w:tc>
          <w:tcPr>
            <w:tcW w:w="220" w:type="dxa"/>
            <w:vAlign w:val="bottom"/>
            <w:tcBorders>
              <w:bottom w:val="single" w:sz="8" w:color="C0C0C0"/>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w:t>
            </w:r>
          </w:p>
        </w:tc>
        <w:tc>
          <w:tcPr>
            <w:tcW w:w="0" w:type="dxa"/>
            <w:vAlign w:val="bottom"/>
          </w:tcPr>
          <w:p>
            <w:pPr>
              <w:spacing w:after="0"/>
              <w:rPr>
                <w:sz w:val="1"/>
                <w:szCs w:val="1"/>
                <w:color w:val="auto"/>
              </w:rPr>
            </w:pPr>
          </w:p>
        </w:tc>
      </w:tr>
      <w:tr>
        <w:trPr>
          <w:trHeight w:val="197"/>
        </w:trPr>
        <w:tc>
          <w:tcPr>
            <w:tcW w:w="686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4"/>
                <w:szCs w:val="14"/>
                <w:color w:val="auto"/>
              </w:rPr>
              <w:t>Total Sanofi collaboration revenue</w:t>
            </w:r>
          </w:p>
        </w:tc>
        <w:tc>
          <w:tcPr>
            <w:tcW w:w="3080" w:type="dxa"/>
            <w:vAlign w:val="bottom"/>
            <w:tcBorders>
              <w:bottom w:val="single" w:sz="8" w:color="C0C0C0"/>
            </w:tcBorders>
            <w:shd w:val="clear" w:color="auto" w:fill="C0C0C0"/>
          </w:tcPr>
          <w:p>
            <w:pPr>
              <w:spacing w:after="0"/>
              <w:rPr>
                <w:sz w:val="17"/>
                <w:szCs w:val="17"/>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79.8</w:t>
            </w:r>
          </w:p>
        </w:tc>
        <w:tc>
          <w:tcPr>
            <w:tcW w:w="100" w:type="dxa"/>
            <w:vAlign w:val="bottom"/>
            <w:tcBorders>
              <w:bottom w:val="single" w:sz="8" w:color="C0C0C0"/>
            </w:tcBorders>
            <w:shd w:val="clear" w:color="auto" w:fill="C0C0C0"/>
          </w:tcPr>
          <w:p>
            <w:pPr>
              <w:spacing w:after="0"/>
              <w:rPr>
                <w:sz w:val="17"/>
                <w:szCs w:val="17"/>
                <w:color w:val="auto"/>
              </w:rPr>
            </w:pPr>
          </w:p>
        </w:tc>
        <w:tc>
          <w:tcPr>
            <w:tcW w:w="220" w:type="dxa"/>
            <w:vAlign w:val="bottom"/>
            <w:tcBorders>
              <w:bottom w:val="single" w:sz="8" w:color="C0C0C0"/>
            </w:tcBorders>
            <w:shd w:val="clear" w:color="auto" w:fill="C0C0C0"/>
          </w:tcPr>
          <w:p>
            <w:pPr>
              <w:spacing w:after="0"/>
              <w:rPr>
                <w:sz w:val="17"/>
                <w:szCs w:val="17"/>
                <w:color w:val="auto"/>
              </w:rPr>
            </w:pP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75.6</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296"/>
        <w:spacing w:after="0" w:line="228" w:lineRule="auto"/>
        <w:rPr>
          <w:sz w:val="20"/>
          <w:szCs w:val="20"/>
          <w:color w:val="auto"/>
        </w:rPr>
      </w:pPr>
      <w:r>
        <w:rPr>
          <w:rFonts w:ascii="Arial" w:cs="Arial" w:eastAsia="Arial" w:hAnsi="Arial"/>
          <w:sz w:val="13"/>
          <w:szCs w:val="13"/>
          <w:color w:val="auto"/>
        </w:rPr>
        <w:t>Sanofi’s reimbursement of our ZALTRAP</w:t>
      </w:r>
      <w:r>
        <w:rPr>
          <w:rFonts w:ascii="Arial" w:cs="Arial" w:eastAsia="Arial" w:hAnsi="Arial"/>
          <w:sz w:val="18"/>
          <w:szCs w:val="18"/>
          <w:color w:val="auto"/>
          <w:vertAlign w:val="superscript"/>
        </w:rPr>
        <w:t>®</w:t>
      </w:r>
      <w:r>
        <w:rPr>
          <w:rFonts w:ascii="Arial" w:cs="Arial" w:eastAsia="Arial" w:hAnsi="Arial"/>
          <w:sz w:val="13"/>
          <w:szCs w:val="13"/>
          <w:color w:val="auto"/>
        </w:rPr>
        <w:t xml:space="preserve"> expenses decreased in the third quarter of 2011 compared to the same quarter in 2010, primarily due to a decrease in internal research activities. Effective in the second quarter of 2011, we and Sanofi began equally sharing pre-launch commercialization expenses related to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accordance with the companies’ collaboration agreement. Our share of these expenses was $2.7 million in the third quarter of 2011, which reduced our Sanofi collaboration revenue. In connection with recognition of deferred revenue related to ZALTRAP</w:t>
      </w:r>
      <w:r>
        <w:rPr>
          <w:rFonts w:ascii="Arial" w:cs="Arial" w:eastAsia="Arial" w:hAnsi="Arial"/>
          <w:sz w:val="17"/>
          <w:szCs w:val="17"/>
          <w:color w:val="auto"/>
          <w:vertAlign w:val="superscript"/>
        </w:rPr>
        <w:t>®</w:t>
      </w:r>
      <w:r>
        <w:rPr>
          <w:rFonts w:ascii="Arial" w:cs="Arial" w:eastAsia="Arial" w:hAnsi="Arial"/>
          <w:sz w:val="13"/>
          <w:szCs w:val="13"/>
          <w:color w:val="auto"/>
        </w:rPr>
        <w:t>, as of September 30, 2011, $25.1 million of the original $105.0 million of up-front payments was deferred and will be recognized as revenue in future periods.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32" w:name="page33"/>
    <w:bookmarkEnd w:id="32"/>
    <w:p>
      <w:pPr>
        <w:jc w:val="both"/>
        <w:ind w:firstLine="241"/>
        <w:spacing w:after="0" w:line="307" w:lineRule="auto"/>
        <w:rPr>
          <w:sz w:val="20"/>
          <w:szCs w:val="20"/>
          <w:color w:val="auto"/>
        </w:rPr>
      </w:pPr>
      <w:r>
        <w:rPr>
          <w:rFonts w:ascii="Arial" w:cs="Arial" w:eastAsia="Arial" w:hAnsi="Arial"/>
          <w:sz w:val="13"/>
          <w:szCs w:val="13"/>
          <w:color w:val="auto"/>
        </w:rPr>
        <w:t>In the third quarter of 2011, Sanofi’s reimbursement of our antibody expenses consisted of $39.8 million under the discovery agreement and $34.9 million of development costs under the license agreement, compared to $36.9 million and $29.9 million, respectively, in the third quarter of 2010. The higher reimbursement amounts in the third quarter of 2011, compared to the same quarter in 2010, were due to an increase in our research activities conducted under the discovery agreement and increases in our development activities for antibody candidates under the license agreement.</w:t>
      </w:r>
    </w:p>
    <w:p>
      <w:pPr>
        <w:spacing w:after="0" w:line="172"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4"/>
          <w:szCs w:val="14"/>
          <w:color w:val="auto"/>
        </w:rPr>
        <w:t>Recognition of deferred revenue related to Sanofi’s $85.0 million up-front payment and other payments was $2.0 million for both three months ended September 30, 2011 and 2010. In connection with the November 2009 amendment of the discovery agreement, Sanofi is funding up to $30 million of agreed-upon costs to expand our manufacturing capacity at our Rensselaer, New York facilities, of which $26.4 million was received or receivable as of September 30, 2011. Revenue related to such funding from Sanofi is deferred and recognized as collaboration revenue prospectively over the performance period applicable to recognition of the original $85.0 million up-front payment. As of September 30, 2011, $76.7 million of the Sanofi up-front and other payments was deferred and will be recognized as revenue in future periods.</w:t>
      </w:r>
    </w:p>
    <w:p>
      <w:pPr>
        <w:spacing w:after="0" w:line="192" w:lineRule="exact"/>
        <w:rPr>
          <w:sz w:val="20"/>
          <w:szCs w:val="20"/>
          <w:color w:val="auto"/>
        </w:rPr>
      </w:pPr>
    </w:p>
    <w:p>
      <w:pPr>
        <w:jc w:val="both"/>
        <w:ind w:firstLine="219"/>
        <w:spacing w:after="0" w:line="227" w:lineRule="auto"/>
        <w:rPr>
          <w:sz w:val="20"/>
          <w:szCs w:val="20"/>
          <w:color w:val="auto"/>
        </w:rPr>
      </w:pPr>
      <w:r>
        <w:rPr>
          <w:rFonts w:ascii="Arial" w:cs="Arial" w:eastAsia="Arial" w:hAnsi="Arial"/>
          <w:sz w:val="14"/>
          <w:szCs w:val="14"/>
          <w:color w:val="auto"/>
        </w:rPr>
        <w:t xml:space="preserve">In August 2008, we entered into a separate </w:t>
      </w:r>
      <w:r>
        <w:rPr>
          <w:rFonts w:ascii="Arial" w:cs="Arial" w:eastAsia="Arial" w:hAnsi="Arial"/>
          <w:sz w:val="14"/>
          <w:szCs w:val="14"/>
          <w:i w:val="1"/>
          <w:iCs w:val="1"/>
          <w:color w:val="auto"/>
        </w:rPr>
        <w:t>VelociGene</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agreement with Sanofi. For both three month periods ended September 30, 2011 and 2010, we recognized $0.4 million in revenue related to this agreement.</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Bayer HealthCare Collaboration Revenue</w:t>
      </w:r>
    </w:p>
    <w:p>
      <w:pPr>
        <w:spacing w:after="0" w:line="232" w:lineRule="exact"/>
        <w:rPr>
          <w:sz w:val="20"/>
          <w:szCs w:val="20"/>
          <w:color w:val="auto"/>
        </w:rPr>
      </w:pPr>
    </w:p>
    <w:p>
      <w:pPr>
        <w:jc w:val="both"/>
        <w:ind w:firstLine="274"/>
        <w:spacing w:after="0" w:line="237" w:lineRule="auto"/>
        <w:rPr>
          <w:sz w:val="20"/>
          <w:szCs w:val="20"/>
          <w:color w:val="auto"/>
        </w:rPr>
      </w:pPr>
      <w:r>
        <w:rPr>
          <w:rFonts w:ascii="Arial" w:cs="Arial" w:eastAsia="Arial" w:hAnsi="Arial"/>
          <w:sz w:val="14"/>
          <w:szCs w:val="14"/>
          <w:color w:val="auto"/>
        </w:rPr>
        <w:t>The collaboration revenue we earned from Bayer HealthCare, as detailed below, consisted of cost sharing of Regeneron’s global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development expenses and recognition of revenue related to a non-refundable $75.0 million up-front payment received in October 2006 and a $20.0 million milestone payment received in August 2007 (which, for the purpose of revenue recognition, was not considered substantive).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6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4"/>
          </w:tcPr>
          <w:p>
            <w:pPr>
              <w:jc w:val="right"/>
              <w:ind w:right="89"/>
              <w:spacing w:after="0"/>
              <w:rPr>
                <w:sz w:val="20"/>
                <w:szCs w:val="20"/>
                <w:color w:val="auto"/>
              </w:rPr>
            </w:pPr>
            <w:r>
              <w:rPr>
                <w:rFonts w:ascii="Arial" w:cs="Arial" w:eastAsia="Arial" w:hAnsi="Arial"/>
                <w:sz w:val="14"/>
                <w:szCs w:val="14"/>
                <w:b w:val="1"/>
                <w:bCs w:val="1"/>
                <w:color w:val="auto"/>
                <w:w w:val="91"/>
              </w:rPr>
              <w:t>Three months ended</w:t>
            </w:r>
          </w:p>
        </w:tc>
      </w:tr>
      <w:tr>
        <w:trPr>
          <w:trHeight w:val="166"/>
        </w:trPr>
        <w:tc>
          <w:tcPr>
            <w:tcW w:w="9900" w:type="dxa"/>
            <w:vAlign w:val="bottom"/>
            <w:gridSpan w:val="2"/>
          </w:tcPr>
          <w:p>
            <w:pPr>
              <w:spacing w:after="0"/>
              <w:rPr>
                <w:sz w:val="20"/>
                <w:szCs w:val="20"/>
                <w:color w:val="auto"/>
              </w:rPr>
            </w:pPr>
            <w:r>
              <w:rPr>
                <w:rFonts w:ascii="Arial" w:cs="Arial" w:eastAsia="Arial" w:hAnsi="Arial"/>
                <w:sz w:val="14"/>
                <w:szCs w:val="14"/>
                <w:b w:val="1"/>
                <w:bCs w:val="1"/>
                <w:color w:val="auto"/>
              </w:rPr>
              <w:t>Bayer HealthCare Collaboration Revenue</w:t>
            </w:r>
          </w:p>
        </w:tc>
        <w:tc>
          <w:tcPr>
            <w:tcW w:w="120" w:type="dxa"/>
            <w:vAlign w:val="bottom"/>
          </w:tcPr>
          <w:p>
            <w:pPr>
              <w:spacing w:after="0"/>
              <w:rPr>
                <w:sz w:val="14"/>
                <w:szCs w:val="14"/>
                <w:color w:val="auto"/>
              </w:rPr>
            </w:pPr>
          </w:p>
        </w:tc>
        <w:tc>
          <w:tcPr>
            <w:tcW w:w="1440" w:type="dxa"/>
            <w:vAlign w:val="bottom"/>
            <w:gridSpan w:val="4"/>
          </w:tcPr>
          <w:p>
            <w:pPr>
              <w:jc w:val="right"/>
              <w:ind w:right="269"/>
              <w:spacing w:after="0"/>
              <w:rPr>
                <w:sz w:val="20"/>
                <w:szCs w:val="20"/>
                <w:color w:val="auto"/>
              </w:rPr>
            </w:pPr>
            <w:r>
              <w:rPr>
                <w:rFonts w:ascii="Arial" w:cs="Arial" w:eastAsia="Arial" w:hAnsi="Arial"/>
                <w:sz w:val="14"/>
                <w:szCs w:val="14"/>
                <w:b w:val="1"/>
                <w:bCs w:val="1"/>
                <w:color w:val="auto"/>
              </w:rPr>
              <w:t>September 30,</w:t>
            </w:r>
          </w:p>
        </w:tc>
      </w:tr>
      <w:tr>
        <w:trPr>
          <w:trHeight w:val="24"/>
        </w:trPr>
        <w:tc>
          <w:tcPr>
            <w:tcW w:w="2560" w:type="dxa"/>
            <w:vAlign w:val="bottom"/>
            <w:tcBorders>
              <w:top w:val="single" w:sz="8" w:color="auto"/>
            </w:tcBorders>
          </w:tcPr>
          <w:p>
            <w:pPr>
              <w:spacing w:after="0"/>
              <w:rPr>
                <w:sz w:val="2"/>
                <w:szCs w:val="2"/>
                <w:color w:val="auto"/>
              </w:rPr>
            </w:pPr>
          </w:p>
        </w:tc>
        <w:tc>
          <w:tcPr>
            <w:tcW w:w="7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3"/>
        </w:trPr>
        <w:tc>
          <w:tcPr>
            <w:tcW w:w="9900" w:type="dxa"/>
            <w:vAlign w:val="bottom"/>
            <w:tcBorders>
              <w:bottom w:val="single" w:sz="8" w:color="C0C0C0"/>
            </w:tcBorders>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0C0C0"/>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2010</w:t>
            </w:r>
          </w:p>
        </w:tc>
      </w:tr>
      <w:tr>
        <w:trPr>
          <w:trHeight w:val="195"/>
        </w:trPr>
        <w:tc>
          <w:tcPr>
            <w:tcW w:w="990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Cost-sharing of Regeneron EYLEA</w:t>
            </w:r>
            <w:r>
              <w:rPr>
                <w:rFonts w:ascii="Arial" w:cs="Arial" w:eastAsia="Arial" w:hAnsi="Arial"/>
                <w:sz w:val="9"/>
                <w:szCs w:val="9"/>
                <w:color w:val="auto"/>
              </w:rPr>
              <w:t>TM</w:t>
            </w:r>
            <w:r>
              <w:rPr>
                <w:rFonts w:ascii="Arial" w:cs="Arial" w:eastAsia="Arial" w:hAnsi="Arial"/>
                <w:sz w:val="14"/>
                <w:szCs w:val="14"/>
                <w:color w:val="auto"/>
              </w:rPr>
              <w:t xml:space="preserve"> development expenses</w:t>
            </w:r>
          </w:p>
        </w:tc>
        <w:tc>
          <w:tcPr>
            <w:tcW w:w="12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7.6</w:t>
            </w:r>
          </w:p>
        </w:tc>
        <w:tc>
          <w:tcPr>
            <w:tcW w:w="340" w:type="dxa"/>
            <w:vAlign w:val="bottom"/>
            <w:gridSpan w:val="2"/>
            <w:shd w:val="clear" w:color="auto" w:fill="C0C0C0"/>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11.3</w:t>
            </w:r>
          </w:p>
        </w:tc>
      </w:tr>
      <w:tr>
        <w:trPr>
          <w:trHeight w:val="185"/>
        </w:trPr>
        <w:tc>
          <w:tcPr>
            <w:tcW w:w="9900" w:type="dxa"/>
            <w:vAlign w:val="bottom"/>
            <w:gridSpan w:val="2"/>
          </w:tcPr>
          <w:p>
            <w:pPr>
              <w:spacing w:after="0"/>
              <w:rPr>
                <w:sz w:val="20"/>
                <w:szCs w:val="20"/>
                <w:color w:val="auto"/>
              </w:rPr>
            </w:pPr>
            <w:r>
              <w:rPr>
                <w:rFonts w:ascii="Arial" w:cs="Arial" w:eastAsia="Arial" w:hAnsi="Arial"/>
                <w:sz w:val="14"/>
                <w:szCs w:val="14"/>
                <w:color w:val="auto"/>
              </w:rPr>
              <w:t>Recognition of deferred revenue related to up-front and other milestone</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04"/>
        </w:trPr>
        <w:tc>
          <w:tcPr>
            <w:tcW w:w="9900" w:type="dxa"/>
            <w:vAlign w:val="bottom"/>
            <w:tcBorders>
              <w:bottom w:val="single" w:sz="8" w:color="C0C0C0"/>
            </w:tcBorders>
            <w:gridSpan w:val="2"/>
          </w:tcPr>
          <w:p>
            <w:pPr>
              <w:ind w:left="260"/>
              <w:spacing w:after="0"/>
              <w:rPr>
                <w:sz w:val="20"/>
                <w:szCs w:val="20"/>
                <w:color w:val="auto"/>
              </w:rPr>
            </w:pPr>
            <w:r>
              <w:rPr>
                <w:rFonts w:ascii="Arial" w:cs="Arial" w:eastAsia="Arial" w:hAnsi="Arial"/>
                <w:sz w:val="14"/>
                <w:szCs w:val="14"/>
                <w:color w:val="auto"/>
              </w:rPr>
              <w:t>payments</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220" w:type="dxa"/>
            <w:vAlign w:val="bottom"/>
            <w:tcBorders>
              <w:bottom w:val="single" w:sz="8" w:color="C0C0C0"/>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194"/>
        </w:trPr>
        <w:tc>
          <w:tcPr>
            <w:tcW w:w="9900" w:type="dxa"/>
            <w:vAlign w:val="bottom"/>
            <w:gridSpan w:val="2"/>
            <w:shd w:val="clear" w:color="auto" w:fill="C0C0C0"/>
          </w:tcPr>
          <w:p>
            <w:pPr>
              <w:ind w:left="260"/>
              <w:spacing w:after="0"/>
              <w:rPr>
                <w:sz w:val="20"/>
                <w:szCs w:val="20"/>
                <w:color w:val="auto"/>
              </w:rPr>
            </w:pPr>
            <w:r>
              <w:rPr>
                <w:rFonts w:ascii="Arial" w:cs="Arial" w:eastAsia="Arial" w:hAnsi="Arial"/>
                <w:sz w:val="14"/>
                <w:szCs w:val="14"/>
                <w:color w:val="auto"/>
              </w:rPr>
              <w:t>Total Bayer HealthCare collaboration revenue</w:t>
            </w:r>
          </w:p>
        </w:tc>
        <w:tc>
          <w:tcPr>
            <w:tcW w:w="12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10.1</w:t>
            </w:r>
          </w:p>
        </w:tc>
        <w:tc>
          <w:tcPr>
            <w:tcW w:w="340" w:type="dxa"/>
            <w:vAlign w:val="bottom"/>
            <w:gridSpan w:val="2"/>
            <w:shd w:val="clear" w:color="auto" w:fill="C0C0C0"/>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13.8</w:t>
            </w:r>
          </w:p>
        </w:tc>
      </w:tr>
      <w:tr>
        <w:trPr>
          <w:trHeight w:val="23"/>
        </w:trPr>
        <w:tc>
          <w:tcPr>
            <w:tcW w:w="2560" w:type="dxa"/>
            <w:vAlign w:val="bottom"/>
            <w:shd w:val="clear" w:color="auto" w:fill="C0C0C0"/>
          </w:tcPr>
          <w:p>
            <w:pPr>
              <w:spacing w:after="0" w:line="20" w:lineRule="exact"/>
              <w:rPr>
                <w:sz w:val="1"/>
                <w:szCs w:val="1"/>
                <w:color w:val="auto"/>
              </w:rPr>
            </w:pPr>
          </w:p>
        </w:tc>
        <w:tc>
          <w:tcPr>
            <w:tcW w:w="734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bl>
    <w:p>
      <w:pPr>
        <w:spacing w:after="0" w:line="210" w:lineRule="exact"/>
        <w:rPr>
          <w:sz w:val="20"/>
          <w:szCs w:val="20"/>
          <w:color w:val="auto"/>
        </w:rPr>
      </w:pPr>
    </w:p>
    <w:p>
      <w:pPr>
        <w:jc w:val="both"/>
        <w:ind w:firstLine="252"/>
        <w:spacing w:after="0" w:line="243" w:lineRule="auto"/>
        <w:rPr>
          <w:sz w:val="20"/>
          <w:szCs w:val="20"/>
          <w:color w:val="auto"/>
        </w:rPr>
      </w:pPr>
      <w:r>
        <w:rPr>
          <w:rFonts w:ascii="Arial" w:cs="Arial" w:eastAsia="Arial" w:hAnsi="Arial"/>
          <w:sz w:val="14"/>
          <w:szCs w:val="14"/>
          <w:color w:val="auto"/>
        </w:rPr>
        <w:t>Cost-sharing of our global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development expenses with Bayer HealthCare decreased in the third quarter of 2011 compared to the same period in 2010. In the third quarter of 2011, we incurred lower clinical development costs primarily in connection with our Phase 3 VIEW 1 trial in wet AMD. In connection with the recognition of deferred revenue related to the $75.0 million up-front payment and $20.0 million milestone payment received in August 2007, as of September 30, 2011, $39.5 million of these payments was deferred and will be recognized as revenue in future periods.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Technology Licensing Revenue</w:t>
      </w:r>
    </w:p>
    <w:p>
      <w:pPr>
        <w:spacing w:after="0" w:line="232" w:lineRule="exact"/>
        <w:rPr>
          <w:sz w:val="20"/>
          <w:szCs w:val="20"/>
          <w:color w:val="auto"/>
        </w:rPr>
      </w:pPr>
    </w:p>
    <w:p>
      <w:pPr>
        <w:jc w:val="both"/>
        <w:ind w:firstLine="230"/>
        <w:spacing w:after="0" w:line="238" w:lineRule="auto"/>
        <w:rPr>
          <w:sz w:val="20"/>
          <w:szCs w:val="20"/>
          <w:color w:val="auto"/>
        </w:rPr>
      </w:pPr>
      <w:r>
        <w:rPr>
          <w:rFonts w:ascii="Arial" w:cs="Arial" w:eastAsia="Arial" w:hAnsi="Arial"/>
          <w:sz w:val="14"/>
          <w:szCs w:val="14"/>
          <w:color w:val="auto"/>
        </w:rPr>
        <w:t xml:space="preserve">In connection with our </w:t>
      </w:r>
      <w:r>
        <w:rPr>
          <w:rFonts w:ascii="Arial" w:cs="Arial" w:eastAsia="Arial" w:hAnsi="Arial"/>
          <w:sz w:val="14"/>
          <w:szCs w:val="14"/>
          <w:i w:val="1"/>
          <w:iCs w:val="1"/>
          <w:color w:val="auto"/>
        </w:rPr>
        <w:t>VelocImmune</w:t>
      </w:r>
      <w:r>
        <w:rPr>
          <w:rFonts w:ascii="Arial" w:cs="Arial" w:eastAsia="Arial" w:hAnsi="Arial"/>
          <w:sz w:val="19"/>
          <w:szCs w:val="19"/>
          <w:color w:val="auto"/>
          <w:vertAlign w:val="superscript"/>
        </w:rPr>
        <w:t>®</w:t>
      </w:r>
      <w:r>
        <w:rPr>
          <w:rFonts w:ascii="Arial" w:cs="Arial" w:eastAsia="Arial" w:hAnsi="Arial"/>
          <w:sz w:val="14"/>
          <w:szCs w:val="14"/>
          <w:color w:val="auto"/>
        </w:rPr>
        <w:t xml:space="preserve"> license agreement with Astellas, the $20.0 million non-refundable payment received in the second quarter of 2010 was deferred upon receipt and recognized as revenue ratably over the ensuing year. In addition, in connection with the amendment and extension of our license agreement with Astellas, in August 2010, we received a $165.0 million up-front payment, which was deferred upon receipt and is being recognized as revenue ratably over a seven-year period beginning in June 2011. In connection with our </w:t>
      </w:r>
      <w:r>
        <w:rPr>
          <w:rFonts w:ascii="Arial" w:cs="Arial" w:eastAsia="Arial" w:hAnsi="Arial"/>
          <w:sz w:val="14"/>
          <w:szCs w:val="14"/>
          <w:i w:val="1"/>
          <w:iCs w:val="1"/>
          <w:color w:val="auto"/>
        </w:rPr>
        <w:t>VelocImmune</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xml:space="preserve"> license agreement with AstraZeneca, which terminated effective as of February 2011, the $20.0 million non-refundable payment received in the first quarter of 2010 was deferred upon receipt and recognized as revenue ratably through February 2011. In the third quarter of 2011, we recognized $5.9 million of technology licensing revenue related to the Astellas agreement. In the third quarter of 2010, we recognized a total of $10.0 million of technology licensing revenue related to both the Astellas and AstraZeneca agreements. As of September 30, 2011, $157.6 million of technology licensing payments received from Astellas was deferred and will be recognized as revenue in future periods.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33" w:name="page34"/>
    <w:bookmarkEnd w:id="33"/>
    <w:p>
      <w:pPr>
        <w:spacing w:after="0"/>
        <w:rPr>
          <w:sz w:val="20"/>
          <w:szCs w:val="20"/>
          <w:color w:val="auto"/>
        </w:rPr>
      </w:pPr>
      <w:r>
        <w:rPr>
          <w:rFonts w:ascii="Arial" w:cs="Arial" w:eastAsia="Arial" w:hAnsi="Arial"/>
          <w:sz w:val="14"/>
          <w:szCs w:val="14"/>
          <w:i w:val="1"/>
          <w:iCs w:val="1"/>
          <w:color w:val="auto"/>
        </w:rPr>
        <w:t>Net Product Sales</w:t>
      </w:r>
    </w:p>
    <w:p>
      <w:pPr>
        <w:spacing w:after="0" w:line="23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For the three months ended September 30, 2011 and 2010, we recognized as revenue $5.5 million and $4.9 million, respectively,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net product sales.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Contract Research and Other Revenue</w:t>
      </w:r>
    </w:p>
    <w:p>
      <w:pPr>
        <w:spacing w:after="0" w:line="231" w:lineRule="exact"/>
        <w:rPr>
          <w:sz w:val="20"/>
          <w:szCs w:val="20"/>
          <w:color w:val="auto"/>
        </w:rPr>
      </w:pPr>
    </w:p>
    <w:p>
      <w:pPr>
        <w:jc w:val="both"/>
        <w:ind w:firstLine="263"/>
        <w:spacing w:after="0" w:line="296" w:lineRule="auto"/>
        <w:rPr>
          <w:sz w:val="20"/>
          <w:szCs w:val="20"/>
          <w:color w:val="auto"/>
        </w:rPr>
      </w:pPr>
      <w:r>
        <w:rPr>
          <w:rFonts w:ascii="Arial" w:cs="Arial" w:eastAsia="Arial" w:hAnsi="Arial"/>
          <w:sz w:val="14"/>
          <w:szCs w:val="14"/>
          <w:color w:val="auto"/>
        </w:rPr>
        <w:t>Contract research and other revenue for the three months ended September 30, 2011 and 2010 included $1.0 million and $1.2 million, respectively, recognized in connection with our five-year grant from the NIH, which we were awarded in September 2006 as part of the NIH’s Knockout Mouse Project.</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234" w:lineRule="exact"/>
        <w:rPr>
          <w:sz w:val="20"/>
          <w:szCs w:val="20"/>
          <w:color w:val="auto"/>
        </w:rPr>
      </w:pPr>
    </w:p>
    <w:p>
      <w:pPr>
        <w:jc w:val="both"/>
        <w:ind w:firstLine="241"/>
        <w:spacing w:after="0" w:line="283" w:lineRule="auto"/>
        <w:rPr>
          <w:sz w:val="20"/>
          <w:szCs w:val="20"/>
          <w:color w:val="auto"/>
        </w:rPr>
      </w:pPr>
      <w:r>
        <w:rPr>
          <w:rFonts w:ascii="Arial" w:cs="Arial" w:eastAsia="Arial" w:hAnsi="Arial"/>
          <w:sz w:val="14"/>
          <w:szCs w:val="14"/>
          <w:color w:val="auto"/>
        </w:rPr>
        <w:t>Total operating expenses increased to $161.3 million in the third quarter of 2011 from $138.1 million in the third quarter of 2010. Our average headcount in the third quarter of 2011 increased to 1,646 from 1,317 in the same quarter of 2010, principally as a result of our expanding research and development activities, which were primarily attributable to our antibody collaboration with Sanofi, and 2011 activities in connection with preparing to commercialize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wet AMD.</w:t>
      </w:r>
    </w:p>
    <w:p>
      <w:pPr>
        <w:spacing w:after="0" w:line="109" w:lineRule="exact"/>
        <w:rPr>
          <w:sz w:val="20"/>
          <w:szCs w:val="20"/>
          <w:color w:val="auto"/>
        </w:rPr>
      </w:pPr>
    </w:p>
    <w:p>
      <w:pPr>
        <w:jc w:val="both"/>
        <w:ind w:firstLine="241"/>
        <w:spacing w:after="0" w:line="291" w:lineRule="auto"/>
        <w:rPr>
          <w:sz w:val="20"/>
          <w:szCs w:val="20"/>
          <w:color w:val="auto"/>
        </w:rPr>
      </w:pPr>
      <w:r>
        <w:rPr>
          <w:rFonts w:ascii="Arial" w:cs="Arial" w:eastAsia="Arial" w:hAnsi="Arial"/>
          <w:sz w:val="14"/>
          <w:szCs w:val="14"/>
          <w:color w:val="auto"/>
        </w:rPr>
        <w:t>Operating expenses in the third quarter of 2011 and 2010 included a total of $13.4 million and $8.8 million, respectively, of non-cash compensation expense related to employee stock option and restricted stock awards (Non-cash Compensation Expense), as detailed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7"/>
          </w:tcPr>
          <w:p>
            <w:pPr>
              <w:jc w:val="right"/>
              <w:ind w:right="189"/>
              <w:spacing w:after="0"/>
              <w:rPr>
                <w:sz w:val="20"/>
                <w:szCs w:val="20"/>
                <w:color w:val="auto"/>
              </w:rPr>
            </w:pPr>
            <w:r>
              <w:rPr>
                <w:rFonts w:ascii="Arial" w:cs="Arial" w:eastAsia="Arial" w:hAnsi="Arial"/>
                <w:sz w:val="14"/>
                <w:szCs w:val="14"/>
                <w:b w:val="1"/>
                <w:bCs w:val="1"/>
                <w:color w:val="auto"/>
                <w:w w:val="94"/>
              </w:rPr>
              <w:t>For the three months ended September 30, 2011</w:t>
            </w:r>
          </w:p>
        </w:tc>
      </w:tr>
      <w:tr>
        <w:trPr>
          <w:trHeight w:val="182"/>
        </w:trPr>
        <w:tc>
          <w:tcPr>
            <w:tcW w:w="5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right="29"/>
              <w:spacing w:after="0"/>
              <w:rPr>
                <w:sz w:val="20"/>
                <w:szCs w:val="20"/>
                <w:color w:val="auto"/>
              </w:rPr>
            </w:pPr>
            <w:r>
              <w:rPr>
                <w:rFonts w:ascii="Arial" w:cs="Arial" w:eastAsia="Arial" w:hAnsi="Arial"/>
                <w:sz w:val="14"/>
                <w:szCs w:val="14"/>
                <w:b w:val="1"/>
                <w:bCs w:val="1"/>
                <w:color w:val="auto"/>
                <w:w w:val="87"/>
              </w:rPr>
              <w:t>Expenses before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97"/>
        </w:trPr>
        <w:tc>
          <w:tcPr>
            <w:tcW w:w="5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inclusion of Non-cash</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Non-cash</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66"/>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Expenses</w:t>
            </w:r>
          </w:p>
        </w:tc>
        <w:tc>
          <w:tcPr>
            <w:tcW w:w="44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49"/>
              <w:spacing w:after="0"/>
              <w:rPr>
                <w:sz w:val="20"/>
                <w:szCs w:val="20"/>
                <w:color w:val="auto"/>
              </w:rPr>
            </w:pPr>
            <w:r>
              <w:rPr>
                <w:rFonts w:ascii="Arial" w:cs="Arial" w:eastAsia="Arial" w:hAnsi="Arial"/>
                <w:sz w:val="14"/>
                <w:szCs w:val="14"/>
                <w:b w:val="1"/>
                <w:bCs w:val="1"/>
                <w:color w:val="auto"/>
                <w:w w:val="90"/>
              </w:rPr>
              <w:t>Compensation</w:t>
            </w:r>
          </w:p>
        </w:tc>
        <w:tc>
          <w:tcPr>
            <w:tcW w:w="22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Compensation</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4"/>
              </w:rPr>
              <w:t>Expenses as</w:t>
            </w:r>
          </w:p>
        </w:tc>
      </w:tr>
      <w:tr>
        <w:trPr>
          <w:trHeight w:val="215"/>
        </w:trPr>
        <w:tc>
          <w:tcPr>
            <w:tcW w:w="5040" w:type="dxa"/>
            <w:vAlign w:val="bottom"/>
            <w:tcBorders>
              <w:bottom w:val="single" w:sz="8" w:color="C0C0C0"/>
            </w:tcBorders>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0" w:type="dxa"/>
            <w:vAlign w:val="bottom"/>
            <w:tcBorders>
              <w:bottom w:val="single" w:sz="8" w:color="C0C0C0"/>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6"/>
              </w:rPr>
              <w:t>Expense</w:t>
            </w:r>
          </w:p>
        </w:tc>
        <w:tc>
          <w:tcPr>
            <w:tcW w:w="220" w:type="dxa"/>
            <w:vAlign w:val="bottom"/>
            <w:tcBorders>
              <w:bottom w:val="single" w:sz="8" w:color="C0C0C0"/>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0"/>
              </w:rPr>
              <w:t>Expense</w:t>
            </w:r>
          </w:p>
        </w:tc>
        <w:tc>
          <w:tcPr>
            <w:tcW w:w="220" w:type="dxa"/>
            <w:vAlign w:val="bottom"/>
            <w:tcBorders>
              <w:bottom w:val="single" w:sz="8" w:color="C0C0C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91"/>
              </w:rPr>
              <w:t>Reported</w:t>
            </w:r>
          </w:p>
        </w:tc>
      </w:tr>
      <w:tr>
        <w:trPr>
          <w:trHeight w:val="195"/>
        </w:trPr>
        <w:tc>
          <w:tcPr>
            <w:tcW w:w="504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Research and development</w:t>
            </w:r>
          </w:p>
        </w:tc>
        <w:tc>
          <w:tcPr>
            <w:tcW w:w="3120" w:type="dxa"/>
            <w:vAlign w:val="bottom"/>
            <w:gridSpan w:val="2"/>
            <w:shd w:val="clear" w:color="auto" w:fill="C0C0C0"/>
          </w:tcPr>
          <w:p>
            <w:pPr>
              <w:ind w:left="30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119.8</w:t>
            </w:r>
          </w:p>
        </w:tc>
        <w:tc>
          <w:tcPr>
            <w:tcW w:w="340" w:type="dxa"/>
            <w:vAlign w:val="bottom"/>
            <w:gridSpan w:val="2"/>
            <w:shd w:val="clear" w:color="auto" w:fill="C0C0C0"/>
          </w:tcPr>
          <w:p>
            <w:pPr>
              <w:ind w:lef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8.1</w:t>
            </w:r>
          </w:p>
        </w:tc>
        <w:tc>
          <w:tcPr>
            <w:tcW w:w="22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127.9</w:t>
            </w:r>
          </w:p>
        </w:tc>
      </w:tr>
      <w:tr>
        <w:trPr>
          <w:trHeight w:val="191"/>
        </w:trPr>
        <w:tc>
          <w:tcPr>
            <w:tcW w:w="5040" w:type="dxa"/>
            <w:vAlign w:val="bottom"/>
            <w:gridSpan w:val="2"/>
          </w:tcPr>
          <w:p>
            <w:pPr>
              <w:spacing w:after="0"/>
              <w:rPr>
                <w:sz w:val="20"/>
                <w:szCs w:val="20"/>
                <w:color w:val="auto"/>
              </w:rPr>
            </w:pPr>
            <w:r>
              <w:rPr>
                <w:rFonts w:ascii="Arial" w:cs="Arial" w:eastAsia="Arial" w:hAnsi="Arial"/>
                <w:sz w:val="14"/>
                <w:szCs w:val="14"/>
                <w:color w:val="auto"/>
              </w:rPr>
              <w:t>Selling, general, and administrative</w:t>
            </w:r>
          </w:p>
        </w:tc>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32.9</w:t>
            </w:r>
          </w:p>
        </w:tc>
      </w:tr>
      <w:tr>
        <w:trPr>
          <w:trHeight w:val="197"/>
        </w:trPr>
        <w:tc>
          <w:tcPr>
            <w:tcW w:w="504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Cost of goods sold</w:t>
            </w:r>
          </w:p>
        </w:tc>
        <w:tc>
          <w:tcPr>
            <w:tcW w:w="3000" w:type="dxa"/>
            <w:vAlign w:val="bottom"/>
            <w:shd w:val="clear" w:color="auto" w:fill="C0C0C0"/>
          </w:tcPr>
          <w:p>
            <w:pPr>
              <w:spacing w:after="0"/>
              <w:rPr>
                <w:sz w:val="17"/>
                <w:szCs w:val="17"/>
                <w:color w:val="auto"/>
              </w:rPr>
            </w:pPr>
          </w:p>
        </w:tc>
        <w:tc>
          <w:tcPr>
            <w:tcW w:w="120" w:type="dxa"/>
            <w:vAlign w:val="bottom"/>
            <w:tcBorders>
              <w:bottom w:val="single" w:sz="8" w:color="auto"/>
            </w:tcBorders>
            <w:shd w:val="clear" w:color="auto" w:fill="C0C0C0"/>
          </w:tcPr>
          <w:p>
            <w:pPr>
              <w:spacing w:after="0"/>
              <w:rPr>
                <w:sz w:val="17"/>
                <w:szCs w:val="17"/>
                <w:color w:val="auto"/>
              </w:rPr>
            </w:pPr>
          </w:p>
        </w:tc>
        <w:tc>
          <w:tcPr>
            <w:tcW w:w="12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0.5</w:t>
            </w:r>
          </w:p>
        </w:tc>
        <w:tc>
          <w:tcPr>
            <w:tcW w:w="220" w:type="dxa"/>
            <w:vAlign w:val="bottom"/>
            <w:shd w:val="clear" w:color="auto" w:fill="C0C0C0"/>
          </w:tcPr>
          <w:p>
            <w:pPr>
              <w:spacing w:after="0"/>
              <w:rPr>
                <w:sz w:val="17"/>
                <w:szCs w:val="17"/>
                <w:color w:val="auto"/>
              </w:rPr>
            </w:pPr>
          </w:p>
        </w:tc>
        <w:tc>
          <w:tcPr>
            <w:tcW w:w="120" w:type="dxa"/>
            <w:vAlign w:val="bottom"/>
            <w:tcBorders>
              <w:bottom w:val="single" w:sz="8" w:color="auto"/>
            </w:tcBorders>
            <w:shd w:val="clear" w:color="auto" w:fill="C0C0C0"/>
          </w:tcPr>
          <w:p>
            <w:pPr>
              <w:spacing w:after="0"/>
              <w:rPr>
                <w:sz w:val="17"/>
                <w:szCs w:val="17"/>
                <w:color w:val="auto"/>
              </w:rPr>
            </w:pPr>
          </w:p>
        </w:tc>
        <w:tc>
          <w:tcPr>
            <w:tcW w:w="800" w:type="dxa"/>
            <w:vAlign w:val="bottom"/>
            <w:tcBorders>
              <w:bottom w:val="single" w:sz="8" w:color="auto"/>
            </w:tcBorders>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tcBorders>
              <w:bottom w:val="single" w:sz="8" w:color="auto"/>
            </w:tcBorders>
            <w:shd w:val="clear" w:color="auto" w:fill="C0C0C0"/>
          </w:tcPr>
          <w:p>
            <w:pPr>
              <w:spacing w:after="0"/>
              <w:rPr>
                <w:sz w:val="17"/>
                <w:szCs w:val="17"/>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0.5</w:t>
            </w:r>
          </w:p>
        </w:tc>
      </w:tr>
      <w:tr>
        <w:trPr>
          <w:trHeight w:val="197"/>
        </w:trPr>
        <w:tc>
          <w:tcPr>
            <w:tcW w:w="5040" w:type="dxa"/>
            <w:vAlign w:val="bottom"/>
            <w:gridSpan w:val="2"/>
          </w:tcPr>
          <w:p>
            <w:pPr>
              <w:ind w:left="260"/>
              <w:spacing w:after="0"/>
              <w:rPr>
                <w:sz w:val="20"/>
                <w:szCs w:val="20"/>
                <w:color w:val="auto"/>
              </w:rPr>
            </w:pPr>
            <w:r>
              <w:rPr>
                <w:rFonts w:ascii="Arial" w:cs="Arial" w:eastAsia="Arial" w:hAnsi="Arial"/>
                <w:sz w:val="14"/>
                <w:szCs w:val="14"/>
                <w:color w:val="auto"/>
              </w:rPr>
              <w:t>Total operating expenses</w:t>
            </w:r>
          </w:p>
        </w:tc>
        <w:tc>
          <w:tcPr>
            <w:tcW w:w="3120" w:type="dxa"/>
            <w:vAlign w:val="bottom"/>
            <w:gridSpan w:val="2"/>
          </w:tcPr>
          <w:p>
            <w:pPr>
              <w:ind w:left="300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147.9</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13.4</w:t>
            </w:r>
          </w:p>
        </w:tc>
        <w:tc>
          <w:tcPr>
            <w:tcW w:w="2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161.3</w:t>
            </w:r>
          </w:p>
        </w:tc>
      </w:tr>
      <w:tr>
        <w:trPr>
          <w:trHeight w:val="388"/>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3300" w:type="dxa"/>
            <w:vAlign w:val="bottom"/>
            <w:tcBorders>
              <w:top w:val="single" w:sz="8" w:color="auto"/>
              <w:bottom w:val="single" w:sz="8" w:color="auto"/>
            </w:tcBorders>
            <w:gridSpan w:val="7"/>
          </w:tcPr>
          <w:p>
            <w:pPr>
              <w:jc w:val="right"/>
              <w:ind w:right="169"/>
              <w:spacing w:after="0"/>
              <w:rPr>
                <w:sz w:val="20"/>
                <w:szCs w:val="20"/>
                <w:color w:val="auto"/>
              </w:rPr>
            </w:pPr>
            <w:r>
              <w:rPr>
                <w:rFonts w:ascii="Arial" w:cs="Arial" w:eastAsia="Arial" w:hAnsi="Arial"/>
                <w:sz w:val="14"/>
                <w:szCs w:val="14"/>
                <w:b w:val="1"/>
                <w:bCs w:val="1"/>
                <w:color w:val="auto"/>
                <w:w w:val="95"/>
              </w:rPr>
              <w:t>For the three months ended September 30, 2010</w:t>
            </w:r>
          </w:p>
        </w:tc>
      </w:tr>
      <w:tr>
        <w:trPr>
          <w:trHeight w:val="182"/>
        </w:trPr>
        <w:tc>
          <w:tcPr>
            <w:tcW w:w="5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right="29"/>
              <w:spacing w:after="0"/>
              <w:rPr>
                <w:sz w:val="20"/>
                <w:szCs w:val="20"/>
                <w:color w:val="auto"/>
              </w:rPr>
            </w:pPr>
            <w:r>
              <w:rPr>
                <w:rFonts w:ascii="Arial" w:cs="Arial" w:eastAsia="Arial" w:hAnsi="Arial"/>
                <w:sz w:val="14"/>
                <w:szCs w:val="14"/>
                <w:b w:val="1"/>
                <w:bCs w:val="1"/>
                <w:color w:val="auto"/>
                <w:w w:val="87"/>
              </w:rPr>
              <w:t>Expenses before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97"/>
        </w:trPr>
        <w:tc>
          <w:tcPr>
            <w:tcW w:w="5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inclusion of Non-cash</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Non-cash</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66"/>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Expenses</w:t>
            </w:r>
          </w:p>
        </w:tc>
        <w:tc>
          <w:tcPr>
            <w:tcW w:w="44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49"/>
              <w:spacing w:after="0"/>
              <w:rPr>
                <w:sz w:val="20"/>
                <w:szCs w:val="20"/>
                <w:color w:val="auto"/>
              </w:rPr>
            </w:pPr>
            <w:r>
              <w:rPr>
                <w:rFonts w:ascii="Arial" w:cs="Arial" w:eastAsia="Arial" w:hAnsi="Arial"/>
                <w:sz w:val="14"/>
                <w:szCs w:val="14"/>
                <w:b w:val="1"/>
                <w:bCs w:val="1"/>
                <w:color w:val="auto"/>
                <w:w w:val="90"/>
              </w:rPr>
              <w:t>Compensation</w:t>
            </w:r>
          </w:p>
        </w:tc>
        <w:tc>
          <w:tcPr>
            <w:tcW w:w="22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Compensation</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4"/>
              </w:rPr>
              <w:t>Expenses as</w:t>
            </w:r>
          </w:p>
        </w:tc>
      </w:tr>
      <w:tr>
        <w:trPr>
          <w:trHeight w:val="226"/>
        </w:trPr>
        <w:tc>
          <w:tcPr>
            <w:tcW w:w="5040" w:type="dxa"/>
            <w:vAlign w:val="bottom"/>
            <w:tcBorders>
              <w:bottom w:val="single" w:sz="8" w:color="C0C0C0"/>
            </w:tcBorders>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0" w:type="dxa"/>
            <w:vAlign w:val="bottom"/>
            <w:tcBorders>
              <w:bottom w:val="single" w:sz="8" w:color="C0C0C0"/>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6"/>
              </w:rPr>
              <w:t>Expense</w:t>
            </w:r>
          </w:p>
        </w:tc>
        <w:tc>
          <w:tcPr>
            <w:tcW w:w="220" w:type="dxa"/>
            <w:vAlign w:val="bottom"/>
            <w:tcBorders>
              <w:bottom w:val="single" w:sz="8" w:color="C0C0C0"/>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0"/>
              </w:rPr>
              <w:t>Expense</w:t>
            </w:r>
          </w:p>
        </w:tc>
        <w:tc>
          <w:tcPr>
            <w:tcW w:w="220" w:type="dxa"/>
            <w:vAlign w:val="bottom"/>
            <w:tcBorders>
              <w:bottom w:val="single" w:sz="8" w:color="C0C0C0"/>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Reported</w:t>
            </w:r>
          </w:p>
        </w:tc>
      </w:tr>
      <w:tr>
        <w:trPr>
          <w:trHeight w:val="195"/>
        </w:trPr>
        <w:tc>
          <w:tcPr>
            <w:tcW w:w="504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Research and development</w:t>
            </w:r>
          </w:p>
        </w:tc>
        <w:tc>
          <w:tcPr>
            <w:tcW w:w="3120" w:type="dxa"/>
            <w:vAlign w:val="bottom"/>
            <w:gridSpan w:val="2"/>
            <w:shd w:val="clear" w:color="auto" w:fill="C0C0C0"/>
          </w:tcPr>
          <w:p>
            <w:pPr>
              <w:ind w:left="30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116.7</w:t>
            </w:r>
          </w:p>
        </w:tc>
        <w:tc>
          <w:tcPr>
            <w:tcW w:w="340" w:type="dxa"/>
            <w:vAlign w:val="bottom"/>
            <w:gridSpan w:val="2"/>
            <w:shd w:val="clear" w:color="auto" w:fill="C0C0C0"/>
          </w:tcPr>
          <w:p>
            <w:pPr>
              <w:ind w:lef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5.3</w:t>
            </w:r>
          </w:p>
        </w:tc>
        <w:tc>
          <w:tcPr>
            <w:tcW w:w="22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122.0</w:t>
            </w:r>
          </w:p>
        </w:tc>
      </w:tr>
      <w:tr>
        <w:trPr>
          <w:trHeight w:val="191"/>
        </w:trPr>
        <w:tc>
          <w:tcPr>
            <w:tcW w:w="5040" w:type="dxa"/>
            <w:vAlign w:val="bottom"/>
            <w:gridSpan w:val="2"/>
          </w:tcPr>
          <w:p>
            <w:pPr>
              <w:spacing w:after="0"/>
              <w:rPr>
                <w:sz w:val="20"/>
                <w:szCs w:val="20"/>
                <w:color w:val="auto"/>
              </w:rPr>
            </w:pPr>
            <w:r>
              <w:rPr>
                <w:rFonts w:ascii="Arial" w:cs="Arial" w:eastAsia="Arial" w:hAnsi="Arial"/>
                <w:sz w:val="14"/>
                <w:szCs w:val="14"/>
                <w:color w:val="auto"/>
              </w:rPr>
              <w:t>Selling, general, and administrative</w:t>
            </w:r>
          </w:p>
        </w:tc>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15.7</w:t>
            </w:r>
          </w:p>
        </w:tc>
      </w:tr>
      <w:tr>
        <w:trPr>
          <w:trHeight w:val="197"/>
        </w:trPr>
        <w:tc>
          <w:tcPr>
            <w:tcW w:w="504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Cost of goods sold</w:t>
            </w:r>
          </w:p>
        </w:tc>
        <w:tc>
          <w:tcPr>
            <w:tcW w:w="3000" w:type="dxa"/>
            <w:vAlign w:val="bottom"/>
            <w:shd w:val="clear" w:color="auto" w:fill="C0C0C0"/>
          </w:tcPr>
          <w:p>
            <w:pPr>
              <w:spacing w:after="0"/>
              <w:rPr>
                <w:sz w:val="17"/>
                <w:szCs w:val="17"/>
                <w:color w:val="auto"/>
              </w:rPr>
            </w:pPr>
          </w:p>
        </w:tc>
        <w:tc>
          <w:tcPr>
            <w:tcW w:w="120" w:type="dxa"/>
            <w:vAlign w:val="bottom"/>
            <w:tcBorders>
              <w:bottom w:val="single" w:sz="8" w:color="auto"/>
            </w:tcBorders>
            <w:shd w:val="clear" w:color="auto" w:fill="C0C0C0"/>
          </w:tcPr>
          <w:p>
            <w:pPr>
              <w:spacing w:after="0"/>
              <w:rPr>
                <w:sz w:val="17"/>
                <w:szCs w:val="17"/>
                <w:color w:val="auto"/>
              </w:rPr>
            </w:pPr>
          </w:p>
        </w:tc>
        <w:tc>
          <w:tcPr>
            <w:tcW w:w="12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0.4</w:t>
            </w:r>
          </w:p>
        </w:tc>
        <w:tc>
          <w:tcPr>
            <w:tcW w:w="220" w:type="dxa"/>
            <w:vAlign w:val="bottom"/>
            <w:shd w:val="clear" w:color="auto" w:fill="C0C0C0"/>
          </w:tcPr>
          <w:p>
            <w:pPr>
              <w:spacing w:after="0"/>
              <w:rPr>
                <w:sz w:val="17"/>
                <w:szCs w:val="17"/>
                <w:color w:val="auto"/>
              </w:rPr>
            </w:pPr>
          </w:p>
        </w:tc>
        <w:tc>
          <w:tcPr>
            <w:tcW w:w="120" w:type="dxa"/>
            <w:vAlign w:val="bottom"/>
            <w:tcBorders>
              <w:bottom w:val="single" w:sz="8" w:color="auto"/>
            </w:tcBorders>
            <w:shd w:val="clear" w:color="auto" w:fill="C0C0C0"/>
          </w:tcPr>
          <w:p>
            <w:pPr>
              <w:spacing w:after="0"/>
              <w:rPr>
                <w:sz w:val="17"/>
                <w:szCs w:val="17"/>
                <w:color w:val="auto"/>
              </w:rPr>
            </w:pPr>
          </w:p>
        </w:tc>
        <w:tc>
          <w:tcPr>
            <w:tcW w:w="800" w:type="dxa"/>
            <w:vAlign w:val="bottom"/>
            <w:tcBorders>
              <w:bottom w:val="single" w:sz="8" w:color="auto"/>
            </w:tcBorders>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tcBorders>
              <w:bottom w:val="single" w:sz="8" w:color="auto"/>
            </w:tcBorders>
            <w:shd w:val="clear" w:color="auto" w:fill="C0C0C0"/>
          </w:tcPr>
          <w:p>
            <w:pPr>
              <w:spacing w:after="0"/>
              <w:rPr>
                <w:sz w:val="17"/>
                <w:szCs w:val="17"/>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0.4</w:t>
            </w:r>
          </w:p>
        </w:tc>
      </w:tr>
      <w:tr>
        <w:trPr>
          <w:trHeight w:val="197"/>
        </w:trPr>
        <w:tc>
          <w:tcPr>
            <w:tcW w:w="5040" w:type="dxa"/>
            <w:vAlign w:val="bottom"/>
            <w:gridSpan w:val="2"/>
          </w:tcPr>
          <w:p>
            <w:pPr>
              <w:ind w:left="260"/>
              <w:spacing w:after="0"/>
              <w:rPr>
                <w:sz w:val="20"/>
                <w:szCs w:val="20"/>
                <w:color w:val="auto"/>
              </w:rPr>
            </w:pPr>
            <w:r>
              <w:rPr>
                <w:rFonts w:ascii="Arial" w:cs="Arial" w:eastAsia="Arial" w:hAnsi="Arial"/>
                <w:sz w:val="14"/>
                <w:szCs w:val="14"/>
                <w:color w:val="auto"/>
              </w:rPr>
              <w:t>Total operating expenses</w:t>
            </w:r>
          </w:p>
        </w:tc>
        <w:tc>
          <w:tcPr>
            <w:tcW w:w="300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129.3</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138.1</w:t>
            </w:r>
          </w:p>
        </w:tc>
      </w:tr>
    </w:tbl>
    <w:p>
      <w:pPr>
        <w:spacing w:after="0" w:line="212"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4"/>
          <w:szCs w:val="14"/>
          <w:color w:val="auto"/>
        </w:rPr>
        <w:t>The increase in total Non-cash Compensation Expense in the third quarter of 2011 was primarily attributable to (i) the recognition of higher expense in the third quarter of 2011 in connection with previously granted performance-based stock options that we estimate will vest, (ii) the higher fair market value of our Common Stock on the date of our annual employee option grants made in December 2010 compared to recent prior years, and (iii) the recognition of higher expense related to grants of restricted stock in December 2010.</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7" w:right="219" w:bottom="1440" w:gutter="0" w:footer="0" w:header="0"/>
        </w:sectPr>
      </w:pPr>
    </w:p>
    <w:bookmarkStart w:id="34" w:name="page35"/>
    <w:bookmarkEnd w:id="34"/>
    <w:p>
      <w:pPr>
        <w:spacing w:after="0"/>
        <w:rPr>
          <w:sz w:val="20"/>
          <w:szCs w:val="20"/>
          <w:color w:val="auto"/>
        </w:rPr>
      </w:pPr>
      <w:r>
        <w:rPr>
          <w:rFonts w:ascii="Arial" w:cs="Arial" w:eastAsia="Arial" w:hAnsi="Arial"/>
          <w:sz w:val="14"/>
          <w:szCs w:val="14"/>
          <w:i w:val="1"/>
          <w:iCs w:val="1"/>
          <w:color w:val="auto"/>
        </w:rPr>
        <w:t>Research and Development Expenses</w:t>
      </w:r>
    </w:p>
    <w:p>
      <w:pPr>
        <w:spacing w:after="0" w:line="234" w:lineRule="exact"/>
        <w:rPr>
          <w:sz w:val="20"/>
          <w:szCs w:val="20"/>
          <w:color w:val="auto"/>
        </w:rPr>
      </w:pPr>
    </w:p>
    <w:p>
      <w:pPr>
        <w:ind w:right="20" w:firstLine="230"/>
        <w:spacing w:after="0" w:line="291" w:lineRule="auto"/>
        <w:rPr>
          <w:sz w:val="20"/>
          <w:szCs w:val="20"/>
          <w:color w:val="auto"/>
        </w:rPr>
      </w:pPr>
      <w:r>
        <w:rPr>
          <w:rFonts w:ascii="Arial" w:cs="Arial" w:eastAsia="Arial" w:hAnsi="Arial"/>
          <w:sz w:val="14"/>
          <w:szCs w:val="14"/>
          <w:color w:val="auto"/>
        </w:rPr>
        <w:t>Research and development expenses increased to $127.9 million in the third quarter of 2011 from $122.0 million in the same period of 2010. The following table summarizes the major categories of our research and development expenses for the three months ended September 30, 2011 and 2010: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For the three months ended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4"/>
                <w:szCs w:val="14"/>
                <w:color w:val="auto"/>
              </w:rPr>
            </w:pP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4"/>
        </w:trPr>
        <w:tc>
          <w:tcPr>
            <w:tcW w:w="22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300" w:type="dxa"/>
            <w:vAlign w:val="bottom"/>
            <w:vMerge w:val="restart"/>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82"/>
        </w:trPr>
        <w:tc>
          <w:tcPr>
            <w:tcW w:w="2260" w:type="dxa"/>
            <w:vAlign w:val="bottom"/>
            <w:tcBorders>
              <w:bottom w:val="single" w:sz="8" w:color="C0C0C0"/>
            </w:tcBorders>
            <w:vMerge w:val="continue"/>
          </w:tcPr>
          <w:p>
            <w:pPr>
              <w:spacing w:after="0"/>
              <w:rPr>
                <w:sz w:val="15"/>
                <w:szCs w:val="15"/>
                <w:color w:val="auto"/>
              </w:rPr>
            </w:pPr>
          </w:p>
        </w:tc>
        <w:tc>
          <w:tcPr>
            <w:tcW w:w="3300" w:type="dxa"/>
            <w:vAlign w:val="bottom"/>
            <w:tcBorders>
              <w:bottom w:val="single" w:sz="8" w:color="C0C0C0"/>
            </w:tcBorders>
            <w:vMerge w:val="continue"/>
          </w:tcPr>
          <w:p>
            <w:pPr>
              <w:spacing w:after="0"/>
              <w:rPr>
                <w:sz w:val="15"/>
                <w:szCs w:val="15"/>
                <w:color w:val="auto"/>
              </w:rPr>
            </w:pPr>
          </w:p>
        </w:tc>
        <w:tc>
          <w:tcPr>
            <w:tcW w:w="2920" w:type="dxa"/>
            <w:vAlign w:val="bottom"/>
            <w:tcBorders>
              <w:bottom w:val="single" w:sz="8" w:color="C0C0C0"/>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0C0C0"/>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0C0C0"/>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56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Payroll and benefits (1)</w:t>
            </w:r>
          </w:p>
        </w:tc>
        <w:tc>
          <w:tcPr>
            <w:tcW w:w="300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42.2</w:t>
            </w:r>
          </w:p>
        </w:tc>
        <w:tc>
          <w:tcPr>
            <w:tcW w:w="160" w:type="dxa"/>
            <w:vAlign w:val="bottom"/>
            <w:shd w:val="clear" w:color="auto" w:fill="C0C0C0"/>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rPr>
              <w:t>34.7</w:t>
            </w:r>
          </w:p>
        </w:tc>
        <w:tc>
          <w:tcPr>
            <w:tcW w:w="12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91"/>
        </w:trPr>
        <w:tc>
          <w:tcPr>
            <w:tcW w:w="5560" w:type="dxa"/>
            <w:vAlign w:val="bottom"/>
            <w:gridSpan w:val="2"/>
          </w:tcPr>
          <w:p>
            <w:pPr>
              <w:spacing w:after="0"/>
              <w:rPr>
                <w:sz w:val="20"/>
                <w:szCs w:val="20"/>
                <w:color w:val="auto"/>
              </w:rPr>
            </w:pPr>
            <w:r>
              <w:rPr>
                <w:rFonts w:ascii="Arial" w:cs="Arial" w:eastAsia="Arial" w:hAnsi="Arial"/>
                <w:sz w:val="14"/>
                <w:szCs w:val="14"/>
                <w:color w:val="auto"/>
              </w:rPr>
              <w:t>Clinical trial expenses</w:t>
            </w:r>
          </w:p>
        </w:tc>
        <w:tc>
          <w:tcPr>
            <w:tcW w:w="2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18.0</w:t>
            </w:r>
          </w:p>
        </w:tc>
        <w:tc>
          <w:tcPr>
            <w:tcW w:w="1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4"/>
        </w:trPr>
        <w:tc>
          <w:tcPr>
            <w:tcW w:w="556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Clinical manufacturing costs (2)</w:t>
            </w:r>
          </w:p>
        </w:tc>
        <w:tc>
          <w:tcPr>
            <w:tcW w:w="29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9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28.4</w:t>
            </w:r>
          </w:p>
        </w:tc>
        <w:tc>
          <w:tcPr>
            <w:tcW w:w="160" w:type="dxa"/>
            <w:vAlign w:val="bottom"/>
            <w:shd w:val="clear" w:color="auto" w:fill="C0C0C0"/>
          </w:tcPr>
          <w:p>
            <w:pPr>
              <w:spacing w:after="0"/>
              <w:rPr>
                <w:sz w:val="17"/>
                <w:szCs w:val="17"/>
                <w:color w:val="auto"/>
              </w:rPr>
            </w:pPr>
          </w:p>
        </w:tc>
        <w:tc>
          <w:tcPr>
            <w:tcW w:w="86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0C0C0"/>
          </w:tcPr>
          <w:p>
            <w:pPr>
              <w:spacing w:after="0"/>
              <w:rPr>
                <w:sz w:val="17"/>
                <w:szCs w:val="17"/>
                <w:color w:val="auto"/>
              </w:rPr>
            </w:pPr>
          </w:p>
        </w:tc>
        <w:tc>
          <w:tcPr>
            <w:tcW w:w="8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1"/>
        </w:trPr>
        <w:tc>
          <w:tcPr>
            <w:tcW w:w="5560" w:type="dxa"/>
            <w:vAlign w:val="bottom"/>
            <w:gridSpan w:val="2"/>
          </w:tcPr>
          <w:p>
            <w:pPr>
              <w:spacing w:after="0"/>
              <w:rPr>
                <w:sz w:val="20"/>
                <w:szCs w:val="20"/>
                <w:color w:val="auto"/>
              </w:rPr>
            </w:pPr>
            <w:r>
              <w:rPr>
                <w:rFonts w:ascii="Arial" w:cs="Arial" w:eastAsia="Arial" w:hAnsi="Arial"/>
                <w:sz w:val="14"/>
                <w:szCs w:val="14"/>
                <w:color w:val="auto"/>
              </w:rPr>
              <w:t>Research and other development costs</w:t>
            </w:r>
          </w:p>
        </w:tc>
        <w:tc>
          <w:tcPr>
            <w:tcW w:w="2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13.8</w:t>
            </w:r>
          </w:p>
        </w:tc>
        <w:tc>
          <w:tcPr>
            <w:tcW w:w="1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556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Occupancy and other operating costs</w:t>
            </w:r>
          </w:p>
        </w:tc>
        <w:tc>
          <w:tcPr>
            <w:tcW w:w="29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9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16.3</w:t>
            </w:r>
          </w:p>
        </w:tc>
        <w:tc>
          <w:tcPr>
            <w:tcW w:w="160" w:type="dxa"/>
            <w:vAlign w:val="bottom"/>
            <w:shd w:val="clear" w:color="auto" w:fill="C0C0C0"/>
          </w:tcPr>
          <w:p>
            <w:pPr>
              <w:spacing w:after="0"/>
              <w:rPr>
                <w:sz w:val="17"/>
                <w:szCs w:val="17"/>
                <w:color w:val="auto"/>
              </w:rPr>
            </w:pPr>
          </w:p>
        </w:tc>
        <w:tc>
          <w:tcPr>
            <w:tcW w:w="86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0C0C0"/>
          </w:tcPr>
          <w:p>
            <w:pPr>
              <w:spacing w:after="0"/>
              <w:rPr>
                <w:sz w:val="17"/>
                <w:szCs w:val="17"/>
                <w:color w:val="auto"/>
              </w:rPr>
            </w:pPr>
          </w:p>
        </w:tc>
        <w:tc>
          <w:tcPr>
            <w:tcW w:w="8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5"/>
        </w:trPr>
        <w:tc>
          <w:tcPr>
            <w:tcW w:w="5560" w:type="dxa"/>
            <w:vAlign w:val="bottom"/>
            <w:gridSpan w:val="2"/>
          </w:tcPr>
          <w:p>
            <w:pPr>
              <w:spacing w:after="0"/>
              <w:rPr>
                <w:sz w:val="20"/>
                <w:szCs w:val="20"/>
                <w:color w:val="auto"/>
              </w:rPr>
            </w:pPr>
            <w:r>
              <w:rPr>
                <w:rFonts w:ascii="Arial" w:cs="Arial" w:eastAsia="Arial" w:hAnsi="Arial"/>
                <w:sz w:val="14"/>
                <w:szCs w:val="14"/>
                <w:color w:val="auto"/>
              </w:rPr>
              <w:t>Cost-sharing of Bayer HealthCare EYLEA</w:t>
            </w:r>
            <w:r>
              <w:rPr>
                <w:rFonts w:ascii="Arial" w:cs="Arial" w:eastAsia="Arial" w:hAnsi="Arial"/>
                <w:sz w:val="9"/>
                <w:szCs w:val="9"/>
                <w:color w:val="auto"/>
              </w:rPr>
              <w:t>TM</w:t>
            </w:r>
          </w:p>
        </w:tc>
        <w:tc>
          <w:tcPr>
            <w:tcW w:w="2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560" w:type="dxa"/>
            <w:vAlign w:val="bottom"/>
            <w:tcBorders>
              <w:bottom w:val="single" w:sz="8" w:color="C0C0C0"/>
            </w:tcBorders>
            <w:gridSpan w:val="2"/>
          </w:tcPr>
          <w:p>
            <w:pPr>
              <w:ind w:left="260"/>
              <w:spacing w:after="0"/>
              <w:rPr>
                <w:sz w:val="20"/>
                <w:szCs w:val="20"/>
                <w:color w:val="auto"/>
              </w:rPr>
            </w:pPr>
            <w:r>
              <w:rPr>
                <w:rFonts w:ascii="Arial" w:cs="Arial" w:eastAsia="Arial" w:hAnsi="Arial"/>
                <w:sz w:val="14"/>
                <w:szCs w:val="14"/>
                <w:color w:val="auto"/>
              </w:rPr>
              <w:t>development expenses (3)</w:t>
            </w:r>
          </w:p>
        </w:tc>
        <w:tc>
          <w:tcPr>
            <w:tcW w:w="2920" w:type="dxa"/>
            <w:vAlign w:val="bottom"/>
            <w:tcBorders>
              <w:bottom w:val="single" w:sz="8" w:color="C0C0C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220" w:type="dxa"/>
            <w:vAlign w:val="bottom"/>
            <w:tcBorders>
              <w:bottom w:val="single" w:sz="8" w:color="C0C0C0"/>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200" w:type="dxa"/>
            <w:vAlign w:val="bottom"/>
            <w:tcBorders>
              <w:bottom w:val="single" w:sz="8" w:color="C0C0C0"/>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14"/>
        </w:trPr>
        <w:tc>
          <w:tcPr>
            <w:tcW w:w="5560" w:type="dxa"/>
            <w:vAlign w:val="bottom"/>
            <w:gridSpan w:val="2"/>
            <w:shd w:val="clear" w:color="auto" w:fill="C0C0C0"/>
          </w:tcPr>
          <w:p>
            <w:pPr>
              <w:ind w:left="260"/>
              <w:spacing w:after="0"/>
              <w:rPr>
                <w:sz w:val="20"/>
                <w:szCs w:val="20"/>
                <w:color w:val="auto"/>
              </w:rPr>
            </w:pPr>
            <w:r>
              <w:rPr>
                <w:rFonts w:ascii="Arial" w:cs="Arial" w:eastAsia="Arial" w:hAnsi="Arial"/>
                <w:sz w:val="14"/>
                <w:szCs w:val="14"/>
                <w:color w:val="auto"/>
              </w:rPr>
              <w:t>Total research and development expenses</w:t>
            </w:r>
          </w:p>
        </w:tc>
        <w:tc>
          <w:tcPr>
            <w:tcW w:w="300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127.9</w:t>
            </w:r>
          </w:p>
        </w:tc>
        <w:tc>
          <w:tcPr>
            <w:tcW w:w="160" w:type="dxa"/>
            <w:vAlign w:val="bottom"/>
            <w:shd w:val="clear" w:color="auto" w:fill="C0C0C0"/>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rPr>
              <w:t>122.0</w:t>
            </w:r>
          </w:p>
        </w:tc>
        <w:tc>
          <w:tcPr>
            <w:tcW w:w="12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94"/>
        </w:trPr>
        <w:tc>
          <w:tcPr>
            <w:tcW w:w="2260" w:type="dxa"/>
            <w:vAlign w:val="bottom"/>
            <w:tcBorders>
              <w:top w:val="single" w:sz="8" w:color="C0C0C0"/>
            </w:tcBorders>
          </w:tcPr>
          <w:p>
            <w:pPr>
              <w:spacing w:after="0" w:line="195" w:lineRule="exact"/>
              <w:rPr>
                <w:sz w:val="20"/>
                <w:szCs w:val="20"/>
                <w:color w:val="auto"/>
              </w:rPr>
            </w:pPr>
            <w:r>
              <w:rPr>
                <w:rFonts w:ascii="Arial" w:cs="Arial" w:eastAsia="Arial" w:hAnsi="Arial"/>
                <w:sz w:val="18"/>
                <w:szCs w:val="18"/>
                <w:color w:val="auto"/>
              </w:rPr>
              <w:t>____________________</w:t>
            </w:r>
          </w:p>
        </w:tc>
        <w:tc>
          <w:tcPr>
            <w:tcW w:w="3300" w:type="dxa"/>
            <w:vAlign w:val="bottom"/>
            <w:tcBorders>
              <w:top w:val="single" w:sz="8" w:color="C0C0C0"/>
            </w:tcBorders>
          </w:tcPr>
          <w:p>
            <w:pPr>
              <w:spacing w:after="0"/>
              <w:rPr>
                <w:sz w:val="16"/>
                <w:szCs w:val="16"/>
                <w:color w:val="auto"/>
              </w:rPr>
            </w:pPr>
          </w:p>
        </w:tc>
        <w:tc>
          <w:tcPr>
            <w:tcW w:w="2920" w:type="dxa"/>
            <w:vAlign w:val="bottom"/>
            <w:tcBorders>
              <w:top w:val="single" w:sz="8" w:color="C0C0C0"/>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C0C0C0"/>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C0C0C0"/>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620" w:hanging="393"/>
        <w:spacing w:after="0"/>
        <w:tabs>
          <w:tab w:leader="none" w:pos="62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$7.1 million and $4.6 million of Non-cash Compensation Expense for the three months ended September 30, 2011 and 2010, respectively.</w:t>
      </w:r>
    </w:p>
    <w:p>
      <w:pPr>
        <w:spacing w:after="0" w:line="36" w:lineRule="exact"/>
        <w:rPr>
          <w:rFonts w:ascii="Arial" w:cs="Arial" w:eastAsia="Arial" w:hAnsi="Arial"/>
          <w:sz w:val="14"/>
          <w:szCs w:val="14"/>
          <w:color w:val="auto"/>
        </w:rPr>
      </w:pPr>
    </w:p>
    <w:p>
      <w:pPr>
        <w:jc w:val="both"/>
        <w:ind w:left="620" w:right="20" w:hanging="393"/>
        <w:spacing w:after="0" w:line="264" w:lineRule="auto"/>
        <w:tabs>
          <w:tab w:leader="none" w:pos="62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the full cost of manufacturing drug for use in research, preclinical development, and clinical trials, including related payroll and benefits, Non-cash Compensation Expense, manufacturing materials and supplies, depreciation, and occupancy costs of our Rensselaer manufacturing facility. Includes $1.0 million and $0.7 million of Non-cash Compensation Expense for the three months ended September 30, 2011 and 2010, respectively.</w:t>
      </w:r>
    </w:p>
    <w:p>
      <w:pPr>
        <w:jc w:val="both"/>
        <w:ind w:left="620" w:right="20" w:hanging="393"/>
        <w:spacing w:after="0" w:line="215" w:lineRule="auto"/>
        <w:tabs>
          <w:tab w:leader="none" w:pos="620" w:val="left"/>
        </w:tabs>
        <w:numPr>
          <w:ilvl w:val="0"/>
          <w:numId w:val="2"/>
        </w:numPr>
        <w:rPr>
          <w:rFonts w:ascii="Arial" w:cs="Arial" w:eastAsia="Arial" w:hAnsi="Arial"/>
          <w:sz w:val="14"/>
          <w:szCs w:val="14"/>
          <w:color w:val="auto"/>
        </w:rPr>
      </w:pPr>
      <w:r>
        <w:rPr>
          <w:rFonts w:ascii="Arial" w:cs="Arial" w:eastAsia="Arial" w:hAnsi="Arial"/>
          <w:sz w:val="14"/>
          <w:szCs w:val="14"/>
          <w:color w:val="auto"/>
        </w:rPr>
        <w:t>Under our collaboration with Bayer HealthCare, in periods when Bayer HealthCare incurs global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development expenses, we also recognize, as additional research and development expense, the portion of Bayer HealthCare’s global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development expenses that we are obligated to reimburse. Bayer HealthCare provides us with estimated global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development expenses for the most recent fiscal quarter. Bayer HealthCare’s estimate is reconciled to its actual expenses for such quarter in the subsequent fiscal quarter and our portion of its global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development expenses that we are obligated to reimburse is adjusted accordingly.</w:t>
      </w:r>
    </w:p>
    <w:p>
      <w:pPr>
        <w:spacing w:after="0" w:line="133" w:lineRule="exact"/>
        <w:rPr>
          <w:sz w:val="20"/>
          <w:szCs w:val="20"/>
          <w:color w:val="auto"/>
        </w:rPr>
      </w:pPr>
    </w:p>
    <w:p>
      <w:pPr>
        <w:jc w:val="both"/>
        <w:ind w:right="20" w:firstLine="274"/>
        <w:spacing w:after="0" w:line="246" w:lineRule="auto"/>
        <w:rPr>
          <w:sz w:val="20"/>
          <w:szCs w:val="20"/>
          <w:color w:val="auto"/>
        </w:rPr>
      </w:pPr>
      <w:r>
        <w:rPr>
          <w:rFonts w:ascii="Arial" w:cs="Arial" w:eastAsia="Arial" w:hAnsi="Arial"/>
          <w:sz w:val="13"/>
          <w:szCs w:val="13"/>
          <w:color w:val="auto"/>
        </w:rPr>
        <w:t>Payroll and benefits increased principally due to the increase in employee headcount, as described above. Clinical trial expenses decreased due primarily to lower costs related to our Phase 3 clinical development program for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prevention of gout flares in patients initiating uric acid-lowering therapy, our VIEW 1 trial for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wet AMD, and our clinical development program for REGN475, which is currently on clinical hold. These decreases were partly offset by higher expenses related to our Phase 3 trial for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DME. Clinical manufacturing costs increased primarily due to higher costs related to manufacturing supplies of antibody candidates. Occupancy and other operating costs increased principally in connection with our higher headcount, expanded research and development activities, and expanded leased facilities in Tarrytown, New York. Cost-sharing of Bayer HealthCare’s global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development expenses decreased primarily due to lower costs in connection with Bayer HealthCare’s VIEW 2 trial in wet AMD, partly offset by higher costs in connection with Bayer HealthCare’s Phase 3 trial in DME.</w:t>
      </w:r>
    </w:p>
    <w:p>
      <w:pPr>
        <w:spacing w:after="0" w:line="212" w:lineRule="exact"/>
        <w:rPr>
          <w:sz w:val="20"/>
          <w:szCs w:val="20"/>
          <w:color w:val="auto"/>
        </w:rPr>
      </w:pPr>
    </w:p>
    <w:p>
      <w:pPr>
        <w:jc w:val="both"/>
        <w:ind w:right="20" w:firstLine="329"/>
        <w:spacing w:after="0" w:line="320" w:lineRule="auto"/>
        <w:rPr>
          <w:sz w:val="20"/>
          <w:szCs w:val="20"/>
          <w:color w:val="auto"/>
        </w:rPr>
      </w:pPr>
      <w:r>
        <w:rPr>
          <w:rFonts w:ascii="Arial" w:cs="Arial" w:eastAsia="Arial" w:hAnsi="Arial"/>
          <w:sz w:val="13"/>
          <w:szCs w:val="13"/>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development expenses that we are obligated to reimburse. Our estimates of research and development costs for clinical development programs are shown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620" w:type="dxa"/>
            <w:vAlign w:val="bottom"/>
            <w:gridSpan w:val="6"/>
          </w:tcPr>
          <w:p>
            <w:pPr>
              <w:ind w:left="60"/>
              <w:spacing w:after="0"/>
              <w:rPr>
                <w:sz w:val="20"/>
                <w:szCs w:val="20"/>
                <w:color w:val="auto"/>
              </w:rPr>
            </w:pPr>
            <w:r>
              <w:rPr>
                <w:rFonts w:ascii="Arial" w:cs="Arial" w:eastAsia="Arial" w:hAnsi="Arial"/>
                <w:sz w:val="14"/>
                <w:szCs w:val="14"/>
                <w:b w:val="1"/>
                <w:bCs w:val="1"/>
                <w:color w:val="auto"/>
              </w:rPr>
              <w:t>For the three months</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Project Costs</w:t>
            </w:r>
          </w:p>
        </w:tc>
        <w:tc>
          <w:tcPr>
            <w:tcW w:w="34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620" w:type="dxa"/>
            <w:vAlign w:val="bottom"/>
            <w:gridSpan w:val="6"/>
          </w:tcPr>
          <w:p>
            <w:pPr>
              <w:ind w:left="80"/>
              <w:spacing w:after="0"/>
              <w:rPr>
                <w:sz w:val="20"/>
                <w:szCs w:val="20"/>
                <w:color w:val="auto"/>
              </w:rPr>
            </w:pPr>
            <w:r>
              <w:rPr>
                <w:rFonts w:ascii="Arial" w:cs="Arial" w:eastAsia="Arial" w:hAnsi="Arial"/>
                <w:sz w:val="14"/>
                <w:szCs w:val="14"/>
                <w:b w:val="1"/>
                <w:bCs w:val="1"/>
                <w:color w:val="auto"/>
              </w:rPr>
              <w:t>ended September 30,</w:t>
            </w:r>
          </w:p>
        </w:tc>
        <w:tc>
          <w:tcPr>
            <w:tcW w:w="120" w:type="dxa"/>
            <w:vAlign w:val="bottom"/>
          </w:tcPr>
          <w:p>
            <w:pPr>
              <w:spacing w:after="0"/>
              <w:rPr>
                <w:sz w:val="14"/>
                <w:szCs w:val="14"/>
                <w:color w:val="auto"/>
              </w:rPr>
            </w:pP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color w:val="auto"/>
              </w:rPr>
              <w:t>Increase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w w:val="89"/>
              </w:rPr>
              <w:t>(Decrease)</w:t>
            </w: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280" w:type="dxa"/>
            <w:vAlign w:val="bottom"/>
            <w:tcBorders>
              <w:bottom w:val="single" w:sz="8" w:color="C0C0C0"/>
            </w:tcBorders>
            <w:gridSpan w:val="2"/>
            <w:vMerge w:val="continue"/>
          </w:tcPr>
          <w:p>
            <w:pPr>
              <w:spacing w:after="0"/>
              <w:rPr>
                <w:sz w:val="15"/>
                <w:szCs w:val="15"/>
                <w:color w:val="auto"/>
              </w:rPr>
            </w:pPr>
          </w:p>
        </w:tc>
        <w:tc>
          <w:tcPr>
            <w:tcW w:w="4640" w:type="dxa"/>
            <w:vAlign w:val="bottom"/>
            <w:tcBorders>
              <w:bottom w:val="single" w:sz="8" w:color="C0C0C0"/>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96"/>
              </w:rPr>
              <w:t>2011</w:t>
            </w:r>
          </w:p>
        </w:tc>
        <w:tc>
          <w:tcPr>
            <w:tcW w:w="220" w:type="dxa"/>
            <w:vAlign w:val="bottom"/>
            <w:tcBorders>
              <w:bottom w:val="single" w:sz="8" w:color="C0C0C0"/>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96"/>
              </w:rPr>
              <w:t>2010</w:t>
            </w:r>
          </w:p>
        </w:tc>
        <w:tc>
          <w:tcPr>
            <w:tcW w:w="200" w:type="dxa"/>
            <w:vAlign w:val="bottom"/>
            <w:tcBorders>
              <w:bottom w:val="single" w:sz="8" w:color="C0C0C0"/>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28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ARCALYST</w:t>
            </w:r>
            <w:r>
              <w:rPr>
                <w:rFonts w:ascii="Arial" w:cs="Arial" w:eastAsia="Arial" w:hAnsi="Arial"/>
                <w:sz w:val="9"/>
                <w:szCs w:val="9"/>
                <w:color w:val="auto"/>
              </w:rPr>
              <w:t>®</w:t>
            </w:r>
          </w:p>
        </w:tc>
        <w:tc>
          <w:tcPr>
            <w:tcW w:w="476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0C0C0"/>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280" w:type="dxa"/>
            <w:vAlign w:val="bottom"/>
            <w:gridSpan w:val="2"/>
          </w:tcPr>
          <w:p>
            <w:pPr>
              <w:spacing w:after="0"/>
              <w:rPr>
                <w:sz w:val="20"/>
                <w:szCs w:val="20"/>
                <w:color w:val="auto"/>
              </w:rPr>
            </w:pPr>
            <w:r>
              <w:rPr>
                <w:rFonts w:ascii="Arial" w:cs="Arial" w:eastAsia="Arial" w:hAnsi="Arial"/>
                <w:sz w:val="14"/>
                <w:szCs w:val="14"/>
                <w:color w:val="auto"/>
              </w:rPr>
              <w:t>EYLEA</w:t>
            </w:r>
            <w:r>
              <w:rPr>
                <w:rFonts w:ascii="Arial" w:cs="Arial" w:eastAsia="Arial" w:hAnsi="Arial"/>
                <w:sz w:val="9"/>
                <w:szCs w:val="9"/>
                <w:color w:val="auto"/>
              </w:rPr>
              <w:t>TM</w:t>
            </w:r>
          </w:p>
        </w:tc>
        <w:tc>
          <w:tcPr>
            <w:tcW w:w="4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28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ZALTRAP</w:t>
            </w:r>
            <w:r>
              <w:rPr>
                <w:rFonts w:ascii="Arial" w:cs="Arial" w:eastAsia="Arial" w:hAnsi="Arial"/>
                <w:sz w:val="10"/>
                <w:szCs w:val="10"/>
                <w:color w:val="auto"/>
              </w:rPr>
              <w:t>®</w:t>
            </w:r>
          </w:p>
        </w:tc>
        <w:tc>
          <w:tcPr>
            <w:tcW w:w="46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7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0C0C0"/>
          </w:tcPr>
          <w:p>
            <w:pPr>
              <w:spacing w:after="0"/>
              <w:rPr>
                <w:sz w:val="18"/>
                <w:szCs w:val="18"/>
                <w:color w:val="auto"/>
              </w:rPr>
            </w:pPr>
          </w:p>
        </w:tc>
        <w:tc>
          <w:tcPr>
            <w:tcW w:w="68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0C0C0"/>
          </w:tcPr>
          <w:p>
            <w:pPr>
              <w:spacing w:after="0"/>
              <w:rPr>
                <w:sz w:val="18"/>
                <w:szCs w:val="18"/>
                <w:color w:val="auto"/>
              </w:rPr>
            </w:pPr>
          </w:p>
        </w:tc>
        <w:tc>
          <w:tcPr>
            <w:tcW w:w="8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280" w:type="dxa"/>
            <w:vAlign w:val="bottom"/>
            <w:gridSpan w:val="2"/>
          </w:tcPr>
          <w:p>
            <w:pPr>
              <w:spacing w:after="0"/>
              <w:rPr>
                <w:sz w:val="20"/>
                <w:szCs w:val="20"/>
                <w:color w:val="auto"/>
              </w:rPr>
            </w:pPr>
            <w:r>
              <w:rPr>
                <w:rFonts w:ascii="Arial" w:cs="Arial" w:eastAsia="Arial" w:hAnsi="Arial"/>
                <w:sz w:val="14"/>
                <w:szCs w:val="14"/>
                <w:color w:val="auto"/>
              </w:rPr>
              <w:t>Sarilumab</w:t>
            </w:r>
          </w:p>
        </w:tc>
        <w:tc>
          <w:tcPr>
            <w:tcW w:w="4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REGN727</w:t>
            </w:r>
          </w:p>
        </w:tc>
        <w:tc>
          <w:tcPr>
            <w:tcW w:w="464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0C0C0"/>
          </w:tcPr>
          <w:p>
            <w:pPr>
              <w:spacing w:after="0"/>
              <w:rPr>
                <w:sz w:val="17"/>
                <w:szCs w:val="17"/>
                <w:color w:val="auto"/>
              </w:rPr>
            </w:pPr>
          </w:p>
        </w:tc>
        <w:tc>
          <w:tcPr>
            <w:tcW w:w="8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280" w:type="dxa"/>
            <w:vAlign w:val="bottom"/>
            <w:gridSpan w:val="2"/>
          </w:tcPr>
          <w:p>
            <w:pPr>
              <w:spacing w:after="0"/>
              <w:rPr>
                <w:sz w:val="20"/>
                <w:szCs w:val="20"/>
                <w:color w:val="auto"/>
              </w:rPr>
            </w:pPr>
            <w:r>
              <w:rPr>
                <w:rFonts w:ascii="Arial" w:cs="Arial" w:eastAsia="Arial" w:hAnsi="Arial"/>
                <w:sz w:val="14"/>
                <w:szCs w:val="14"/>
                <w:color w:val="auto"/>
              </w:rPr>
              <w:t>Other antibody candidates in clinical development</w:t>
            </w:r>
          </w:p>
        </w:tc>
        <w:tc>
          <w:tcPr>
            <w:tcW w:w="4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Other research programs &amp; unallocated costs</w:t>
            </w:r>
          </w:p>
        </w:tc>
        <w:tc>
          <w:tcPr>
            <w:tcW w:w="4640" w:type="dxa"/>
            <w:vAlign w:val="bottom"/>
            <w:shd w:val="clear" w:color="auto" w:fill="C0C0C0"/>
          </w:tcPr>
          <w:p>
            <w:pPr>
              <w:spacing w:after="0"/>
              <w:rPr>
                <w:sz w:val="17"/>
                <w:szCs w:val="17"/>
                <w:color w:val="auto"/>
              </w:rPr>
            </w:pPr>
          </w:p>
        </w:tc>
        <w:tc>
          <w:tcPr>
            <w:tcW w:w="120" w:type="dxa"/>
            <w:vAlign w:val="bottom"/>
            <w:tcBorders>
              <w:bottom w:val="single" w:sz="8" w:color="auto"/>
            </w:tcBorders>
            <w:shd w:val="clear" w:color="auto" w:fill="C0C0C0"/>
          </w:tcPr>
          <w:p>
            <w:pPr>
              <w:spacing w:after="0"/>
              <w:rPr>
                <w:sz w:val="17"/>
                <w:szCs w:val="17"/>
                <w:color w:val="auto"/>
              </w:rPr>
            </w:pP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48.1</w:t>
            </w:r>
          </w:p>
        </w:tc>
        <w:tc>
          <w:tcPr>
            <w:tcW w:w="220" w:type="dxa"/>
            <w:vAlign w:val="bottom"/>
            <w:shd w:val="clear" w:color="auto" w:fill="C0C0C0"/>
          </w:tcPr>
          <w:p>
            <w:pPr>
              <w:spacing w:after="0"/>
              <w:rPr>
                <w:sz w:val="17"/>
                <w:szCs w:val="17"/>
                <w:color w:val="auto"/>
              </w:rPr>
            </w:pPr>
          </w:p>
        </w:tc>
        <w:tc>
          <w:tcPr>
            <w:tcW w:w="120" w:type="dxa"/>
            <w:vAlign w:val="bottom"/>
            <w:tcBorders>
              <w:bottom w:val="single" w:sz="8" w:color="auto"/>
            </w:tcBorders>
            <w:shd w:val="clear" w:color="auto" w:fill="C0C0C0"/>
          </w:tcPr>
          <w:p>
            <w:pPr>
              <w:spacing w:after="0"/>
              <w:rPr>
                <w:sz w:val="17"/>
                <w:szCs w:val="17"/>
                <w:color w:val="auto"/>
              </w:rPr>
            </w:pP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45.1</w:t>
            </w:r>
          </w:p>
        </w:tc>
        <w:tc>
          <w:tcPr>
            <w:tcW w:w="200" w:type="dxa"/>
            <w:vAlign w:val="bottom"/>
            <w:shd w:val="clear" w:color="auto" w:fill="C0C0C0"/>
          </w:tcPr>
          <w:p>
            <w:pPr>
              <w:spacing w:after="0"/>
              <w:rPr>
                <w:sz w:val="17"/>
                <w:szCs w:val="17"/>
                <w:color w:val="auto"/>
              </w:rPr>
            </w:pPr>
          </w:p>
        </w:tc>
        <w:tc>
          <w:tcPr>
            <w:tcW w:w="120" w:type="dxa"/>
            <w:vAlign w:val="bottom"/>
            <w:tcBorders>
              <w:bottom w:val="single" w:sz="8" w:color="auto"/>
            </w:tcBorders>
            <w:shd w:val="clear" w:color="auto" w:fill="C0C0C0"/>
          </w:tcPr>
          <w:p>
            <w:pPr>
              <w:spacing w:after="0"/>
              <w:rPr>
                <w:sz w:val="17"/>
                <w:szCs w:val="17"/>
                <w:color w:val="auto"/>
              </w:rPr>
            </w:pPr>
          </w:p>
        </w:tc>
        <w:tc>
          <w:tcPr>
            <w:tcW w:w="800" w:type="dxa"/>
            <w:vAlign w:val="bottom"/>
            <w:tcBorders>
              <w:bottom w:val="single" w:sz="8" w:color="auto"/>
            </w:tcBorders>
            <w:shd w:val="clear" w:color="auto" w:fill="C0C0C0"/>
          </w:tcPr>
          <w:p>
            <w:pPr>
              <w:jc w:val="right"/>
              <w:ind w:right="29"/>
              <w:spacing w:after="0"/>
              <w:rPr>
                <w:sz w:val="20"/>
                <w:szCs w:val="20"/>
                <w:color w:val="auto"/>
              </w:rPr>
            </w:pPr>
            <w:r>
              <w:rPr>
                <w:rFonts w:ascii="Arial" w:cs="Arial" w:eastAsia="Arial" w:hAnsi="Arial"/>
                <w:sz w:val="14"/>
                <w:szCs w:val="14"/>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280" w:type="dxa"/>
            <w:vAlign w:val="bottom"/>
            <w:gridSpan w:val="2"/>
          </w:tcPr>
          <w:p>
            <w:pPr>
              <w:ind w:left="260"/>
              <w:spacing w:after="0"/>
              <w:rPr>
                <w:sz w:val="20"/>
                <w:szCs w:val="20"/>
                <w:color w:val="auto"/>
              </w:rPr>
            </w:pPr>
            <w:r>
              <w:rPr>
                <w:rFonts w:ascii="Arial" w:cs="Arial" w:eastAsia="Arial" w:hAnsi="Arial"/>
                <w:sz w:val="14"/>
                <w:szCs w:val="14"/>
                <w:color w:val="auto"/>
              </w:rPr>
              <w:t>Total research and development expenses</w:t>
            </w:r>
          </w:p>
        </w:tc>
        <w:tc>
          <w:tcPr>
            <w:tcW w:w="4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127.9</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122.0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1"/>
        </w:trPr>
        <w:tc>
          <w:tcPr>
            <w:tcW w:w="8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640" w:type="dxa"/>
            <w:vAlign w:val="bottom"/>
          </w:tcPr>
          <w:p>
            <w:pPr>
              <w:jc w:val="right"/>
              <w:ind w:right="3049"/>
              <w:spacing w:after="0"/>
              <w:rPr>
                <w:sz w:val="20"/>
                <w:szCs w:val="20"/>
                <w:color w:val="auto"/>
              </w:rPr>
            </w:pPr>
            <w:r>
              <w:rPr>
                <w:rFonts w:ascii="Arial" w:cs="Arial" w:eastAsia="Arial" w:hAnsi="Arial"/>
                <w:sz w:val="14"/>
                <w:szCs w:val="14"/>
                <w:color w:val="auto"/>
              </w:rPr>
              <w:t>35</w:t>
            </w: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820" w:type="dxa"/>
            <w:vAlign w:val="bottom"/>
            <w:tcBorders>
              <w:bottom w:val="single" w:sz="8" w:color="808080"/>
            </w:tcBorders>
          </w:tcPr>
          <w:p>
            <w:pPr>
              <w:spacing w:after="0"/>
              <w:rPr>
                <w:sz w:val="24"/>
                <w:szCs w:val="24"/>
                <w:color w:val="auto"/>
              </w:rPr>
            </w:pPr>
          </w:p>
        </w:tc>
        <w:tc>
          <w:tcPr>
            <w:tcW w:w="3460" w:type="dxa"/>
            <w:vAlign w:val="bottom"/>
            <w:tcBorders>
              <w:bottom w:val="single" w:sz="8" w:color="808080"/>
            </w:tcBorders>
          </w:tcPr>
          <w:p>
            <w:pPr>
              <w:spacing w:after="0"/>
              <w:rPr>
                <w:sz w:val="24"/>
                <w:szCs w:val="24"/>
                <w:color w:val="auto"/>
              </w:rPr>
            </w:pPr>
          </w:p>
        </w:tc>
        <w:tc>
          <w:tcPr>
            <w:tcW w:w="4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-12700</wp:posOffset>
            </wp:positionV>
            <wp:extent cx="1270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80"/>
          </w:cols>
          <w:pgMar w:left="220" w:top="527" w:right="199" w:bottom="1440" w:gutter="0" w:footer="0" w:header="0"/>
        </w:sectPr>
      </w:pPr>
    </w:p>
    <w:bookmarkStart w:id="35" w:name="page36"/>
    <w:bookmarkEnd w:id="35"/>
    <w:p>
      <w:pPr>
        <w:jc w:val="both"/>
        <w:ind w:firstLine="230"/>
        <w:spacing w:after="0" w:line="306" w:lineRule="auto"/>
        <w:rPr>
          <w:sz w:val="20"/>
          <w:szCs w:val="20"/>
          <w:color w:val="auto"/>
        </w:rPr>
      </w:pPr>
      <w:r>
        <w:rPr>
          <w:rFonts w:ascii="Arial" w:cs="Arial" w:eastAsia="Arial" w:hAnsi="Arial"/>
          <w:sz w:val="12"/>
          <w:szCs w:val="12"/>
          <w:color w:val="auto"/>
        </w:rPr>
        <w:t>Drug development and approval in the U.S.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 For example, we, and our collaborators where applicable, continue to explore further development of ARCALYST</w:t>
      </w:r>
      <w:r>
        <w:rPr>
          <w:rFonts w:ascii="Arial" w:cs="Arial" w:eastAsia="Arial" w:hAnsi="Arial"/>
          <w:sz w:val="16"/>
          <w:szCs w:val="16"/>
          <w:color w:val="auto"/>
          <w:vertAlign w:val="superscript"/>
        </w:rPr>
        <w:t>®</w:t>
      </w:r>
      <w:r>
        <w:rPr>
          <w:rFonts w:ascii="Arial" w:cs="Arial" w:eastAsia="Arial" w:hAnsi="Arial"/>
          <w:sz w:val="12"/>
          <w:szCs w:val="12"/>
          <w:color w:val="auto"/>
        </w:rPr>
        <w:t>, ZALTRAP</w:t>
      </w:r>
      <w:r>
        <w:rPr>
          <w:rFonts w:ascii="Arial" w:cs="Arial" w:eastAsia="Arial" w:hAnsi="Arial"/>
          <w:sz w:val="17"/>
          <w:szCs w:val="17"/>
          <w:color w:val="auto"/>
          <w:vertAlign w:val="superscript"/>
        </w:rPr>
        <w:t>®</w:t>
      </w:r>
      <w:r>
        <w:rPr>
          <w:rFonts w:ascii="Arial" w:cs="Arial" w:eastAsia="Arial" w:hAnsi="Arial"/>
          <w:sz w:val="12"/>
          <w:szCs w:val="12"/>
          <w:color w:val="auto"/>
        </w:rPr>
        <w:t>, and EYLEA</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in different disease indications.</w:t>
      </w:r>
    </w:p>
    <w:p>
      <w:pPr>
        <w:spacing w:after="0" w:line="83" w:lineRule="exact"/>
        <w:rPr>
          <w:sz w:val="20"/>
          <w:szCs w:val="20"/>
          <w:color w:val="auto"/>
        </w:rPr>
      </w:pPr>
    </w:p>
    <w:p>
      <w:pPr>
        <w:jc w:val="both"/>
        <w:ind w:firstLine="252"/>
        <w:spacing w:after="0" w:line="269" w:lineRule="auto"/>
        <w:rPr>
          <w:sz w:val="20"/>
          <w:szCs w:val="20"/>
          <w:color w:val="auto"/>
        </w:rPr>
      </w:pPr>
      <w:r>
        <w:rPr>
          <w:rFonts w:ascii="Arial" w:cs="Arial" w:eastAsia="Arial" w:hAnsi="Arial"/>
          <w:sz w:val="14"/>
          <w:szCs w:val="14"/>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under “Risks Related to the Development and Approval of Our Product Candidates,” “Risks Related to Commercialization of Products,” and “Regulatory and Litigation Risks.”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195"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4"/>
          <w:szCs w:val="14"/>
          <w:color w:val="auto"/>
        </w:rPr>
        <w:t>For these reasons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will generate material product revenues and net cash inflows. In 2008, we received FDA approval for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treatment of CAPS, a group of rare, inherited auto-inflammatory diseases that affect a very small group of people. We currently do not expect to generate material product revenues and net cash inflows from the sale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treatment of CAPS.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Selling, General, and Administrative Expenses</w:t>
      </w:r>
    </w:p>
    <w:p>
      <w:pPr>
        <w:spacing w:after="0" w:line="234" w:lineRule="exact"/>
        <w:rPr>
          <w:sz w:val="20"/>
          <w:szCs w:val="20"/>
          <w:color w:val="auto"/>
        </w:rPr>
      </w:pPr>
    </w:p>
    <w:p>
      <w:pPr>
        <w:jc w:val="both"/>
        <w:ind w:firstLine="274"/>
        <w:spacing w:after="0" w:line="244" w:lineRule="auto"/>
        <w:rPr>
          <w:sz w:val="20"/>
          <w:szCs w:val="20"/>
          <w:color w:val="auto"/>
        </w:rPr>
      </w:pPr>
      <w:r>
        <w:rPr>
          <w:rFonts w:ascii="Arial" w:cs="Arial" w:eastAsia="Arial" w:hAnsi="Arial"/>
          <w:sz w:val="14"/>
          <w:szCs w:val="14"/>
          <w:color w:val="auto"/>
        </w:rPr>
        <w:t>Selling, general, and administrative expenses increased to $32.9 million in the third quarter of 2011 from $15.7 million in the same period of 2010 due primarily to increases in compensation expense and recruitment costs principally in connection with higher headcount in the third quarter of 2011, higher commercialization-related costs, primarily in connection with preparing to commercialize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wet AMD, higher legal expenses in connection with patent-related litigation with Genentech, and an increase in Non-cash Compensation Expense for the reasons previously described above.</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Cost of Goods Sold</w:t>
      </w:r>
    </w:p>
    <w:p>
      <w:pPr>
        <w:spacing w:after="0" w:line="232" w:lineRule="exact"/>
        <w:rPr>
          <w:sz w:val="20"/>
          <w:szCs w:val="20"/>
          <w:color w:val="auto"/>
        </w:rPr>
      </w:pPr>
    </w:p>
    <w:p>
      <w:pPr>
        <w:jc w:val="both"/>
        <w:ind w:firstLine="285"/>
        <w:spacing w:after="0" w:line="226" w:lineRule="auto"/>
        <w:rPr>
          <w:sz w:val="20"/>
          <w:szCs w:val="20"/>
          <w:color w:val="auto"/>
        </w:rPr>
      </w:pPr>
      <w:r>
        <w:rPr>
          <w:rFonts w:ascii="Arial" w:cs="Arial" w:eastAsia="Arial" w:hAnsi="Arial"/>
          <w:sz w:val="14"/>
          <w:szCs w:val="14"/>
          <w:color w:val="auto"/>
        </w:rPr>
        <w:t>Cost of goods sold in the third quarter of 2011 and 2010 was $0.5 million and $0.4 million, respectively, and consisted primarily of royalties and other period costs related to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commercial supplies.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and Expense</w:t>
      </w: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Investment income increased to $0.7 million in the third quarter of 2011 from $0.5 million in the same period of 2010, due primarily to higher average balances of cash and marketable securities.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36" w:name="page37"/>
    <w:bookmarkEnd w:id="36"/>
    <w:p>
      <w:pPr>
        <w:jc w:val="both"/>
        <w:ind w:firstLine="263"/>
        <w:spacing w:after="0" w:line="276" w:lineRule="auto"/>
        <w:rPr>
          <w:sz w:val="20"/>
          <w:szCs w:val="20"/>
          <w:color w:val="auto"/>
        </w:rPr>
      </w:pPr>
      <w:r>
        <w:rPr>
          <w:rFonts w:ascii="Arial" w:cs="Arial" w:eastAsia="Arial" w:hAnsi="Arial"/>
          <w:sz w:val="14"/>
          <w:szCs w:val="14"/>
          <w:color w:val="auto"/>
        </w:rPr>
        <w:t>Interest expense increased to $4.1 million in the third quarter of 2011 from $2.2 million in the same period of 2010. Interest expense is primarily attributable to the imputed interest portion of payments to our landlord, commencing in the third quarter of 2009, to lease newly constructed laboratory and office facilities in Tarrytown, New York. In February 2011, we began occupying an additional new building in Tarrytown and, therefore, began recognizing interest expense on the related payments to our landlord.</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Nine Months Ended September 30, 2011 and 2010</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Loss</w:t>
      </w:r>
    </w:p>
    <w:p>
      <w:pPr>
        <w:spacing w:after="0" w:line="234" w:lineRule="exact"/>
        <w:rPr>
          <w:sz w:val="20"/>
          <w:szCs w:val="20"/>
          <w:color w:val="auto"/>
        </w:rPr>
      </w:pPr>
    </w:p>
    <w:p>
      <w:pPr>
        <w:jc w:val="both"/>
        <w:ind w:firstLine="263"/>
        <w:spacing w:after="0" w:line="276" w:lineRule="auto"/>
        <w:rPr>
          <w:sz w:val="20"/>
          <w:szCs w:val="20"/>
          <w:color w:val="auto"/>
        </w:rPr>
      </w:pPr>
      <w:r>
        <w:rPr>
          <w:rFonts w:ascii="Arial" w:cs="Arial" w:eastAsia="Arial" w:hAnsi="Arial"/>
          <w:sz w:val="14"/>
          <w:szCs w:val="14"/>
          <w:color w:val="auto"/>
        </w:rPr>
        <w:t>Regeneron reported a net loss of $168.3 million, or $1.87 per share (basic and diluted), for the first nine months of 2011, compared to a net loss of $89.9 million, or $1.10 per share (basic and diluted) for the first nine months of 2010. The increase in our net loss in 2011 was principally due to higher research and development expenses and higher selling, general, and administrative expenses.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60" w:type="dxa"/>
            <w:vAlign w:val="bottom"/>
          </w:tcPr>
          <w:p>
            <w:pPr>
              <w:spacing w:after="0"/>
              <w:rPr>
                <w:sz w:val="20"/>
                <w:szCs w:val="20"/>
                <w:color w:val="auto"/>
              </w:rPr>
            </w:pPr>
            <w:r>
              <w:rPr>
                <w:rFonts w:ascii="Arial" w:cs="Arial" w:eastAsia="Arial" w:hAnsi="Arial"/>
                <w:sz w:val="14"/>
                <w:szCs w:val="14"/>
                <w:b w:val="1"/>
                <w:bCs w:val="1"/>
                <w:i w:val="1"/>
                <w:iCs w:val="1"/>
                <w:color w:val="auto"/>
              </w:rPr>
              <w:t>Revenues</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395"/>
        </w:trPr>
        <w:tc>
          <w:tcPr>
            <w:tcW w:w="10060" w:type="dxa"/>
            <w:vAlign w:val="bottom"/>
          </w:tcPr>
          <w:p>
            <w:pPr>
              <w:ind w:left="220"/>
              <w:spacing w:after="0"/>
              <w:rPr>
                <w:sz w:val="20"/>
                <w:szCs w:val="20"/>
                <w:color w:val="auto"/>
              </w:rPr>
            </w:pPr>
            <w:r>
              <w:rPr>
                <w:rFonts w:ascii="Arial" w:cs="Arial" w:eastAsia="Arial" w:hAnsi="Arial"/>
                <w:sz w:val="14"/>
                <w:szCs w:val="14"/>
                <w:color w:val="auto"/>
              </w:rPr>
              <w:t>Revenues for the nine months ended September 30, 2011 and 2010 consist of the following:</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90"/>
        </w:trPr>
        <w:tc>
          <w:tcPr>
            <w:tcW w:w="10060" w:type="dxa"/>
            <w:vAlign w:val="bottom"/>
            <w:tcBorders>
              <w:bottom w:val="single" w:sz="8" w:color="C0C0C0"/>
            </w:tcBorders>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6"/>
              </w:rPr>
              <w:t>2011</w:t>
            </w:r>
          </w:p>
        </w:tc>
        <w:tc>
          <w:tcPr>
            <w:tcW w:w="220" w:type="dxa"/>
            <w:vAlign w:val="bottom"/>
            <w:tcBorders>
              <w:bottom w:val="single" w:sz="8" w:color="C0C0C0"/>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96"/>
              </w:rPr>
              <w:t>2010</w:t>
            </w:r>
          </w:p>
        </w:tc>
      </w:tr>
      <w:tr>
        <w:trPr>
          <w:trHeight w:val="195"/>
        </w:trPr>
        <w:tc>
          <w:tcPr>
            <w:tcW w:w="10060" w:type="dxa"/>
            <w:vAlign w:val="bottom"/>
            <w:shd w:val="clear" w:color="auto" w:fill="C0C0C0"/>
          </w:tcPr>
          <w:p>
            <w:pPr>
              <w:spacing w:after="0"/>
              <w:rPr>
                <w:sz w:val="20"/>
                <w:szCs w:val="20"/>
                <w:color w:val="auto"/>
              </w:rPr>
            </w:pPr>
            <w:r>
              <w:rPr>
                <w:rFonts w:ascii="Arial" w:cs="Arial" w:eastAsia="Arial" w:hAnsi="Arial"/>
                <w:sz w:val="14"/>
                <w:szCs w:val="14"/>
                <w:color w:val="auto"/>
              </w:rPr>
              <w:t>Collaboration revenue</w:t>
            </w:r>
          </w:p>
        </w:tc>
        <w:tc>
          <w:tcPr>
            <w:tcW w:w="120" w:type="dxa"/>
            <w:vAlign w:val="bottom"/>
            <w:shd w:val="clear" w:color="auto" w:fill="C0C0C0"/>
          </w:tcPr>
          <w:p>
            <w:pPr>
              <w:spacing w:after="0"/>
              <w:rPr>
                <w:sz w:val="16"/>
                <w:szCs w:val="16"/>
                <w:color w:val="auto"/>
              </w:rPr>
            </w:pPr>
          </w:p>
        </w:tc>
        <w:tc>
          <w:tcPr>
            <w:tcW w:w="46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480" w:type="dxa"/>
            <w:vAlign w:val="bottom"/>
            <w:shd w:val="clear" w:color="auto" w:fill="C0C0C0"/>
          </w:tcPr>
          <w:p>
            <w:pPr>
              <w:spacing w:after="0"/>
              <w:rPr>
                <w:sz w:val="16"/>
                <w:szCs w:val="16"/>
                <w:color w:val="auto"/>
              </w:rPr>
            </w:pPr>
          </w:p>
        </w:tc>
      </w:tr>
      <w:tr>
        <w:trPr>
          <w:trHeight w:val="191"/>
        </w:trPr>
        <w:tc>
          <w:tcPr>
            <w:tcW w:w="10060" w:type="dxa"/>
            <w:vAlign w:val="bottom"/>
          </w:tcPr>
          <w:p>
            <w:pPr>
              <w:ind w:left="260"/>
              <w:spacing w:after="0"/>
              <w:rPr>
                <w:sz w:val="20"/>
                <w:szCs w:val="20"/>
                <w:color w:val="auto"/>
              </w:rPr>
            </w:pPr>
            <w:r>
              <w:rPr>
                <w:rFonts w:ascii="Arial" w:cs="Arial" w:eastAsia="Arial" w:hAnsi="Arial"/>
                <w:sz w:val="14"/>
                <w:szCs w:val="14"/>
                <w:color w:val="auto"/>
              </w:rPr>
              <w:t>Sanofi</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249.6</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229.2</w:t>
            </w:r>
          </w:p>
        </w:tc>
      </w:tr>
      <w:tr>
        <w:trPr>
          <w:trHeight w:val="204"/>
        </w:trPr>
        <w:tc>
          <w:tcPr>
            <w:tcW w:w="10060" w:type="dxa"/>
            <w:vAlign w:val="bottom"/>
            <w:shd w:val="clear" w:color="auto" w:fill="C0C0C0"/>
          </w:tcPr>
          <w:p>
            <w:pPr>
              <w:ind w:left="260"/>
              <w:spacing w:after="0"/>
              <w:rPr>
                <w:sz w:val="20"/>
                <w:szCs w:val="20"/>
                <w:color w:val="auto"/>
              </w:rPr>
            </w:pPr>
            <w:r>
              <w:rPr>
                <w:rFonts w:ascii="Arial" w:cs="Arial" w:eastAsia="Arial" w:hAnsi="Arial"/>
                <w:sz w:val="14"/>
                <w:szCs w:val="14"/>
                <w:color w:val="auto"/>
              </w:rPr>
              <w:t>Bayer HealthCare</w:t>
            </w:r>
          </w:p>
        </w:tc>
        <w:tc>
          <w:tcPr>
            <w:tcW w:w="120" w:type="dxa"/>
            <w:vAlign w:val="bottom"/>
            <w:tcBorders>
              <w:bottom w:val="single" w:sz="8" w:color="auto"/>
            </w:tcBorders>
            <w:shd w:val="clear" w:color="auto" w:fill="C0C0C0"/>
          </w:tcPr>
          <w:p>
            <w:pPr>
              <w:spacing w:after="0"/>
              <w:rPr>
                <w:sz w:val="17"/>
                <w:szCs w:val="17"/>
                <w:color w:val="auto"/>
              </w:rPr>
            </w:pPr>
          </w:p>
        </w:tc>
        <w:tc>
          <w:tcPr>
            <w:tcW w:w="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33.7</w:t>
            </w:r>
          </w:p>
        </w:tc>
        <w:tc>
          <w:tcPr>
            <w:tcW w:w="220" w:type="dxa"/>
            <w:vAlign w:val="bottom"/>
            <w:shd w:val="clear" w:color="auto" w:fill="C0C0C0"/>
          </w:tcPr>
          <w:p>
            <w:pPr>
              <w:spacing w:after="0"/>
              <w:rPr>
                <w:sz w:val="17"/>
                <w:szCs w:val="17"/>
                <w:color w:val="auto"/>
              </w:rPr>
            </w:pPr>
          </w:p>
        </w:tc>
        <w:tc>
          <w:tcPr>
            <w:tcW w:w="120" w:type="dxa"/>
            <w:vAlign w:val="bottom"/>
            <w:tcBorders>
              <w:bottom w:val="single" w:sz="8" w:color="auto"/>
            </w:tcBorders>
            <w:shd w:val="clear" w:color="auto" w:fill="C0C0C0"/>
          </w:tcPr>
          <w:p>
            <w:pPr>
              <w:spacing w:after="0"/>
              <w:rPr>
                <w:sz w:val="17"/>
                <w:szCs w:val="17"/>
                <w:color w:val="auto"/>
              </w:rPr>
            </w:pP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40.5</w:t>
            </w:r>
          </w:p>
        </w:tc>
      </w:tr>
      <w:tr>
        <w:trPr>
          <w:trHeight w:val="182"/>
        </w:trPr>
        <w:tc>
          <w:tcPr>
            <w:tcW w:w="10060" w:type="dxa"/>
            <w:vAlign w:val="bottom"/>
          </w:tcPr>
          <w:p>
            <w:pPr>
              <w:ind w:left="500"/>
              <w:spacing w:after="0"/>
              <w:rPr>
                <w:sz w:val="20"/>
                <w:szCs w:val="20"/>
                <w:color w:val="auto"/>
              </w:rPr>
            </w:pPr>
            <w:r>
              <w:rPr>
                <w:rFonts w:ascii="Arial" w:cs="Arial" w:eastAsia="Arial" w:hAnsi="Arial"/>
                <w:sz w:val="14"/>
                <w:szCs w:val="14"/>
                <w:color w:val="auto"/>
              </w:rPr>
              <w:t>Total collaboration revenue</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283.3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269.7</w:t>
            </w:r>
          </w:p>
        </w:tc>
      </w:tr>
      <w:tr>
        <w:trPr>
          <w:trHeight w:val="204"/>
        </w:trPr>
        <w:tc>
          <w:tcPr>
            <w:tcW w:w="10060" w:type="dxa"/>
            <w:vAlign w:val="bottom"/>
            <w:shd w:val="clear" w:color="auto" w:fill="C0C0C0"/>
          </w:tcPr>
          <w:p>
            <w:pPr>
              <w:spacing w:after="0"/>
              <w:rPr>
                <w:sz w:val="20"/>
                <w:szCs w:val="20"/>
                <w:color w:val="auto"/>
              </w:rPr>
            </w:pPr>
            <w:r>
              <w:rPr>
                <w:rFonts w:ascii="Arial" w:cs="Arial" w:eastAsia="Arial" w:hAnsi="Arial"/>
                <w:sz w:val="14"/>
                <w:szCs w:val="14"/>
                <w:color w:val="auto"/>
              </w:rPr>
              <w:t>Technology licensing revenue</w:t>
            </w:r>
          </w:p>
        </w:tc>
        <w:tc>
          <w:tcPr>
            <w:tcW w:w="120" w:type="dxa"/>
            <w:vAlign w:val="bottom"/>
            <w:shd w:val="clear" w:color="auto" w:fill="C0C0C0"/>
          </w:tcPr>
          <w:p>
            <w:pPr>
              <w:spacing w:after="0"/>
              <w:rPr>
                <w:sz w:val="17"/>
                <w:szCs w:val="17"/>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18.9</w:t>
            </w: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30.1</w:t>
            </w:r>
          </w:p>
        </w:tc>
      </w:tr>
      <w:tr>
        <w:trPr>
          <w:trHeight w:val="191"/>
        </w:trPr>
        <w:tc>
          <w:tcPr>
            <w:tcW w:w="10060" w:type="dxa"/>
            <w:vAlign w:val="bottom"/>
          </w:tcPr>
          <w:p>
            <w:pPr>
              <w:spacing w:after="0"/>
              <w:rPr>
                <w:sz w:val="20"/>
                <w:szCs w:val="20"/>
                <w:color w:val="auto"/>
              </w:rPr>
            </w:pPr>
            <w:r>
              <w:rPr>
                <w:rFonts w:ascii="Arial" w:cs="Arial" w:eastAsia="Arial" w:hAnsi="Arial"/>
                <w:sz w:val="14"/>
                <w:szCs w:val="14"/>
                <w:color w:val="auto"/>
              </w:rPr>
              <w:t>Net product sales</w:t>
            </w: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197"/>
        </w:trPr>
        <w:tc>
          <w:tcPr>
            <w:tcW w:w="10060" w:type="dxa"/>
            <w:vAlign w:val="bottom"/>
            <w:shd w:val="clear" w:color="auto" w:fill="C0C0C0"/>
          </w:tcPr>
          <w:p>
            <w:pPr>
              <w:spacing w:after="0"/>
              <w:rPr>
                <w:sz w:val="20"/>
                <w:szCs w:val="20"/>
                <w:color w:val="auto"/>
              </w:rPr>
            </w:pPr>
            <w:r>
              <w:rPr>
                <w:rFonts w:ascii="Arial" w:cs="Arial" w:eastAsia="Arial" w:hAnsi="Arial"/>
                <w:sz w:val="14"/>
                <w:szCs w:val="14"/>
                <w:color w:val="auto"/>
              </w:rPr>
              <w:t>Contract research and other revenue</w:t>
            </w:r>
          </w:p>
        </w:tc>
        <w:tc>
          <w:tcPr>
            <w:tcW w:w="120" w:type="dxa"/>
            <w:vAlign w:val="bottom"/>
            <w:tcBorders>
              <w:bottom w:val="single" w:sz="8" w:color="auto"/>
            </w:tcBorders>
            <w:shd w:val="clear" w:color="auto" w:fill="C0C0C0"/>
          </w:tcPr>
          <w:p>
            <w:pPr>
              <w:spacing w:after="0"/>
              <w:rPr>
                <w:sz w:val="17"/>
                <w:szCs w:val="17"/>
                <w:color w:val="auto"/>
              </w:rPr>
            </w:pPr>
          </w:p>
        </w:tc>
        <w:tc>
          <w:tcPr>
            <w:tcW w:w="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5.7</w:t>
            </w:r>
          </w:p>
        </w:tc>
        <w:tc>
          <w:tcPr>
            <w:tcW w:w="220" w:type="dxa"/>
            <w:vAlign w:val="bottom"/>
            <w:shd w:val="clear" w:color="auto" w:fill="C0C0C0"/>
          </w:tcPr>
          <w:p>
            <w:pPr>
              <w:spacing w:after="0"/>
              <w:rPr>
                <w:sz w:val="17"/>
                <w:szCs w:val="17"/>
                <w:color w:val="auto"/>
              </w:rPr>
            </w:pPr>
          </w:p>
        </w:tc>
        <w:tc>
          <w:tcPr>
            <w:tcW w:w="120" w:type="dxa"/>
            <w:vAlign w:val="bottom"/>
            <w:tcBorders>
              <w:bottom w:val="single" w:sz="8" w:color="auto"/>
            </w:tcBorders>
            <w:shd w:val="clear" w:color="auto" w:fill="C0C0C0"/>
          </w:tcPr>
          <w:p>
            <w:pPr>
              <w:spacing w:after="0"/>
              <w:rPr>
                <w:sz w:val="17"/>
                <w:szCs w:val="17"/>
                <w:color w:val="auto"/>
              </w:rPr>
            </w:pP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5.6</w:t>
            </w:r>
          </w:p>
        </w:tc>
      </w:tr>
      <w:tr>
        <w:trPr>
          <w:trHeight w:val="197"/>
        </w:trPr>
        <w:tc>
          <w:tcPr>
            <w:tcW w:w="10060" w:type="dxa"/>
            <w:vAlign w:val="bottom"/>
          </w:tcPr>
          <w:p>
            <w:pPr>
              <w:ind w:left="500"/>
              <w:spacing w:after="0"/>
              <w:rPr>
                <w:sz w:val="20"/>
                <w:szCs w:val="20"/>
                <w:color w:val="auto"/>
              </w:rPr>
            </w:pPr>
            <w:r>
              <w:rPr>
                <w:rFonts w:ascii="Arial" w:cs="Arial" w:eastAsia="Arial" w:hAnsi="Arial"/>
                <w:sz w:val="14"/>
                <w:szCs w:val="14"/>
                <w:color w:val="auto"/>
              </w:rPr>
              <w:t>Total revenue</w:t>
            </w: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322.8</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325.4</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Sanofi Collaboration Revenue</w:t>
      </w:r>
    </w:p>
    <w:p>
      <w:pPr>
        <w:spacing w:after="0" w:line="234" w:lineRule="exact"/>
        <w:rPr>
          <w:sz w:val="20"/>
          <w:szCs w:val="20"/>
          <w:color w:val="auto"/>
        </w:rPr>
      </w:pPr>
    </w:p>
    <w:p>
      <w:pPr>
        <w:jc w:val="both"/>
        <w:ind w:firstLine="285"/>
        <w:spacing w:after="0" w:line="288" w:lineRule="auto"/>
        <w:rPr>
          <w:sz w:val="20"/>
          <w:szCs w:val="20"/>
          <w:color w:val="auto"/>
        </w:rPr>
      </w:pPr>
      <w:r>
        <w:rPr>
          <w:rFonts w:ascii="Arial" w:cs="Arial" w:eastAsia="Arial" w:hAnsi="Arial"/>
          <w:sz w:val="14"/>
          <w:szCs w:val="14"/>
          <w:color w:val="auto"/>
        </w:rPr>
        <w:t>The collaboration revenue we earned from Sanofi, as detailed below, consisted primarily of reimbursement for research and development expenses and recognition of revenue related to non-refundable up-front payments of $105.0 million related to the ZALTRAP</w:t>
      </w:r>
      <w:r>
        <w:rPr>
          <w:rFonts w:ascii="Arial" w:cs="Arial" w:eastAsia="Arial" w:hAnsi="Arial"/>
          <w:sz w:val="20"/>
          <w:szCs w:val="20"/>
          <w:color w:val="auto"/>
          <w:vertAlign w:val="superscript"/>
        </w:rPr>
        <w:t>®</w:t>
      </w:r>
      <w:r>
        <w:rPr>
          <w:rFonts w:ascii="Arial" w:cs="Arial" w:eastAsia="Arial" w:hAnsi="Arial"/>
          <w:sz w:val="14"/>
          <w:szCs w:val="14"/>
          <w:color w:val="auto"/>
        </w:rPr>
        <w:t xml:space="preserve"> collaboration and $85.0 million related to the antibody collaboration.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4"/>
          </w:tcPr>
          <w:p>
            <w:pPr>
              <w:jc w:val="right"/>
              <w:ind w:right="109"/>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66"/>
        </w:trPr>
        <w:tc>
          <w:tcPr>
            <w:tcW w:w="1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Sanofi Collaboration Revenue</w:t>
            </w:r>
          </w:p>
        </w:tc>
        <w:tc>
          <w:tcPr>
            <w:tcW w:w="50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4"/>
          </w:tcPr>
          <w:p>
            <w:pPr>
              <w:jc w:val="right"/>
              <w:ind w:right="24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4"/>
        </w:trPr>
        <w:tc>
          <w:tcPr>
            <w:tcW w:w="68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860" w:type="dxa"/>
            <w:vAlign w:val="bottom"/>
            <w:tcBorders>
              <w:bottom w:val="single" w:sz="8" w:color="C0C0C0"/>
            </w:tcBorders>
            <w:gridSpan w:val="2"/>
            <w:vMerge w:val="continue"/>
          </w:tcPr>
          <w:p>
            <w:pPr>
              <w:spacing w:after="0"/>
              <w:rPr>
                <w:sz w:val="15"/>
                <w:szCs w:val="15"/>
                <w:color w:val="auto"/>
              </w:rPr>
            </w:pPr>
          </w:p>
        </w:tc>
        <w:tc>
          <w:tcPr>
            <w:tcW w:w="3080" w:type="dxa"/>
            <w:vAlign w:val="bottom"/>
            <w:tcBorders>
              <w:bottom w:val="single" w:sz="8" w:color="C0C0C0"/>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0C0C0"/>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96"/>
              </w:rPr>
              <w:t>2010</w:t>
            </w:r>
          </w:p>
        </w:tc>
        <w:tc>
          <w:tcPr>
            <w:tcW w:w="0" w:type="dxa"/>
            <w:vAlign w:val="bottom"/>
          </w:tcPr>
          <w:p>
            <w:pPr>
              <w:spacing w:after="0"/>
              <w:rPr>
                <w:sz w:val="1"/>
                <w:szCs w:val="1"/>
                <w:color w:val="auto"/>
              </w:rPr>
            </w:pPr>
          </w:p>
        </w:tc>
      </w:tr>
      <w:tr>
        <w:trPr>
          <w:trHeight w:val="175"/>
        </w:trPr>
        <w:tc>
          <w:tcPr>
            <w:tcW w:w="686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4"/>
                <w:szCs w:val="14"/>
                <w:color w:val="auto"/>
              </w:rPr>
              <w:t>ZALTRAP</w:t>
            </w:r>
            <w:r>
              <w:rPr>
                <w:rFonts w:ascii="Arial" w:cs="Arial" w:eastAsia="Arial" w:hAnsi="Arial"/>
                <w:sz w:val="10"/>
                <w:szCs w:val="10"/>
                <w:color w:val="auto"/>
              </w:rPr>
              <w:t>®</w:t>
            </w:r>
            <w:r>
              <w:rPr>
                <w:rFonts w:ascii="Arial" w:cs="Arial" w:eastAsia="Arial" w:hAnsi="Arial"/>
                <w:sz w:val="14"/>
                <w:szCs w:val="14"/>
                <w:color w:val="auto"/>
              </w:rPr>
              <w:t>:</w:t>
            </w:r>
          </w:p>
        </w:tc>
        <w:tc>
          <w:tcPr>
            <w:tcW w:w="3080" w:type="dxa"/>
            <w:vAlign w:val="bottom"/>
            <w:tcBorders>
              <w:bottom w:val="single" w:sz="8" w:color="C0C0C0"/>
            </w:tcBorders>
            <w:shd w:val="clear" w:color="auto" w:fill="C0C0C0"/>
          </w:tcPr>
          <w:p>
            <w:pPr>
              <w:spacing w:after="0"/>
              <w:rPr>
                <w:sz w:val="15"/>
                <w:szCs w:val="15"/>
                <w:color w:val="auto"/>
              </w:rPr>
            </w:pPr>
          </w:p>
        </w:tc>
        <w:tc>
          <w:tcPr>
            <w:tcW w:w="120" w:type="dxa"/>
            <w:vAlign w:val="bottom"/>
            <w:tcBorders>
              <w:bottom w:val="single" w:sz="8" w:color="C0C0C0"/>
            </w:tcBorders>
            <w:shd w:val="clear" w:color="auto" w:fill="C0C0C0"/>
          </w:tcPr>
          <w:p>
            <w:pPr>
              <w:spacing w:after="0"/>
              <w:rPr>
                <w:sz w:val="15"/>
                <w:szCs w:val="15"/>
                <w:color w:val="auto"/>
              </w:rPr>
            </w:pPr>
          </w:p>
        </w:tc>
        <w:tc>
          <w:tcPr>
            <w:tcW w:w="580" w:type="dxa"/>
            <w:vAlign w:val="bottom"/>
            <w:tcBorders>
              <w:bottom w:val="single" w:sz="8" w:color="C0C0C0"/>
            </w:tcBorders>
            <w:shd w:val="clear" w:color="auto" w:fill="C0C0C0"/>
          </w:tcPr>
          <w:p>
            <w:pPr>
              <w:spacing w:after="0"/>
              <w:rPr>
                <w:sz w:val="15"/>
                <w:szCs w:val="15"/>
                <w:color w:val="auto"/>
              </w:rPr>
            </w:pPr>
          </w:p>
        </w:tc>
        <w:tc>
          <w:tcPr>
            <w:tcW w:w="220" w:type="dxa"/>
            <w:vAlign w:val="bottom"/>
            <w:tcBorders>
              <w:bottom w:val="single" w:sz="8" w:color="C0C0C0"/>
            </w:tcBorders>
            <w:shd w:val="clear" w:color="auto" w:fill="C0C0C0"/>
          </w:tcPr>
          <w:p>
            <w:pPr>
              <w:spacing w:after="0"/>
              <w:rPr>
                <w:sz w:val="15"/>
                <w:szCs w:val="15"/>
                <w:color w:val="auto"/>
              </w:rPr>
            </w:pPr>
          </w:p>
        </w:tc>
        <w:tc>
          <w:tcPr>
            <w:tcW w:w="120" w:type="dxa"/>
            <w:vAlign w:val="bottom"/>
            <w:tcBorders>
              <w:bottom w:val="single" w:sz="8" w:color="C0C0C0"/>
            </w:tcBorders>
            <w:shd w:val="clear" w:color="auto" w:fill="C0C0C0"/>
          </w:tcPr>
          <w:p>
            <w:pPr>
              <w:spacing w:after="0"/>
              <w:rPr>
                <w:sz w:val="15"/>
                <w:szCs w:val="15"/>
                <w:color w:val="auto"/>
              </w:rPr>
            </w:pPr>
          </w:p>
        </w:tc>
        <w:tc>
          <w:tcPr>
            <w:tcW w:w="480" w:type="dxa"/>
            <w:vAlign w:val="bottom"/>
            <w:tcBorders>
              <w:bottom w:val="single" w:sz="8" w:color="C0C0C0"/>
            </w:tcBorders>
            <w:shd w:val="clear" w:color="auto" w:fill="C0C0C0"/>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860" w:type="dxa"/>
            <w:vAlign w:val="bottom"/>
            <w:gridSpan w:val="2"/>
          </w:tcPr>
          <w:p>
            <w:pPr>
              <w:ind w:left="260"/>
              <w:spacing w:after="0"/>
              <w:rPr>
                <w:sz w:val="20"/>
                <w:szCs w:val="20"/>
                <w:color w:val="auto"/>
              </w:rPr>
            </w:pPr>
            <w:r>
              <w:rPr>
                <w:rFonts w:ascii="Arial" w:cs="Arial" w:eastAsia="Arial" w:hAnsi="Arial"/>
                <w:sz w:val="14"/>
                <w:szCs w:val="14"/>
                <w:color w:val="auto"/>
              </w:rPr>
              <w:t>Regeneron expense reimbursement</w:t>
            </w:r>
          </w:p>
        </w:tc>
        <w:tc>
          <w:tcPr>
            <w:tcW w:w="3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14.4</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15"/>
        </w:trPr>
        <w:tc>
          <w:tcPr>
            <w:tcW w:w="6860" w:type="dxa"/>
            <w:vAlign w:val="bottom"/>
            <w:gridSpan w:val="2"/>
            <w:shd w:val="clear" w:color="auto" w:fill="C0C0C0"/>
          </w:tcPr>
          <w:p>
            <w:pPr>
              <w:ind w:left="260"/>
              <w:spacing w:after="0"/>
              <w:rPr>
                <w:sz w:val="20"/>
                <w:szCs w:val="20"/>
                <w:color w:val="auto"/>
              </w:rPr>
            </w:pPr>
            <w:r>
              <w:rPr>
                <w:rFonts w:ascii="Arial" w:cs="Arial" w:eastAsia="Arial" w:hAnsi="Arial"/>
                <w:sz w:val="14"/>
                <w:szCs w:val="14"/>
                <w:color w:val="auto"/>
              </w:rPr>
              <w:t>Regeneron share of ZALTRAP</w:t>
            </w:r>
            <w:r>
              <w:rPr>
                <w:rFonts w:ascii="Arial" w:cs="Arial" w:eastAsia="Arial" w:hAnsi="Arial"/>
                <w:sz w:val="10"/>
                <w:szCs w:val="10"/>
                <w:color w:val="auto"/>
              </w:rPr>
              <w:t>®</w:t>
            </w:r>
            <w:r>
              <w:rPr>
                <w:rFonts w:ascii="Arial" w:cs="Arial" w:eastAsia="Arial" w:hAnsi="Arial"/>
                <w:sz w:val="14"/>
                <w:szCs w:val="14"/>
                <w:color w:val="auto"/>
              </w:rPr>
              <w:t xml:space="preserve"> commercialization expenses</w:t>
            </w:r>
          </w:p>
        </w:tc>
        <w:tc>
          <w:tcPr>
            <w:tcW w:w="308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(4.0)</w:t>
            </w:r>
          </w:p>
        </w:tc>
        <w:tc>
          <w:tcPr>
            <w:tcW w:w="2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48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860" w:type="dxa"/>
            <w:vAlign w:val="bottom"/>
            <w:tcBorders>
              <w:bottom w:val="single" w:sz="8" w:color="C0C0C0"/>
            </w:tcBorders>
            <w:gridSpan w:val="2"/>
          </w:tcPr>
          <w:p>
            <w:pPr>
              <w:ind w:left="260"/>
              <w:spacing w:after="0"/>
              <w:rPr>
                <w:sz w:val="20"/>
                <w:szCs w:val="20"/>
                <w:color w:val="auto"/>
              </w:rPr>
            </w:pPr>
            <w:r>
              <w:rPr>
                <w:rFonts w:ascii="Arial" w:cs="Arial" w:eastAsia="Arial" w:hAnsi="Arial"/>
                <w:sz w:val="14"/>
                <w:szCs w:val="14"/>
                <w:color w:val="auto"/>
              </w:rPr>
              <w:t>Recognition of deferred revenue related to up-front payments</w:t>
            </w:r>
          </w:p>
        </w:tc>
        <w:tc>
          <w:tcPr>
            <w:tcW w:w="3080" w:type="dxa"/>
            <w:vAlign w:val="bottom"/>
            <w:tcBorders>
              <w:bottom w:val="single" w:sz="8" w:color="C0C0C0"/>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7.4</w:t>
            </w:r>
          </w:p>
        </w:tc>
        <w:tc>
          <w:tcPr>
            <w:tcW w:w="220" w:type="dxa"/>
            <w:vAlign w:val="bottom"/>
            <w:tcBorders>
              <w:bottom w:val="single" w:sz="8" w:color="C0C0C0"/>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95"/>
        </w:trPr>
        <w:tc>
          <w:tcPr>
            <w:tcW w:w="6860" w:type="dxa"/>
            <w:vAlign w:val="bottom"/>
            <w:gridSpan w:val="2"/>
            <w:shd w:val="clear" w:color="auto" w:fill="C0C0C0"/>
          </w:tcPr>
          <w:p>
            <w:pPr>
              <w:ind w:left="500"/>
              <w:spacing w:after="0"/>
              <w:rPr>
                <w:sz w:val="20"/>
                <w:szCs w:val="20"/>
                <w:color w:val="auto"/>
              </w:rPr>
            </w:pPr>
            <w:r>
              <w:rPr>
                <w:rFonts w:ascii="Arial" w:cs="Arial" w:eastAsia="Arial" w:hAnsi="Arial"/>
                <w:sz w:val="14"/>
                <w:szCs w:val="14"/>
                <w:color w:val="auto"/>
              </w:rPr>
              <w:t>Total ZALTRAP</w:t>
            </w:r>
            <w:r>
              <w:rPr>
                <w:rFonts w:ascii="Arial" w:cs="Arial" w:eastAsia="Arial" w:hAnsi="Arial"/>
                <w:sz w:val="10"/>
                <w:szCs w:val="10"/>
                <w:color w:val="auto"/>
              </w:rPr>
              <w:t>®</w:t>
            </w:r>
          </w:p>
        </w:tc>
        <w:tc>
          <w:tcPr>
            <w:tcW w:w="3080" w:type="dxa"/>
            <w:vAlign w:val="bottom"/>
            <w:shd w:val="clear" w:color="auto" w:fill="C0C0C0"/>
          </w:tcPr>
          <w:p>
            <w:pPr>
              <w:spacing w:after="0"/>
              <w:rPr>
                <w:sz w:val="16"/>
                <w:szCs w:val="16"/>
                <w:color w:val="auto"/>
              </w:rPr>
            </w:pPr>
          </w:p>
        </w:tc>
        <w:tc>
          <w:tcPr>
            <w:tcW w:w="120" w:type="dxa"/>
            <w:vAlign w:val="bottom"/>
            <w:tcBorders>
              <w:bottom w:val="single" w:sz="8" w:color="auto"/>
            </w:tcBorders>
            <w:shd w:val="clear" w:color="auto" w:fill="C0C0C0"/>
          </w:tcPr>
          <w:p>
            <w:pPr>
              <w:spacing w:after="0"/>
              <w:rPr>
                <w:sz w:val="16"/>
                <w:szCs w:val="16"/>
                <w:color w:val="auto"/>
              </w:rPr>
            </w:pPr>
          </w:p>
        </w:tc>
        <w:tc>
          <w:tcPr>
            <w:tcW w:w="580" w:type="dxa"/>
            <w:vAlign w:val="bottom"/>
            <w:tcBorders>
              <w:bottom w:val="single" w:sz="8" w:color="auto"/>
            </w:tcBorders>
            <w:shd w:val="clear" w:color="auto" w:fill="C0C0C0"/>
          </w:tcPr>
          <w:p>
            <w:pPr>
              <w:jc w:val="right"/>
              <w:ind w:right="29"/>
              <w:spacing w:after="0"/>
              <w:rPr>
                <w:sz w:val="20"/>
                <w:szCs w:val="20"/>
                <w:color w:val="auto"/>
              </w:rPr>
            </w:pPr>
            <w:r>
              <w:rPr>
                <w:rFonts w:ascii="Arial" w:cs="Arial" w:eastAsia="Arial" w:hAnsi="Arial"/>
                <w:sz w:val="14"/>
                <w:szCs w:val="14"/>
                <w:color w:val="auto"/>
              </w:rPr>
              <w:t>17.8</w:t>
            </w:r>
          </w:p>
        </w:tc>
        <w:tc>
          <w:tcPr>
            <w:tcW w:w="220" w:type="dxa"/>
            <w:vAlign w:val="bottom"/>
            <w:shd w:val="clear" w:color="auto" w:fill="C0C0C0"/>
          </w:tcPr>
          <w:p>
            <w:pPr>
              <w:spacing w:after="0"/>
              <w:rPr>
                <w:sz w:val="16"/>
                <w:szCs w:val="16"/>
                <w:color w:val="auto"/>
              </w:rPr>
            </w:pPr>
          </w:p>
        </w:tc>
        <w:tc>
          <w:tcPr>
            <w:tcW w:w="120" w:type="dxa"/>
            <w:vAlign w:val="bottom"/>
            <w:tcBorders>
              <w:bottom w:val="single" w:sz="8" w:color="auto"/>
            </w:tcBorders>
            <w:shd w:val="clear" w:color="auto" w:fill="C0C0C0"/>
          </w:tcPr>
          <w:p>
            <w:pPr>
              <w:spacing w:after="0"/>
              <w:rPr>
                <w:sz w:val="16"/>
                <w:szCs w:val="16"/>
                <w:color w:val="auto"/>
              </w:rPr>
            </w:pP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82"/>
        </w:trPr>
        <w:tc>
          <w:tcPr>
            <w:tcW w:w="6860" w:type="dxa"/>
            <w:vAlign w:val="bottom"/>
            <w:gridSpan w:val="2"/>
          </w:tcPr>
          <w:p>
            <w:pPr>
              <w:spacing w:after="0"/>
              <w:rPr>
                <w:sz w:val="20"/>
                <w:szCs w:val="20"/>
                <w:color w:val="auto"/>
              </w:rPr>
            </w:pPr>
            <w:r>
              <w:rPr>
                <w:rFonts w:ascii="Arial" w:cs="Arial" w:eastAsia="Arial" w:hAnsi="Arial"/>
                <w:sz w:val="14"/>
                <w:szCs w:val="14"/>
                <w:color w:val="auto"/>
              </w:rPr>
              <w:t>Antibody:</w:t>
            </w:r>
          </w:p>
        </w:tc>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60" w:type="dxa"/>
            <w:vAlign w:val="bottom"/>
            <w:gridSpan w:val="2"/>
            <w:shd w:val="clear" w:color="auto" w:fill="C0C0C0"/>
          </w:tcPr>
          <w:p>
            <w:pPr>
              <w:ind w:left="260"/>
              <w:spacing w:after="0"/>
              <w:rPr>
                <w:sz w:val="20"/>
                <w:szCs w:val="20"/>
                <w:color w:val="auto"/>
              </w:rPr>
            </w:pPr>
            <w:r>
              <w:rPr>
                <w:rFonts w:ascii="Arial" w:cs="Arial" w:eastAsia="Arial" w:hAnsi="Arial"/>
                <w:sz w:val="14"/>
                <w:szCs w:val="14"/>
                <w:color w:val="auto"/>
              </w:rPr>
              <w:t>Regeneron expense reimbursement</w:t>
            </w:r>
          </w:p>
        </w:tc>
        <w:tc>
          <w:tcPr>
            <w:tcW w:w="308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58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224.5</w:t>
            </w: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185"/>
        </w:trPr>
        <w:tc>
          <w:tcPr>
            <w:tcW w:w="6860" w:type="dxa"/>
            <w:vAlign w:val="bottom"/>
            <w:gridSpan w:val="2"/>
          </w:tcPr>
          <w:p>
            <w:pPr>
              <w:ind w:left="260"/>
              <w:spacing w:after="0"/>
              <w:rPr>
                <w:sz w:val="20"/>
                <w:szCs w:val="20"/>
                <w:color w:val="auto"/>
              </w:rPr>
            </w:pPr>
            <w:r>
              <w:rPr>
                <w:rFonts w:ascii="Arial" w:cs="Arial" w:eastAsia="Arial" w:hAnsi="Arial"/>
                <w:sz w:val="14"/>
                <w:szCs w:val="14"/>
                <w:color w:val="auto"/>
              </w:rPr>
              <w:t>Recognition of deferred revenue related to up-front and other</w:t>
            </w:r>
          </w:p>
        </w:tc>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860" w:type="dxa"/>
            <w:vAlign w:val="bottom"/>
            <w:gridSpan w:val="2"/>
          </w:tcPr>
          <w:p>
            <w:pPr>
              <w:ind w:left="500"/>
              <w:spacing w:after="0"/>
              <w:rPr>
                <w:sz w:val="20"/>
                <w:szCs w:val="20"/>
                <w:color w:val="auto"/>
              </w:rPr>
            </w:pPr>
            <w:r>
              <w:rPr>
                <w:rFonts w:ascii="Arial" w:cs="Arial" w:eastAsia="Arial" w:hAnsi="Arial"/>
                <w:sz w:val="14"/>
                <w:szCs w:val="14"/>
                <w:color w:val="auto"/>
              </w:rPr>
              <w:t>payments</w:t>
            </w:r>
          </w:p>
        </w:tc>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6.1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15"/>
        </w:trPr>
        <w:tc>
          <w:tcPr>
            <w:tcW w:w="6860" w:type="dxa"/>
            <w:vAlign w:val="bottom"/>
            <w:gridSpan w:val="2"/>
            <w:shd w:val="clear" w:color="auto" w:fill="C0C0C0"/>
          </w:tcPr>
          <w:p>
            <w:pPr>
              <w:ind w:left="260"/>
              <w:spacing w:after="0"/>
              <w:rPr>
                <w:sz w:val="20"/>
                <w:szCs w:val="20"/>
                <w:color w:val="auto"/>
              </w:rPr>
            </w:pPr>
            <w:r>
              <w:rPr>
                <w:rFonts w:ascii="Arial" w:cs="Arial" w:eastAsia="Arial" w:hAnsi="Arial"/>
                <w:sz w:val="14"/>
                <w:szCs w:val="14"/>
                <w:color w:val="auto"/>
              </w:rPr>
              <w:t xml:space="preserve">Recognition of revenue related to </w:t>
            </w:r>
            <w:r>
              <w:rPr>
                <w:rFonts w:ascii="Arial" w:cs="Arial" w:eastAsia="Arial" w:hAnsi="Arial"/>
                <w:sz w:val="14"/>
                <w:szCs w:val="14"/>
                <w:i w:val="1"/>
                <w:iCs w:val="1"/>
                <w:color w:val="auto"/>
              </w:rPr>
              <w:t>VelociGene</w:t>
            </w:r>
            <w:r>
              <w:rPr>
                <w:rFonts w:ascii="Arial" w:cs="Arial" w:eastAsia="Arial" w:hAnsi="Arial"/>
                <w:sz w:val="9"/>
                <w:szCs w:val="9"/>
                <w:color w:val="auto"/>
              </w:rPr>
              <w:t>®</w:t>
            </w:r>
            <w:r>
              <w:rPr>
                <w:rFonts w:ascii="Arial" w:cs="Arial" w:eastAsia="Arial" w:hAnsi="Arial"/>
                <w:sz w:val="14"/>
                <w:szCs w:val="14"/>
                <w:color w:val="auto"/>
              </w:rPr>
              <w:t xml:space="preserve"> agreement</w:t>
            </w:r>
          </w:p>
        </w:tc>
        <w:tc>
          <w:tcPr>
            <w:tcW w:w="3080" w:type="dxa"/>
            <w:vAlign w:val="bottom"/>
            <w:shd w:val="clear" w:color="auto" w:fill="C0C0C0"/>
          </w:tcPr>
          <w:p>
            <w:pPr>
              <w:spacing w:after="0"/>
              <w:rPr>
                <w:sz w:val="18"/>
                <w:szCs w:val="18"/>
                <w:color w:val="auto"/>
              </w:rPr>
            </w:pPr>
          </w:p>
        </w:tc>
        <w:tc>
          <w:tcPr>
            <w:tcW w:w="120" w:type="dxa"/>
            <w:vAlign w:val="bottom"/>
            <w:tcBorders>
              <w:bottom w:val="single" w:sz="8" w:color="auto"/>
            </w:tcBorders>
            <w:shd w:val="clear" w:color="auto" w:fill="C0C0C0"/>
          </w:tcPr>
          <w:p>
            <w:pPr>
              <w:spacing w:after="0"/>
              <w:rPr>
                <w:sz w:val="18"/>
                <w:szCs w:val="18"/>
                <w:color w:val="auto"/>
              </w:rPr>
            </w:pPr>
          </w:p>
        </w:tc>
        <w:tc>
          <w:tcPr>
            <w:tcW w:w="580" w:type="dxa"/>
            <w:vAlign w:val="bottom"/>
            <w:tcBorders>
              <w:bottom w:val="single" w:sz="8" w:color="auto"/>
            </w:tcBorders>
            <w:shd w:val="clear" w:color="auto" w:fill="C0C0C0"/>
          </w:tcPr>
          <w:p>
            <w:pPr>
              <w:jc w:val="right"/>
              <w:ind w:right="29"/>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0C0C0"/>
          </w:tcPr>
          <w:p>
            <w:pPr>
              <w:spacing w:after="0"/>
              <w:rPr>
                <w:sz w:val="18"/>
                <w:szCs w:val="18"/>
                <w:color w:val="auto"/>
              </w:rPr>
            </w:pPr>
          </w:p>
        </w:tc>
        <w:tc>
          <w:tcPr>
            <w:tcW w:w="120" w:type="dxa"/>
            <w:vAlign w:val="bottom"/>
            <w:tcBorders>
              <w:bottom w:val="single" w:sz="8" w:color="auto"/>
            </w:tcBorders>
            <w:shd w:val="clear" w:color="auto" w:fill="C0C0C0"/>
          </w:tcPr>
          <w:p>
            <w:pPr>
              <w:spacing w:after="0"/>
              <w:rPr>
                <w:sz w:val="18"/>
                <w:szCs w:val="18"/>
                <w:color w:val="auto"/>
              </w:rPr>
            </w:pP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2"/>
        </w:trPr>
        <w:tc>
          <w:tcPr>
            <w:tcW w:w="6860" w:type="dxa"/>
            <w:vAlign w:val="bottom"/>
            <w:tcBorders>
              <w:bottom w:val="single" w:sz="8" w:color="C0C0C0"/>
            </w:tcBorders>
            <w:gridSpan w:val="2"/>
          </w:tcPr>
          <w:p>
            <w:pPr>
              <w:ind w:left="500"/>
              <w:spacing w:after="0"/>
              <w:rPr>
                <w:sz w:val="20"/>
                <w:szCs w:val="20"/>
                <w:color w:val="auto"/>
              </w:rPr>
            </w:pPr>
            <w:r>
              <w:rPr>
                <w:rFonts w:ascii="Arial" w:cs="Arial" w:eastAsia="Arial" w:hAnsi="Arial"/>
                <w:sz w:val="14"/>
                <w:szCs w:val="14"/>
                <w:color w:val="auto"/>
              </w:rPr>
              <w:t>Total antibody</w:t>
            </w:r>
          </w:p>
        </w:tc>
        <w:tc>
          <w:tcPr>
            <w:tcW w:w="3080" w:type="dxa"/>
            <w:vAlign w:val="bottom"/>
            <w:tcBorders>
              <w:bottom w:val="single" w:sz="8" w:color="C0C0C0"/>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231.8</w:t>
            </w:r>
          </w:p>
        </w:tc>
        <w:tc>
          <w:tcPr>
            <w:tcW w:w="220" w:type="dxa"/>
            <w:vAlign w:val="bottom"/>
            <w:tcBorders>
              <w:bottom w:val="single" w:sz="8" w:color="C0C0C0"/>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209.2</w:t>
            </w:r>
          </w:p>
        </w:tc>
        <w:tc>
          <w:tcPr>
            <w:tcW w:w="0" w:type="dxa"/>
            <w:vAlign w:val="bottom"/>
          </w:tcPr>
          <w:p>
            <w:pPr>
              <w:spacing w:after="0"/>
              <w:rPr>
                <w:sz w:val="1"/>
                <w:szCs w:val="1"/>
                <w:color w:val="auto"/>
              </w:rPr>
            </w:pPr>
          </w:p>
        </w:tc>
      </w:tr>
      <w:tr>
        <w:trPr>
          <w:trHeight w:val="197"/>
        </w:trPr>
        <w:tc>
          <w:tcPr>
            <w:tcW w:w="686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4"/>
                <w:szCs w:val="14"/>
                <w:color w:val="auto"/>
              </w:rPr>
              <w:t>Total Sanofi collaboration revenue</w:t>
            </w:r>
          </w:p>
        </w:tc>
        <w:tc>
          <w:tcPr>
            <w:tcW w:w="3080" w:type="dxa"/>
            <w:vAlign w:val="bottom"/>
            <w:tcBorders>
              <w:bottom w:val="single" w:sz="8" w:color="C0C0C0"/>
            </w:tcBorders>
            <w:shd w:val="clear" w:color="auto" w:fill="C0C0C0"/>
          </w:tcPr>
          <w:p>
            <w:pPr>
              <w:spacing w:after="0"/>
              <w:rPr>
                <w:sz w:val="17"/>
                <w:szCs w:val="17"/>
                <w:color w:val="auto"/>
              </w:rPr>
            </w:pP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0C0C0"/>
          </w:tcPr>
          <w:p>
            <w:pPr>
              <w:jc w:val="right"/>
              <w:ind w:right="29"/>
              <w:spacing w:after="0"/>
              <w:rPr>
                <w:sz w:val="20"/>
                <w:szCs w:val="20"/>
                <w:color w:val="auto"/>
              </w:rPr>
            </w:pPr>
            <w:r>
              <w:rPr>
                <w:rFonts w:ascii="Arial" w:cs="Arial" w:eastAsia="Arial" w:hAnsi="Arial"/>
                <w:sz w:val="14"/>
                <w:szCs w:val="14"/>
                <w:color w:val="auto"/>
              </w:rPr>
              <w:t>249.6</w:t>
            </w:r>
          </w:p>
        </w:tc>
        <w:tc>
          <w:tcPr>
            <w:tcW w:w="220" w:type="dxa"/>
            <w:vAlign w:val="bottom"/>
            <w:tcBorders>
              <w:bottom w:val="single" w:sz="8" w:color="C0C0C0"/>
            </w:tcBorders>
            <w:shd w:val="clear" w:color="auto" w:fill="C0C0C0"/>
          </w:tcPr>
          <w:p>
            <w:pPr>
              <w:spacing w:after="0"/>
              <w:rPr>
                <w:sz w:val="17"/>
                <w:szCs w:val="17"/>
                <w:color w:val="auto"/>
              </w:rPr>
            </w:pP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229.2</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285"/>
        <w:spacing w:after="0" w:line="228" w:lineRule="auto"/>
        <w:rPr>
          <w:sz w:val="20"/>
          <w:szCs w:val="20"/>
          <w:color w:val="auto"/>
        </w:rPr>
      </w:pPr>
      <w:r>
        <w:rPr>
          <w:rFonts w:ascii="Arial" w:cs="Arial" w:eastAsia="Arial" w:hAnsi="Arial"/>
          <w:sz w:val="13"/>
          <w:szCs w:val="13"/>
          <w:color w:val="auto"/>
        </w:rPr>
        <w:t>Sanofi’s reimbursement of our ZALTRAP</w:t>
      </w:r>
      <w:r>
        <w:rPr>
          <w:rFonts w:ascii="Arial" w:cs="Arial" w:eastAsia="Arial" w:hAnsi="Arial"/>
          <w:sz w:val="18"/>
          <w:szCs w:val="18"/>
          <w:color w:val="auto"/>
          <w:vertAlign w:val="superscript"/>
        </w:rPr>
        <w:t>®</w:t>
      </w:r>
      <w:r>
        <w:rPr>
          <w:rFonts w:ascii="Arial" w:cs="Arial" w:eastAsia="Arial" w:hAnsi="Arial"/>
          <w:sz w:val="13"/>
          <w:szCs w:val="13"/>
          <w:color w:val="auto"/>
        </w:rPr>
        <w:t xml:space="preserve"> expenses increased in the first nine months of 2011 compared to the same period in 2010, primarily due to higher costs related to manufacturing ZALTRAP</w:t>
      </w:r>
      <w:r>
        <w:rPr>
          <w:rFonts w:ascii="Arial" w:cs="Arial" w:eastAsia="Arial" w:hAnsi="Arial"/>
          <w:sz w:val="18"/>
          <w:szCs w:val="18"/>
          <w:color w:val="auto"/>
          <w:vertAlign w:val="superscript"/>
        </w:rPr>
        <w:t>®</w:t>
      </w:r>
      <w:r>
        <w:rPr>
          <w:rFonts w:ascii="Arial" w:cs="Arial" w:eastAsia="Arial" w:hAnsi="Arial"/>
          <w:sz w:val="13"/>
          <w:szCs w:val="13"/>
          <w:color w:val="auto"/>
        </w:rPr>
        <w:t xml:space="preserve"> clinical supplies. Effective in the second quarter of 2011, we and Sanofi began equally sharing pre-launch commercialization expenses related to ZALTRAP</w:t>
      </w:r>
      <w:r>
        <w:rPr>
          <w:rFonts w:ascii="Arial" w:cs="Arial" w:eastAsia="Arial" w:hAnsi="Arial"/>
          <w:sz w:val="18"/>
          <w:szCs w:val="18"/>
          <w:color w:val="auto"/>
          <w:vertAlign w:val="superscript"/>
        </w:rPr>
        <w:t>®</w:t>
      </w:r>
      <w:r>
        <w:rPr>
          <w:rFonts w:ascii="Arial" w:cs="Arial" w:eastAsia="Arial" w:hAnsi="Arial"/>
          <w:sz w:val="13"/>
          <w:szCs w:val="13"/>
          <w:color w:val="auto"/>
        </w:rPr>
        <w:t xml:space="preserve"> in accordance with the companies’ collaboration agreement. Our share of these expenses was $4.0 million in the first nine months of 2011, which reduced our Sanofi collaboration revenue.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37" w:name="page38"/>
    <w:bookmarkEnd w:id="37"/>
    <w:p>
      <w:pPr>
        <w:jc w:val="both"/>
        <w:ind w:firstLine="241"/>
        <w:spacing w:after="0" w:line="269" w:lineRule="auto"/>
        <w:rPr>
          <w:sz w:val="20"/>
          <w:szCs w:val="20"/>
          <w:color w:val="auto"/>
        </w:rPr>
      </w:pPr>
      <w:r>
        <w:rPr>
          <w:rFonts w:ascii="Arial" w:cs="Arial" w:eastAsia="Arial" w:hAnsi="Arial"/>
          <w:sz w:val="14"/>
          <w:szCs w:val="14"/>
          <w:color w:val="auto"/>
        </w:rPr>
        <w:t>In the first nine months of 2011, Sanofi’s reimbursement of our antibody expenses consisted of $122.6 million under the discovery agreement and $101.9 million of development costs under the license agreement, compared to $100.3 million and $102.4 million, respectively, in the first nine months of 2010. The higher reimbursement amount under the discovery agreement in the first nine months of 2011, compared to the same period in 2010, was primarily due to an increase in our antibody discovery activities. The slightly lower reimbursement of development costs in the first nine months of 2011, compared to the same period in 2010, was primarily due to a decrease in development activities related to REGN475, which is currently on clinical hold, offset by increases in development activities for other antibody candidates.</w:t>
      </w:r>
    </w:p>
    <w:p>
      <w:pPr>
        <w:spacing w:after="0" w:line="195" w:lineRule="exact"/>
        <w:rPr>
          <w:sz w:val="20"/>
          <w:szCs w:val="20"/>
          <w:color w:val="auto"/>
        </w:rPr>
      </w:pPr>
    </w:p>
    <w:p>
      <w:pPr>
        <w:jc w:val="both"/>
        <w:ind w:firstLine="296"/>
        <w:spacing w:after="0" w:line="271" w:lineRule="auto"/>
        <w:rPr>
          <w:sz w:val="20"/>
          <w:szCs w:val="20"/>
          <w:color w:val="auto"/>
        </w:rPr>
      </w:pPr>
      <w:r>
        <w:rPr>
          <w:rFonts w:ascii="Arial" w:cs="Arial" w:eastAsia="Arial" w:hAnsi="Arial"/>
          <w:sz w:val="14"/>
          <w:szCs w:val="14"/>
          <w:color w:val="auto"/>
        </w:rPr>
        <w:t>Recognition of deferred revenue related to Sanofi’s $85.0 million up-front payment and other payments increased in the first nine months of 2011 compared to the same period in 2010. In connection with the November 2009 amendment of the discovery agreement, Sanofi is funding up to $30 million of agreed-upon costs to expand our manufacturing capacity at our Rensselaer, New York facilities, of which $26.4 million was received or receivable as of September 30, 2011. Revenue related to such funding from Sanofi is deferred and recognized as collaboration revenue prospectively over the performance period applicable to recognition of the original $85.0 million up-front payment.</w:t>
      </w:r>
    </w:p>
    <w:p>
      <w:pPr>
        <w:spacing w:after="0" w:line="191" w:lineRule="exact"/>
        <w:rPr>
          <w:sz w:val="20"/>
          <w:szCs w:val="20"/>
          <w:color w:val="auto"/>
        </w:rPr>
      </w:pPr>
    </w:p>
    <w:p>
      <w:pPr>
        <w:jc w:val="both"/>
        <w:ind w:firstLine="219"/>
        <w:spacing w:after="0" w:line="227" w:lineRule="auto"/>
        <w:rPr>
          <w:sz w:val="20"/>
          <w:szCs w:val="20"/>
          <w:color w:val="auto"/>
        </w:rPr>
      </w:pPr>
      <w:r>
        <w:rPr>
          <w:rFonts w:ascii="Arial" w:cs="Arial" w:eastAsia="Arial" w:hAnsi="Arial"/>
          <w:sz w:val="14"/>
          <w:szCs w:val="14"/>
          <w:color w:val="auto"/>
        </w:rPr>
        <w:t xml:space="preserve">In August 2008, we entered into a separate </w:t>
      </w:r>
      <w:r>
        <w:rPr>
          <w:rFonts w:ascii="Arial" w:cs="Arial" w:eastAsia="Arial" w:hAnsi="Arial"/>
          <w:sz w:val="14"/>
          <w:szCs w:val="14"/>
          <w:i w:val="1"/>
          <w:iCs w:val="1"/>
          <w:color w:val="auto"/>
        </w:rPr>
        <w:t>VelociGene</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agreement with Sanofi. For both nine month periods ended September 30, 2011 and 2010, we recognized $1.2 million in revenue related to this agreement.</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Bayer HealthCare Collaboration Revenue</w:t>
      </w:r>
    </w:p>
    <w:p>
      <w:pPr>
        <w:spacing w:after="0" w:line="232" w:lineRule="exact"/>
        <w:rPr>
          <w:sz w:val="20"/>
          <w:szCs w:val="20"/>
          <w:color w:val="auto"/>
        </w:rPr>
      </w:pPr>
    </w:p>
    <w:p>
      <w:pPr>
        <w:jc w:val="both"/>
        <w:ind w:firstLine="274"/>
        <w:spacing w:after="0" w:line="237" w:lineRule="auto"/>
        <w:rPr>
          <w:sz w:val="20"/>
          <w:szCs w:val="20"/>
          <w:color w:val="auto"/>
        </w:rPr>
      </w:pPr>
      <w:r>
        <w:rPr>
          <w:rFonts w:ascii="Arial" w:cs="Arial" w:eastAsia="Arial" w:hAnsi="Arial"/>
          <w:sz w:val="14"/>
          <w:szCs w:val="14"/>
          <w:color w:val="auto"/>
        </w:rPr>
        <w:t>The collaboration revenue we earned from Bayer HealthCare, as detailed below, consisted of cost sharing of Regeneron’s global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development expenses and recognition of revenue related to a non-refundable $75.0 million up-front payment received in October 2006 and a $20.0 million milestone payment received in August 2007 (which, for the purpose of revenue recognition, was not considered substantive).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6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4"/>
          </w:tcPr>
          <w:p>
            <w:pPr>
              <w:jc w:val="right"/>
              <w:ind w:right="49"/>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66"/>
        </w:trPr>
        <w:tc>
          <w:tcPr>
            <w:tcW w:w="2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Bayer HealthCare Collaboration Revenue</w:t>
            </w:r>
          </w:p>
        </w:tc>
        <w:tc>
          <w:tcPr>
            <w:tcW w:w="7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jc w:val="right"/>
              <w:ind w:right="18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4"/>
        </w:trPr>
        <w:tc>
          <w:tcPr>
            <w:tcW w:w="100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060" w:type="dxa"/>
            <w:vAlign w:val="bottom"/>
            <w:tcBorders>
              <w:bottom w:val="single" w:sz="8" w:color="C0C0C0"/>
            </w:tcBorders>
            <w:gridSpan w:val="2"/>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0C0C0"/>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96"/>
              </w:rPr>
              <w:t>2010</w:t>
            </w:r>
          </w:p>
        </w:tc>
        <w:tc>
          <w:tcPr>
            <w:tcW w:w="0" w:type="dxa"/>
            <w:vAlign w:val="bottom"/>
          </w:tcPr>
          <w:p>
            <w:pPr>
              <w:spacing w:after="0"/>
              <w:rPr>
                <w:sz w:val="1"/>
                <w:szCs w:val="1"/>
                <w:color w:val="auto"/>
              </w:rPr>
            </w:pPr>
          </w:p>
        </w:tc>
      </w:tr>
      <w:tr>
        <w:trPr>
          <w:trHeight w:val="195"/>
        </w:trPr>
        <w:tc>
          <w:tcPr>
            <w:tcW w:w="1006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Cost-sharing of Regeneron EYLEA</w:t>
            </w:r>
            <w:r>
              <w:rPr>
                <w:rFonts w:ascii="Arial" w:cs="Arial" w:eastAsia="Arial" w:hAnsi="Arial"/>
                <w:sz w:val="9"/>
                <w:szCs w:val="9"/>
                <w:color w:val="auto"/>
              </w:rPr>
              <w:t>TM</w:t>
            </w:r>
            <w:r>
              <w:rPr>
                <w:rFonts w:ascii="Arial" w:cs="Arial" w:eastAsia="Arial" w:hAnsi="Arial"/>
                <w:sz w:val="14"/>
                <w:szCs w:val="14"/>
                <w:color w:val="auto"/>
              </w:rPr>
              <w:t xml:space="preserve"> development expenses</w:t>
            </w:r>
          </w:p>
        </w:tc>
        <w:tc>
          <w:tcPr>
            <w:tcW w:w="80" w:type="dxa"/>
            <w:vAlign w:val="bottom"/>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26.3</w:t>
            </w:r>
          </w:p>
        </w:tc>
        <w:tc>
          <w:tcPr>
            <w:tcW w:w="34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85"/>
        </w:trPr>
        <w:tc>
          <w:tcPr>
            <w:tcW w:w="10060" w:type="dxa"/>
            <w:vAlign w:val="bottom"/>
            <w:gridSpan w:val="2"/>
          </w:tcPr>
          <w:p>
            <w:pPr>
              <w:spacing w:after="0"/>
              <w:rPr>
                <w:sz w:val="20"/>
                <w:szCs w:val="20"/>
                <w:color w:val="auto"/>
              </w:rPr>
            </w:pPr>
            <w:r>
              <w:rPr>
                <w:rFonts w:ascii="Arial" w:cs="Arial" w:eastAsia="Arial" w:hAnsi="Arial"/>
                <w:sz w:val="14"/>
                <w:szCs w:val="14"/>
                <w:color w:val="auto"/>
              </w:rPr>
              <w:t>Recognition of deferred revenue related to up-front and other milestone</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0060" w:type="dxa"/>
            <w:vAlign w:val="bottom"/>
            <w:tcBorders>
              <w:bottom w:val="single" w:sz="8" w:color="C0C0C0"/>
            </w:tcBorders>
            <w:gridSpan w:val="2"/>
          </w:tcPr>
          <w:p>
            <w:pPr>
              <w:ind w:left="260"/>
              <w:spacing w:after="0"/>
              <w:rPr>
                <w:sz w:val="20"/>
                <w:szCs w:val="20"/>
                <w:color w:val="auto"/>
              </w:rPr>
            </w:pPr>
            <w:r>
              <w:rPr>
                <w:rFonts w:ascii="Arial" w:cs="Arial" w:eastAsia="Arial" w:hAnsi="Arial"/>
                <w:sz w:val="14"/>
                <w:szCs w:val="14"/>
                <w:color w:val="auto"/>
              </w:rPr>
              <w:t>payments</w:t>
            </w: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220" w:type="dxa"/>
            <w:vAlign w:val="bottom"/>
            <w:tcBorders>
              <w:bottom w:val="single" w:sz="8" w:color="C0C0C0"/>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97"/>
        </w:trPr>
        <w:tc>
          <w:tcPr>
            <w:tcW w:w="10060" w:type="dxa"/>
            <w:vAlign w:val="bottom"/>
            <w:tcBorders>
              <w:bottom w:val="single" w:sz="8" w:color="C0C0C0"/>
            </w:tcBorders>
            <w:gridSpan w:val="2"/>
            <w:shd w:val="clear" w:color="auto" w:fill="C0C0C0"/>
          </w:tcPr>
          <w:p>
            <w:pPr>
              <w:ind w:left="260"/>
              <w:spacing w:after="0"/>
              <w:rPr>
                <w:sz w:val="20"/>
                <w:szCs w:val="20"/>
                <w:color w:val="auto"/>
              </w:rPr>
            </w:pPr>
            <w:r>
              <w:rPr>
                <w:rFonts w:ascii="Arial" w:cs="Arial" w:eastAsia="Arial" w:hAnsi="Arial"/>
                <w:sz w:val="14"/>
                <w:szCs w:val="14"/>
                <w:color w:val="auto"/>
              </w:rPr>
              <w:t>Total Bayer HealthCare collaboration revenue</w:t>
            </w:r>
          </w:p>
        </w:tc>
        <w:tc>
          <w:tcPr>
            <w:tcW w:w="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33.7</w:t>
            </w:r>
          </w:p>
        </w:tc>
        <w:tc>
          <w:tcPr>
            <w:tcW w:w="220" w:type="dxa"/>
            <w:vAlign w:val="bottom"/>
            <w:tcBorders>
              <w:bottom w:val="single" w:sz="8" w:color="C0C0C0"/>
            </w:tcBorders>
            <w:shd w:val="clear" w:color="auto" w:fill="C0C0C0"/>
          </w:tcPr>
          <w:p>
            <w:pPr>
              <w:spacing w:after="0"/>
              <w:rPr>
                <w:sz w:val="17"/>
                <w:szCs w:val="17"/>
                <w:color w:val="auto"/>
              </w:rPr>
            </w:pP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252"/>
        <w:spacing w:after="0" w:line="237" w:lineRule="auto"/>
        <w:rPr>
          <w:sz w:val="20"/>
          <w:szCs w:val="20"/>
          <w:color w:val="auto"/>
        </w:rPr>
      </w:pPr>
      <w:r>
        <w:rPr>
          <w:rFonts w:ascii="Arial" w:cs="Arial" w:eastAsia="Arial" w:hAnsi="Arial"/>
          <w:sz w:val="14"/>
          <w:szCs w:val="14"/>
          <w:color w:val="auto"/>
        </w:rPr>
        <w:t>Cost-sharing of our global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development expenses with Bayer HealthCare decreased in the first nine months of 2011 compared to the same period in 2010. In the first nine months of 2011, we incurred lower clinical development costs primarily in connection with our Phase 3 VIEW 1 trial in wet AMD and our Phase 2 trial in DME, partly offset by higher internal costs in connection with regulatory filings in wet AMD.</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Technology Licensing Revenue</w:t>
      </w:r>
    </w:p>
    <w:p>
      <w:pPr>
        <w:spacing w:after="0" w:line="232" w:lineRule="exact"/>
        <w:rPr>
          <w:sz w:val="20"/>
          <w:szCs w:val="20"/>
          <w:color w:val="auto"/>
        </w:rPr>
      </w:pPr>
    </w:p>
    <w:p>
      <w:pPr>
        <w:jc w:val="both"/>
        <w:ind w:firstLine="230"/>
        <w:spacing w:after="0" w:line="256" w:lineRule="auto"/>
        <w:rPr>
          <w:sz w:val="20"/>
          <w:szCs w:val="20"/>
          <w:color w:val="auto"/>
        </w:rPr>
      </w:pPr>
      <w:r>
        <w:rPr>
          <w:rFonts w:ascii="Arial" w:cs="Arial" w:eastAsia="Arial" w:hAnsi="Arial"/>
          <w:sz w:val="13"/>
          <w:szCs w:val="13"/>
          <w:color w:val="auto"/>
        </w:rPr>
        <w:t xml:space="preserve">In connection with our </w:t>
      </w:r>
      <w:r>
        <w:rPr>
          <w:rFonts w:ascii="Arial" w:cs="Arial" w:eastAsia="Arial" w:hAnsi="Arial"/>
          <w:sz w:val="13"/>
          <w:szCs w:val="13"/>
          <w:i w:val="1"/>
          <w:iCs w:val="1"/>
          <w:color w:val="auto"/>
        </w:rPr>
        <w:t>VelocImmune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license agreement with Astellas, the $20.0 million non-refundable payment received in the second quarter of 2010 was deferred upon receipt and recognized as revenue ratably over the ensuing year. In addition, in connection with the amendment and extension of our license agreement with Astellas, in August 2010, we received a $165.0 million up-front payment, which was deferred upon receipt and is being recognized as revenue ratably over a seven-year period beginning in June 2011. In connection with our </w:t>
      </w:r>
      <w:r>
        <w:rPr>
          <w:rFonts w:ascii="Arial" w:cs="Arial" w:eastAsia="Arial" w:hAnsi="Arial"/>
          <w:sz w:val="13"/>
          <w:szCs w:val="13"/>
          <w:i w:val="1"/>
          <w:iCs w:val="1"/>
          <w:color w:val="auto"/>
        </w:rPr>
        <w:t>VelocImmune</w:t>
      </w:r>
      <w:r>
        <w:rPr>
          <w:rFonts w:ascii="Arial" w:cs="Arial" w:eastAsia="Arial" w:hAnsi="Arial"/>
          <w:sz w:val="17"/>
          <w:szCs w:val="17"/>
          <w:i w:val="1"/>
          <w:iCs w:val="1"/>
          <w:color w:val="auto"/>
          <w:vertAlign w:val="superscript"/>
        </w:rPr>
        <w:t>®</w:t>
      </w:r>
      <w:r>
        <w:rPr>
          <w:rFonts w:ascii="Arial" w:cs="Arial" w:eastAsia="Arial" w:hAnsi="Arial"/>
          <w:sz w:val="13"/>
          <w:szCs w:val="13"/>
          <w:color w:val="auto"/>
        </w:rPr>
        <w:t xml:space="preserve"> license agreement with AstraZeneca, which terminated effective as of February 2011, the $20.0 million non-refundable payment received in the first quarter of 2010 was deferred upon receipt and recognized as revenue ratably through February 2011. In the first nine months of 2011 and 2010, we recognized $18.9 million and $30.0 million, respectively, of technology licensing revenue related to these agreements.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38" w:name="page39"/>
    <w:bookmarkEnd w:id="38"/>
    <w:p>
      <w:pPr>
        <w:spacing w:after="0"/>
        <w:rPr>
          <w:sz w:val="20"/>
          <w:szCs w:val="20"/>
          <w:color w:val="auto"/>
        </w:rPr>
      </w:pPr>
      <w:r>
        <w:rPr>
          <w:rFonts w:ascii="Arial" w:cs="Arial" w:eastAsia="Arial" w:hAnsi="Arial"/>
          <w:sz w:val="14"/>
          <w:szCs w:val="14"/>
          <w:i w:val="1"/>
          <w:iCs w:val="1"/>
          <w:color w:val="auto"/>
        </w:rPr>
        <w:t>Net Product Sales</w:t>
      </w:r>
    </w:p>
    <w:p>
      <w:pPr>
        <w:spacing w:after="0" w:line="210" w:lineRule="exact"/>
        <w:rPr>
          <w:sz w:val="20"/>
          <w:szCs w:val="20"/>
          <w:color w:val="auto"/>
        </w:rPr>
      </w:pPr>
    </w:p>
    <w:p>
      <w:pPr>
        <w:jc w:val="both"/>
        <w:ind w:firstLine="263"/>
        <w:spacing w:after="0" w:line="205" w:lineRule="auto"/>
        <w:rPr>
          <w:sz w:val="20"/>
          <w:szCs w:val="20"/>
          <w:color w:val="auto"/>
        </w:rPr>
      </w:pPr>
      <w:r>
        <w:rPr>
          <w:rFonts w:ascii="Arial" w:cs="Arial" w:eastAsia="Arial" w:hAnsi="Arial"/>
          <w:sz w:val="14"/>
          <w:szCs w:val="14"/>
          <w:color w:val="auto"/>
        </w:rPr>
        <w:t>For the nine months ended September 30, 2011 and 2010, we recognized as revenue $14.9 million and $20.0 million, respectively,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net product sales. We had limited historical return experience for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beginning with initial sales in 2008 through the end of 2009; therefore,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net product sales were deferred until the right of return no longer existed and rebates could be reasonably estimated. Effective in the first quarter of 2010, we determined that we had accumulated sufficient historical data to reasonably estimate both product returns and rebates of ARCALYST</w:t>
      </w:r>
      <w:r>
        <w:rPr>
          <w:rFonts w:ascii="Arial" w:cs="Arial" w:eastAsia="Arial" w:hAnsi="Arial"/>
          <w:sz w:val="19"/>
          <w:szCs w:val="19"/>
          <w:color w:val="auto"/>
          <w:vertAlign w:val="superscript"/>
        </w:rPr>
        <w:t>®</w:t>
      </w:r>
      <w:r>
        <w:rPr>
          <w:rFonts w:ascii="Arial" w:cs="Arial" w:eastAsia="Arial" w:hAnsi="Arial"/>
          <w:sz w:val="14"/>
          <w:szCs w:val="14"/>
          <w:color w:val="auto"/>
        </w:rPr>
        <w:t>. As a result, for the nine months ended September 30, 2010, we recognized as revenue $20.0 million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net product sales, which included $15.2 million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net product sales made during the period and $4.8 million of previously deferred net product sales.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Contract Research and Other Revenue</w:t>
      </w:r>
    </w:p>
    <w:p>
      <w:pPr>
        <w:spacing w:after="0" w:line="234" w:lineRule="exact"/>
        <w:rPr>
          <w:sz w:val="20"/>
          <w:szCs w:val="20"/>
          <w:color w:val="auto"/>
        </w:rPr>
      </w:pPr>
    </w:p>
    <w:p>
      <w:pPr>
        <w:jc w:val="both"/>
        <w:ind w:firstLine="263"/>
        <w:spacing w:after="0" w:line="291" w:lineRule="auto"/>
        <w:rPr>
          <w:sz w:val="20"/>
          <w:szCs w:val="20"/>
          <w:color w:val="auto"/>
        </w:rPr>
      </w:pPr>
      <w:r>
        <w:rPr>
          <w:rFonts w:ascii="Arial" w:cs="Arial" w:eastAsia="Arial" w:hAnsi="Arial"/>
          <w:sz w:val="14"/>
          <w:szCs w:val="14"/>
          <w:color w:val="auto"/>
        </w:rPr>
        <w:t>Contract research and other revenue for the first nine months of 2011 and 2010 included $3.2 million and $3.5 million, respectively, recognized in connection with our five-year grant from the NIH, which we were awarded in September 2006 as part of the NIH’s Knockout Mouse Project.</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234" w:lineRule="exact"/>
        <w:rPr>
          <w:sz w:val="20"/>
          <w:szCs w:val="20"/>
          <w:color w:val="auto"/>
        </w:rPr>
      </w:pPr>
    </w:p>
    <w:p>
      <w:pPr>
        <w:jc w:val="both"/>
        <w:ind w:firstLine="263"/>
        <w:spacing w:after="0" w:line="283" w:lineRule="auto"/>
        <w:rPr>
          <w:sz w:val="20"/>
          <w:szCs w:val="20"/>
          <w:color w:val="auto"/>
        </w:rPr>
      </w:pPr>
      <w:r>
        <w:rPr>
          <w:rFonts w:ascii="Arial" w:cs="Arial" w:eastAsia="Arial" w:hAnsi="Arial"/>
          <w:sz w:val="14"/>
          <w:szCs w:val="14"/>
          <w:color w:val="auto"/>
        </w:rPr>
        <w:t>Total operating expenses increased to $482.6 million in the first nine months of 2011 from $410.1 million for the same period of 2010. Our average headcount in the first nine months of 2011 increased to 1,525 from 1,206 in the same period of 2010 principally as a result of our expanding research and development activities, which were primarily attributable to our antibody collaboration with Sanofi, and 2011 activities in connection with preparing to commercialize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wet AMD.</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3"/>
          <w:szCs w:val="13"/>
          <w:color w:val="auto"/>
        </w:rPr>
        <w:t>Operating expenses in the first nine months of 2011 and 2010 included a total of $40.6 million and $26.3 million, respectively, of Non-cash Compensation Expense, as detailed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7"/>
          </w:tcPr>
          <w:p>
            <w:pPr>
              <w:jc w:val="right"/>
              <w:ind w:right="229"/>
              <w:spacing w:after="0"/>
              <w:rPr>
                <w:sz w:val="20"/>
                <w:szCs w:val="20"/>
                <w:color w:val="auto"/>
              </w:rPr>
            </w:pPr>
            <w:r>
              <w:rPr>
                <w:rFonts w:ascii="Arial" w:cs="Arial" w:eastAsia="Arial" w:hAnsi="Arial"/>
                <w:sz w:val="14"/>
                <w:szCs w:val="14"/>
                <w:b w:val="1"/>
                <w:bCs w:val="1"/>
                <w:color w:val="auto"/>
                <w:w w:val="95"/>
              </w:rPr>
              <w:t>For the nine months ended September 30, 2011</w:t>
            </w:r>
          </w:p>
        </w:tc>
      </w:tr>
      <w:tr>
        <w:trPr>
          <w:trHeight w:val="182"/>
        </w:trPr>
        <w:tc>
          <w:tcPr>
            <w:tcW w:w="58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Expenses before</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7"/>
        </w:trPr>
        <w:tc>
          <w:tcPr>
            <w:tcW w:w="58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inclusion of Non-cash</w:t>
            </w:r>
          </w:p>
        </w:tc>
        <w:tc>
          <w:tcPr>
            <w:tcW w:w="1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Non-cash</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66"/>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Expenses</w:t>
            </w:r>
          </w:p>
        </w:tc>
        <w:tc>
          <w:tcPr>
            <w:tcW w:w="7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Compensation</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Compensation</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Expenses as</w:t>
            </w:r>
          </w:p>
        </w:tc>
      </w:tr>
      <w:tr>
        <w:trPr>
          <w:trHeight w:val="215"/>
        </w:trPr>
        <w:tc>
          <w:tcPr>
            <w:tcW w:w="8000" w:type="dxa"/>
            <w:vAlign w:val="bottom"/>
            <w:tcBorders>
              <w:bottom w:val="single" w:sz="8" w:color="C0C0C0"/>
            </w:tcBorders>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86"/>
              </w:rPr>
              <w:t>Expense</w:t>
            </w:r>
          </w:p>
        </w:tc>
        <w:tc>
          <w:tcPr>
            <w:tcW w:w="200" w:type="dxa"/>
            <w:vAlign w:val="bottom"/>
            <w:tcBorders>
              <w:bottom w:val="single" w:sz="8" w:color="C0C0C0"/>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86"/>
              </w:rPr>
              <w:t>Expense</w:t>
            </w:r>
          </w:p>
        </w:tc>
        <w:tc>
          <w:tcPr>
            <w:tcW w:w="22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1"/>
              </w:rPr>
              <w:t>Reported</w:t>
            </w:r>
          </w:p>
        </w:tc>
      </w:tr>
      <w:tr>
        <w:trPr>
          <w:trHeight w:val="195"/>
        </w:trPr>
        <w:tc>
          <w:tcPr>
            <w:tcW w:w="800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C0C0C0"/>
          </w:tcPr>
          <w:p>
            <w:pPr>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rPr>
              <w:t>376.9</w:t>
            </w:r>
          </w:p>
        </w:tc>
        <w:tc>
          <w:tcPr>
            <w:tcW w:w="140" w:type="dxa"/>
            <w:vAlign w:val="bottom"/>
            <w:shd w:val="clear" w:color="auto" w:fill="C0C0C0"/>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23.6</w:t>
            </w:r>
          </w:p>
        </w:tc>
        <w:tc>
          <w:tcPr>
            <w:tcW w:w="220" w:type="dxa"/>
            <w:vAlign w:val="bottom"/>
            <w:shd w:val="clear" w:color="auto" w:fill="C0C0C0"/>
          </w:tcPr>
          <w:p>
            <w:pPr>
              <w:spacing w:after="0"/>
              <w:rPr>
                <w:sz w:val="16"/>
                <w:szCs w:val="16"/>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400.5</w:t>
            </w:r>
          </w:p>
        </w:tc>
      </w:tr>
      <w:tr>
        <w:trPr>
          <w:trHeight w:val="191"/>
        </w:trPr>
        <w:tc>
          <w:tcPr>
            <w:tcW w:w="8000" w:type="dxa"/>
            <w:vAlign w:val="bottom"/>
            <w:gridSpan w:val="2"/>
          </w:tcPr>
          <w:p>
            <w:pPr>
              <w:spacing w:after="0"/>
              <w:rPr>
                <w:sz w:val="20"/>
                <w:szCs w:val="20"/>
                <w:color w:val="auto"/>
              </w:rPr>
            </w:pPr>
            <w:r>
              <w:rPr>
                <w:rFonts w:ascii="Arial" w:cs="Arial" w:eastAsia="Arial" w:hAnsi="Arial"/>
                <w:sz w:val="14"/>
                <w:szCs w:val="14"/>
                <w:color w:val="auto"/>
              </w:rPr>
              <w:t>Selling, general, and administrative</w:t>
            </w:r>
          </w:p>
        </w:tc>
        <w:tc>
          <w:tcPr>
            <w:tcW w:w="14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63.9</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80.9</w:t>
            </w:r>
          </w:p>
        </w:tc>
      </w:tr>
      <w:tr>
        <w:trPr>
          <w:trHeight w:val="197"/>
        </w:trPr>
        <w:tc>
          <w:tcPr>
            <w:tcW w:w="800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Cost of goods sold</w:t>
            </w:r>
          </w:p>
        </w:tc>
        <w:tc>
          <w:tcPr>
            <w:tcW w:w="140" w:type="dxa"/>
            <w:vAlign w:val="bottom"/>
            <w:tcBorders>
              <w:bottom w:val="single" w:sz="8" w:color="auto"/>
            </w:tcBorders>
            <w:shd w:val="clear" w:color="auto" w:fill="C0C0C0"/>
          </w:tcPr>
          <w:p>
            <w:pPr>
              <w:spacing w:after="0"/>
              <w:rPr>
                <w:sz w:val="17"/>
                <w:szCs w:val="17"/>
                <w:color w:val="auto"/>
              </w:rPr>
            </w:pPr>
          </w:p>
        </w:tc>
        <w:tc>
          <w:tcPr>
            <w:tcW w:w="11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1.2</w:t>
            </w:r>
          </w:p>
        </w:tc>
        <w:tc>
          <w:tcPr>
            <w:tcW w:w="200" w:type="dxa"/>
            <w:vAlign w:val="bottom"/>
            <w:shd w:val="clear" w:color="auto" w:fill="C0C0C0"/>
          </w:tcPr>
          <w:p>
            <w:pPr>
              <w:spacing w:after="0"/>
              <w:rPr>
                <w:sz w:val="17"/>
                <w:szCs w:val="17"/>
                <w:color w:val="auto"/>
              </w:rPr>
            </w:pPr>
          </w:p>
        </w:tc>
        <w:tc>
          <w:tcPr>
            <w:tcW w:w="140" w:type="dxa"/>
            <w:vAlign w:val="bottom"/>
            <w:tcBorders>
              <w:bottom w:val="single" w:sz="8" w:color="auto"/>
            </w:tcBorders>
            <w:shd w:val="clear" w:color="auto" w:fill="C0C0C0"/>
          </w:tcPr>
          <w:p>
            <w:pPr>
              <w:spacing w:after="0"/>
              <w:rPr>
                <w:sz w:val="17"/>
                <w:szCs w:val="17"/>
                <w:color w:val="auto"/>
              </w:rPr>
            </w:pPr>
          </w:p>
        </w:tc>
        <w:tc>
          <w:tcPr>
            <w:tcW w:w="780" w:type="dxa"/>
            <w:vAlign w:val="bottom"/>
            <w:tcBorders>
              <w:bottom w:val="single" w:sz="8" w:color="auto"/>
            </w:tcBorders>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tcBorders>
              <w:bottom w:val="single" w:sz="8" w:color="auto"/>
            </w:tcBorders>
            <w:shd w:val="clear" w:color="auto" w:fill="C0C0C0"/>
          </w:tcPr>
          <w:p>
            <w:pPr>
              <w:spacing w:after="0"/>
              <w:rPr>
                <w:sz w:val="17"/>
                <w:szCs w:val="17"/>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1.2</w:t>
            </w:r>
          </w:p>
        </w:tc>
      </w:tr>
      <w:tr>
        <w:trPr>
          <w:trHeight w:val="197"/>
        </w:trPr>
        <w:tc>
          <w:tcPr>
            <w:tcW w:w="8000" w:type="dxa"/>
            <w:vAlign w:val="bottom"/>
            <w:gridSpan w:val="2"/>
          </w:tcPr>
          <w:p>
            <w:pPr>
              <w:ind w:left="260"/>
              <w:spacing w:after="0"/>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442.0</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w:t>
            </w:r>
          </w:p>
        </w:tc>
        <w:tc>
          <w:tcPr>
            <w:tcW w:w="2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482.6</w:t>
            </w:r>
          </w:p>
        </w:tc>
      </w:tr>
      <w:tr>
        <w:trPr>
          <w:trHeight w:val="378"/>
        </w:trPr>
        <w:tc>
          <w:tcPr>
            <w:tcW w:w="5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7"/>
          </w:tcPr>
          <w:p>
            <w:pPr>
              <w:jc w:val="right"/>
              <w:ind w:right="229"/>
              <w:spacing w:after="0"/>
              <w:rPr>
                <w:sz w:val="20"/>
                <w:szCs w:val="20"/>
                <w:color w:val="auto"/>
              </w:rPr>
            </w:pPr>
            <w:r>
              <w:rPr>
                <w:rFonts w:ascii="Arial" w:cs="Arial" w:eastAsia="Arial" w:hAnsi="Arial"/>
                <w:sz w:val="14"/>
                <w:szCs w:val="14"/>
                <w:b w:val="1"/>
                <w:bCs w:val="1"/>
                <w:color w:val="auto"/>
                <w:w w:val="95"/>
              </w:rPr>
              <w:t>For the nine months ended September 30, 2010</w:t>
            </w:r>
          </w:p>
        </w:tc>
      </w:tr>
      <w:tr>
        <w:trPr>
          <w:trHeight w:val="182"/>
        </w:trPr>
        <w:tc>
          <w:tcPr>
            <w:tcW w:w="58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Expenses before</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7"/>
        </w:trPr>
        <w:tc>
          <w:tcPr>
            <w:tcW w:w="58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inclusion of Non-cash</w:t>
            </w:r>
          </w:p>
        </w:tc>
        <w:tc>
          <w:tcPr>
            <w:tcW w:w="1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Non-cash</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66"/>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Expenses</w:t>
            </w:r>
          </w:p>
        </w:tc>
        <w:tc>
          <w:tcPr>
            <w:tcW w:w="7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Compensation</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Compensation</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Expenses as</w:t>
            </w:r>
          </w:p>
        </w:tc>
      </w:tr>
      <w:tr>
        <w:trPr>
          <w:trHeight w:val="215"/>
        </w:trPr>
        <w:tc>
          <w:tcPr>
            <w:tcW w:w="8000" w:type="dxa"/>
            <w:vAlign w:val="bottom"/>
            <w:tcBorders>
              <w:bottom w:val="single" w:sz="8" w:color="C0C0C0"/>
            </w:tcBorders>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86"/>
              </w:rPr>
              <w:t>Expense</w:t>
            </w:r>
          </w:p>
        </w:tc>
        <w:tc>
          <w:tcPr>
            <w:tcW w:w="200" w:type="dxa"/>
            <w:vAlign w:val="bottom"/>
            <w:tcBorders>
              <w:bottom w:val="single" w:sz="8" w:color="C0C0C0"/>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6"/>
              </w:rPr>
              <w:t>Expense</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1"/>
              </w:rPr>
              <w:t>Reported</w:t>
            </w:r>
          </w:p>
        </w:tc>
      </w:tr>
      <w:tr>
        <w:trPr>
          <w:trHeight w:val="195"/>
        </w:trPr>
        <w:tc>
          <w:tcPr>
            <w:tcW w:w="800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C0C0C0"/>
          </w:tcPr>
          <w:p>
            <w:pPr>
              <w:ind w:left="4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rPr>
              <w:t>348.7</w:t>
            </w:r>
          </w:p>
        </w:tc>
        <w:tc>
          <w:tcPr>
            <w:tcW w:w="140" w:type="dxa"/>
            <w:vAlign w:val="bottom"/>
            <w:shd w:val="clear" w:color="auto" w:fill="C0C0C0"/>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15.3</w:t>
            </w:r>
          </w:p>
        </w:tc>
        <w:tc>
          <w:tcPr>
            <w:tcW w:w="220" w:type="dxa"/>
            <w:vAlign w:val="bottom"/>
            <w:shd w:val="clear" w:color="auto" w:fill="C0C0C0"/>
          </w:tcPr>
          <w:p>
            <w:pPr>
              <w:spacing w:after="0"/>
              <w:rPr>
                <w:sz w:val="16"/>
                <w:szCs w:val="16"/>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364.0</w:t>
            </w:r>
          </w:p>
        </w:tc>
      </w:tr>
      <w:tr>
        <w:trPr>
          <w:trHeight w:val="191"/>
        </w:trPr>
        <w:tc>
          <w:tcPr>
            <w:tcW w:w="8000" w:type="dxa"/>
            <w:vAlign w:val="bottom"/>
            <w:gridSpan w:val="2"/>
          </w:tcPr>
          <w:p>
            <w:pPr>
              <w:spacing w:after="0"/>
              <w:rPr>
                <w:sz w:val="20"/>
                <w:szCs w:val="20"/>
                <w:color w:val="auto"/>
              </w:rPr>
            </w:pPr>
            <w:r>
              <w:rPr>
                <w:rFonts w:ascii="Arial" w:cs="Arial" w:eastAsia="Arial" w:hAnsi="Arial"/>
                <w:sz w:val="14"/>
                <w:szCs w:val="14"/>
                <w:color w:val="auto"/>
              </w:rPr>
              <w:t>Selling, general, and administrative</w:t>
            </w:r>
          </w:p>
        </w:tc>
        <w:tc>
          <w:tcPr>
            <w:tcW w:w="14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33.6</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44.6</w:t>
            </w:r>
          </w:p>
        </w:tc>
      </w:tr>
      <w:tr>
        <w:trPr>
          <w:trHeight w:val="197"/>
        </w:trPr>
        <w:tc>
          <w:tcPr>
            <w:tcW w:w="800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Cost of goods sold</w:t>
            </w:r>
          </w:p>
        </w:tc>
        <w:tc>
          <w:tcPr>
            <w:tcW w:w="140" w:type="dxa"/>
            <w:vAlign w:val="bottom"/>
            <w:tcBorders>
              <w:bottom w:val="single" w:sz="8" w:color="auto"/>
            </w:tcBorders>
            <w:shd w:val="clear" w:color="auto" w:fill="C0C0C0"/>
          </w:tcPr>
          <w:p>
            <w:pPr>
              <w:spacing w:after="0"/>
              <w:rPr>
                <w:sz w:val="17"/>
                <w:szCs w:val="17"/>
                <w:color w:val="auto"/>
              </w:rPr>
            </w:pPr>
          </w:p>
        </w:tc>
        <w:tc>
          <w:tcPr>
            <w:tcW w:w="11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1.5</w:t>
            </w:r>
          </w:p>
        </w:tc>
        <w:tc>
          <w:tcPr>
            <w:tcW w:w="200" w:type="dxa"/>
            <w:vAlign w:val="bottom"/>
            <w:shd w:val="clear" w:color="auto" w:fill="C0C0C0"/>
          </w:tcPr>
          <w:p>
            <w:pPr>
              <w:spacing w:after="0"/>
              <w:rPr>
                <w:sz w:val="17"/>
                <w:szCs w:val="17"/>
                <w:color w:val="auto"/>
              </w:rPr>
            </w:pPr>
          </w:p>
        </w:tc>
        <w:tc>
          <w:tcPr>
            <w:tcW w:w="140" w:type="dxa"/>
            <w:vAlign w:val="bottom"/>
            <w:tcBorders>
              <w:bottom w:val="single" w:sz="8" w:color="auto"/>
            </w:tcBorders>
            <w:shd w:val="clear" w:color="auto" w:fill="C0C0C0"/>
          </w:tcPr>
          <w:p>
            <w:pPr>
              <w:spacing w:after="0"/>
              <w:rPr>
                <w:sz w:val="17"/>
                <w:szCs w:val="17"/>
                <w:color w:val="auto"/>
              </w:rPr>
            </w:pPr>
          </w:p>
        </w:tc>
        <w:tc>
          <w:tcPr>
            <w:tcW w:w="780" w:type="dxa"/>
            <w:vAlign w:val="bottom"/>
            <w:tcBorders>
              <w:bottom w:val="single" w:sz="8" w:color="auto"/>
            </w:tcBorders>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tcBorders>
              <w:bottom w:val="single" w:sz="8" w:color="auto"/>
            </w:tcBorders>
            <w:shd w:val="clear" w:color="auto" w:fill="C0C0C0"/>
          </w:tcPr>
          <w:p>
            <w:pPr>
              <w:spacing w:after="0"/>
              <w:rPr>
                <w:sz w:val="17"/>
                <w:szCs w:val="17"/>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1.5</w:t>
            </w:r>
          </w:p>
        </w:tc>
      </w:tr>
      <w:tr>
        <w:trPr>
          <w:trHeight w:val="197"/>
        </w:trPr>
        <w:tc>
          <w:tcPr>
            <w:tcW w:w="8000" w:type="dxa"/>
            <w:vAlign w:val="bottom"/>
            <w:gridSpan w:val="2"/>
          </w:tcPr>
          <w:p>
            <w:pPr>
              <w:ind w:left="260"/>
              <w:spacing w:after="0"/>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383.8</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w:t>
            </w:r>
          </w:p>
        </w:tc>
        <w:tc>
          <w:tcPr>
            <w:tcW w:w="2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410.1</w:t>
            </w:r>
          </w:p>
        </w:tc>
      </w:tr>
    </w:tbl>
    <w:p>
      <w:pPr>
        <w:spacing w:after="0" w:line="201" w:lineRule="exact"/>
        <w:rPr>
          <w:sz w:val="20"/>
          <w:szCs w:val="20"/>
          <w:color w:val="auto"/>
        </w:rPr>
      </w:pPr>
    </w:p>
    <w:p>
      <w:pPr>
        <w:jc w:val="both"/>
        <w:ind w:firstLine="285"/>
        <w:spacing w:after="0" w:line="276" w:lineRule="auto"/>
        <w:rPr>
          <w:sz w:val="20"/>
          <w:szCs w:val="20"/>
          <w:color w:val="auto"/>
        </w:rPr>
      </w:pPr>
      <w:r>
        <w:rPr>
          <w:rFonts w:ascii="Arial" w:cs="Arial" w:eastAsia="Arial" w:hAnsi="Arial"/>
          <w:sz w:val="14"/>
          <w:szCs w:val="14"/>
          <w:color w:val="auto"/>
        </w:rPr>
        <w:t>The increase in total Non-cash Compensation Expense in the first nine months of 2011 was primarily attributable to (i) the recognition of higher expense in the first nine months of 2011 in connection with previously granted performance-based stock options that we estimate will vest, (ii) the higher fair market value of our Common Stock on the date of our annual employee option grants made in December 2010 compared to recent prior years, and (iii) the recognition of higher expense related to grants of restricted stock in December 2010.</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7" w:right="219" w:bottom="1440" w:gutter="0" w:footer="0" w:header="0"/>
        </w:sectPr>
      </w:pPr>
    </w:p>
    <w:bookmarkStart w:id="39" w:name="page40"/>
    <w:bookmarkEnd w:id="39"/>
    <w:p>
      <w:pPr>
        <w:spacing w:after="0"/>
        <w:rPr>
          <w:sz w:val="20"/>
          <w:szCs w:val="20"/>
          <w:color w:val="auto"/>
        </w:rPr>
      </w:pPr>
      <w:r>
        <w:rPr>
          <w:rFonts w:ascii="Arial" w:cs="Arial" w:eastAsia="Arial" w:hAnsi="Arial"/>
          <w:sz w:val="14"/>
          <w:szCs w:val="14"/>
          <w:i w:val="1"/>
          <w:iCs w:val="1"/>
          <w:color w:val="auto"/>
        </w:rPr>
        <w:t>Research and Development Expenses</w:t>
      </w:r>
    </w:p>
    <w:p>
      <w:pPr>
        <w:spacing w:after="0" w:line="234" w:lineRule="exact"/>
        <w:rPr>
          <w:sz w:val="20"/>
          <w:szCs w:val="20"/>
          <w:color w:val="auto"/>
        </w:rPr>
      </w:pPr>
    </w:p>
    <w:p>
      <w:pPr>
        <w:ind w:firstLine="274"/>
        <w:spacing w:after="0" w:line="291" w:lineRule="auto"/>
        <w:rPr>
          <w:sz w:val="20"/>
          <w:szCs w:val="20"/>
          <w:color w:val="auto"/>
        </w:rPr>
      </w:pPr>
      <w:r>
        <w:rPr>
          <w:rFonts w:ascii="Arial" w:cs="Arial" w:eastAsia="Arial" w:hAnsi="Arial"/>
          <w:sz w:val="14"/>
          <w:szCs w:val="14"/>
          <w:color w:val="auto"/>
        </w:rPr>
        <w:t>Research and development expenses increased to $400.5 million in the first nine months of 2011 from $364.0 million for the same period of 2010. The following table summarizes the major categories of our research and development expenses for the nine months ended September 30, 2011 and 2010: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5"/>
          </w:tcPr>
          <w:p>
            <w:pPr>
              <w:spacing w:after="0"/>
              <w:rPr>
                <w:sz w:val="20"/>
                <w:szCs w:val="20"/>
                <w:color w:val="auto"/>
              </w:rPr>
            </w:pPr>
            <w:r>
              <w:rPr>
                <w:rFonts w:ascii="Arial" w:cs="Arial" w:eastAsia="Arial" w:hAnsi="Arial"/>
                <w:sz w:val="14"/>
                <w:szCs w:val="14"/>
                <w:b w:val="1"/>
                <w:bCs w:val="1"/>
                <w:color w:val="auto"/>
                <w:w w:val="90"/>
              </w:rPr>
              <w:t>For the nine months ended</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1"/>
        </w:trPr>
        <w:tc>
          <w:tcPr>
            <w:tcW w:w="8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jc w:val="right"/>
              <w:ind w:right="309"/>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b w:val="1"/>
                <w:bCs w:val="1"/>
                <w:color w:val="auto"/>
                <w:w w:val="98"/>
              </w:rPr>
              <w:t>Increase</w:t>
            </w:r>
          </w:p>
        </w:tc>
      </w:tr>
      <w:tr>
        <w:trPr>
          <w:trHeight w:val="191"/>
        </w:trPr>
        <w:tc>
          <w:tcPr>
            <w:tcW w:w="8800" w:type="dxa"/>
            <w:vAlign w:val="bottom"/>
            <w:tcBorders>
              <w:bottom w:val="single" w:sz="8" w:color="C0C0C0"/>
            </w:tcBorders>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0C0C0"/>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0C0C0"/>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6"/>
              </w:rPr>
              <w:t>(Decrease)</w:t>
            </w:r>
          </w:p>
        </w:tc>
      </w:tr>
      <w:tr>
        <w:trPr>
          <w:trHeight w:val="195"/>
        </w:trPr>
        <w:tc>
          <w:tcPr>
            <w:tcW w:w="880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Payroll and benefits (1)</w:t>
            </w:r>
          </w:p>
        </w:tc>
        <w:tc>
          <w:tcPr>
            <w:tcW w:w="140" w:type="dxa"/>
            <w:vAlign w:val="bottom"/>
            <w:shd w:val="clear" w:color="auto" w:fill="C0C0C0"/>
          </w:tcPr>
          <w:p>
            <w:pPr>
              <w:spacing w:after="0"/>
              <w:rPr>
                <w:sz w:val="20"/>
                <w:szCs w:val="20"/>
                <w:color w:val="auto"/>
              </w:rPr>
            </w:pPr>
            <w:r>
              <w:rPr>
                <w:rFonts w:ascii="Arial" w:cs="Arial" w:eastAsia="Arial" w:hAnsi="Arial"/>
                <w:sz w:val="14"/>
                <w:szCs w:val="14"/>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126.3</w:t>
            </w:r>
          </w:p>
        </w:tc>
        <w:tc>
          <w:tcPr>
            <w:tcW w:w="360" w:type="dxa"/>
            <w:vAlign w:val="bottom"/>
            <w:gridSpan w:val="2"/>
            <w:shd w:val="clear" w:color="auto" w:fill="C0C0C0"/>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94.3</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32.0</w:t>
            </w:r>
          </w:p>
        </w:tc>
      </w:tr>
      <w:tr>
        <w:trPr>
          <w:trHeight w:val="191"/>
        </w:trPr>
        <w:tc>
          <w:tcPr>
            <w:tcW w:w="8800" w:type="dxa"/>
            <w:vAlign w:val="bottom"/>
            <w:gridSpan w:val="2"/>
          </w:tcPr>
          <w:p>
            <w:pPr>
              <w:spacing w:after="0"/>
              <w:rPr>
                <w:sz w:val="20"/>
                <w:szCs w:val="20"/>
                <w:color w:val="auto"/>
              </w:rPr>
            </w:pPr>
            <w:r>
              <w:rPr>
                <w:rFonts w:ascii="Arial" w:cs="Arial" w:eastAsia="Arial" w:hAnsi="Arial"/>
                <w:sz w:val="14"/>
                <w:szCs w:val="14"/>
                <w:color w:val="auto"/>
              </w:rPr>
              <w:t>Clinical trial expenses</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60.5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83.8</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(23.3)</w:t>
            </w:r>
          </w:p>
        </w:tc>
      </w:tr>
      <w:tr>
        <w:trPr>
          <w:trHeight w:val="204"/>
        </w:trPr>
        <w:tc>
          <w:tcPr>
            <w:tcW w:w="880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Clinical manufacturing costs (2)</w:t>
            </w:r>
          </w:p>
        </w:tc>
        <w:tc>
          <w:tcPr>
            <w:tcW w:w="140" w:type="dxa"/>
            <w:vAlign w:val="bottom"/>
            <w:shd w:val="clear" w:color="auto" w:fill="C0C0C0"/>
          </w:tcPr>
          <w:p>
            <w:pPr>
              <w:spacing w:after="0"/>
              <w:rPr>
                <w:sz w:val="17"/>
                <w:szCs w:val="17"/>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80.6</w:t>
            </w: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72.6</w:t>
            </w: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7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8.0</w:t>
            </w:r>
          </w:p>
        </w:tc>
      </w:tr>
      <w:tr>
        <w:trPr>
          <w:trHeight w:val="191"/>
        </w:trPr>
        <w:tc>
          <w:tcPr>
            <w:tcW w:w="8800" w:type="dxa"/>
            <w:vAlign w:val="bottom"/>
            <w:gridSpan w:val="2"/>
          </w:tcPr>
          <w:p>
            <w:pPr>
              <w:spacing w:after="0"/>
              <w:rPr>
                <w:sz w:val="20"/>
                <w:szCs w:val="20"/>
                <w:color w:val="auto"/>
              </w:rPr>
            </w:pPr>
            <w:r>
              <w:rPr>
                <w:rFonts w:ascii="Arial" w:cs="Arial" w:eastAsia="Arial" w:hAnsi="Arial"/>
                <w:sz w:val="14"/>
                <w:szCs w:val="14"/>
                <w:color w:val="auto"/>
              </w:rPr>
              <w:t>Research and other development costs</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40.4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4.5</w:t>
            </w:r>
          </w:p>
        </w:tc>
      </w:tr>
      <w:tr>
        <w:trPr>
          <w:trHeight w:val="204"/>
        </w:trPr>
        <w:tc>
          <w:tcPr>
            <w:tcW w:w="880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Occupancy and other operating costs</w:t>
            </w:r>
          </w:p>
        </w:tc>
        <w:tc>
          <w:tcPr>
            <w:tcW w:w="140" w:type="dxa"/>
            <w:vAlign w:val="bottom"/>
            <w:shd w:val="clear" w:color="auto" w:fill="C0C0C0"/>
          </w:tcPr>
          <w:p>
            <w:pPr>
              <w:spacing w:after="0"/>
              <w:rPr>
                <w:sz w:val="17"/>
                <w:szCs w:val="17"/>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45.3</w:t>
            </w: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38.3</w:t>
            </w: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7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7.0</w:t>
            </w:r>
          </w:p>
        </w:tc>
      </w:tr>
      <w:tr>
        <w:trPr>
          <w:trHeight w:val="185"/>
        </w:trPr>
        <w:tc>
          <w:tcPr>
            <w:tcW w:w="8800" w:type="dxa"/>
            <w:vAlign w:val="bottom"/>
            <w:gridSpan w:val="2"/>
          </w:tcPr>
          <w:p>
            <w:pPr>
              <w:spacing w:after="0"/>
              <w:rPr>
                <w:sz w:val="20"/>
                <w:szCs w:val="20"/>
                <w:color w:val="auto"/>
              </w:rPr>
            </w:pPr>
            <w:r>
              <w:rPr>
                <w:rFonts w:ascii="Arial" w:cs="Arial" w:eastAsia="Arial" w:hAnsi="Arial"/>
                <w:sz w:val="14"/>
                <w:szCs w:val="14"/>
                <w:color w:val="auto"/>
              </w:rPr>
              <w:t>Cost-sharing of Bayer HealthCare EYLEA</w:t>
            </w:r>
            <w:r>
              <w:rPr>
                <w:rFonts w:ascii="Arial" w:cs="Arial" w:eastAsia="Arial" w:hAnsi="Arial"/>
                <w:sz w:val="9"/>
                <w:szCs w:val="9"/>
                <w:color w:val="auto"/>
              </w:rPr>
              <w:t>TM</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26"/>
        </w:trPr>
        <w:tc>
          <w:tcPr>
            <w:tcW w:w="8800" w:type="dxa"/>
            <w:vAlign w:val="bottom"/>
            <w:tcBorders>
              <w:bottom w:val="single" w:sz="8" w:color="C0C0C0"/>
            </w:tcBorders>
            <w:gridSpan w:val="2"/>
          </w:tcPr>
          <w:p>
            <w:pPr>
              <w:ind w:left="260"/>
              <w:spacing w:after="0"/>
              <w:rPr>
                <w:sz w:val="20"/>
                <w:szCs w:val="20"/>
                <w:color w:val="auto"/>
              </w:rPr>
            </w:pPr>
            <w:r>
              <w:rPr>
                <w:rFonts w:ascii="Arial" w:cs="Arial" w:eastAsia="Arial" w:hAnsi="Arial"/>
                <w:sz w:val="14"/>
                <w:szCs w:val="14"/>
                <w:color w:val="auto"/>
              </w:rPr>
              <w:t>development expenses (3)</w:t>
            </w: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w:t>
            </w:r>
          </w:p>
        </w:tc>
        <w:tc>
          <w:tcPr>
            <w:tcW w:w="220" w:type="dxa"/>
            <w:vAlign w:val="bottom"/>
            <w:tcBorders>
              <w:bottom w:val="single" w:sz="8" w:color="C0C0C0"/>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220" w:type="dxa"/>
            <w:vAlign w:val="bottom"/>
            <w:tcBorders>
              <w:bottom w:val="single" w:sz="8" w:color="C0C0C0"/>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8.3</w:t>
            </w:r>
          </w:p>
        </w:tc>
      </w:tr>
      <w:tr>
        <w:trPr>
          <w:trHeight w:val="208"/>
        </w:trPr>
        <w:tc>
          <w:tcPr>
            <w:tcW w:w="8800" w:type="dxa"/>
            <w:vAlign w:val="bottom"/>
            <w:gridSpan w:val="2"/>
            <w:shd w:val="clear" w:color="auto" w:fill="C0C0C0"/>
          </w:tcPr>
          <w:p>
            <w:pPr>
              <w:ind w:left="260"/>
              <w:spacing w:after="0"/>
              <w:rPr>
                <w:sz w:val="20"/>
                <w:szCs w:val="20"/>
                <w:color w:val="auto"/>
              </w:rPr>
            </w:pPr>
            <w:r>
              <w:rPr>
                <w:rFonts w:ascii="Arial" w:cs="Arial" w:eastAsia="Arial" w:hAnsi="Arial"/>
                <w:sz w:val="14"/>
                <w:szCs w:val="14"/>
                <w:color w:val="auto"/>
              </w:rPr>
              <w:t>Total research and development expenses</w:t>
            </w:r>
          </w:p>
        </w:tc>
        <w:tc>
          <w:tcPr>
            <w:tcW w:w="140" w:type="dxa"/>
            <w:vAlign w:val="bottom"/>
            <w:shd w:val="clear" w:color="auto" w:fill="C0C0C0"/>
          </w:tcPr>
          <w:p>
            <w:pPr>
              <w:spacing w:after="0"/>
              <w:rPr>
                <w:sz w:val="20"/>
                <w:szCs w:val="20"/>
                <w:color w:val="auto"/>
              </w:rPr>
            </w:pPr>
            <w:r>
              <w:rPr>
                <w:rFonts w:ascii="Arial" w:cs="Arial" w:eastAsia="Arial" w:hAnsi="Arial"/>
                <w:sz w:val="14"/>
                <w:szCs w:val="14"/>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400.5</w:t>
            </w:r>
          </w:p>
        </w:tc>
        <w:tc>
          <w:tcPr>
            <w:tcW w:w="360" w:type="dxa"/>
            <w:vAlign w:val="bottom"/>
            <w:gridSpan w:val="2"/>
            <w:shd w:val="clear" w:color="auto" w:fill="C0C0C0"/>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364.0</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36.5</w:t>
            </w:r>
          </w:p>
        </w:tc>
      </w:tr>
      <w:tr>
        <w:trPr>
          <w:trHeight w:val="200"/>
        </w:trPr>
        <w:tc>
          <w:tcPr>
            <w:tcW w:w="8580" w:type="dxa"/>
            <w:vAlign w:val="bottom"/>
            <w:tcBorders>
              <w:top w:val="single" w:sz="8" w:color="C0C0C0"/>
            </w:tcBorders>
          </w:tcPr>
          <w:p>
            <w:pPr>
              <w:spacing w:after="0" w:line="200" w:lineRule="exact"/>
              <w:rPr>
                <w:sz w:val="20"/>
                <w:szCs w:val="20"/>
                <w:color w:val="auto"/>
              </w:rPr>
            </w:pPr>
            <w:r>
              <w:rPr>
                <w:rFonts w:ascii="Arial" w:cs="Arial" w:eastAsia="Arial" w:hAnsi="Arial"/>
                <w:sz w:val="18"/>
                <w:szCs w:val="18"/>
                <w:color w:val="auto"/>
              </w:rPr>
              <w:t>____________________</w:t>
            </w:r>
          </w:p>
        </w:tc>
        <w:tc>
          <w:tcPr>
            <w:tcW w:w="220" w:type="dxa"/>
            <w:vAlign w:val="bottom"/>
            <w:tcBorders>
              <w:top w:val="single" w:sz="8" w:color="C0C0C0"/>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C0C0C0"/>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Borders>
              <w:top w:val="single" w:sz="8" w:color="C0C0C0"/>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r>
    </w:tbl>
    <w:p>
      <w:pPr>
        <w:spacing w:after="0" w:line="176" w:lineRule="exact"/>
        <w:rPr>
          <w:sz w:val="20"/>
          <w:szCs w:val="20"/>
          <w:color w:val="auto"/>
        </w:rPr>
      </w:pPr>
    </w:p>
    <w:p>
      <w:pPr>
        <w:ind w:left="620" w:hanging="393"/>
        <w:spacing w:after="0"/>
        <w:tabs>
          <w:tab w:leader="none" w:pos="6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$20.7 million and $13.1 million of Non-cash Compensation Expense for the nine months ended September 30, 2011 and 2010, respectively.</w:t>
      </w:r>
    </w:p>
    <w:p>
      <w:pPr>
        <w:spacing w:after="0" w:line="36" w:lineRule="exact"/>
        <w:rPr>
          <w:rFonts w:ascii="Arial" w:cs="Arial" w:eastAsia="Arial" w:hAnsi="Arial"/>
          <w:sz w:val="14"/>
          <w:szCs w:val="14"/>
          <w:color w:val="auto"/>
        </w:rPr>
      </w:pPr>
    </w:p>
    <w:p>
      <w:pPr>
        <w:jc w:val="both"/>
        <w:ind w:left="620" w:hanging="393"/>
        <w:spacing w:after="0" w:line="264" w:lineRule="auto"/>
        <w:tabs>
          <w:tab w:leader="none" w:pos="6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the full cost of manufacturing drug for use in research, preclinical development, and clinical trials, including related payroll and benefits, Non-cash Compensation Expense, manufacturing materials and supplies, depreciation, and occupancy costs of our Rensselaer manufacturing facility. Includes $2.9 million and $2.2 million of Non-cash Compensation Expense for the nine months ended September 30, 2011 and 2010, respectively.</w:t>
      </w:r>
    </w:p>
    <w:p>
      <w:pPr>
        <w:jc w:val="both"/>
        <w:ind w:left="620" w:hanging="393"/>
        <w:spacing w:after="0" w:line="214" w:lineRule="auto"/>
        <w:tabs>
          <w:tab w:leader="none" w:pos="620" w:val="left"/>
        </w:tabs>
        <w:numPr>
          <w:ilvl w:val="0"/>
          <w:numId w:val="3"/>
        </w:numPr>
        <w:rPr>
          <w:rFonts w:ascii="Arial" w:cs="Arial" w:eastAsia="Arial" w:hAnsi="Arial"/>
          <w:sz w:val="14"/>
          <w:szCs w:val="14"/>
          <w:color w:val="auto"/>
        </w:rPr>
      </w:pPr>
      <w:r>
        <w:rPr>
          <w:rFonts w:ascii="Arial" w:cs="Arial" w:eastAsia="Arial" w:hAnsi="Arial"/>
          <w:sz w:val="14"/>
          <w:szCs w:val="14"/>
          <w:color w:val="auto"/>
        </w:rPr>
        <w:t>Under our collaboration with Bayer HealthCare, in periods when Bayer HealthCare incurs global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development expenses, we also recognize, as additional research and development expense, the portion of Bayer HealthCare’s global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development expenses that we are obligated to reimburse. Bayer HealthCare provides us with estimated global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development expenses for the most recent fiscal quarter. Bayer HealthCare’s estimate is reconciled to its actual expenses for such quarter in the subsequent fiscal quarter and our portion of its global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development expenses that we are obligated to reimburse is adjusted accordingly.</w:t>
      </w:r>
    </w:p>
    <w:p>
      <w:pPr>
        <w:spacing w:after="0" w:line="137" w:lineRule="exact"/>
        <w:rPr>
          <w:sz w:val="20"/>
          <w:szCs w:val="20"/>
          <w:color w:val="auto"/>
        </w:rPr>
      </w:pPr>
    </w:p>
    <w:p>
      <w:pPr>
        <w:jc w:val="both"/>
        <w:ind w:firstLine="274"/>
        <w:spacing w:after="0" w:line="218" w:lineRule="auto"/>
        <w:rPr>
          <w:sz w:val="20"/>
          <w:szCs w:val="20"/>
          <w:color w:val="auto"/>
        </w:rPr>
      </w:pPr>
      <w:r>
        <w:rPr>
          <w:rFonts w:ascii="Arial" w:cs="Arial" w:eastAsia="Arial" w:hAnsi="Arial"/>
          <w:sz w:val="14"/>
          <w:szCs w:val="14"/>
          <w:color w:val="auto"/>
        </w:rPr>
        <w:t>Payroll and benefits increased principally due to the increase in employee headcount, as described above. Clinical trial expenses decreased due primarily to lower costs related to our Phase 3 clinical development program for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prevention of gout flares in patients initiating uric acid-lowering therapy, our VIEW 1 trial for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wet AMD, our Phase 2 trial for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DME, and our clinical development program for REGN475, which is currently on clinical hold. Clinical manufacturing costs increased primarily due to higher costs related to manufacturing supplies of antibody candidates and EYLEA</w:t>
      </w:r>
      <w:r>
        <w:rPr>
          <w:rFonts w:ascii="Arial" w:cs="Arial" w:eastAsia="Arial" w:hAnsi="Arial"/>
          <w:sz w:val="19"/>
          <w:szCs w:val="19"/>
          <w:color w:val="auto"/>
          <w:vertAlign w:val="superscript"/>
        </w:rPr>
        <w:t>TM</w:t>
      </w:r>
      <w:r>
        <w:rPr>
          <w:rFonts w:ascii="Arial" w:cs="Arial" w:eastAsia="Arial" w:hAnsi="Arial"/>
          <w:sz w:val="14"/>
          <w:szCs w:val="14"/>
          <w:color w:val="auto"/>
        </w:rPr>
        <w:t>, partly offset by lower costs related to manufacturing clinical supplies of ARCALYST</w:t>
      </w:r>
      <w:r>
        <w:rPr>
          <w:rFonts w:ascii="Arial" w:cs="Arial" w:eastAsia="Arial" w:hAnsi="Arial"/>
          <w:sz w:val="19"/>
          <w:szCs w:val="19"/>
          <w:color w:val="auto"/>
          <w:vertAlign w:val="superscript"/>
        </w:rPr>
        <w:t>®</w:t>
      </w:r>
      <w:r>
        <w:rPr>
          <w:rFonts w:ascii="Arial" w:cs="Arial" w:eastAsia="Arial" w:hAnsi="Arial"/>
          <w:sz w:val="14"/>
          <w:szCs w:val="14"/>
          <w:color w:val="auto"/>
        </w:rPr>
        <w:t>. Research and other development costs increased primarily due to higher costs associated with our antibody programs and filing our BLA for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wet AMD. Occupancy and other operating costs increased principally in connection with our higher headcount, expanded research and development activities, and expanded leased facilities in Tarrytown, New York. Cost-sharing of Bayer HealthCare’s global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development expenses increased primarily due to higher costs in connection with Bayer HealthCare’s Phase 3 trial in DME, which was initiated in the second quarter of 2011, and costs associated with ex-U.S. regulatory approval filings for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wet AMD.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7" w:right="219" w:bottom="1440" w:gutter="0" w:footer="0" w:header="0"/>
        </w:sectPr>
      </w:pPr>
    </w:p>
    <w:bookmarkStart w:id="40" w:name="page41"/>
    <w:bookmarkEnd w:id="40"/>
    <w:p>
      <w:pPr>
        <w:jc w:val="both"/>
        <w:ind w:firstLine="329"/>
        <w:spacing w:after="0" w:line="320" w:lineRule="auto"/>
        <w:rPr>
          <w:sz w:val="20"/>
          <w:szCs w:val="20"/>
          <w:color w:val="auto"/>
        </w:rPr>
      </w:pPr>
      <w:r>
        <w:rPr>
          <w:rFonts w:ascii="Arial" w:cs="Arial" w:eastAsia="Arial" w:hAnsi="Arial"/>
          <w:sz w:val="13"/>
          <w:szCs w:val="13"/>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development expenses that we are obligated to reimburse. Our estimates of research and development costs for clinical development programs are shown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For the nine months</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840" w:type="dxa"/>
            <w:vAlign w:val="bottom"/>
          </w:tcPr>
          <w:p>
            <w:pPr>
              <w:spacing w:after="0"/>
              <w:rPr>
                <w:sz w:val="20"/>
                <w:szCs w:val="20"/>
                <w:color w:val="auto"/>
              </w:rPr>
            </w:pPr>
            <w:r>
              <w:rPr>
                <w:rFonts w:ascii="Arial" w:cs="Arial" w:eastAsia="Arial" w:hAnsi="Arial"/>
                <w:sz w:val="14"/>
                <w:szCs w:val="14"/>
                <w:b w:val="1"/>
                <w:bCs w:val="1"/>
                <w:color w:val="auto"/>
              </w:rPr>
              <w:t>Project Costs</w:t>
            </w:r>
          </w:p>
        </w:tc>
        <w:tc>
          <w:tcPr>
            <w:tcW w:w="220" w:type="dxa"/>
            <w:vAlign w:val="bottom"/>
          </w:tcPr>
          <w:p>
            <w:pPr>
              <w:spacing w:after="0"/>
              <w:rPr>
                <w:sz w:val="17"/>
                <w:szCs w:val="17"/>
                <w:color w:val="auto"/>
              </w:rPr>
            </w:pPr>
          </w:p>
        </w:tc>
        <w:tc>
          <w:tcPr>
            <w:tcW w:w="15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0"/>
              </w:rPr>
              <w:t>ended September 30,</w:t>
            </w:r>
          </w:p>
        </w:tc>
        <w:tc>
          <w:tcPr>
            <w:tcW w:w="80" w:type="dxa"/>
            <w:vAlign w:val="bottom"/>
          </w:tcPr>
          <w:p>
            <w:pPr>
              <w:spacing w:after="0"/>
              <w:rPr>
                <w:sz w:val="17"/>
                <w:szCs w:val="17"/>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1"/>
        </w:trPr>
        <w:tc>
          <w:tcPr>
            <w:tcW w:w="8840" w:type="dxa"/>
            <w:vAlign w:val="bottom"/>
            <w:tcBorders>
              <w:top w:val="single" w:sz="8" w:color="auto"/>
              <w:bottom w:val="single" w:sz="8" w:color="C0C0C0"/>
            </w:tcBorders>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Borders>
              <w:bottom w:val="single" w:sz="8" w:color="C0C0C0"/>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6"/>
              </w:rPr>
              <w:t>2011</w:t>
            </w:r>
          </w:p>
        </w:tc>
        <w:tc>
          <w:tcPr>
            <w:tcW w:w="220" w:type="dxa"/>
            <w:vAlign w:val="bottom"/>
            <w:tcBorders>
              <w:top w:val="single" w:sz="8" w:color="auto"/>
              <w:bottom w:val="single" w:sz="8" w:color="C0C0C0"/>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6"/>
              </w:rPr>
              <w:t>2010</w:t>
            </w:r>
          </w:p>
        </w:tc>
        <w:tc>
          <w:tcPr>
            <w:tcW w:w="220" w:type="dxa"/>
            <w:vAlign w:val="bottom"/>
            <w:tcBorders>
              <w:bottom w:val="single" w:sz="8" w:color="C0C0C0"/>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8840" w:type="dxa"/>
            <w:vAlign w:val="bottom"/>
            <w:shd w:val="clear" w:color="auto" w:fill="C0C0C0"/>
          </w:tcPr>
          <w:p>
            <w:pPr>
              <w:spacing w:after="0"/>
              <w:rPr>
                <w:sz w:val="20"/>
                <w:szCs w:val="20"/>
                <w:color w:val="auto"/>
              </w:rPr>
            </w:pPr>
            <w:r>
              <w:rPr>
                <w:rFonts w:ascii="Arial" w:cs="Arial" w:eastAsia="Arial" w:hAnsi="Arial"/>
                <w:sz w:val="14"/>
                <w:szCs w:val="14"/>
                <w:color w:val="auto"/>
              </w:rPr>
              <w:t>ARCALYST</w:t>
            </w:r>
            <w:r>
              <w:rPr>
                <w:rFonts w:ascii="Arial" w:cs="Arial" w:eastAsia="Arial" w:hAnsi="Arial"/>
                <w:sz w:val="9"/>
                <w:szCs w:val="9"/>
                <w:color w:val="auto"/>
              </w:rPr>
              <w:t>®</w:t>
            </w:r>
          </w:p>
        </w:tc>
        <w:tc>
          <w:tcPr>
            <w:tcW w:w="32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48.2</w:t>
            </w:r>
          </w:p>
        </w:tc>
        <w:tc>
          <w:tcPr>
            <w:tcW w:w="220" w:type="dxa"/>
            <w:vAlign w:val="bottom"/>
            <w:shd w:val="clear" w:color="auto" w:fill="C0C0C0"/>
          </w:tcPr>
          <w:p>
            <w:pPr>
              <w:spacing w:after="0"/>
              <w:rPr>
                <w:sz w:val="16"/>
                <w:szCs w:val="16"/>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02"/>
        </w:trPr>
        <w:tc>
          <w:tcPr>
            <w:tcW w:w="8840" w:type="dxa"/>
            <w:vAlign w:val="bottom"/>
          </w:tcPr>
          <w:p>
            <w:pPr>
              <w:spacing w:after="0"/>
              <w:rPr>
                <w:sz w:val="20"/>
                <w:szCs w:val="20"/>
                <w:color w:val="auto"/>
              </w:rPr>
            </w:pPr>
            <w:r>
              <w:rPr>
                <w:rFonts w:ascii="Arial" w:cs="Arial" w:eastAsia="Arial" w:hAnsi="Arial"/>
                <w:sz w:val="14"/>
                <w:szCs w:val="14"/>
                <w:color w:val="auto"/>
              </w:rPr>
              <w:t>EYLEA</w:t>
            </w:r>
            <w:r>
              <w:rPr>
                <w:rFonts w:ascii="Arial" w:cs="Arial" w:eastAsia="Arial" w:hAnsi="Arial"/>
                <w:sz w:val="9"/>
                <w:szCs w:val="9"/>
                <w:color w:val="auto"/>
              </w:rPr>
              <w:t>TM</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115.4</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98.0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15"/>
        </w:trPr>
        <w:tc>
          <w:tcPr>
            <w:tcW w:w="8840" w:type="dxa"/>
            <w:vAlign w:val="bottom"/>
            <w:shd w:val="clear" w:color="auto" w:fill="C0C0C0"/>
          </w:tcPr>
          <w:p>
            <w:pPr>
              <w:spacing w:after="0"/>
              <w:rPr>
                <w:sz w:val="20"/>
                <w:szCs w:val="20"/>
                <w:color w:val="auto"/>
              </w:rPr>
            </w:pPr>
            <w:r>
              <w:rPr>
                <w:rFonts w:ascii="Arial" w:cs="Arial" w:eastAsia="Arial" w:hAnsi="Arial"/>
                <w:sz w:val="14"/>
                <w:szCs w:val="14"/>
                <w:color w:val="auto"/>
              </w:rPr>
              <w:t>ZALTRAP</w:t>
            </w:r>
            <w:r>
              <w:rPr>
                <w:rFonts w:ascii="Arial" w:cs="Arial" w:eastAsia="Arial" w:hAnsi="Arial"/>
                <w:sz w:val="10"/>
                <w:szCs w:val="10"/>
                <w:color w:val="auto"/>
              </w:rPr>
              <w:t>®</w:t>
            </w:r>
          </w:p>
        </w:tc>
        <w:tc>
          <w:tcPr>
            <w:tcW w:w="2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0C0C0"/>
          </w:tcPr>
          <w:p>
            <w:pPr>
              <w:spacing w:after="0"/>
              <w:rPr>
                <w:sz w:val="18"/>
                <w:szCs w:val="18"/>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9.8</w:t>
            </w:r>
          </w:p>
        </w:tc>
        <w:tc>
          <w:tcPr>
            <w:tcW w:w="2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78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91"/>
        </w:trPr>
        <w:tc>
          <w:tcPr>
            <w:tcW w:w="8840" w:type="dxa"/>
            <w:vAlign w:val="bottom"/>
          </w:tcPr>
          <w:p>
            <w:pPr>
              <w:spacing w:after="0"/>
              <w:rPr>
                <w:sz w:val="20"/>
                <w:szCs w:val="20"/>
                <w:color w:val="auto"/>
              </w:rPr>
            </w:pPr>
            <w:r>
              <w:rPr>
                <w:rFonts w:ascii="Arial" w:cs="Arial" w:eastAsia="Arial" w:hAnsi="Arial"/>
                <w:sz w:val="14"/>
                <w:szCs w:val="14"/>
                <w:color w:val="auto"/>
              </w:rPr>
              <w:t>Sarilumab</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20.7</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4"/>
        </w:trPr>
        <w:tc>
          <w:tcPr>
            <w:tcW w:w="8840" w:type="dxa"/>
            <w:vAlign w:val="bottom"/>
            <w:shd w:val="clear" w:color="auto" w:fill="C0C0C0"/>
          </w:tcPr>
          <w:p>
            <w:pPr>
              <w:spacing w:after="0"/>
              <w:rPr>
                <w:sz w:val="20"/>
                <w:szCs w:val="20"/>
                <w:color w:val="auto"/>
              </w:rPr>
            </w:pPr>
            <w:r>
              <w:rPr>
                <w:rFonts w:ascii="Arial" w:cs="Arial" w:eastAsia="Arial" w:hAnsi="Arial"/>
                <w:sz w:val="14"/>
                <w:szCs w:val="14"/>
                <w:color w:val="auto"/>
              </w:rPr>
              <w:t>REGN727</w:t>
            </w: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0C0C0"/>
          </w:tcPr>
          <w:p>
            <w:pPr>
              <w:spacing w:after="0"/>
              <w:rPr>
                <w:sz w:val="17"/>
                <w:szCs w:val="17"/>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17.1</w:t>
            </w: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78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91"/>
        </w:trPr>
        <w:tc>
          <w:tcPr>
            <w:tcW w:w="8840" w:type="dxa"/>
            <w:vAlign w:val="bottom"/>
          </w:tcPr>
          <w:p>
            <w:pPr>
              <w:spacing w:after="0"/>
              <w:rPr>
                <w:sz w:val="20"/>
                <w:szCs w:val="20"/>
                <w:color w:val="auto"/>
              </w:rPr>
            </w:pPr>
            <w:r>
              <w:rPr>
                <w:rFonts w:ascii="Arial" w:cs="Arial" w:eastAsia="Arial" w:hAnsi="Arial"/>
                <w:sz w:val="14"/>
                <w:szCs w:val="14"/>
                <w:color w:val="auto"/>
              </w:rPr>
              <w:t>Other antibody candidates in clinical development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51.6</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15"/>
        </w:trPr>
        <w:tc>
          <w:tcPr>
            <w:tcW w:w="8840" w:type="dxa"/>
            <w:vAlign w:val="bottom"/>
            <w:shd w:val="clear" w:color="auto" w:fill="C0C0C0"/>
          </w:tcPr>
          <w:p>
            <w:pPr>
              <w:spacing w:after="0"/>
              <w:rPr>
                <w:sz w:val="20"/>
                <w:szCs w:val="20"/>
                <w:color w:val="auto"/>
              </w:rPr>
            </w:pPr>
            <w:r>
              <w:rPr>
                <w:rFonts w:ascii="Arial" w:cs="Arial" w:eastAsia="Arial" w:hAnsi="Arial"/>
                <w:sz w:val="14"/>
                <w:szCs w:val="14"/>
                <w:color w:val="auto"/>
              </w:rPr>
              <w:t>Other research programs &amp; unallocated costs</w:t>
            </w:r>
          </w:p>
        </w:tc>
        <w:tc>
          <w:tcPr>
            <w:tcW w:w="2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150.4</w:t>
            </w:r>
          </w:p>
        </w:tc>
        <w:tc>
          <w:tcPr>
            <w:tcW w:w="100" w:type="dxa"/>
            <w:vAlign w:val="bottom"/>
            <w:shd w:val="clear" w:color="auto" w:fill="C0C0C0"/>
          </w:tcPr>
          <w:p>
            <w:pPr>
              <w:spacing w:after="0"/>
              <w:rPr>
                <w:sz w:val="18"/>
                <w:szCs w:val="18"/>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118.6</w:t>
            </w:r>
          </w:p>
        </w:tc>
        <w:tc>
          <w:tcPr>
            <w:tcW w:w="2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78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0"/>
        </w:trPr>
        <w:tc>
          <w:tcPr>
            <w:tcW w:w="8840" w:type="dxa"/>
            <w:vAlign w:val="bottom"/>
            <w:vMerge w:val="restart"/>
          </w:tcPr>
          <w:p>
            <w:pPr>
              <w:ind w:left="260"/>
              <w:spacing w:after="0"/>
              <w:rPr>
                <w:sz w:val="20"/>
                <w:szCs w:val="20"/>
                <w:color w:val="auto"/>
              </w:rPr>
            </w:pPr>
            <w:r>
              <w:rPr>
                <w:rFonts w:ascii="Arial" w:cs="Arial" w:eastAsia="Arial" w:hAnsi="Arial"/>
                <w:sz w:val="14"/>
                <w:szCs w:val="14"/>
                <w:color w:val="auto"/>
              </w:rPr>
              <w:t>Total research and development expenses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840" w:type="dxa"/>
            <w:vAlign w:val="bottom"/>
            <w:vMerge w:val="continue"/>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400.5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364.0</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28"/>
        </w:trPr>
        <w:tc>
          <w:tcPr>
            <w:tcW w:w="8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ind w:firstLine="219"/>
        <w:spacing w:after="0" w:line="235" w:lineRule="auto"/>
        <w:rPr>
          <w:sz w:val="20"/>
          <w:szCs w:val="20"/>
          <w:color w:val="auto"/>
        </w:rPr>
      </w:pPr>
      <w:r>
        <w:rPr>
          <w:rFonts w:ascii="Arial" w:cs="Arial" w:eastAsia="Arial" w:hAnsi="Arial"/>
          <w:sz w:val="14"/>
          <w:szCs w:val="14"/>
          <w:color w:val="auto"/>
        </w:rPr>
        <w:t>For the reasons described above under “Research and Development Expenses” for the three months ended September 30, 2011 and 2010,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will generate material product revenues and net cash inflows. In 2008, we received FDA approval for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treatment of CAPS, a group of rare, inherited auto-inflammatory diseases that affect a very small group of people. We currently do not expect to generate material product revenues and net cash inflows from the sale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treatment of CAPS.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Selling, General, and Administrative Expenses</w:t>
      </w:r>
    </w:p>
    <w:p>
      <w:pPr>
        <w:spacing w:after="0" w:line="234"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3"/>
          <w:szCs w:val="13"/>
          <w:color w:val="auto"/>
        </w:rPr>
        <w:t>Selling, general, and administrative expenses increased to $80.9 million in the first nine months of 2011 from $44.6 million for the same period of 2010 due primarily to increases in compensation expense and recruitment costs principally in connection with higher headcount in the first nine months of 2011, higher commercialization-related costs, primarily in connection with EYLEA</w:t>
      </w:r>
      <w:r>
        <w:rPr>
          <w:rFonts w:ascii="Arial" w:cs="Arial" w:eastAsia="Arial" w:hAnsi="Arial"/>
          <w:sz w:val="17"/>
          <w:szCs w:val="17"/>
          <w:color w:val="auto"/>
          <w:vertAlign w:val="superscript"/>
        </w:rPr>
        <w:t>TM</w:t>
      </w:r>
      <w:r>
        <w:rPr>
          <w:rFonts w:ascii="Arial" w:cs="Arial" w:eastAsia="Arial" w:hAnsi="Arial"/>
          <w:sz w:val="13"/>
          <w:szCs w:val="13"/>
          <w:color w:val="auto"/>
        </w:rPr>
        <w:t>, higher legal expenses in connection with patent-related litigation with Genentech, and an increase in Non-cash Compensation Expense for the reasons previously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Cost of Goods Sold</w:t>
      </w:r>
    </w:p>
    <w:p>
      <w:pPr>
        <w:spacing w:after="0" w:line="232" w:lineRule="exact"/>
        <w:rPr>
          <w:sz w:val="20"/>
          <w:szCs w:val="20"/>
          <w:color w:val="auto"/>
        </w:rPr>
      </w:pPr>
    </w:p>
    <w:p>
      <w:pPr>
        <w:jc w:val="both"/>
        <w:ind w:firstLine="252"/>
        <w:spacing w:after="0" w:line="226" w:lineRule="auto"/>
        <w:rPr>
          <w:sz w:val="20"/>
          <w:szCs w:val="20"/>
          <w:color w:val="auto"/>
        </w:rPr>
      </w:pPr>
      <w:r>
        <w:rPr>
          <w:rFonts w:ascii="Arial" w:cs="Arial" w:eastAsia="Arial" w:hAnsi="Arial"/>
          <w:sz w:val="14"/>
          <w:szCs w:val="14"/>
          <w:color w:val="auto"/>
        </w:rPr>
        <w:t>Cost of goods sold in the first nine months of 2011 and 2010 was $1.2 million and $1.5 million, respectively, and consisted primarily of royalties and other period costs related to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commercial supplies.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and Expense</w:t>
      </w:r>
    </w:p>
    <w:p>
      <w:pPr>
        <w:spacing w:after="0" w:line="234" w:lineRule="exact"/>
        <w:rPr>
          <w:sz w:val="20"/>
          <w:szCs w:val="20"/>
          <w:color w:val="auto"/>
        </w:rPr>
      </w:pPr>
    </w:p>
    <w:p>
      <w:pPr>
        <w:jc w:val="both"/>
        <w:ind w:firstLine="285"/>
        <w:spacing w:after="0" w:line="291" w:lineRule="auto"/>
        <w:rPr>
          <w:sz w:val="20"/>
          <w:szCs w:val="20"/>
          <w:color w:val="auto"/>
        </w:rPr>
      </w:pPr>
      <w:r>
        <w:rPr>
          <w:rFonts w:ascii="Arial" w:cs="Arial" w:eastAsia="Arial" w:hAnsi="Arial"/>
          <w:sz w:val="14"/>
          <w:szCs w:val="14"/>
          <w:color w:val="auto"/>
        </w:rPr>
        <w:t>Investment income increased to $2.8 million in the first nine months of 2011 from $1.5 million in the same period of 2010, due primarily to higher average balances of cash and marketable securities.</w:t>
      </w:r>
    </w:p>
    <w:p>
      <w:pPr>
        <w:spacing w:after="0" w:line="180" w:lineRule="exact"/>
        <w:rPr>
          <w:sz w:val="20"/>
          <w:szCs w:val="20"/>
          <w:color w:val="auto"/>
        </w:rPr>
      </w:pPr>
    </w:p>
    <w:p>
      <w:pPr>
        <w:jc w:val="both"/>
        <w:ind w:firstLine="219"/>
        <w:spacing w:after="0" w:line="276" w:lineRule="auto"/>
        <w:rPr>
          <w:sz w:val="20"/>
          <w:szCs w:val="20"/>
          <w:color w:val="auto"/>
        </w:rPr>
      </w:pPr>
      <w:r>
        <w:rPr>
          <w:rFonts w:ascii="Arial" w:cs="Arial" w:eastAsia="Arial" w:hAnsi="Arial"/>
          <w:sz w:val="14"/>
          <w:szCs w:val="14"/>
          <w:color w:val="auto"/>
        </w:rPr>
        <w:t>Interest expense increased to $11.8 million in the first nine months of 2011 from $6.7 million in the same period of 2010. Interest expense is primarily attributable to the imputed interest portion of payments to our landlord, commencing in the third quarter of 2009, to lease newly constructed laboratory and office facilities in Tarrytown, New York. In February 2011, we began occupying an additional new building in Tarrytown and, therefore, began recognizing interest expense on the related payments to our landlord.</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35" w:lineRule="exact"/>
        <w:rPr>
          <w:sz w:val="20"/>
          <w:szCs w:val="20"/>
          <w:color w:val="auto"/>
        </w:rPr>
      </w:pPr>
    </w:p>
    <w:p>
      <w:pPr>
        <w:jc w:val="both"/>
        <w:ind w:firstLine="230"/>
        <w:spacing w:after="0" w:line="285" w:lineRule="auto"/>
        <w:rPr>
          <w:sz w:val="20"/>
          <w:szCs w:val="20"/>
          <w:color w:val="auto"/>
        </w:rPr>
      </w:pPr>
      <w:r>
        <w:rPr>
          <w:rFonts w:ascii="Arial" w:cs="Arial" w:eastAsia="Arial" w:hAnsi="Arial"/>
          <w:sz w:val="14"/>
          <w:szCs w:val="14"/>
          <w:color w:val="auto"/>
        </w:rPr>
        <w:t>Since our inception in 1988, we have financed our operations primarily through offerings of our equity securities, private placements of convertible debt, purchases of our equity securities by our collaborators, including Sanofi, revenue earned under our past and present research and development agreements, including our agreements with Sanofi and Bayer HealthCare, our past contract manufacturing agreements, our technology licensing agreements,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product revenue, and investment income.</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i w:val="1"/>
          <w:iCs w:val="1"/>
          <w:color w:val="auto"/>
        </w:rPr>
        <w:t>Nine months ended September 30, 2011 and 2010</w:t>
      </w:r>
    </w:p>
    <w:p>
      <w:pPr>
        <w:spacing w:after="0" w:line="234" w:lineRule="exact"/>
        <w:rPr>
          <w:sz w:val="20"/>
          <w:szCs w:val="20"/>
          <w:color w:val="auto"/>
        </w:rPr>
      </w:pPr>
    </w:p>
    <w:p>
      <w:pPr>
        <w:jc w:val="both"/>
        <w:ind w:firstLine="274"/>
        <w:spacing w:after="0" w:line="278" w:lineRule="auto"/>
        <w:rPr>
          <w:sz w:val="20"/>
          <w:szCs w:val="20"/>
          <w:color w:val="auto"/>
        </w:rPr>
      </w:pPr>
      <w:r>
        <w:rPr>
          <w:rFonts w:ascii="Arial" w:cs="Arial" w:eastAsia="Arial" w:hAnsi="Arial"/>
          <w:sz w:val="14"/>
          <w:szCs w:val="14"/>
          <w:color w:val="auto"/>
        </w:rPr>
        <w:t>At September 30, 2011, we had $511.7 million in cash, cash equivalents, and marketable securities (including $8.2 million of restricted cash and marketable securities) compared with $626.9 million at December 31, 2010 (including $7.5 million of restricted cash and marketable securities). In addition, as described below, in October 2011, we completed an offering of $400 million aggregate principal amount of convertible senior notes.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(Used in) Provided by Operating Activities</w:t>
      </w:r>
    </w:p>
    <w:p>
      <w:pPr>
        <w:spacing w:after="0" w:line="234" w:lineRule="exact"/>
        <w:rPr>
          <w:sz w:val="20"/>
          <w:szCs w:val="20"/>
          <w:color w:val="auto"/>
        </w:rPr>
      </w:pPr>
    </w:p>
    <w:p>
      <w:pPr>
        <w:jc w:val="both"/>
        <w:ind w:firstLine="241"/>
        <w:spacing w:after="0" w:line="276" w:lineRule="auto"/>
        <w:rPr>
          <w:sz w:val="20"/>
          <w:szCs w:val="20"/>
          <w:color w:val="auto"/>
        </w:rPr>
      </w:pPr>
      <w:r>
        <w:rPr>
          <w:rFonts w:ascii="Arial" w:cs="Arial" w:eastAsia="Arial" w:hAnsi="Arial"/>
          <w:sz w:val="14"/>
          <w:szCs w:val="14"/>
          <w:color w:val="auto"/>
        </w:rPr>
        <w:t>Net cash used in operating activities was $91.4 million in the first nine months of 2011 and net cash provided by operating activities was $140.1 million in the first nine months of 2010. Our net losses of $168.3 million in the first nine months of 2011 and $89.9 million in the first nine months of 2010 included $40.6 million and $26.3 million, respectively, of Non-cash Compensation Expense. Our net losses also included depreciation and amortization of $23.2 million and $13.6 million in the first nine months of 2011 and 2010, respectively.</w:t>
      </w:r>
    </w:p>
    <w:p>
      <w:pPr>
        <w:spacing w:after="0" w:line="191" w:lineRule="exact"/>
        <w:rPr>
          <w:sz w:val="20"/>
          <w:szCs w:val="20"/>
          <w:color w:val="auto"/>
        </w:rPr>
      </w:pPr>
    </w:p>
    <w:p>
      <w:pPr>
        <w:jc w:val="both"/>
        <w:ind w:firstLine="241"/>
        <w:spacing w:after="0" w:line="246" w:lineRule="auto"/>
        <w:rPr>
          <w:sz w:val="20"/>
          <w:szCs w:val="20"/>
          <w:color w:val="auto"/>
        </w:rPr>
      </w:pPr>
      <w:r>
        <w:rPr>
          <w:rFonts w:ascii="Arial" w:cs="Arial" w:eastAsia="Arial" w:hAnsi="Arial"/>
          <w:sz w:val="14"/>
          <w:szCs w:val="14"/>
          <w:color w:val="auto"/>
        </w:rPr>
        <w:t>At September 30, 2011, accounts receivable decreased by $14.7 million, compared to end-of-year 2010, primarily due to the receipt of the $10.0 million milestone payment in January 2011 from Bayer HealthCare, which was earned in 2010 in connection with the COPERNICUS study of EYLEA</w:t>
      </w:r>
      <w:r>
        <w:rPr>
          <w:rFonts w:ascii="Arial" w:cs="Arial" w:eastAsia="Arial" w:hAnsi="Arial"/>
          <w:sz w:val="20"/>
          <w:szCs w:val="20"/>
          <w:color w:val="auto"/>
          <w:vertAlign w:val="superscript"/>
        </w:rPr>
        <w:t>TM</w:t>
      </w:r>
      <w:r>
        <w:rPr>
          <w:rFonts w:ascii="Arial" w:cs="Arial" w:eastAsia="Arial" w:hAnsi="Arial"/>
          <w:sz w:val="14"/>
          <w:szCs w:val="14"/>
          <w:color w:val="auto"/>
        </w:rPr>
        <w:t xml:space="preserve"> in CRVO. Prepaid expenses and other assets increased by $6.3 million, compared to end-of-year 2010, primarily due to an increase in capitalized inventories. Our deferred revenue at September 30, 2011 decreased by $32.5 million, compared to end-of-year 2010, primarily due to the amortization of previously received and deferred $20.0 million payments under our license agreements with AstraZeneca and Astellas, as well as amortization of previously received deferred payments under our Sanofi and Bayer HealthCare collaborations. Accounts payable, accrued expenses, and other liabilities increased by $35.3 million at September 30, 2011, compared to end-of-year 2010, due primarily to higher payroll-related liabilities.</w:t>
      </w:r>
    </w:p>
    <w:p>
      <w:pPr>
        <w:spacing w:after="0" w:line="212" w:lineRule="exact"/>
        <w:rPr>
          <w:sz w:val="20"/>
          <w:szCs w:val="20"/>
          <w:color w:val="auto"/>
        </w:rPr>
      </w:pPr>
    </w:p>
    <w:p>
      <w:pPr>
        <w:jc w:val="both"/>
        <w:ind w:firstLine="274"/>
        <w:spacing w:after="0" w:line="289" w:lineRule="auto"/>
        <w:rPr>
          <w:sz w:val="20"/>
          <w:szCs w:val="20"/>
          <w:color w:val="auto"/>
        </w:rPr>
      </w:pPr>
      <w:r>
        <w:rPr>
          <w:rFonts w:ascii="Arial" w:cs="Arial" w:eastAsia="Arial" w:hAnsi="Arial"/>
          <w:sz w:val="13"/>
          <w:szCs w:val="13"/>
          <w:color w:val="auto"/>
        </w:rPr>
        <w:t>At September 30, 2010, accounts receivable increased by $16.7 million, compared to end-of-year 2009, primarily due to a higher receivable balance related to our antibody collaboration with Sanofi. Also, our deferred revenue balances at September 30, 2010 increased by $172.7 million, compared to end-of-year 2009, primarily due to (i) the receipt of the $165.0 million up-front payment from Astellas, as described above, which was deferred and will be recognized ratably over the seven-year period that commenced in mid-2011, (ii) the receipt of the $20.0 million annual payments from AstraZeneca and Astellas in the first half of 2010, which were deferred and recognized ratably over the ensuing year, and (iii) Sanofi’s funding of $21.1 million of agreed-upon costs incurred by us during the first nine months of 2010 to expand our manufacturing capacity at our Rensselaer facilities, which was deferred and is being recognized as collaboration revenue prospectively over the related performance period in conjunction with the original $85.0 million up-front payment received from Sanofi. These increases were partially offset by amortization of previously received deferred payments under our Sanofi and Bayer HealthCare collaborations. At September 30, 2010, accounts payable, accrued expenses, and other liabilities increased by $28.0 million, compared to end-of-year 2009, primarily in connection with our expanded levels of activities and expenditures, including higher liabilities for payroll and related costs and clinical trial expenses.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Provided by (Used in) Investing Activities</w:t>
      </w:r>
    </w:p>
    <w:p>
      <w:pPr>
        <w:spacing w:after="0" w:line="234"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4"/>
          <w:szCs w:val="14"/>
          <w:color w:val="auto"/>
        </w:rPr>
        <w:t>Net cash provided by investing activities was $162.4 million in the first nine months of 2011, compared with net cash used in investing activities of $82.4 million in the first nine months of 2010. In the first nine months of 2011, sales or maturities of marketable securities exceeded purchases by $209.0 million, whereas in the first nine months of 2010, purchases of marketable securities exceeded sales or maturities by $13.2 million. Capital expenditures in the first nine months of 2011 and 2010 included costs in connection with expanding our manufacturing capacity at our Rensselaer, New York facilities and tenant improvements and related costs in connection with our leased facilities in Tarrytown, New York.</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7" w:right="219" w:bottom="1440" w:gutter="0" w:footer="0" w:header="0"/>
        </w:sectPr>
      </w:pPr>
    </w:p>
    <w:bookmarkStart w:id="42" w:name="page43"/>
    <w:bookmarkEnd w:id="42"/>
    <w:p>
      <w:pPr>
        <w:spacing w:after="0"/>
        <w:rPr>
          <w:sz w:val="20"/>
          <w:szCs w:val="20"/>
          <w:color w:val="auto"/>
        </w:rPr>
      </w:pPr>
      <w:r>
        <w:rPr>
          <w:rFonts w:ascii="Arial" w:cs="Arial" w:eastAsia="Arial" w:hAnsi="Arial"/>
          <w:sz w:val="14"/>
          <w:szCs w:val="14"/>
          <w:i w:val="1"/>
          <w:iCs w:val="1"/>
          <w:color w:val="auto"/>
        </w:rPr>
        <w:t>Cash Provided by Financing Activities</w:t>
      </w:r>
    </w:p>
    <w:p>
      <w:pPr>
        <w:spacing w:after="0" w:line="234"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4"/>
          <w:szCs w:val="14"/>
          <w:color w:val="auto"/>
        </w:rPr>
        <w:t>Net cash provided by financing activities was $22.8 million in the first nine months of 2011 and $60.5 million in the first nine months of 2010. In the first nine months of 2010, we received $47.5 million from our landlord in connection with tenant improvement costs for our new Tarrytown facilities, which we recognized as additional facility lease obligations since we are deemed to own these facilities in accordance with Financial Accounting Standards Board (FASB) authoritative guidance. In addition, proceeds from issuances of Common Stock in connection with exercises of employee stock options were $24.0 million in the first nine months of 2011 and $13.8 million in the first nine months of 2010.</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of Marketable Securities</w:t>
      </w:r>
    </w:p>
    <w:p>
      <w:pPr>
        <w:spacing w:after="0" w:line="231" w:lineRule="exact"/>
        <w:rPr>
          <w:sz w:val="20"/>
          <w:szCs w:val="20"/>
          <w:color w:val="auto"/>
        </w:rPr>
      </w:pPr>
    </w:p>
    <w:p>
      <w:pPr>
        <w:jc w:val="both"/>
        <w:ind w:firstLine="230"/>
        <w:spacing w:after="0" w:line="296" w:lineRule="auto"/>
        <w:rPr>
          <w:sz w:val="20"/>
          <w:szCs w:val="20"/>
          <w:color w:val="auto"/>
        </w:rPr>
      </w:pPr>
      <w:r>
        <w:rPr>
          <w:rFonts w:ascii="Arial" w:cs="Arial" w:eastAsia="Arial" w:hAnsi="Arial"/>
          <w:sz w:val="14"/>
          <w:szCs w:val="14"/>
          <w:color w:val="auto"/>
        </w:rPr>
        <w:t>At September 30, 2011 and December 31, 2010, we held marketable securities whose aggregate fair value totaled $304.4 million and $513.9 million, respectively. The composition of our portfolio of marketable securities on these dates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5"/>
          </w:tcPr>
          <w:p>
            <w:pPr>
              <w:ind w:left="80"/>
              <w:spacing w:after="0"/>
              <w:rPr>
                <w:sz w:val="20"/>
                <w:szCs w:val="20"/>
                <w:color w:val="auto"/>
              </w:rPr>
            </w:pPr>
            <w:r>
              <w:rPr>
                <w:rFonts w:ascii="Arial" w:cs="Arial" w:eastAsia="Arial" w:hAnsi="Arial"/>
                <w:sz w:val="14"/>
                <w:szCs w:val="14"/>
                <w:b w:val="1"/>
                <w:bCs w:val="1"/>
                <w:color w:val="auto"/>
              </w:rPr>
              <w:t>September 30, 2011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w w:val="98"/>
              </w:rPr>
              <w:t>December 31, 2010</w:t>
            </w:r>
          </w:p>
        </w:tc>
        <w:tc>
          <w:tcPr>
            <w:tcW w:w="0" w:type="dxa"/>
            <w:vAlign w:val="bottom"/>
          </w:tcPr>
          <w:p>
            <w:pPr>
              <w:spacing w:after="0"/>
              <w:rPr>
                <w:sz w:val="1"/>
                <w:szCs w:val="1"/>
                <w:color w:val="auto"/>
              </w:rPr>
            </w:pPr>
          </w:p>
        </w:tc>
      </w:tr>
      <w:tr>
        <w:trPr>
          <w:trHeight w:val="191"/>
        </w:trPr>
        <w:tc>
          <w:tcPr>
            <w:tcW w:w="8380" w:type="dxa"/>
            <w:vAlign w:val="bottom"/>
          </w:tcPr>
          <w:p>
            <w:pPr>
              <w:spacing w:after="0"/>
              <w:rPr>
                <w:sz w:val="20"/>
                <w:szCs w:val="20"/>
                <w:color w:val="auto"/>
              </w:rPr>
            </w:pPr>
            <w:r>
              <w:rPr>
                <w:rFonts w:ascii="Arial" w:cs="Arial" w:eastAsia="Arial" w:hAnsi="Arial"/>
                <w:sz w:val="14"/>
                <w:szCs w:val="14"/>
                <w:b w:val="1"/>
                <w:bCs w:val="1"/>
                <w:color w:val="auto"/>
              </w:rPr>
              <w:t>Investment type</w:t>
            </w:r>
          </w:p>
        </w:tc>
        <w:tc>
          <w:tcPr>
            <w:tcW w:w="220" w:type="dxa"/>
            <w:vAlign w:val="bottom"/>
          </w:tcPr>
          <w:p>
            <w:pPr>
              <w:spacing w:after="0"/>
              <w:rPr>
                <w:sz w:val="16"/>
                <w:szCs w:val="16"/>
                <w:color w:val="auto"/>
              </w:rPr>
            </w:pPr>
          </w:p>
        </w:tc>
        <w:tc>
          <w:tcPr>
            <w:tcW w:w="86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Percent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Percent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3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4"/>
                <w:szCs w:val="14"/>
                <w:i w:val="1"/>
                <w:iCs w:val="1"/>
                <w:color w:val="auto"/>
              </w:rPr>
              <w:t>Unrestricted</w:t>
            </w:r>
          </w:p>
        </w:tc>
        <w:tc>
          <w:tcPr>
            <w:tcW w:w="220" w:type="dxa"/>
            <w:vAlign w:val="bottom"/>
            <w:tcBorders>
              <w:top w:val="single" w:sz="8" w:color="C0C0C0"/>
            </w:tcBorders>
            <w:shd w:val="clear" w:color="auto" w:fill="C0C0C0"/>
          </w:tcPr>
          <w:p>
            <w:pPr>
              <w:spacing w:after="0"/>
              <w:rPr>
                <w:sz w:val="16"/>
                <w:szCs w:val="16"/>
                <w:color w:val="auto"/>
              </w:rPr>
            </w:pPr>
          </w:p>
        </w:tc>
        <w:tc>
          <w:tcPr>
            <w:tcW w:w="200" w:type="dxa"/>
            <w:vAlign w:val="bottom"/>
            <w:tcBorders>
              <w:top w:val="single" w:sz="8" w:color="auto"/>
            </w:tcBorders>
            <w:shd w:val="clear" w:color="auto" w:fill="C0C0C0"/>
          </w:tcPr>
          <w:p>
            <w:pPr>
              <w:spacing w:after="0"/>
              <w:rPr>
                <w:sz w:val="16"/>
                <w:szCs w:val="16"/>
                <w:color w:val="auto"/>
              </w:rPr>
            </w:pPr>
          </w:p>
        </w:tc>
        <w:tc>
          <w:tcPr>
            <w:tcW w:w="440" w:type="dxa"/>
            <w:vAlign w:val="bottom"/>
            <w:tcBorders>
              <w:top w:val="single" w:sz="8" w:color="auto"/>
            </w:tcBorders>
            <w:shd w:val="clear" w:color="auto" w:fill="C0C0C0"/>
          </w:tcPr>
          <w:p>
            <w:pPr>
              <w:spacing w:after="0"/>
              <w:rPr>
                <w:sz w:val="16"/>
                <w:szCs w:val="16"/>
                <w:color w:val="auto"/>
              </w:rPr>
            </w:pPr>
          </w:p>
        </w:tc>
        <w:tc>
          <w:tcPr>
            <w:tcW w:w="220" w:type="dxa"/>
            <w:vAlign w:val="bottom"/>
            <w:tcBorders>
              <w:top w:val="single" w:sz="8" w:color="C0C0C0"/>
            </w:tcBorders>
            <w:shd w:val="clear" w:color="auto" w:fill="C0C0C0"/>
          </w:tcPr>
          <w:p>
            <w:pPr>
              <w:spacing w:after="0"/>
              <w:rPr>
                <w:sz w:val="16"/>
                <w:szCs w:val="16"/>
                <w:color w:val="auto"/>
              </w:rPr>
            </w:pPr>
          </w:p>
        </w:tc>
        <w:tc>
          <w:tcPr>
            <w:tcW w:w="460" w:type="dxa"/>
            <w:vAlign w:val="bottom"/>
            <w:tcBorders>
              <w:top w:val="single" w:sz="8" w:color="auto"/>
            </w:tcBorders>
            <w:shd w:val="clear" w:color="auto" w:fill="C0C0C0"/>
          </w:tcPr>
          <w:p>
            <w:pPr>
              <w:spacing w:after="0"/>
              <w:rPr>
                <w:sz w:val="16"/>
                <w:szCs w:val="16"/>
                <w:color w:val="auto"/>
              </w:rPr>
            </w:pPr>
          </w:p>
        </w:tc>
        <w:tc>
          <w:tcPr>
            <w:tcW w:w="120" w:type="dxa"/>
            <w:vAlign w:val="bottom"/>
            <w:tcBorders>
              <w:top w:val="single" w:sz="8" w:color="C0C0C0"/>
            </w:tcBorders>
            <w:shd w:val="clear" w:color="auto" w:fill="C0C0C0"/>
          </w:tcPr>
          <w:p>
            <w:pPr>
              <w:spacing w:after="0"/>
              <w:rPr>
                <w:sz w:val="16"/>
                <w:szCs w:val="16"/>
                <w:color w:val="auto"/>
              </w:rPr>
            </w:pPr>
          </w:p>
        </w:tc>
        <w:tc>
          <w:tcPr>
            <w:tcW w:w="100" w:type="dxa"/>
            <w:vAlign w:val="bottom"/>
            <w:tcBorders>
              <w:top w:val="single" w:sz="8" w:color="C0C0C0"/>
            </w:tcBorders>
            <w:shd w:val="clear" w:color="auto" w:fill="C0C0C0"/>
          </w:tcPr>
          <w:p>
            <w:pPr>
              <w:spacing w:after="0"/>
              <w:rPr>
                <w:sz w:val="16"/>
                <w:szCs w:val="16"/>
                <w:color w:val="auto"/>
              </w:rPr>
            </w:pPr>
          </w:p>
        </w:tc>
        <w:tc>
          <w:tcPr>
            <w:tcW w:w="80" w:type="dxa"/>
            <w:vAlign w:val="bottom"/>
            <w:tcBorders>
              <w:top w:val="single" w:sz="8" w:color="auto"/>
            </w:tcBorders>
            <w:shd w:val="clear" w:color="auto" w:fill="C0C0C0"/>
          </w:tcPr>
          <w:p>
            <w:pPr>
              <w:spacing w:after="0"/>
              <w:rPr>
                <w:sz w:val="16"/>
                <w:szCs w:val="16"/>
                <w:color w:val="auto"/>
              </w:rPr>
            </w:pPr>
          </w:p>
        </w:tc>
        <w:tc>
          <w:tcPr>
            <w:tcW w:w="560" w:type="dxa"/>
            <w:vAlign w:val="bottom"/>
            <w:tcBorders>
              <w:top w:val="single" w:sz="8" w:color="auto"/>
            </w:tcBorders>
            <w:shd w:val="clear" w:color="auto" w:fill="C0C0C0"/>
          </w:tcPr>
          <w:p>
            <w:pPr>
              <w:spacing w:after="0"/>
              <w:rPr>
                <w:sz w:val="16"/>
                <w:szCs w:val="16"/>
                <w:color w:val="auto"/>
              </w:rPr>
            </w:pPr>
          </w:p>
        </w:tc>
        <w:tc>
          <w:tcPr>
            <w:tcW w:w="220" w:type="dxa"/>
            <w:vAlign w:val="bottom"/>
            <w:tcBorders>
              <w:top w:val="single" w:sz="8" w:color="C0C0C0"/>
            </w:tcBorders>
            <w:shd w:val="clear" w:color="auto" w:fill="C0C0C0"/>
          </w:tcPr>
          <w:p>
            <w:pPr>
              <w:spacing w:after="0"/>
              <w:rPr>
                <w:sz w:val="16"/>
                <w:szCs w:val="16"/>
                <w:color w:val="auto"/>
              </w:rPr>
            </w:pPr>
          </w:p>
        </w:tc>
        <w:tc>
          <w:tcPr>
            <w:tcW w:w="460" w:type="dxa"/>
            <w:vAlign w:val="bottom"/>
            <w:tcBorders>
              <w:top w:val="single" w:sz="8" w:color="auto"/>
            </w:tcBorders>
            <w:shd w:val="clear" w:color="auto" w:fill="C0C0C0"/>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380" w:type="dxa"/>
            <w:vAlign w:val="bottom"/>
          </w:tcPr>
          <w:p>
            <w:pPr>
              <w:spacing w:after="0"/>
              <w:rPr>
                <w:sz w:val="20"/>
                <w:szCs w:val="20"/>
                <w:color w:val="auto"/>
              </w:rPr>
            </w:pPr>
            <w:r>
              <w:rPr>
                <w:rFonts w:ascii="Arial" w:cs="Arial" w:eastAsia="Arial" w:hAnsi="Arial"/>
                <w:sz w:val="14"/>
                <w:szCs w:val="14"/>
                <w:color w:val="auto"/>
              </w:rPr>
              <w:t>U.S. government obligations</w:t>
            </w:r>
          </w:p>
        </w:tc>
        <w:tc>
          <w:tcPr>
            <w:tcW w:w="4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241.5</w:t>
            </w:r>
          </w:p>
        </w:tc>
        <w:tc>
          <w:tcPr>
            <w:tcW w:w="460" w:type="dxa"/>
            <w:vAlign w:val="bottom"/>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6"/>
                <w:szCs w:val="16"/>
                <w:color w:val="auto"/>
              </w:rPr>
            </w:pP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434.4</w:t>
            </w:r>
          </w:p>
        </w:tc>
        <w:tc>
          <w:tcPr>
            <w:tcW w:w="460" w:type="dxa"/>
            <w:vAlign w:val="bottom"/>
          </w:tcPr>
          <w:p>
            <w:pPr>
              <w:jc w:val="right"/>
              <w:spacing w:after="0"/>
              <w:rPr>
                <w:sz w:val="20"/>
                <w:szCs w:val="20"/>
                <w:color w:val="auto"/>
              </w:rPr>
            </w:pPr>
            <w:r>
              <w:rPr>
                <w:rFonts w:ascii="Arial" w:cs="Arial" w:eastAsia="Arial" w:hAnsi="Arial"/>
                <w:sz w:val="14"/>
                <w:szCs w:val="14"/>
                <w:color w:val="auto"/>
              </w:rPr>
              <w:t>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380" w:type="dxa"/>
            <w:vAlign w:val="bottom"/>
            <w:shd w:val="clear" w:color="auto" w:fill="C0C0C0"/>
          </w:tcPr>
          <w:p>
            <w:pPr>
              <w:spacing w:after="0"/>
              <w:rPr>
                <w:sz w:val="20"/>
                <w:szCs w:val="20"/>
                <w:color w:val="auto"/>
              </w:rPr>
            </w:pPr>
            <w:r>
              <w:rPr>
                <w:rFonts w:ascii="Arial" w:cs="Arial" w:eastAsia="Arial" w:hAnsi="Arial"/>
                <w:sz w:val="14"/>
                <w:szCs w:val="14"/>
                <w:color w:val="auto"/>
              </w:rPr>
              <w:t>U.S. government guaranteed corporate bonds</w:t>
            </w:r>
          </w:p>
        </w:tc>
        <w:tc>
          <w:tcPr>
            <w:tcW w:w="22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36.8</w:t>
            </w:r>
          </w:p>
        </w:tc>
        <w:tc>
          <w:tcPr>
            <w:tcW w:w="4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78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64.0</w:t>
            </w:r>
          </w:p>
        </w:tc>
        <w:tc>
          <w:tcPr>
            <w:tcW w:w="4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380" w:type="dxa"/>
            <w:vAlign w:val="bottom"/>
          </w:tcPr>
          <w:p>
            <w:pPr>
              <w:spacing w:after="0"/>
              <w:rPr>
                <w:sz w:val="20"/>
                <w:szCs w:val="20"/>
                <w:color w:val="auto"/>
              </w:rPr>
            </w:pPr>
            <w:r>
              <w:rPr>
                <w:rFonts w:ascii="Arial" w:cs="Arial" w:eastAsia="Arial" w:hAnsi="Arial"/>
                <w:sz w:val="14"/>
                <w:szCs w:val="14"/>
                <w:color w:val="auto"/>
              </w:rPr>
              <w:t>Municipal bonds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14.7</w:t>
            </w:r>
          </w:p>
        </w:tc>
        <w:tc>
          <w:tcPr>
            <w:tcW w:w="4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1.6</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380" w:type="dxa"/>
            <w:vAlign w:val="bottom"/>
            <w:shd w:val="clear" w:color="auto" w:fill="C0C0C0"/>
          </w:tcPr>
          <w:p>
            <w:pPr>
              <w:spacing w:after="0"/>
              <w:rPr>
                <w:sz w:val="20"/>
                <w:szCs w:val="20"/>
                <w:color w:val="auto"/>
              </w:rPr>
            </w:pPr>
            <w:r>
              <w:rPr>
                <w:rFonts w:ascii="Arial" w:cs="Arial" w:eastAsia="Arial" w:hAnsi="Arial"/>
                <w:sz w:val="14"/>
                <w:szCs w:val="14"/>
                <w:color w:val="auto"/>
              </w:rPr>
              <w:t>Equity securities</w:t>
            </w:r>
          </w:p>
        </w:tc>
        <w:tc>
          <w:tcPr>
            <w:tcW w:w="22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3.1</w:t>
            </w:r>
          </w:p>
        </w:tc>
        <w:tc>
          <w:tcPr>
            <w:tcW w:w="4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78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3.6</w:t>
            </w:r>
          </w:p>
        </w:tc>
        <w:tc>
          <w:tcPr>
            <w:tcW w:w="4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8380" w:type="dxa"/>
            <w:vAlign w:val="bottom"/>
          </w:tcPr>
          <w:p>
            <w:pPr>
              <w:spacing w:after="0"/>
              <w:rPr>
                <w:sz w:val="20"/>
                <w:szCs w:val="20"/>
                <w:color w:val="auto"/>
              </w:rPr>
            </w:pPr>
            <w:r>
              <w:rPr>
                <w:rFonts w:ascii="Arial" w:cs="Arial" w:eastAsia="Arial" w:hAnsi="Arial"/>
                <w:sz w:val="14"/>
                <w:szCs w:val="14"/>
                <w:color w:val="auto"/>
              </w:rPr>
              <w:t>U.S. government guaranteed collateralized mortgage</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380" w:type="dxa"/>
            <w:vAlign w:val="bottom"/>
          </w:tcPr>
          <w:p>
            <w:pPr>
              <w:ind w:left="260"/>
              <w:spacing w:after="0"/>
              <w:rPr>
                <w:sz w:val="20"/>
                <w:szCs w:val="20"/>
                <w:color w:val="auto"/>
              </w:rPr>
            </w:pPr>
            <w:r>
              <w:rPr>
                <w:rFonts w:ascii="Arial" w:cs="Arial" w:eastAsia="Arial" w:hAnsi="Arial"/>
                <w:sz w:val="14"/>
                <w:szCs w:val="14"/>
                <w:color w:val="auto"/>
              </w:rPr>
              <w:t>obligations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1.0</w:t>
            </w:r>
          </w:p>
        </w:tc>
        <w:tc>
          <w:tcPr>
            <w:tcW w:w="4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2.1</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380" w:type="dxa"/>
            <w:vAlign w:val="bottom"/>
            <w:shd w:val="clear" w:color="auto" w:fill="C0C0C0"/>
          </w:tcPr>
          <w:p>
            <w:pPr>
              <w:spacing w:after="0"/>
              <w:rPr>
                <w:sz w:val="20"/>
                <w:szCs w:val="20"/>
                <w:color w:val="auto"/>
              </w:rPr>
            </w:pPr>
            <w:r>
              <w:rPr>
                <w:rFonts w:ascii="Arial" w:cs="Arial" w:eastAsia="Arial" w:hAnsi="Arial"/>
                <w:sz w:val="14"/>
                <w:szCs w:val="14"/>
                <w:color w:val="auto"/>
              </w:rPr>
              <w:t>Mortgage-backed securities</w:t>
            </w:r>
          </w:p>
        </w:tc>
        <w:tc>
          <w:tcPr>
            <w:tcW w:w="2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6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0.1</w:t>
            </w:r>
          </w:p>
        </w:tc>
        <w:tc>
          <w:tcPr>
            <w:tcW w:w="46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78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1.1</w:t>
            </w:r>
          </w:p>
        </w:tc>
        <w:tc>
          <w:tcPr>
            <w:tcW w:w="46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vMerge w:val="restart"/>
          </w:tcPr>
          <w:p>
            <w:pPr>
              <w:ind w:left="260"/>
              <w:spacing w:after="0"/>
              <w:rPr>
                <w:sz w:val="20"/>
                <w:szCs w:val="20"/>
                <w:color w:val="auto"/>
              </w:rPr>
            </w:pPr>
            <w:r>
              <w:rPr>
                <w:rFonts w:ascii="Arial" w:cs="Arial" w:eastAsia="Arial" w:hAnsi="Arial"/>
                <w:sz w:val="14"/>
                <w:szCs w:val="14"/>
                <w:color w:val="auto"/>
              </w:rPr>
              <w:t>Total unrestricted marketable securities</w:t>
            </w: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3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297.2</w:t>
            </w:r>
          </w:p>
        </w:tc>
        <w:tc>
          <w:tcPr>
            <w:tcW w:w="460" w:type="dxa"/>
            <w:vAlign w:val="bottom"/>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506.8</w:t>
            </w:r>
          </w:p>
        </w:tc>
        <w:tc>
          <w:tcPr>
            <w:tcW w:w="460" w:type="dxa"/>
            <w:vAlign w:val="bottom"/>
          </w:tcPr>
          <w:p>
            <w:pPr>
              <w:jc w:val="right"/>
              <w:spacing w:after="0"/>
              <w:rPr>
                <w:sz w:val="20"/>
                <w:szCs w:val="20"/>
                <w:color w:val="auto"/>
              </w:rPr>
            </w:pPr>
            <w:r>
              <w:rPr>
                <w:rFonts w:ascii="Arial" w:cs="Arial" w:eastAsia="Arial" w:hAnsi="Arial"/>
                <w:sz w:val="14"/>
                <w:szCs w:val="14"/>
                <w:color w:val="auto"/>
              </w:rPr>
              <w:t>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38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Restricted</w:t>
            </w:r>
          </w:p>
        </w:tc>
        <w:tc>
          <w:tcPr>
            <w:tcW w:w="22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4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4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460" w:type="dxa"/>
            <w:vAlign w:val="bottom"/>
            <w:shd w:val="clear" w:color="auto" w:fill="C0C0C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380" w:type="dxa"/>
            <w:vAlign w:val="bottom"/>
          </w:tcPr>
          <w:p>
            <w:pPr>
              <w:spacing w:after="0"/>
              <w:rPr>
                <w:sz w:val="20"/>
                <w:szCs w:val="20"/>
                <w:color w:val="auto"/>
              </w:rPr>
            </w:pPr>
            <w:r>
              <w:rPr>
                <w:rFonts w:ascii="Arial" w:cs="Arial" w:eastAsia="Arial" w:hAnsi="Arial"/>
                <w:sz w:val="14"/>
                <w:szCs w:val="14"/>
                <w:color w:val="auto"/>
              </w:rPr>
              <w:t>U.S. government obligations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7.2</w:t>
            </w:r>
          </w:p>
        </w:tc>
        <w:tc>
          <w:tcPr>
            <w:tcW w:w="4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7.1</w:t>
            </w:r>
          </w:p>
        </w:tc>
        <w:tc>
          <w:tcPr>
            <w:tcW w:w="46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380" w:type="dxa"/>
            <w:vAlign w:val="bottom"/>
            <w:shd w:val="clear" w:color="auto" w:fill="C0C0C0"/>
          </w:tcPr>
          <w:p>
            <w:pPr>
              <w:ind w:left="260"/>
              <w:spacing w:after="0"/>
              <w:rPr>
                <w:sz w:val="20"/>
                <w:szCs w:val="20"/>
                <w:color w:val="auto"/>
              </w:rPr>
            </w:pPr>
            <w:r>
              <w:rPr>
                <w:rFonts w:ascii="Arial" w:cs="Arial" w:eastAsia="Arial" w:hAnsi="Arial"/>
                <w:sz w:val="14"/>
                <w:szCs w:val="14"/>
                <w:color w:val="auto"/>
              </w:rPr>
              <w:t>Total marketable securities</w:t>
            </w:r>
          </w:p>
        </w:tc>
        <w:tc>
          <w:tcPr>
            <w:tcW w:w="22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304.4</w:t>
            </w:r>
          </w:p>
        </w:tc>
        <w:tc>
          <w:tcPr>
            <w:tcW w:w="4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0C0C0"/>
          </w:tcPr>
          <w:p>
            <w:pPr>
              <w:spacing w:after="0"/>
              <w:rPr>
                <w:sz w:val="17"/>
                <w:szCs w:val="17"/>
                <w:color w:val="auto"/>
              </w:rPr>
            </w:pPr>
          </w:p>
        </w:tc>
        <w:tc>
          <w:tcPr>
            <w:tcW w:w="180" w:type="dxa"/>
            <w:vAlign w:val="bottom"/>
            <w:gridSpan w:val="2"/>
            <w:shd w:val="clear" w:color="auto" w:fill="C0C0C0"/>
          </w:tcPr>
          <w:p>
            <w:pPr>
              <w:ind w:left="100"/>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513.9</w:t>
            </w:r>
          </w:p>
        </w:tc>
        <w:tc>
          <w:tcPr>
            <w:tcW w:w="4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838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ind w:firstLine="230"/>
        <w:spacing w:after="0" w:line="291" w:lineRule="auto"/>
        <w:rPr>
          <w:sz w:val="20"/>
          <w:szCs w:val="20"/>
          <w:color w:val="auto"/>
        </w:rPr>
      </w:pPr>
      <w:r>
        <w:rPr>
          <w:rFonts w:ascii="Arial" w:cs="Arial" w:eastAsia="Arial" w:hAnsi="Arial"/>
          <w:sz w:val="14"/>
          <w:szCs w:val="14"/>
          <w:color w:val="auto"/>
        </w:rPr>
        <w:t>In addition, at September 30, 2011 and December 31, 2010, we had $207.3 million and $113.0 million, respectively, of cash, cash equivalents, and restricted cash, primarily held in money market funds that invest in U.S. government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Capital Expenditures</w:t>
      </w:r>
    </w:p>
    <w:p>
      <w:pPr>
        <w:spacing w:after="0" w:line="234" w:lineRule="exact"/>
        <w:rPr>
          <w:sz w:val="20"/>
          <w:szCs w:val="20"/>
          <w:color w:val="auto"/>
        </w:rPr>
      </w:pPr>
    </w:p>
    <w:p>
      <w:pPr>
        <w:jc w:val="both"/>
        <w:ind w:firstLine="263"/>
        <w:spacing w:after="0" w:line="271" w:lineRule="auto"/>
        <w:rPr>
          <w:sz w:val="20"/>
          <w:szCs w:val="20"/>
          <w:color w:val="auto"/>
        </w:rPr>
      </w:pPr>
      <w:r>
        <w:rPr>
          <w:rFonts w:ascii="Arial" w:cs="Arial" w:eastAsia="Arial" w:hAnsi="Arial"/>
          <w:sz w:val="14"/>
          <w:szCs w:val="14"/>
          <w:color w:val="auto"/>
        </w:rPr>
        <w:t>Our cash expenditures for property, plant, and equipment totaled $45.9 million and $67.4 million for the first nine months of 2011 and 2010, respectively. In February 2010, we received $47.5 million from our landlord in connection with tenant improvement costs in Tarrytown. In addition, Sanofi has funded $3.0 million and $21.1 million, respectively, of agreed-upon capital expenditures incurred by us during the first nine months of 2011 and 2010 to expand our manufacturing capacity at our Rensselaer facilities, which was either received or receivable at September 30, 2011 and 2010.</w:t>
      </w:r>
    </w:p>
    <w:p>
      <w:pPr>
        <w:spacing w:after="0" w:line="194" w:lineRule="exact"/>
        <w:rPr>
          <w:sz w:val="20"/>
          <w:szCs w:val="20"/>
          <w:color w:val="auto"/>
        </w:rPr>
      </w:pPr>
    </w:p>
    <w:p>
      <w:pPr>
        <w:jc w:val="both"/>
        <w:ind w:firstLine="263"/>
        <w:spacing w:after="0" w:line="276" w:lineRule="auto"/>
        <w:rPr>
          <w:sz w:val="20"/>
          <w:szCs w:val="20"/>
          <w:color w:val="auto"/>
        </w:rPr>
      </w:pPr>
      <w:r>
        <w:rPr>
          <w:rFonts w:ascii="Arial" w:cs="Arial" w:eastAsia="Arial" w:hAnsi="Arial"/>
          <w:sz w:val="14"/>
          <w:szCs w:val="14"/>
          <w:color w:val="auto"/>
        </w:rPr>
        <w:t>We expect to incur capital expenditures of approximately $10 to $20 million during the remainder of 2011 primarily in connection with tenant improvements at our leased Tarrytown facilities, capital improvements at our Rensselaer, New York manufacturing facilities, and purchases of equipment. We expect to be reimbursed for a portion of these capital expenditures for our Rensselaer facilities by Sanofi, with the remaining amount to be funded by our existing capital resources.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Offering of Convertible Senior Notes</w:t>
      </w:r>
    </w:p>
    <w:p>
      <w:pPr>
        <w:spacing w:after="0" w:line="234" w:lineRule="exact"/>
        <w:rPr>
          <w:sz w:val="20"/>
          <w:szCs w:val="20"/>
          <w:color w:val="auto"/>
        </w:rPr>
      </w:pPr>
    </w:p>
    <w:p>
      <w:pPr>
        <w:jc w:val="both"/>
        <w:ind w:firstLine="219"/>
        <w:spacing w:after="0" w:line="278" w:lineRule="auto"/>
        <w:rPr>
          <w:sz w:val="20"/>
          <w:szCs w:val="20"/>
          <w:color w:val="auto"/>
        </w:rPr>
      </w:pPr>
      <w:r>
        <w:rPr>
          <w:rFonts w:ascii="Arial" w:cs="Arial" w:eastAsia="Arial" w:hAnsi="Arial"/>
          <w:sz w:val="14"/>
          <w:szCs w:val="14"/>
          <w:color w:val="auto"/>
        </w:rPr>
        <w:t>On October 17, 2011, we announced an offering of $400 million aggregate principal amount of 1.875% convertible senior notes due October 1, 2016. The offering closed on October 21, 2011. The initial purchaser of the notes has a 13-day option to purchase up to an additional $60 million aggregate principal amount of notes on the same terms and conditions. The notes were offered by the initial purchaser only to qualified institutional buyers pursuant to Rule 144A under the Securities Act of 1933.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7" w:right="219" w:bottom="1440" w:gutter="0" w:footer="0" w:header="0"/>
        </w:sectPr>
      </w:pPr>
    </w:p>
    <w:bookmarkStart w:id="43" w:name="page44"/>
    <w:bookmarkEnd w:id="43"/>
    <w:p>
      <w:pPr>
        <w:jc w:val="both"/>
        <w:ind w:firstLine="263"/>
        <w:spacing w:after="0" w:line="271" w:lineRule="auto"/>
        <w:rPr>
          <w:sz w:val="20"/>
          <w:szCs w:val="20"/>
          <w:color w:val="auto"/>
        </w:rPr>
      </w:pPr>
      <w:r>
        <w:rPr>
          <w:rFonts w:ascii="Arial" w:cs="Arial" w:eastAsia="Arial" w:hAnsi="Arial"/>
          <w:sz w:val="14"/>
          <w:szCs w:val="14"/>
          <w:color w:val="auto"/>
        </w:rPr>
        <w:t>The notes will pay interest semi-annually on April 1 and October 1 at an annual rate of 1.875%, and will mature on October 1, 2016, unless earlier converted or repurchased. The notes will be convertible, subject to certain conditions, into cash, shares of our Common Stock, or a combination of cash and shares of Common Stock, at our option. The initial conversion rate for the notes will be 11.9021 shares of Common Stock (subject to adjustment in certain circumstances) per $1,000 principal amount of the notes, which is equal to an initial conversion price of approximately $84.02 per share.</w:t>
      </w:r>
    </w:p>
    <w:p>
      <w:pPr>
        <w:spacing w:after="0" w:line="194" w:lineRule="exact"/>
        <w:rPr>
          <w:sz w:val="20"/>
          <w:szCs w:val="20"/>
          <w:color w:val="auto"/>
        </w:rPr>
      </w:pPr>
    </w:p>
    <w:p>
      <w:pPr>
        <w:jc w:val="both"/>
        <w:ind w:firstLine="296"/>
        <w:spacing w:after="0" w:line="271" w:lineRule="auto"/>
        <w:rPr>
          <w:sz w:val="20"/>
          <w:szCs w:val="20"/>
          <w:color w:val="auto"/>
        </w:rPr>
      </w:pPr>
      <w:r>
        <w:rPr>
          <w:rFonts w:ascii="Arial" w:cs="Arial" w:eastAsia="Arial" w:hAnsi="Arial"/>
          <w:sz w:val="14"/>
          <w:szCs w:val="14"/>
          <w:color w:val="auto"/>
        </w:rPr>
        <w:t>In connection with the offering of the notes, we entered into convertible note hedge and warrant transactions with multiple counterparties, including an affiliate of the initial purchaser. The convertible note hedge transactions cover, subject to customary anti-dilution adjustments, the number of shares of our Common Stock that initially underlie the notes, and are intended to reduce the dilutive impact of the conversion feature of the notes. The warrant transactions will have an initial strike price of approximately $103.41 per share, and may be settled in cash or shares of our Common Stock, at our option.</w:t>
      </w:r>
    </w:p>
    <w:p>
      <w:pPr>
        <w:spacing w:after="0" w:line="191" w:lineRule="exact"/>
        <w:rPr>
          <w:sz w:val="20"/>
          <w:szCs w:val="20"/>
          <w:color w:val="auto"/>
        </w:rPr>
      </w:pPr>
    </w:p>
    <w:p>
      <w:pPr>
        <w:jc w:val="both"/>
        <w:ind w:firstLine="263"/>
        <w:spacing w:after="0" w:line="285" w:lineRule="auto"/>
        <w:rPr>
          <w:sz w:val="20"/>
          <w:szCs w:val="20"/>
          <w:color w:val="auto"/>
        </w:rPr>
      </w:pPr>
      <w:r>
        <w:rPr>
          <w:rFonts w:ascii="Arial" w:cs="Arial" w:eastAsia="Arial" w:hAnsi="Arial"/>
          <w:sz w:val="14"/>
          <w:szCs w:val="14"/>
          <w:color w:val="auto"/>
        </w:rPr>
        <w:t>T</w:t>
      </w:r>
      <w:r>
        <w:rPr>
          <w:rFonts w:ascii="Arial" w:cs="Arial" w:eastAsia="Arial" w:hAnsi="Arial"/>
          <w:sz w:val="13"/>
          <w:szCs w:val="13"/>
          <w:color w:val="auto"/>
        </w:rPr>
        <w:t>he net proceeds from the notes offering were approximately $391.3 million after deducting the initial purchaser's discount and estimated offering expenses (and will be approximately $450.1</w:t>
      </w:r>
      <w:r>
        <w:rPr>
          <w:rFonts w:ascii="Arial" w:cs="Arial" w:eastAsia="Arial" w:hAnsi="Arial"/>
          <w:sz w:val="14"/>
          <w:szCs w:val="14"/>
          <w:color w:val="auto"/>
        </w:rPr>
        <w:t xml:space="preserve"> </w:t>
      </w:r>
      <w:r>
        <w:rPr>
          <w:rFonts w:ascii="Arial" w:cs="Arial" w:eastAsia="Arial" w:hAnsi="Arial"/>
          <w:sz w:val="13"/>
          <w:szCs w:val="13"/>
          <w:color w:val="auto"/>
        </w:rPr>
        <w:t>million if the initial purchaser exercises in full its option to purchase additional notes). In addition, the cost of the initial convertible note hedge, after taking into account the proceeds received by us from the warrant transactions, was $23.7 million. If the initial purchaser exercises its option to purchase additional notes, we may use net proceeds from the sale of the additional notes to enter into additional convertible note hedge and warrant transactions. We intend to use the remaining net proceeds for general corporate purposes.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Funding Requirements</w:t>
      </w:r>
    </w:p>
    <w:p>
      <w:pPr>
        <w:spacing w:after="0" w:line="234" w:lineRule="exact"/>
        <w:rPr>
          <w:sz w:val="20"/>
          <w:szCs w:val="20"/>
          <w:color w:val="auto"/>
        </w:rPr>
      </w:pPr>
    </w:p>
    <w:p>
      <w:pPr>
        <w:jc w:val="both"/>
        <w:ind w:firstLine="241"/>
        <w:spacing w:after="0" w:line="225" w:lineRule="auto"/>
        <w:rPr>
          <w:sz w:val="20"/>
          <w:szCs w:val="20"/>
          <w:color w:val="auto"/>
        </w:rPr>
      </w:pPr>
      <w:r>
        <w:rPr>
          <w:rFonts w:ascii="Arial" w:cs="Arial" w:eastAsia="Arial" w:hAnsi="Arial"/>
          <w:sz w:val="14"/>
          <w:szCs w:val="14"/>
          <w:color w:val="auto"/>
        </w:rPr>
        <w:t>We expect to continue to incur substantial funding requirements for research and development activities (including preclinical and clinical testing). As described above, expenses that we incur in connection with our ZALTRAP</w:t>
      </w:r>
      <w:r>
        <w:rPr>
          <w:rFonts w:ascii="Arial" w:cs="Arial" w:eastAsia="Arial" w:hAnsi="Arial"/>
          <w:sz w:val="20"/>
          <w:szCs w:val="20"/>
          <w:color w:val="auto"/>
          <w:vertAlign w:val="superscript"/>
        </w:rPr>
        <w:t>®</w:t>
      </w:r>
      <w:r>
        <w:rPr>
          <w:rFonts w:ascii="Arial" w:cs="Arial" w:eastAsia="Arial" w:hAnsi="Arial"/>
          <w:sz w:val="14"/>
          <w:szCs w:val="14"/>
          <w:color w:val="auto"/>
        </w:rPr>
        <w:t xml:space="preserve"> and antibodies collaborations are, generally, fully funded by Sanofi. In addition, as described above, we and Bayer HealthCare share agreed-upon development expenses that both companies incur in connection with our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collaboration. After taking into account anticipated reimbursements from our collaborators, we currently estimate that approximately 40-50% of our funding requirements for 2011 will be directed toward technology development, basic research and early preclinical activities, and the preclinical and clinical development of our product candidates (principally, for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and EYLEA</w:t>
      </w:r>
      <w:r>
        <w:rPr>
          <w:rFonts w:ascii="Arial" w:cs="Arial" w:eastAsia="Arial" w:hAnsi="Arial"/>
          <w:sz w:val="19"/>
          <w:szCs w:val="19"/>
          <w:color w:val="auto"/>
          <w:vertAlign w:val="superscript"/>
        </w:rPr>
        <w:t>TM</w:t>
      </w:r>
      <w:r>
        <w:rPr>
          <w:rFonts w:ascii="Arial" w:cs="Arial" w:eastAsia="Arial" w:hAnsi="Arial"/>
          <w:sz w:val="14"/>
          <w:szCs w:val="14"/>
          <w:color w:val="auto"/>
        </w:rPr>
        <w:t>). For 2011, we also currently estimate that approximately 10-15% of our funding requirements will be directed toward the planned commercialization of our late-stage product candidates; approximately 20-25% of our funding requirements will be applied to capital expenditures (as described above); and the remainder of our funding requirements will be used for general corporate purposes.</w:t>
      </w:r>
    </w:p>
    <w:p>
      <w:pPr>
        <w:spacing w:after="0" w:line="219" w:lineRule="exact"/>
        <w:rPr>
          <w:sz w:val="20"/>
          <w:szCs w:val="20"/>
          <w:color w:val="auto"/>
        </w:rPr>
      </w:pPr>
    </w:p>
    <w:p>
      <w:pPr>
        <w:jc w:val="both"/>
        <w:ind w:firstLine="263"/>
        <w:spacing w:after="0" w:line="279" w:lineRule="auto"/>
        <w:rPr>
          <w:sz w:val="20"/>
          <w:szCs w:val="20"/>
          <w:color w:val="auto"/>
        </w:rPr>
      </w:pPr>
      <w:r>
        <w:rPr>
          <w:rFonts w:ascii="Arial" w:cs="Arial" w:eastAsia="Arial" w:hAnsi="Arial"/>
          <w:sz w:val="13"/>
          <w:szCs w:val="13"/>
          <w:color w:val="auto"/>
        </w:rPr>
        <w:t>The amount we need to fund operations will depend on various factors, including the potential regulatory approval and commercialization of our product candidates and the timing thereof, the status of competitive products, the success of our research and development programs, the potential future need to expand our professional and support staff and facilities, the status of patents and other intellectual property rights (and pending or future litigation related thereto), the delay or failure of a clinical trial of any of our potential drug candidates, and the continuation, extent, and success of our collaborations with Sanofi and Bayer HealthCare. Clinical trial costs are dependent, among other things, on the size and duration of trials, fees charged for services provided by clinical trial investigators and other third 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 Our commercialization costs over approximately the next few years will depend on, among other things, whether or not our late-stage product candidates receive regulatory approval, the market potential for such product candidates, and the commercialization terms of our collaboration agreements, if applicable (whereby some or all commercialization costs may be shared with our collaborators). Currently, we are required to pay royalties on product sales of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treatment of CAPS. In the future, if we are able to successfully develop, market, and sell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other indications or certain of our product candidates, we may be required to pay royalties or share the profits from such sales pursuant to our license or collaboration agreements.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44" w:name="page45"/>
    <w:bookmarkEnd w:id="44"/>
    <w:p>
      <w:pPr>
        <w:ind w:left="220"/>
        <w:spacing w:after="0"/>
        <w:rPr>
          <w:sz w:val="20"/>
          <w:szCs w:val="20"/>
          <w:color w:val="auto"/>
        </w:rPr>
      </w:pPr>
      <w:r>
        <w:rPr>
          <w:rFonts w:ascii="Arial" w:cs="Arial" w:eastAsia="Arial" w:hAnsi="Arial"/>
          <w:sz w:val="14"/>
          <w:szCs w:val="14"/>
          <w:color w:val="auto"/>
        </w:rPr>
        <w:t>We expect that expenses related to the filing, prosecution, defense, and enforcement of patents and other intellectual property will continue to be substantial.</w:t>
      </w:r>
    </w:p>
    <w:p>
      <w:pPr>
        <w:spacing w:after="0" w:line="231" w:lineRule="exact"/>
        <w:rPr>
          <w:sz w:val="20"/>
          <w:szCs w:val="20"/>
          <w:color w:val="auto"/>
        </w:rPr>
      </w:pPr>
    </w:p>
    <w:p>
      <w:pPr>
        <w:jc w:val="both"/>
        <w:ind w:firstLine="274"/>
        <w:spacing w:after="0" w:line="267" w:lineRule="auto"/>
        <w:rPr>
          <w:sz w:val="20"/>
          <w:szCs w:val="20"/>
          <w:color w:val="auto"/>
        </w:rPr>
      </w:pPr>
      <w:r>
        <w:rPr>
          <w:rFonts w:ascii="Arial" w:cs="Arial" w:eastAsia="Arial" w:hAnsi="Arial"/>
          <w:sz w:val="14"/>
          <w:szCs w:val="14"/>
          <w:color w:val="auto"/>
        </w:rPr>
        <w:t>We believe that our existing capital resources, together with the net proceeds of our offering of convertible senior notes, as described above, and funding we are entitled to receive under our collaboration agreements, will enable us to meet operating needs for at least the next several years. However, this is a forward-looking statement based on our current operating plan, and there may be a change in projected revenues or expenses that would lead to our capital being consumed significantly before such time. For example, in connection with preparing to commercialize and launch potential products that are not licensed to a third party, we could incur substantial pre-marketing and commercialization expenses that could lead us to consume our cash at a faster rate. If there is insufficient capital to fund all of our planned operations and activities, we anticipate that we would (i) seek sources of additional capital through collaborative arrangements and/or additional public or private financing, including debt and equity financing and/or (ii) prioritize available capital to fund selected preclinical and clinical development programs and/or preparations for the potential commercialization of our late-stage product candidates, or license selected products.</w:t>
      </w:r>
    </w:p>
    <w:p>
      <w:pPr>
        <w:spacing w:after="0" w:line="198" w:lineRule="exact"/>
        <w:rPr>
          <w:sz w:val="20"/>
          <w:szCs w:val="20"/>
          <w:color w:val="auto"/>
        </w:rPr>
      </w:pPr>
    </w:p>
    <w:p>
      <w:pPr>
        <w:jc w:val="both"/>
        <w:ind w:firstLine="252"/>
        <w:spacing w:after="0" w:line="289" w:lineRule="auto"/>
        <w:rPr>
          <w:sz w:val="20"/>
          <w:szCs w:val="20"/>
          <w:color w:val="auto"/>
        </w:rPr>
      </w:pPr>
      <w:r>
        <w:rPr>
          <w:rFonts w:ascii="Arial" w:cs="Arial" w:eastAsia="Arial" w:hAnsi="Arial"/>
          <w:sz w:val="13"/>
          <w:szCs w:val="13"/>
          <w:color w:val="auto"/>
        </w:rPr>
        <w:t>Other than letters of credit totaling $4.2 million, including a $3.4 million letter of credit issued in connection with our lease for facilities in Tarrytown, New York, we have no off-balance sheet arrangements. In addition, we do not guarantee the obligations of any other entity. As of September 30, 2011, we had no other established banking arrangements through which we could obtain short-term financing or a line of credit. In October 2011, we announced our offering of convertible senior notes, as described above. In addition, in October 2010, we filed a shelf registration statement on Form S-3 registering the sale, in one or more offerings, of an indeterminate amount of equity or debt securities, together or separately, and our October 2010 public offering of approximately 6.3 million shares of Common Stock was completed under this shelf registration statement. There is no assurance, however, that we will be able to complete any additional offerings of securities. Factors influencing the availability of additional financing include our progress in product development and commercialization, investor perception of our prospects, and the general condition of the financial markets. We may not be able to secure additional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materially harm our business.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Future Impact of Recently Issued Accounting Standards</w:t>
      </w:r>
    </w:p>
    <w:p>
      <w:pPr>
        <w:spacing w:after="0" w:line="238" w:lineRule="exact"/>
        <w:rPr>
          <w:sz w:val="20"/>
          <w:szCs w:val="20"/>
          <w:color w:val="auto"/>
        </w:rPr>
      </w:pPr>
    </w:p>
    <w:p>
      <w:pPr>
        <w:jc w:val="both"/>
        <w:ind w:firstLine="241"/>
        <w:spacing w:after="0" w:line="242" w:lineRule="auto"/>
        <w:rPr>
          <w:sz w:val="20"/>
          <w:szCs w:val="20"/>
          <w:color w:val="auto"/>
        </w:rPr>
      </w:pPr>
      <w:r>
        <w:rPr>
          <w:rFonts w:ascii="Arial" w:cs="Arial" w:eastAsia="Arial" w:hAnsi="Arial"/>
          <w:sz w:val="14"/>
          <w:szCs w:val="14"/>
          <w:color w:val="auto"/>
        </w:rPr>
        <w:t>In December 2010, the FASB provided authoritative guidance on how pharmaceutical manufacturers should recognize and classify in their income statement annual fees mandated by the Patient Protection and Affordable Care Act (PPACA) as amended by the Health Care and Education Reconciliation Act. This guidance became effective for calendar years beginning after December 31, 2010. The adoption of this guidance did not have an impact on our financial statements as the fee does not currently apply to us. Our one marketed product,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treatment of CAPS, has been approved as an orphan drug and orphan drugs are not subject to this annual fee.</w:t>
      </w:r>
    </w:p>
    <w:p>
      <w:pPr>
        <w:spacing w:after="0" w:line="214" w:lineRule="exact"/>
        <w:rPr>
          <w:sz w:val="20"/>
          <w:szCs w:val="20"/>
          <w:color w:val="auto"/>
        </w:rPr>
      </w:pPr>
    </w:p>
    <w:p>
      <w:pPr>
        <w:jc w:val="both"/>
        <w:ind w:firstLine="351"/>
        <w:spacing w:after="0" w:line="267" w:lineRule="auto"/>
        <w:rPr>
          <w:sz w:val="20"/>
          <w:szCs w:val="20"/>
          <w:color w:val="auto"/>
        </w:rPr>
      </w:pPr>
      <w:r>
        <w:rPr>
          <w:rFonts w:ascii="Arial" w:cs="Arial" w:eastAsia="Arial" w:hAnsi="Arial"/>
          <w:sz w:val="14"/>
          <w:szCs w:val="14"/>
          <w:color w:val="auto"/>
        </w:rPr>
        <w:t>In June 2011, the FASB amended its authoritative guidance on the presentation of comprehensive income. Under the amendment, an entity will have the option to present the total of comprehensive income, the components of net income, and the components of other comprehensive income either in a single continuous statement of comprehensive income or in two separate but consecutive statements. This amendment, therefore, eliminates the currently available option to present the components of other comprehensive income as part of the statement of changes in stockholders' equity. The amendment does not change the items that must be reported in other comprehensive income or when an item of other comprehensive income must be reclassified to net income. We will adopt this amended guidance for the fiscal year beginning January 1, 2012. As this guidance relates to presentation only, the adoption of this guidance will not have any other effect on our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Rate Risk</w:t>
      </w:r>
    </w:p>
    <w:p>
      <w:pPr>
        <w:spacing w:after="0" w:line="234" w:lineRule="exact"/>
        <w:rPr>
          <w:sz w:val="20"/>
          <w:szCs w:val="20"/>
          <w:color w:val="auto"/>
        </w:rPr>
      </w:pPr>
    </w:p>
    <w:p>
      <w:pPr>
        <w:jc w:val="both"/>
        <w:ind w:firstLine="252"/>
        <w:spacing w:after="0" w:line="267" w:lineRule="auto"/>
        <w:rPr>
          <w:sz w:val="20"/>
          <w:szCs w:val="20"/>
          <w:color w:val="auto"/>
        </w:rPr>
      </w:pPr>
      <w:r>
        <w:rPr>
          <w:rFonts w:ascii="Arial" w:cs="Arial" w:eastAsia="Arial" w:hAnsi="Arial"/>
          <w:sz w:val="14"/>
          <w:szCs w:val="14"/>
          <w:color w:val="auto"/>
        </w:rPr>
        <w:t>Our earnings and cash flows are subject to fluctuations due to changes in interest rates, principally in connection with our investments in marketable securities, which consist primarily of direct obligations of the U.S. government and its agencies, other debt securities guaranteed by the U.S. government, and money market funds that invest in U.S. Government securities. We do not believe we are materially exposed to changes in interest rates. Under our current policies, we do not use interest rate derivative instruments to manage exposure to interest rate changes. We estimate that a one percent unfavorable change in interest rates would have resulted in approximately a $1.7 million and $0.4 million decrease in the fair value of our unrestricted investment portfolio at September 30, 2011 and 2010, respectively. The increase in interest rate risk year over year is due primarily to higher balances of marketable debt securities with maturities in excess of one year that we held at September 30, 2011 compared to the same period of 2010.</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Credit Quality Risk</w:t>
      </w:r>
    </w:p>
    <w:p>
      <w:pPr>
        <w:spacing w:after="0" w:line="234" w:lineRule="exact"/>
        <w:rPr>
          <w:sz w:val="20"/>
          <w:szCs w:val="20"/>
          <w:color w:val="auto"/>
        </w:rPr>
      </w:pPr>
    </w:p>
    <w:p>
      <w:pPr>
        <w:jc w:val="both"/>
        <w:ind w:firstLine="307"/>
        <w:spacing w:after="0" w:line="271" w:lineRule="auto"/>
        <w:rPr>
          <w:sz w:val="20"/>
          <w:szCs w:val="20"/>
          <w:color w:val="auto"/>
        </w:rPr>
      </w:pPr>
      <w:r>
        <w:rPr>
          <w:rFonts w:ascii="Arial" w:cs="Arial" w:eastAsia="Arial" w:hAnsi="Arial"/>
          <w:sz w:val="14"/>
          <w:szCs w:val="14"/>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We recognized an other-than-temporary impairment charge related to a marketable security of $0.1 million in the first nine months of 2010. During the first nine months of 2011, we did not recognize any other-than-temporary impairment charges.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238" w:lineRule="exact"/>
        <w:rPr>
          <w:sz w:val="20"/>
          <w:szCs w:val="20"/>
          <w:color w:val="auto"/>
        </w:rPr>
      </w:pPr>
    </w:p>
    <w:p>
      <w:pPr>
        <w:jc w:val="both"/>
        <w:ind w:firstLine="252"/>
        <w:spacing w:after="0" w:line="294" w:lineRule="auto"/>
        <w:rPr>
          <w:sz w:val="20"/>
          <w:szCs w:val="20"/>
          <w:color w:val="auto"/>
        </w:rPr>
      </w:pPr>
      <w:r>
        <w:rPr>
          <w:rFonts w:ascii="Arial" w:cs="Arial" w:eastAsia="Arial" w:hAnsi="Arial"/>
          <w:sz w:val="13"/>
          <w:szCs w:val="13"/>
          <w:color w:val="auto"/>
        </w:rPr>
        <w:t>Our management, with the participation of our chief executive officer and chief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chief executive officer and chief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chief executive officer and chief financial officer, as appropriate to allow timely decisions regarding required disclosure.</w:t>
      </w:r>
    </w:p>
    <w:p>
      <w:pPr>
        <w:spacing w:after="0" w:line="181" w:lineRule="exact"/>
        <w:rPr>
          <w:sz w:val="20"/>
          <w:szCs w:val="20"/>
          <w:color w:val="auto"/>
        </w:rPr>
      </w:pPr>
    </w:p>
    <w:p>
      <w:pPr>
        <w:jc w:val="both"/>
        <w:ind w:firstLine="219"/>
        <w:spacing w:after="0" w:line="291" w:lineRule="auto"/>
        <w:rPr>
          <w:sz w:val="20"/>
          <w:szCs w:val="20"/>
          <w:color w:val="auto"/>
        </w:rPr>
      </w:pPr>
      <w:r>
        <w:rPr>
          <w:rFonts w:ascii="Arial" w:cs="Arial" w:eastAsia="Arial" w:hAnsi="Arial"/>
          <w:sz w:val="14"/>
          <w:szCs w:val="14"/>
          <w:color w:val="auto"/>
        </w:rPr>
        <w:t>There has been no change in our internal control over financial reporting (as such term is defined in Rules 13a-15(f) and 15d-15(f) under the Exchange Act) during the quarter ended September 30, 2011 that has materially affected, or is reasonably likely to materially affect, our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238" w:lineRule="exact"/>
        <w:rPr>
          <w:sz w:val="20"/>
          <w:szCs w:val="20"/>
          <w:color w:val="auto"/>
        </w:rPr>
      </w:pPr>
    </w:p>
    <w:p>
      <w:pPr>
        <w:jc w:val="both"/>
        <w:ind w:firstLine="241"/>
        <w:spacing w:after="0" w:line="291" w:lineRule="auto"/>
        <w:rPr>
          <w:sz w:val="20"/>
          <w:szCs w:val="20"/>
          <w:color w:val="auto"/>
        </w:rPr>
      </w:pPr>
      <w:r>
        <w:rPr>
          <w:rFonts w:ascii="Arial" w:cs="Arial" w:eastAsia="Arial" w:hAnsi="Arial"/>
          <w:sz w:val="14"/>
          <w:szCs w:val="14"/>
          <w:color w:val="auto"/>
        </w:rPr>
        <w:t>From time to time, we are a party to legal proceedings in the course of our business. We do not expect any such current ordinary course legal proceedings to have a material adverse effect on our business or financial condition.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46" w:name="page47"/>
    <w:bookmarkEnd w:id="46"/>
    <w:p>
      <w:pPr>
        <w:jc w:val="both"/>
        <w:ind w:firstLine="252"/>
        <w:spacing w:after="0" w:line="278" w:lineRule="auto"/>
        <w:rPr>
          <w:sz w:val="20"/>
          <w:szCs w:val="20"/>
          <w:color w:val="auto"/>
        </w:rPr>
      </w:pPr>
      <w:r>
        <w:rPr>
          <w:rFonts w:ascii="Arial" w:cs="Arial" w:eastAsia="Arial" w:hAnsi="Arial"/>
          <w:sz w:val="13"/>
          <w:szCs w:val="13"/>
          <w:color w:val="auto"/>
        </w:rPr>
        <w:t>As previously reported, on November 19, 2010, we filed a complaint against Genentech in the U.S. District Court for the Southern District of New York seeking a declaratory judgment that no activities relating to our VEGF Trap (aflibercept) infringe any valid claim of certain Genentech patents referred to as the Davis-Smyth patents. On January 12, 2011, Genentech filed a motion to dismiss the complaint, arguing that the lawsuit was premature and thus the Court lacked subject matter jurisdiction. Upon our submission to the FDA of a BLA for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(aflibercept injection) for the treatment of wet AMD, we filed a second complaint against Genentech in the same court seeking the same declaratory relief. On April 7, 2011, we and Genentech entered into a Joint Stipulation, which was approved and executed by the Court on April 11, 2011. Pursuant to the Joint Stipulation, we voluntarily dismissed our original complaint in favor of proceeding with our second complaint, and Genentech agreed that it would not seek to transfer the case to another judicial district or move to dismiss the second complaint for lack of subject matter jurisdiction or otherwise under Rule 12(b) of the Federal Rules of Civil Procedure. On April 25, 2011, Genentech filed an answer to the second complaint, denying that we are entitled to the declaratory relief being sought by us, and asserting counterclaims that our prior or planned activities relating to VEGF Trap have infringed or will infringe one or more claims of the Davis-Smyth patents. In its answer, Genentech requests a judgment against us for damages, including for willful infringement, and other relief as the Court deems appropriate. On May 11, 2011, Genentech filed an amended answer and counterclaim, again denying that we are entitled to the declaratory relief being sought by us, and asserting counterclaims that our prior or planned activities relating to VEGF Trap have infringed or will infringe claims of four of the five Davis-Smyth patents. In its amended answer and counterclaim, Genentech requests a judgment against us for damages, including for willful infringement, and other relief as the Court deems appropriate. On May 25, 2011, we replied to Genentech's amended answer and counterclaim, denying Genentech's counterclaims, and denying that any of our prior or planned activities relating to VEGF Trap infringe any valid claim of the Davis-Smyth patents. We believe Genentech's counterclaims are without merit and intend to continue to defend against them vigorously.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We have initiated patent-related actions against Genentech in Germany, the United Kingdom, and Italy, and may initiate other actions in other countries outside the U.S.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238"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4"/>
          <w:szCs w:val="14"/>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operations. Furthermore, additional risks and uncertainties are described under other captions in this report and should also be considered by our investors.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Financial Results and Need for Additional Financing</w:t>
      </w:r>
    </w:p>
    <w:p>
      <w:pPr>
        <w:spacing w:after="0" w:line="216"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We have had a history of operating losses and we may never achieve profitability. If we continue to incur operating losses, we may be unable to continue our operations.</w:t>
      </w:r>
    </w:p>
    <w:p>
      <w:pPr>
        <w:spacing w:after="0" w:line="234" w:lineRule="exact"/>
        <w:rPr>
          <w:sz w:val="20"/>
          <w:szCs w:val="20"/>
          <w:color w:val="auto"/>
        </w:rPr>
      </w:pPr>
    </w:p>
    <w:p>
      <w:pPr>
        <w:jc w:val="both"/>
        <w:ind w:firstLine="219"/>
        <w:spacing w:after="0" w:line="276" w:lineRule="auto"/>
        <w:rPr>
          <w:sz w:val="20"/>
          <w:szCs w:val="20"/>
          <w:color w:val="auto"/>
        </w:rPr>
      </w:pPr>
      <w:r>
        <w:rPr>
          <w:rFonts w:ascii="Arial" w:cs="Arial" w:eastAsia="Arial" w:hAnsi="Arial"/>
          <w:sz w:val="14"/>
          <w:szCs w:val="14"/>
          <w:color w:val="auto"/>
        </w:rPr>
        <w:t>From inception on January 8, 1988 through September 30, 2011, we had a cumulative loss of $1.2 billion. If we continue to incur operating losses and fail to become a profitable company, we may be unable to continue our operations. In the absence of substantial revenue from the sale of products or other sources, the amount, timing, nature or source of which cannot be predicted, our substantial losses will continue as we conduct our research and development activities and prepare for possible commercialization of our product candidates.</w:t>
      </w:r>
    </w:p>
    <w:p>
      <w:pPr>
        <w:spacing w:after="0" w:line="169" w:lineRule="exact"/>
        <w:rPr>
          <w:sz w:val="20"/>
          <w:szCs w:val="20"/>
          <w:color w:val="auto"/>
        </w:rPr>
      </w:pPr>
    </w:p>
    <w:p>
      <w:pPr>
        <w:ind w:left="140"/>
        <w:spacing w:after="0" w:line="291" w:lineRule="auto"/>
        <w:rPr>
          <w:sz w:val="20"/>
          <w:szCs w:val="20"/>
          <w:color w:val="auto"/>
        </w:rPr>
      </w:pPr>
      <w:r>
        <w:rPr>
          <w:rFonts w:ascii="Arial" w:cs="Arial" w:eastAsia="Arial" w:hAnsi="Arial"/>
          <w:sz w:val="14"/>
          <w:szCs w:val="14"/>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180" w:lineRule="exact"/>
        <w:rPr>
          <w:sz w:val="20"/>
          <w:szCs w:val="20"/>
          <w:color w:val="auto"/>
        </w:rPr>
      </w:pPr>
    </w:p>
    <w:p>
      <w:pPr>
        <w:jc w:val="both"/>
        <w:ind w:firstLine="219"/>
        <w:spacing w:after="0" w:line="277" w:lineRule="auto"/>
        <w:rPr>
          <w:sz w:val="20"/>
          <w:szCs w:val="20"/>
          <w:color w:val="auto"/>
        </w:rPr>
      </w:pPr>
      <w:r>
        <w:rPr>
          <w:rFonts w:ascii="Arial" w:cs="Arial" w:eastAsia="Arial" w:hAnsi="Arial"/>
          <w:sz w:val="13"/>
          <w:szCs w:val="13"/>
          <w:color w:val="auto"/>
        </w:rPr>
        <w:t>We will need to expend substantial resources for research and development, including costs associated with clinical testing of our product candidates, and to prepare for potential commercialization of our late-stage product candidates and, if one or more of those product candidates receive(s) regulatory approval, to fund the launch of those product(s). We believe our existing capital resources, together with the net proceeds of our October 2011 offering of convertible senior notes and funding we are entitled to receive under our collaboration agreements, will enable us to meet anticipated operating needs for at least the next several years; however, one or more of our collaboration agreements may terminate, our projected revenue may decrease or be delayed, or our expenses may increase, which could result in our capital being consumed significantly before that time. Our expenses may increase for many reasons, including expenses in connection with the potential commercial launch of our late-stage product candidates, manufacturing scale-up, expenses related to clinical trials testing ARCALYST</w:t>
      </w:r>
      <w:r>
        <w:rPr>
          <w:rFonts w:ascii="Arial" w:cs="Arial" w:eastAsia="Arial" w:hAnsi="Arial"/>
          <w:sz w:val="17"/>
          <w:szCs w:val="17"/>
          <w:color w:val="auto"/>
          <w:vertAlign w:val="superscript"/>
        </w:rPr>
        <w:t>®</w:t>
      </w:r>
      <w:r>
        <w:rPr>
          <w:rFonts w:ascii="Arial" w:cs="Arial" w:eastAsia="Arial" w:hAnsi="Arial"/>
          <w:sz w:val="13"/>
          <w:szCs w:val="13"/>
          <w:color w:val="auto"/>
        </w:rPr>
        <w:t>, EYLEA</w:t>
      </w:r>
      <w:r>
        <w:rPr>
          <w:rFonts w:ascii="Arial" w:cs="Arial" w:eastAsia="Arial" w:hAnsi="Arial"/>
          <w:sz w:val="17"/>
          <w:szCs w:val="17"/>
          <w:color w:val="auto"/>
          <w:vertAlign w:val="superscript"/>
        </w:rPr>
        <w:t>TM</w:t>
      </w:r>
      <w:r>
        <w:rPr>
          <w:rFonts w:ascii="Arial" w:cs="Arial" w:eastAsia="Arial" w:hAnsi="Arial"/>
          <w:sz w:val="13"/>
          <w:szCs w:val="13"/>
          <w:color w:val="auto"/>
        </w:rPr>
        <w:t>, or REGN846, and expenses related to the potential requirement for us to fund 20% of Phase 3 clinical trial costs for any of our antibody product candidates being developed in collaboration with Sanofi.</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47" w:name="page48"/>
    <w:bookmarkEnd w:id="47"/>
    <w:p>
      <w:pPr>
        <w:jc w:val="both"/>
        <w:ind w:firstLine="274"/>
        <w:spacing w:after="0" w:line="291" w:lineRule="auto"/>
        <w:rPr>
          <w:sz w:val="20"/>
          <w:szCs w:val="20"/>
          <w:color w:val="auto"/>
        </w:rPr>
      </w:pPr>
      <w:r>
        <w:rPr>
          <w:rFonts w:ascii="Arial" w:cs="Arial" w:eastAsia="Arial" w:hAnsi="Arial"/>
          <w:sz w:val="13"/>
          <w:szCs w:val="13"/>
          <w:color w:val="auto"/>
        </w:rPr>
        <w:t>We may require additional financing in the future and we may not be able to raise additional funds. If we are able to obtain additional financing through the sale of equity or convertible debt securities, such sales will likely be dilutive to our shareholders. Debt financing arrangements, if even available given the current uncertainties in the global credit and financial markets,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to complete the development of our product candidates and also to successfully commercialize our late-stage product candidates if they obtain regulatory approval, we may face delay, reduction, or elimination of our research and development or preclinical or clinical programs. Even if we obtain regulatory approval for our product candidates, they may never be successfully launched or become profitable, in which case our business, financial condition, or results of operations may be materially harmed.</w:t>
      </w:r>
    </w:p>
    <w:p>
      <w:pPr>
        <w:spacing w:after="0" w:line="163" w:lineRule="exact"/>
        <w:rPr>
          <w:sz w:val="20"/>
          <w:szCs w:val="20"/>
          <w:color w:val="auto"/>
        </w:rPr>
      </w:pPr>
    </w:p>
    <w:p>
      <w:pPr>
        <w:ind w:left="140"/>
        <w:spacing w:after="0" w:line="380" w:lineRule="auto"/>
        <w:rPr>
          <w:sz w:val="20"/>
          <w:szCs w:val="20"/>
          <w:color w:val="auto"/>
        </w:rPr>
      </w:pPr>
      <w:r>
        <w:rPr>
          <w:rFonts w:ascii="Arial" w:cs="Arial" w:eastAsia="Arial" w:hAnsi="Arial"/>
          <w:sz w:val="12"/>
          <w:szCs w:val="12"/>
          <w:b w:val="1"/>
          <w:bCs w:val="1"/>
          <w:i w:val="1"/>
          <w:iCs w:val="1"/>
          <w:color w:val="auto"/>
        </w:rPr>
        <w:t>The value of our investment portfolio, which includes cash, cash equivalents, and marketable securities, is influenced by varying economic and market conditions. A decrease in the value of an asset in our investment portfolio or a default by the issuer may result in our inability to recover the principal we invested and/or a recognition of a loss charged against income.</w:t>
      </w:r>
    </w:p>
    <w:p>
      <w:pPr>
        <w:spacing w:after="0" w:line="133" w:lineRule="exact"/>
        <w:rPr>
          <w:sz w:val="20"/>
          <w:szCs w:val="20"/>
          <w:color w:val="auto"/>
        </w:rPr>
      </w:pPr>
    </w:p>
    <w:p>
      <w:pPr>
        <w:jc w:val="both"/>
        <w:ind w:firstLine="241"/>
        <w:spacing w:after="0" w:line="289" w:lineRule="auto"/>
        <w:rPr>
          <w:sz w:val="20"/>
          <w:szCs w:val="20"/>
          <w:color w:val="auto"/>
        </w:rPr>
      </w:pPr>
      <w:r>
        <w:rPr>
          <w:rFonts w:ascii="Arial" w:cs="Arial" w:eastAsia="Arial" w:hAnsi="Arial"/>
          <w:sz w:val="13"/>
          <w:szCs w:val="13"/>
          <w:color w:val="auto"/>
        </w:rPr>
        <w:t>As of September 30, 2011, our cash, cash equivalents, and marketable securities totaled $511.7 million (including $8.2 million of restricted cash and marketable securities). We have invested our excess cash primarily in direct obligations of the U.S. government and its agencies, other debt securities guaranteed by the U.S. government, and money market funds that invest in U.S. government securities. We consider assets classified as marketable securities to be “available-for-sale,” as defined by FASB authoritative guidance. Unrestricted and restricted marketable securities totaled $304.4 million at September 30, 2011, are carried at fair value, and the unrealized gains and losses are included in other accumulated comprehensive income (loss) as a separate component of stockholders’ equity. If the decline in the value of a security in our investment portfolio is deemed to be other-than-temporary, we write down the security to its current fair value and recognize a loss which may be fully charged against income. The current economic environment and the volatility of securities markets increase the risk that we may not recover the principal we invested and/or there may be further declines in the market value of securities in our investment portfolio. As a result, we may incur additional charges against income in future periods for other-than-temporary impairments or realized losses upon a security’s sale or maturity, and such amounts may be material.</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the Development and Approval of Our Product Candidates</w:t>
      </w:r>
    </w:p>
    <w:p>
      <w:pPr>
        <w:spacing w:after="0" w:line="214" w:lineRule="exact"/>
        <w:rPr>
          <w:sz w:val="20"/>
          <w:szCs w:val="20"/>
          <w:color w:val="auto"/>
        </w:rPr>
      </w:pPr>
    </w:p>
    <w:p>
      <w:pPr>
        <w:jc w:val="both"/>
        <w:ind w:left="140"/>
        <w:spacing w:after="0" w:line="224" w:lineRule="auto"/>
        <w:rPr>
          <w:sz w:val="20"/>
          <w:szCs w:val="20"/>
          <w:color w:val="auto"/>
        </w:rPr>
      </w:pPr>
      <w:r>
        <w:rPr>
          <w:rFonts w:ascii="Arial" w:cs="Arial" w:eastAsia="Arial" w:hAnsi="Arial"/>
          <w:sz w:val="14"/>
          <w:szCs w:val="14"/>
          <w:b w:val="1"/>
          <w:bCs w:val="1"/>
          <w:i w:val="1"/>
          <w:iCs w:val="1"/>
          <w:color w:val="auto"/>
        </w:rPr>
        <w:t>We believe that a significant portion of the value attributed to our company by investors is based on the commercial potential of EYLEA</w:t>
      </w:r>
      <w:r>
        <w:rPr>
          <w:rFonts w:ascii="Arial" w:cs="Arial" w:eastAsia="Arial" w:hAnsi="Arial"/>
          <w:sz w:val="19"/>
          <w:szCs w:val="19"/>
          <w:b w:val="1"/>
          <w:bCs w:val="1"/>
          <w:i w:val="1"/>
          <w:iCs w:val="1"/>
          <w:color w:val="auto"/>
          <w:vertAlign w:val="superscript"/>
        </w:rPr>
        <w:t>TM</w:t>
      </w:r>
      <w:r>
        <w:rPr>
          <w:rFonts w:ascii="Arial" w:cs="Arial" w:eastAsia="Arial" w:hAnsi="Arial"/>
          <w:sz w:val="14"/>
          <w:szCs w:val="14"/>
          <w:b w:val="1"/>
          <w:bCs w:val="1"/>
          <w:i w:val="1"/>
          <w:iCs w:val="1"/>
          <w:color w:val="auto"/>
        </w:rPr>
        <w:t xml:space="preserve"> for the treatment of wet AMD and other ophthalmologic diseases, which has not yet been approved by the FDA or by regulatory authorities in countries outside the U.S. The FDA recently extended its target action date for the EYLEA</w:t>
      </w:r>
      <w:r>
        <w:rPr>
          <w:rFonts w:ascii="Arial" w:cs="Arial" w:eastAsia="Arial" w:hAnsi="Arial"/>
          <w:sz w:val="19"/>
          <w:szCs w:val="19"/>
          <w:b w:val="1"/>
          <w:bCs w:val="1"/>
          <w:i w:val="1"/>
          <w:iCs w:val="1"/>
          <w:color w:val="auto"/>
          <w:vertAlign w:val="superscript"/>
        </w:rPr>
        <w:t>TM</w:t>
      </w:r>
      <w:r>
        <w:rPr>
          <w:rFonts w:ascii="Arial" w:cs="Arial" w:eastAsia="Arial" w:hAnsi="Arial"/>
          <w:sz w:val="14"/>
          <w:szCs w:val="14"/>
          <w:b w:val="1"/>
          <w:bCs w:val="1"/>
          <w:i w:val="1"/>
          <w:iCs w:val="1"/>
          <w:color w:val="auto"/>
        </w:rPr>
        <w:t xml:space="preserve"> BLA by three months to November 18, 2011. If there are additional material delays in obtaining marketing approval for EYLEA</w:t>
      </w:r>
      <w:r>
        <w:rPr>
          <w:rFonts w:ascii="Arial" w:cs="Arial" w:eastAsia="Arial" w:hAnsi="Arial"/>
          <w:sz w:val="19"/>
          <w:szCs w:val="19"/>
          <w:b w:val="1"/>
          <w:bCs w:val="1"/>
          <w:i w:val="1"/>
          <w:iCs w:val="1"/>
          <w:color w:val="auto"/>
          <w:vertAlign w:val="superscript"/>
        </w:rPr>
        <w:t>TM</w:t>
      </w:r>
      <w:r>
        <w:rPr>
          <w:rFonts w:ascii="Arial" w:cs="Arial" w:eastAsia="Arial" w:hAnsi="Arial"/>
          <w:sz w:val="14"/>
          <w:szCs w:val="14"/>
          <w:b w:val="1"/>
          <w:bCs w:val="1"/>
          <w:i w:val="1"/>
          <w:iCs w:val="1"/>
          <w:color w:val="auto"/>
        </w:rPr>
        <w:t>, or such approval is not obtained in the U.S. or in countries outside the U.S., our business, results of operations, and financial condition will be materially harmed.</w:t>
      </w:r>
    </w:p>
    <w:p>
      <w:pPr>
        <w:spacing w:after="0" w:line="213" w:lineRule="exact"/>
        <w:rPr>
          <w:sz w:val="20"/>
          <w:szCs w:val="20"/>
          <w:color w:val="auto"/>
        </w:rPr>
      </w:pPr>
    </w:p>
    <w:p>
      <w:pPr>
        <w:jc w:val="both"/>
        <w:ind w:firstLine="329"/>
        <w:spacing w:after="0" w:line="253" w:lineRule="auto"/>
        <w:rPr>
          <w:sz w:val="20"/>
          <w:szCs w:val="20"/>
          <w:color w:val="auto"/>
        </w:rPr>
      </w:pPr>
      <w:r>
        <w:rPr>
          <w:rFonts w:ascii="Arial" w:cs="Arial" w:eastAsia="Arial" w:hAnsi="Arial"/>
          <w:sz w:val="13"/>
          <w:szCs w:val="13"/>
          <w:color w:val="auto"/>
        </w:rPr>
        <w:t>The FDA has substantial discretion in deciding whether or not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should be granted approval in the U.S. based on the benefits and risks of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treating the particular ophthalmologic diseases in which it is being studied in clinical trials. In February 2011, we submitted a BLA for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for the treatment of wet AMD to the FDA. In April 2011, the FDA accepted the BLA for filing and granted our request for Priority Review. Under Priority Review, the target date for an FDA decision on the BLA was August 20, 2011. On August 16, 2011, FDA notified us that it had extended its target date to complete the priority review of the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BLA for the treatment of wet AMD to November 18, 2011, which is a three month extension from the original action date. The extension is a result of the agency classifying responses to questions regarding the CMC section of the BLA as a major amendment to the BLA. The new action date gives the agency additional time to review the additional information. However, the FDA is not under any legal obligation to complete its review of the BLA or to render a decision within this extended timeframe. It is not unusual for the FDA’s review of and/or rendering a decision with respect to a BLA that has been granted Priority Review to extend the action date. For instance, the FDA may request additional clinical or other data or information, including by issuing a complete response letter which may require that we submit additional clinical or other data or impose other conditions that must be met in order to secure final approval of our BLA. Even if such data and information are submitted, the FDA may ultimately decide that the BLA does not satisfy the criteria for approval. The granting of Priority Review designation for our BLA does not change the standards for approval and does not ensure that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for the treatment of wet AMD will be approved by November 18, 2011 or ever. In June 2011, the Dermatologic and Ophthalmic Drugs Advisory Committee of the FDA voted unanimously to recommend that the FDA approve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for the treatment of wet AMD at a dose of 2 mg every eight weeks following three initial doses given every four weeks. The FDA will consider the committee's recommendation in its review of our BLA, but it is not bound by the committee's recommendation and the FDA may not follow the committee's recommendation.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48" w:name="page49"/>
    <w:bookmarkEnd w:id="48"/>
    <w:p>
      <w:pPr>
        <w:ind w:left="220"/>
        <w:spacing w:after="0"/>
        <w:rPr>
          <w:sz w:val="20"/>
          <w:szCs w:val="20"/>
          <w:color w:val="auto"/>
        </w:rPr>
      </w:pPr>
      <w:r>
        <w:rPr>
          <w:rFonts w:ascii="Arial" w:cs="Arial" w:eastAsia="Arial" w:hAnsi="Arial"/>
          <w:sz w:val="14"/>
          <w:szCs w:val="14"/>
          <w:color w:val="auto"/>
        </w:rPr>
        <w:t>Whether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is approved by the FDA for the treatment of wet AMD, and the timing thereof, will depend on many factors, including the following:</w:t>
      </w:r>
    </w:p>
    <w:p>
      <w:pPr>
        <w:spacing w:after="0" w:line="100" w:lineRule="exact"/>
        <w:rPr>
          <w:sz w:val="20"/>
          <w:szCs w:val="20"/>
          <w:color w:val="auto"/>
        </w:rPr>
      </w:pPr>
    </w:p>
    <w:p>
      <w:pPr>
        <w:jc w:val="both"/>
        <w:ind w:left="440"/>
        <w:spacing w:after="0" w:line="226" w:lineRule="auto"/>
        <w:rPr>
          <w:sz w:val="20"/>
          <w:szCs w:val="20"/>
          <w:color w:val="auto"/>
        </w:rPr>
      </w:pPr>
      <w:r>
        <w:rPr>
          <w:rFonts w:ascii="Arial" w:cs="Arial" w:eastAsia="Arial" w:hAnsi="Arial"/>
          <w:sz w:val="14"/>
          <w:szCs w:val="14"/>
          <w:color w:val="auto"/>
        </w:rPr>
        <w:t>whether or not the FDA determines that the evidence gathered in well-controlled clinical trials, other clinical trials and nonclinical studies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demonstrates that it is safe and effective as a treatment for wet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-191135</wp:posOffset>
            </wp:positionV>
            <wp:extent cx="53340" cy="533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jc w:val="both"/>
        <w:ind w:left="440"/>
        <w:spacing w:after="0" w:line="222" w:lineRule="auto"/>
        <w:rPr>
          <w:sz w:val="20"/>
          <w:szCs w:val="20"/>
          <w:color w:val="auto"/>
        </w:rPr>
      </w:pPr>
      <w:r>
        <w:rPr>
          <w:rFonts w:ascii="Arial" w:cs="Arial" w:eastAsia="Arial" w:hAnsi="Arial"/>
          <w:sz w:val="14"/>
          <w:szCs w:val="14"/>
          <w:color w:val="auto"/>
        </w:rPr>
        <w:t>whether or not the FDA is satisfied that the manufacturing facilities, processes, and controls for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are adequate, that the labeling is satisfactory, and that plans for post-marketing studies, safety monitoring, and risk evaluation and management are sufficient;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-191770</wp:posOffset>
            </wp:positionV>
            <wp:extent cx="53340" cy="533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jc w:val="both"/>
        <w:ind w:left="440"/>
        <w:spacing w:after="0"/>
        <w:rPr>
          <w:sz w:val="20"/>
          <w:szCs w:val="20"/>
          <w:color w:val="auto"/>
        </w:rPr>
      </w:pPr>
      <w:r>
        <w:rPr>
          <w:rFonts w:ascii="Arial" w:cs="Arial" w:eastAsia="Arial" w:hAnsi="Arial"/>
          <w:sz w:val="14"/>
          <w:szCs w:val="14"/>
          <w:color w:val="auto"/>
        </w:rPr>
        <w:t>whether or not FDA is satisfied with our responses to its inquiries in connection with the three month extension of the action date on the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BLA for the treatment of wet AMD, the timing and nature of additional or follow-up comments and questions, or those of any advisers to the FDA if the FDA seeks external advice, regarding our BLA and the FDA’s satisfaction with our responses to its inquiries, the time required to respond to any such additional or follow-up comments and questions, and to obtain final labeling, and any other or additional delays that may be associated with the BLA review process in addition to the three month delay already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-414655</wp:posOffset>
            </wp:positionV>
            <wp:extent cx="53340" cy="533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spacing w:after="0" w:line="149" w:lineRule="exact"/>
        <w:rPr>
          <w:sz w:val="20"/>
          <w:szCs w:val="20"/>
          <w:color w:val="auto"/>
        </w:rPr>
      </w:pPr>
    </w:p>
    <w:p>
      <w:pPr>
        <w:jc w:val="both"/>
        <w:ind w:firstLine="252"/>
        <w:spacing w:after="0" w:line="239" w:lineRule="auto"/>
        <w:rPr>
          <w:sz w:val="20"/>
          <w:szCs w:val="20"/>
          <w:color w:val="auto"/>
        </w:rPr>
      </w:pPr>
      <w:r>
        <w:rPr>
          <w:rFonts w:ascii="Arial" w:cs="Arial" w:eastAsia="Arial" w:hAnsi="Arial"/>
          <w:sz w:val="14"/>
          <w:szCs w:val="14"/>
          <w:color w:val="auto"/>
        </w:rPr>
        <w:t>In June 2011, Bayer HealthCare submitted regulatory applications for marketing approval of ELYEA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wet AMD in the European Union and Japan. Analogous regulatory authorities in these and other countries outside the U.S. have similar discretion to the FDA as to approval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those countries.</w:t>
      </w:r>
    </w:p>
    <w:p>
      <w:pPr>
        <w:spacing w:after="0" w:line="135" w:lineRule="exact"/>
        <w:rPr>
          <w:sz w:val="20"/>
          <w:szCs w:val="20"/>
          <w:color w:val="auto"/>
        </w:rPr>
      </w:pPr>
    </w:p>
    <w:p>
      <w:pPr>
        <w:jc w:val="both"/>
        <w:ind w:firstLine="230"/>
        <w:spacing w:after="0" w:line="217" w:lineRule="auto"/>
        <w:rPr>
          <w:sz w:val="20"/>
          <w:szCs w:val="20"/>
          <w:color w:val="auto"/>
        </w:rPr>
      </w:pPr>
      <w:r>
        <w:rPr>
          <w:rFonts w:ascii="Arial" w:cs="Arial" w:eastAsia="Arial" w:hAnsi="Arial"/>
          <w:sz w:val="14"/>
          <w:szCs w:val="14"/>
          <w:color w:val="auto"/>
        </w:rPr>
        <w:t>If we experience material delays in obtaining marketing approval for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for wet AMD, we will not receive product revenues during the delay, which would negatively affect our business, results of operations, financial condition, and cash flow. Such delays may also increase the challenge of competitive products as doctors and patients continue to use existing therapies. If we do not obtain approval to market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for wet AMD in the United States, our business, results of operations, financial condition, and cash flows will be materially harmed. Similarly, but independently, if Bayer HealthCare does not obtain approval to market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the European Union or Japan, or if there are material delays in obtaining such approvals, our business, results of operations, financial condition, and cash flow will be harmed.</w:t>
      </w:r>
    </w:p>
    <w:p>
      <w:pPr>
        <w:spacing w:after="0" w:line="190" w:lineRule="exact"/>
        <w:rPr>
          <w:sz w:val="20"/>
          <w:szCs w:val="20"/>
          <w:color w:val="auto"/>
        </w:rPr>
      </w:pPr>
    </w:p>
    <w:p>
      <w:pPr>
        <w:ind w:left="140"/>
        <w:spacing w:after="0" w:line="299" w:lineRule="auto"/>
        <w:rPr>
          <w:sz w:val="20"/>
          <w:szCs w:val="20"/>
          <w:color w:val="auto"/>
        </w:rPr>
      </w:pPr>
      <w:r>
        <w:rPr>
          <w:rFonts w:ascii="Arial" w:cs="Arial" w:eastAsia="Arial" w:hAnsi="Arial"/>
          <w:sz w:val="14"/>
          <w:szCs w:val="14"/>
          <w:b w:val="1"/>
          <w:bCs w:val="1"/>
          <w:i w:val="1"/>
          <w:iCs w:val="1"/>
          <w:color w:val="auto"/>
        </w:rPr>
        <w:t>If we do not obtain regulatory approval for our product candidates, we will not be able to market or sell them, which would materially and negatively impact our business, results of operations, and prospects.</w:t>
      </w:r>
    </w:p>
    <w:p>
      <w:pPr>
        <w:spacing w:after="0" w:line="171" w:lineRule="exact"/>
        <w:rPr>
          <w:sz w:val="20"/>
          <w:szCs w:val="20"/>
          <w:color w:val="auto"/>
        </w:rPr>
      </w:pPr>
    </w:p>
    <w:p>
      <w:pPr>
        <w:jc w:val="both"/>
        <w:ind w:firstLine="285"/>
        <w:spacing w:after="0" w:line="205" w:lineRule="auto"/>
        <w:rPr>
          <w:sz w:val="20"/>
          <w:szCs w:val="20"/>
          <w:color w:val="auto"/>
        </w:rPr>
      </w:pPr>
      <w:r>
        <w:rPr>
          <w:rFonts w:ascii="Arial" w:cs="Arial" w:eastAsia="Arial" w:hAnsi="Arial"/>
          <w:sz w:val="14"/>
          <w:szCs w:val="14"/>
          <w:color w:val="auto"/>
        </w:rPr>
        <w:t>We cannot sell or market products without regulatory approval. If we do not obtain and maintain regulatory approval for our product candidates, including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treatment of diseases other than CAPS,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for the treatment of ophthalmologic diseases, and/or ZALTRAP</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one or more oncology indications, the value of our company, our results of operations and our prospects will be materially harmed. As with our BLA for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for the treatment of wet AMD, our other product candidates, including ZALTRAP</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previously treated mCRC,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for CRVO and DME, and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prevention of gout flares in patients initiating uric acid-lowering therapy, may not receive regulatory approval. If we are unable to obtain such approval(s), or if we are materially delayed in doing so, our business, results of operations, and prospects will be materially harmed.</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Obtaining and maintaining regulatory approval for drug products is costly, time-consuming, and highly uncertain.</w:t>
      </w:r>
    </w:p>
    <w:p>
      <w:pPr>
        <w:spacing w:after="0" w:line="234" w:lineRule="exact"/>
        <w:rPr>
          <w:sz w:val="20"/>
          <w:szCs w:val="20"/>
          <w:color w:val="auto"/>
        </w:rPr>
      </w:pPr>
    </w:p>
    <w:p>
      <w:pPr>
        <w:jc w:val="both"/>
        <w:ind w:firstLine="263"/>
        <w:spacing w:after="0" w:line="243" w:lineRule="auto"/>
        <w:rPr>
          <w:sz w:val="20"/>
          <w:szCs w:val="20"/>
          <w:color w:val="auto"/>
        </w:rPr>
      </w:pPr>
      <w:r>
        <w:rPr>
          <w:rFonts w:ascii="Arial" w:cs="Arial" w:eastAsia="Arial" w:hAnsi="Arial"/>
          <w:sz w:val="14"/>
          <w:szCs w:val="14"/>
          <w:color w:val="auto"/>
        </w:rPr>
        <w:t>In the U.S., we must obtain and maintain approval from the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Except for FDA approval of ARCALYST</w:t>
      </w:r>
      <w:r>
        <w:rPr>
          <w:rFonts w:ascii="Arial" w:cs="Arial" w:eastAsia="Arial" w:hAnsi="Arial"/>
          <w:sz w:val="19"/>
          <w:szCs w:val="19"/>
          <w:color w:val="auto"/>
          <w:vertAlign w:val="superscript"/>
        </w:rPr>
        <w:t>®</w:t>
      </w:r>
      <w:r>
        <w:rPr>
          <w:rFonts w:ascii="Arial" w:cs="Arial" w:eastAsia="Arial" w:hAnsi="Arial"/>
          <w:sz w:val="14"/>
          <w:szCs w:val="14"/>
          <w:color w:val="auto"/>
        </w:rPr>
        <w:t>, and the EMA approval of rilonacept, for the treatment of CAPS, none of our product candidates has ever received regulatory approval to be marketed and sold in the U.S. or any other country. We may never receive regulatory approval for any of our current or future product candidates.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7" w:right="219" w:bottom="1440" w:gutter="0" w:footer="0" w:header="0"/>
        </w:sectPr>
      </w:pPr>
    </w:p>
    <w:bookmarkStart w:id="49" w:name="page50"/>
    <w:bookmarkEnd w:id="49"/>
    <w:p>
      <w:pPr>
        <w:ind w:right="40" w:firstLine="219"/>
        <w:spacing w:after="0" w:line="298" w:lineRule="auto"/>
        <w:rPr>
          <w:sz w:val="20"/>
          <w:szCs w:val="20"/>
          <w:color w:val="auto"/>
        </w:rPr>
      </w:pPr>
      <w:r>
        <w:rPr>
          <w:rFonts w:ascii="Arial" w:cs="Arial" w:eastAsia="Arial" w:hAnsi="Arial"/>
          <w:sz w:val="13"/>
          <w:szCs w:val="13"/>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audits or require additional clinical studies, which would delay our development programs, require us to incur additional costs and could substantially harm our business.</w:t>
      </w:r>
    </w:p>
    <w:p>
      <w:pPr>
        <w:spacing w:after="0" w:line="179" w:lineRule="exact"/>
        <w:rPr>
          <w:sz w:val="20"/>
          <w:szCs w:val="20"/>
          <w:color w:val="auto"/>
        </w:rPr>
      </w:pPr>
    </w:p>
    <w:p>
      <w:pPr>
        <w:jc w:val="both"/>
        <w:ind w:firstLine="219"/>
        <w:spacing w:after="0" w:line="291" w:lineRule="auto"/>
        <w:rPr>
          <w:sz w:val="20"/>
          <w:szCs w:val="20"/>
          <w:color w:val="auto"/>
        </w:rPr>
      </w:pPr>
      <w:r>
        <w:rPr>
          <w:rFonts w:ascii="Arial" w:cs="Arial" w:eastAsia="Arial" w:hAnsi="Arial"/>
          <w:sz w:val="13"/>
          <w:szCs w:val="13"/>
          <w:color w:val="auto"/>
        </w:rPr>
        <w:t>Before approving a new drug or biologic product, the FDA requires that the facilities at which the product will be manufactured or advanced through the supply chain be in compliance with current Good Manufacturing Practices, or cGMP, requirements and regulations governing the shipment and storage of the product. Manufacturing product candidates in compliance with these regulatory requirements is complex, time-consuming, and expensive. To be successful, our products must be manufactured for development, and following approval in commercial quantities,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185" w:lineRule="exact"/>
        <w:rPr>
          <w:sz w:val="20"/>
          <w:szCs w:val="20"/>
          <w:color w:val="auto"/>
        </w:rPr>
      </w:pPr>
    </w:p>
    <w:p>
      <w:pPr>
        <w:jc w:val="both"/>
        <w:ind w:firstLine="219"/>
        <w:spacing w:after="0" w:line="269" w:lineRule="auto"/>
        <w:rPr>
          <w:sz w:val="20"/>
          <w:szCs w:val="20"/>
          <w:color w:val="auto"/>
        </w:rPr>
      </w:pPr>
      <w:r>
        <w:rPr>
          <w:rFonts w:ascii="Arial" w:cs="Arial" w:eastAsia="Arial" w:hAnsi="Arial"/>
          <w:sz w:val="14"/>
          <w:szCs w:val="14"/>
          <w:color w:val="auto"/>
        </w:rPr>
        <w:t>In addition to the FDA and other regulatory agency regulations in the U.S., we are subject to a variety of foreign regulatory requirements governing human clinical trials, manufacturing, marketing and approval of drugs, and commercial sale and distribution of drugs in foreign countries. The foreign regulatory approval process and requirements include all of the risks associated with FDA approval as well as country specific regulations, and actions by a regulatory agency in a country or region with respect to a product candidate may have an impact on the approval process for that product candidate in another country or region. Whether or not we obtain FDA approval for a product in the U.S., we must obtain approval of the product by the comparable regulatory authorities in foreign countries before we can conduct clinical trials of or market that product or any other product in those countries.</w:t>
      </w:r>
    </w:p>
    <w:p>
      <w:pPr>
        <w:spacing w:after="0" w:line="173" w:lineRule="exact"/>
        <w:rPr>
          <w:sz w:val="20"/>
          <w:szCs w:val="20"/>
          <w:color w:val="auto"/>
        </w:rPr>
      </w:pPr>
    </w:p>
    <w:p>
      <w:pPr>
        <w:ind w:left="140"/>
        <w:spacing w:after="0" w:line="291" w:lineRule="auto"/>
        <w:rPr>
          <w:sz w:val="20"/>
          <w:szCs w:val="20"/>
          <w:color w:val="auto"/>
        </w:rPr>
      </w:pPr>
      <w:r>
        <w:rPr>
          <w:rFonts w:ascii="Arial" w:cs="Arial" w:eastAsia="Arial" w:hAnsi="Arial"/>
          <w:sz w:val="14"/>
          <w:szCs w:val="14"/>
          <w:b w:val="1"/>
          <w:bCs w:val="1"/>
          <w:i w:val="1"/>
          <w:iCs w:val="1"/>
          <w:color w:val="auto"/>
        </w:rPr>
        <w:t>Clinical trials required for our product candidates are expensive and time-consuming, and their outcome is highly uncertain. If any of our drug trials are delayed or yield unfavorable results, regulatory approval for our product candidates may be delayed or become unobtainable.</w:t>
      </w:r>
    </w:p>
    <w:p>
      <w:pPr>
        <w:spacing w:after="0" w:line="180" w:lineRule="exact"/>
        <w:rPr>
          <w:sz w:val="20"/>
          <w:szCs w:val="20"/>
          <w:color w:val="auto"/>
        </w:rPr>
      </w:pPr>
    </w:p>
    <w:p>
      <w:pPr>
        <w:jc w:val="both"/>
        <w:ind w:firstLine="252"/>
        <w:spacing w:after="0" w:line="290" w:lineRule="auto"/>
        <w:rPr>
          <w:sz w:val="20"/>
          <w:szCs w:val="20"/>
          <w:color w:val="auto"/>
        </w:rPr>
      </w:pPr>
      <w:r>
        <w:rPr>
          <w:rFonts w:ascii="Arial" w:cs="Arial" w:eastAsia="Arial" w:hAnsi="Arial"/>
          <w:sz w:val="13"/>
          <w:szCs w:val="13"/>
          <w:color w:val="auto"/>
        </w:rPr>
        <w:t>As described above, 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or comparator drug, and the failure of clinical investigators, trial monitors, contractors, consultants, or trial subjects to comply with the trial plan, protocol, or applicable regulations related to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184" w:lineRule="exact"/>
        <w:rPr>
          <w:sz w:val="20"/>
          <w:szCs w:val="20"/>
          <w:color w:val="auto"/>
        </w:rPr>
      </w:pPr>
    </w:p>
    <w:p>
      <w:pPr>
        <w:jc w:val="both"/>
        <w:ind w:firstLine="219"/>
        <w:spacing w:after="0" w:line="276" w:lineRule="auto"/>
        <w:rPr>
          <w:sz w:val="20"/>
          <w:szCs w:val="20"/>
          <w:color w:val="auto"/>
        </w:rPr>
      </w:pPr>
      <w:r>
        <w:rPr>
          <w:rFonts w:ascii="Arial" w:cs="Arial" w:eastAsia="Arial" w:hAnsi="Arial"/>
          <w:sz w:val="14"/>
          <w:szCs w:val="14"/>
          <w:color w:val="auto"/>
        </w:rPr>
        <w:t>We will need to reevaluate any drug candidate that does not test favorably and either conduct new trials, which are expensive and time consuming, or abandon that drug development program. The failure of clinical trials to demonstrate the safety and effectiveness of our clinical candidates for the desired indication(s) would preclude the successful development of those candidates for such indication(s), in which event our business, financial condition, results of operations, and prospects may be materially harmed.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50" w:name="page51"/>
    <w:bookmarkEnd w:id="50"/>
    <w:p>
      <w:pPr>
        <w:ind w:left="140"/>
        <w:spacing w:after="0"/>
        <w:rPr>
          <w:sz w:val="20"/>
          <w:szCs w:val="20"/>
          <w:color w:val="auto"/>
        </w:rPr>
      </w:pPr>
      <w:r>
        <w:rPr>
          <w:rFonts w:ascii="Arial" w:cs="Arial" w:eastAsia="Arial" w:hAnsi="Arial"/>
          <w:sz w:val="14"/>
          <w:szCs w:val="14"/>
          <w:b w:val="1"/>
          <w:bCs w:val="1"/>
          <w:i w:val="1"/>
          <w:iCs w:val="1"/>
          <w:color w:val="auto"/>
        </w:rPr>
        <w:t>Successful development of our current and future product candidates is uncertain.</w:t>
      </w:r>
    </w:p>
    <w:p>
      <w:pPr>
        <w:spacing w:after="0" w:line="232" w:lineRule="exact"/>
        <w:rPr>
          <w:sz w:val="20"/>
          <w:szCs w:val="20"/>
          <w:color w:val="auto"/>
        </w:rPr>
      </w:pPr>
    </w:p>
    <w:p>
      <w:pPr>
        <w:jc w:val="both"/>
        <w:ind w:firstLine="252"/>
        <w:spacing w:after="0" w:line="255" w:lineRule="auto"/>
        <w:rPr>
          <w:sz w:val="20"/>
          <w:szCs w:val="20"/>
          <w:color w:val="auto"/>
        </w:rPr>
      </w:pPr>
      <w:r>
        <w:rPr>
          <w:rFonts w:ascii="Arial" w:cs="Arial" w:eastAsia="Arial" w:hAnsi="Arial"/>
          <w:sz w:val="13"/>
          <w:szCs w:val="13"/>
          <w:color w:val="auto"/>
        </w:rPr>
        <w:t>Only a small minority of all research and development programs ultimately result in commercially successful drugs. We are testing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a number of late-stage clinical trials in various indications and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prevention of gout flares in patients initiating uric acid-lowering drug therapy. Clinical trials may not demonstrate statistically sufficient effectiveness and safety to obtain the requisite regulatory approvals for these product candidates in these indications. In a number of instances, we have terminated the development of product candidates due to a lack of or only modest effectiveness. Moreover, even if we obtain positive results from preclinical or clinical trials, we may not achieve the same success in future trials. Many companies in the biopharmaceutical industry, including our company, have suffered significant setbacks in clinical trials, even after promising results have been obtained in earlier trials.</w:t>
      </w:r>
    </w:p>
    <w:p>
      <w:pPr>
        <w:spacing w:after="0" w:line="205" w:lineRule="exact"/>
        <w:rPr>
          <w:sz w:val="20"/>
          <w:szCs w:val="20"/>
          <w:color w:val="auto"/>
        </w:rPr>
      </w:pPr>
    </w:p>
    <w:p>
      <w:pPr>
        <w:jc w:val="both"/>
        <w:ind w:firstLine="252"/>
        <w:spacing w:after="0" w:line="242" w:lineRule="auto"/>
        <w:rPr>
          <w:sz w:val="20"/>
          <w:szCs w:val="20"/>
          <w:color w:val="auto"/>
        </w:rPr>
      </w:pPr>
      <w:r>
        <w:rPr>
          <w:rFonts w:ascii="Arial" w:cs="Arial" w:eastAsia="Arial" w:hAnsi="Arial"/>
          <w:sz w:val="13"/>
          <w:szCs w:val="13"/>
          <w:color w:val="auto"/>
        </w:rPr>
        <w:t>In April 2011 we announced that our Phase 3 VELOUR trial of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met its primary endpoint of improving overall survival in the treatment of previously treated mCRC, and that based upon these positive results, we and Sanofi plan to submit regulatory applications for marketing approval to the FDA and EMA by the end of 2011. However, the expected timing for this submission may not be met and even if submitted such applications may not be accepted for filing or ultimately approved.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is also in a Phase 3 clinical trial in combination with a standard chemotherapy regimen for the treatment of first-line androgen independent prostate cancer. We do not have proof of concept data from early-stage, double-blind, controlled clinical trials that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will be safe or effective in this cancer setting. In March 2010, Genentech announced that a Phase 3 trial of its VEGF antagonist, Avastin</w:t>
      </w:r>
      <w:r>
        <w:rPr>
          <w:rFonts w:ascii="Arial" w:cs="Arial" w:eastAsia="Arial" w:hAnsi="Arial"/>
          <w:sz w:val="17"/>
          <w:szCs w:val="17"/>
          <w:color w:val="auto"/>
          <w:vertAlign w:val="superscript"/>
        </w:rPr>
        <w:t>®</w:t>
      </w:r>
      <w:r>
        <w:rPr>
          <w:rFonts w:ascii="Arial" w:cs="Arial" w:eastAsia="Arial" w:hAnsi="Arial"/>
          <w:sz w:val="13"/>
          <w:szCs w:val="13"/>
          <w:color w:val="auto"/>
        </w:rPr>
        <w:t xml:space="preserve"> (Bevacizumab Injection), in combination with chemotherapy in men with prostate cancer, did not meet its primary endpoint. This trial had a very similar design to our ongoing Phase 3 trial of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prostate cancer.</w:t>
      </w:r>
    </w:p>
    <w:p>
      <w:pPr>
        <w:spacing w:after="0" w:line="136" w:lineRule="exact"/>
        <w:rPr>
          <w:sz w:val="20"/>
          <w:szCs w:val="20"/>
          <w:color w:val="auto"/>
        </w:rPr>
      </w:pPr>
    </w:p>
    <w:p>
      <w:pPr>
        <w:jc w:val="both"/>
        <w:ind w:firstLine="252"/>
        <w:spacing w:after="0" w:line="212" w:lineRule="auto"/>
        <w:rPr>
          <w:sz w:val="20"/>
          <w:szCs w:val="20"/>
          <w:color w:val="auto"/>
        </w:rPr>
      </w:pPr>
      <w:r>
        <w:rPr>
          <w:rFonts w:ascii="Arial" w:cs="Arial" w:eastAsia="Arial" w:hAnsi="Arial"/>
          <w:sz w:val="14"/>
          <w:szCs w:val="14"/>
          <w:color w:val="auto"/>
        </w:rPr>
        <w:t>We are testing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Phase 3 trials for the treatment of wet AMD, the treatment of CRVO, and the treatment of DME. As described above, in February 2011, we submitted a BLA to the FDA for marketing approval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wet AMD in the U.S. In April 2011, the FDA accepted the BLA for filing and granted our request for Priority Review. On August 16, 2011, FDA notified us that it had extended its target date to complete the priority review of the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BLA for the treatment of wet AMD to November 18, 2011, which is a three month extension from the original action date. Although we reported positive Phase 3 trial results with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wet AMD after one year of treatment, the Phase 3 trials will continue for an additional year and there is a risk that the results from the second year of the studies could differ from the previously reported results; such difference could delay or preclude regulatory approval or, if regulatory approval has been granted, result in the revocation of such approval.</w:t>
      </w:r>
    </w:p>
    <w:p>
      <w:pPr>
        <w:spacing w:after="0" w:line="216" w:lineRule="exact"/>
        <w:rPr>
          <w:sz w:val="20"/>
          <w:szCs w:val="20"/>
          <w:color w:val="auto"/>
        </w:rPr>
      </w:pPr>
    </w:p>
    <w:p>
      <w:pPr>
        <w:jc w:val="both"/>
        <w:ind w:firstLine="219"/>
        <w:spacing w:after="0" w:line="231" w:lineRule="auto"/>
        <w:rPr>
          <w:sz w:val="20"/>
          <w:szCs w:val="20"/>
          <w:color w:val="auto"/>
        </w:rPr>
      </w:pPr>
      <w:r>
        <w:rPr>
          <w:rFonts w:ascii="Arial" w:cs="Arial" w:eastAsia="Arial" w:hAnsi="Arial"/>
          <w:sz w:val="14"/>
          <w:szCs w:val="14"/>
          <w:color w:val="auto"/>
        </w:rPr>
        <w:t>We also reported positive Phase 3 trial results with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CRVO after six months of treatment and, based on these results, intend to submit a regulatory application to the FDA for marketing approval in the U.S.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CRVO by the end of 2011. However, these trials are not all completed, and there is a risk that one-year results could differ from six-month results, and such final results could delay or preclude regulatory approval or, if regulatory approval has been granted, result in the revocation of such approval. There can be no assurance that we will meet our expected timing for this submission, the submission will be accepted for filing, or if or when we will receive regulatory approval for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CRVO.</w:t>
      </w:r>
    </w:p>
    <w:p>
      <w:pPr>
        <w:spacing w:after="0" w:line="136" w:lineRule="exact"/>
        <w:rPr>
          <w:sz w:val="20"/>
          <w:szCs w:val="20"/>
          <w:color w:val="auto"/>
        </w:rPr>
      </w:pPr>
    </w:p>
    <w:p>
      <w:pPr>
        <w:jc w:val="both"/>
        <w:ind w:firstLine="241"/>
        <w:spacing w:after="0" w:line="247" w:lineRule="auto"/>
        <w:rPr>
          <w:sz w:val="20"/>
          <w:szCs w:val="20"/>
          <w:color w:val="auto"/>
        </w:rPr>
      </w:pPr>
      <w:r>
        <w:rPr>
          <w:rFonts w:ascii="Arial" w:cs="Arial" w:eastAsia="Arial" w:hAnsi="Arial"/>
          <w:sz w:val="14"/>
          <w:szCs w:val="14"/>
          <w:color w:val="auto"/>
        </w:rPr>
        <w:t>We also reported positive results of a Phase 2 trial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for the treatment of DME and that we have initiated a Phase 3 program in that indication. A number of other potential new drugs and biologics which showed promising results in Phase 1 and 2 clinical trials subsequently failed to establish sufficient safety and efficacy data to obtain necessary regulatory approvals, and this could occur with respect to subsequent clinical trials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for the treatment of DME.</w:t>
      </w:r>
    </w:p>
    <w:p>
      <w:pPr>
        <w:spacing w:after="0" w:line="131" w:lineRule="exact"/>
        <w:rPr>
          <w:sz w:val="20"/>
          <w:szCs w:val="20"/>
          <w:color w:val="auto"/>
        </w:rPr>
      </w:pPr>
    </w:p>
    <w:p>
      <w:pPr>
        <w:jc w:val="both"/>
        <w:ind w:firstLine="219"/>
        <w:spacing w:after="0" w:line="212" w:lineRule="auto"/>
        <w:rPr>
          <w:sz w:val="20"/>
          <w:szCs w:val="20"/>
          <w:color w:val="auto"/>
        </w:rPr>
      </w:pPr>
      <w:r>
        <w:rPr>
          <w:rFonts w:ascii="Arial" w:cs="Arial" w:eastAsia="Arial" w:hAnsi="Arial"/>
          <w:sz w:val="14"/>
          <w:szCs w:val="14"/>
          <w:color w:val="auto"/>
        </w:rPr>
        <w:t>Based on the results of three Phase 3 studies, we have submitted a supplemental BLA filing to the FDA seeking approval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prevention of gout flares in patients initiating uric acid-lowering drug therapy. However, the expected timing may not be met, the application may not be accepted for filing, and the FDA may not grant such approval or such approval may be substantially delayed. The FDA could also require us to provide additional clinical data in connection with this application. For example, in June 2011, following two positive Phase 3 trials, the Arthritis Advisory Committee of the FDA, voted to recommend against approval in a gout indication for Ilaris</w:t>
      </w:r>
      <w:r>
        <w:rPr>
          <w:rFonts w:ascii="Arial" w:cs="Arial" w:eastAsia="Arial" w:hAnsi="Arial"/>
          <w:sz w:val="19"/>
          <w:szCs w:val="19"/>
          <w:color w:val="auto"/>
          <w:vertAlign w:val="superscript"/>
        </w:rPr>
        <w:t>®</w:t>
      </w:r>
      <w:r>
        <w:rPr>
          <w:rFonts w:ascii="Arial" w:cs="Arial" w:eastAsia="Arial" w:hAnsi="Arial"/>
          <w:sz w:val="14"/>
          <w:szCs w:val="14"/>
          <w:color w:val="auto"/>
        </w:rPr>
        <w:t xml:space="preserve"> (canikinumab), Novartis’ IL-1 inhibitor which works through a similar mechanism as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and, in August 2011, Novartis received a Complete Response letter from the FDA requesting additional information, including clinical data to evaluate the benefit-risk profile of Ilaris</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in refractory patients.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51" w:name="page52"/>
    <w:bookmarkEnd w:id="51"/>
    <w:p>
      <w:pPr>
        <w:jc w:val="both"/>
        <w:ind w:firstLine="263"/>
        <w:spacing w:after="0" w:line="249" w:lineRule="auto"/>
        <w:rPr>
          <w:sz w:val="20"/>
          <w:szCs w:val="20"/>
          <w:color w:val="auto"/>
        </w:rPr>
      </w:pPr>
      <w:r>
        <w:rPr>
          <w:rFonts w:ascii="Arial" w:cs="Arial" w:eastAsia="Arial" w:hAnsi="Arial"/>
          <w:sz w:val="14"/>
          <w:szCs w:val="14"/>
          <w:color w:val="auto"/>
        </w:rPr>
        <w:t>Many of our clinical trials are conducted under the oversight of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September 2009, a Phase 3 trial that was evaluating ZALTRAP</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as a first-line treatment for metastic pancreatic cancer in combination with gemcitabine was discontinued at the recommendation of an IDMC after a planned analysis of interim efficacy data determined that the trial would not meet its efficacy endpoint. The recommended termination of any of our ongoing late-stage clinical trials by an IDMC could negatively impact the future development of our product candidate(s), and our business may be materially harmed.</w:t>
      </w:r>
    </w:p>
    <w:p>
      <w:pPr>
        <w:spacing w:after="0" w:line="211" w:lineRule="exact"/>
        <w:rPr>
          <w:sz w:val="20"/>
          <w:szCs w:val="20"/>
          <w:color w:val="auto"/>
        </w:rPr>
      </w:pPr>
    </w:p>
    <w:p>
      <w:pPr>
        <w:jc w:val="both"/>
        <w:ind w:firstLine="252"/>
        <w:spacing w:after="0" w:line="271" w:lineRule="auto"/>
        <w:rPr>
          <w:sz w:val="20"/>
          <w:szCs w:val="20"/>
          <w:color w:val="auto"/>
        </w:rPr>
      </w:pPr>
      <w:r>
        <w:rPr>
          <w:rFonts w:ascii="Arial" w:cs="Arial" w:eastAsia="Arial" w:hAnsi="Arial"/>
          <w:sz w:val="14"/>
          <w:szCs w:val="14"/>
          <w:color w:val="auto"/>
        </w:rPr>
        <w:t>We are studying our antibody candidates in a wide variety of indications in early stage clinical trials. Many of these trials are exploratory studies designed to evaluate the safety profile of these compounds and to identify what diseases and uses, if any, are best suited for these product candidates. These early stage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171" w:lineRule="exact"/>
        <w:rPr>
          <w:sz w:val="20"/>
          <w:szCs w:val="20"/>
          <w:color w:val="auto"/>
        </w:rPr>
      </w:pPr>
    </w:p>
    <w:p>
      <w:pPr>
        <w:jc w:val="both"/>
        <w:ind w:left="140"/>
        <w:spacing w:after="0" w:line="224" w:lineRule="auto"/>
        <w:rPr>
          <w:sz w:val="20"/>
          <w:szCs w:val="20"/>
          <w:color w:val="auto"/>
        </w:rPr>
      </w:pPr>
      <w:r>
        <w:rPr>
          <w:rFonts w:ascii="Arial" w:cs="Arial" w:eastAsia="Arial" w:hAnsi="Arial"/>
          <w:sz w:val="14"/>
          <w:szCs w:val="14"/>
          <w:b w:val="1"/>
          <w:bCs w:val="1"/>
          <w:i w:val="1"/>
          <w:iCs w:val="1"/>
          <w:color w:val="auto"/>
        </w:rPr>
        <w:t>Serious complications or side effects have occurred, and may continue to occur, in connection with the use of ARCALYST</w:t>
      </w:r>
      <w:r>
        <w:rPr>
          <w:rFonts w:ascii="Arial" w:cs="Arial" w:eastAsia="Arial" w:hAnsi="Arial"/>
          <w:sz w:val="19"/>
          <w:szCs w:val="19"/>
          <w:b w:val="1"/>
          <w:bCs w:val="1"/>
          <w:i w:val="1"/>
          <w:iCs w:val="1"/>
          <w:color w:val="auto"/>
          <w:vertAlign w:val="superscript"/>
        </w:rPr>
        <w:t>®</w:t>
      </w:r>
      <w:r>
        <w:rPr>
          <w:rFonts w:ascii="Arial" w:cs="Arial" w:eastAsia="Arial" w:hAnsi="Arial"/>
          <w:sz w:val="14"/>
          <w:szCs w:val="14"/>
          <w:b w:val="1"/>
          <w:bCs w:val="1"/>
          <w:i w:val="1"/>
          <w:iCs w:val="1"/>
          <w:color w:val="auto"/>
        </w:rPr>
        <w:t xml:space="preserve"> for the treatment of CAPS and in clinical trials of some of our product candidates, and may also occur with the more widespread use of ZALTRAP</w:t>
      </w:r>
      <w:r>
        <w:rPr>
          <w:rFonts w:ascii="Arial" w:cs="Arial" w:eastAsia="Arial" w:hAnsi="Arial"/>
          <w:sz w:val="19"/>
          <w:szCs w:val="19"/>
          <w:b w:val="1"/>
          <w:bCs w:val="1"/>
          <w:i w:val="1"/>
          <w:iCs w:val="1"/>
          <w:color w:val="auto"/>
          <w:vertAlign w:val="superscript"/>
        </w:rPr>
        <w:t>®</w:t>
      </w:r>
      <w:r>
        <w:rPr>
          <w:rFonts w:ascii="Arial" w:cs="Arial" w:eastAsia="Arial" w:hAnsi="Arial"/>
          <w:sz w:val="14"/>
          <w:szCs w:val="14"/>
          <w:b w:val="1"/>
          <w:bCs w:val="1"/>
          <w:i w:val="1"/>
          <w:iCs w:val="1"/>
          <w:color w:val="auto"/>
        </w:rPr>
        <w:t>, EYLEA</w:t>
      </w:r>
      <w:r>
        <w:rPr>
          <w:rFonts w:ascii="Arial" w:cs="Arial" w:eastAsia="Arial" w:hAnsi="Arial"/>
          <w:sz w:val="19"/>
          <w:szCs w:val="19"/>
          <w:b w:val="1"/>
          <w:bCs w:val="1"/>
          <w:i w:val="1"/>
          <w:iCs w:val="1"/>
          <w:color w:val="auto"/>
          <w:vertAlign w:val="superscript"/>
        </w:rPr>
        <w:t>TM</w:t>
      </w:r>
      <w:r>
        <w:rPr>
          <w:rFonts w:ascii="Arial" w:cs="Arial" w:eastAsia="Arial" w:hAnsi="Arial"/>
          <w:sz w:val="14"/>
          <w:szCs w:val="14"/>
          <w:b w:val="1"/>
          <w:bCs w:val="1"/>
          <w:i w:val="1"/>
          <w:iCs w:val="1"/>
          <w:color w:val="auto"/>
        </w:rPr>
        <w:t>, and/or ARCALYST</w:t>
      </w:r>
      <w:r>
        <w:rPr>
          <w:rFonts w:ascii="Arial" w:cs="Arial" w:eastAsia="Arial" w:hAnsi="Arial"/>
          <w:sz w:val="19"/>
          <w:szCs w:val="19"/>
          <w:b w:val="1"/>
          <w:bCs w:val="1"/>
          <w:i w:val="1"/>
          <w:iCs w:val="1"/>
          <w:color w:val="auto"/>
          <w:vertAlign w:val="superscript"/>
        </w:rPr>
        <w:t>®</w:t>
      </w:r>
      <w:r>
        <w:rPr>
          <w:rFonts w:ascii="Arial" w:cs="Arial" w:eastAsia="Arial" w:hAnsi="Arial"/>
          <w:sz w:val="14"/>
          <w:szCs w:val="14"/>
          <w:b w:val="1"/>
          <w:bCs w:val="1"/>
          <w:i w:val="1"/>
          <w:iCs w:val="1"/>
          <w:color w:val="auto"/>
        </w:rPr>
        <w:t xml:space="preserve"> for the prevention of gout flares if they receive regulatory approval, which could cause our regulatory approval(s) to be revoked or otherwise negatively affected or lead to delay or discontinuation of development of our product candidates which could severely harm our business.</w:t>
      </w:r>
    </w:p>
    <w:p>
      <w:pPr>
        <w:spacing w:after="0" w:line="215"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3"/>
          <w:szCs w:val="13"/>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It is possible that as we test our drug candidates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 scale, Phase 3 clinical trials or, in some cases, after they are made available to patients after approval. If additional clinical experience indicates that any of our product candidates has many side effects or causes serious or life-threatening side effects, the development of the product candidate may fail or be delayed, or if the product candidate has received regulatory approval such approval may be revoked, which would severely harm our business.</w:t>
      </w:r>
    </w:p>
    <w:p>
      <w:pPr>
        <w:spacing w:after="0" w:line="182" w:lineRule="exact"/>
        <w:rPr>
          <w:sz w:val="20"/>
          <w:szCs w:val="20"/>
          <w:color w:val="auto"/>
        </w:rPr>
      </w:pPr>
    </w:p>
    <w:p>
      <w:pPr>
        <w:jc w:val="both"/>
        <w:ind w:firstLine="252"/>
        <w:spacing w:after="0" w:line="248" w:lineRule="auto"/>
        <w:rPr>
          <w:sz w:val="20"/>
          <w:szCs w:val="20"/>
          <w:color w:val="auto"/>
        </w:rPr>
      </w:pPr>
      <w:r>
        <w:rPr>
          <w:rFonts w:ascii="Arial" w:cs="Arial" w:eastAsia="Arial" w:hAnsi="Arial"/>
          <w:sz w:val="13"/>
          <w:szCs w:val="13"/>
          <w:color w:val="auto"/>
        </w:rPr>
        <w:t>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is being studied for the potential treatment of certain types of cancer and our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candidate is being studied in diseases of the eye. There are many potential safety concerns associated with significant blockade of VEGF that may limit our ability to successfully develop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each of the indications for which we are studying these product candidates. These serious and potentially life-threatening risks, based on clinical and preclinical experience of VEGF inhibitors, include bleeding, intestinal perforation, hypertension, proteinuria, congestive heart failure, heart attack, and stroke. In addition, patients given infusions of any protein, including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delivered through intravenous administration, may develop severe hypersensitivity reactions or infusion reactions. Other VEGF blockers have reported side effects that became evident only after large scale trials or after marketing approval when large numbers of patients were treated. There are risks inherent in the intravitreal administration of drugs like EYLEA</w:t>
      </w:r>
      <w:r>
        <w:rPr>
          <w:rFonts w:ascii="Arial" w:cs="Arial" w:eastAsia="Arial" w:hAnsi="Arial"/>
          <w:sz w:val="17"/>
          <w:szCs w:val="17"/>
          <w:color w:val="auto"/>
          <w:vertAlign w:val="superscript"/>
        </w:rPr>
        <w:t>TM</w:t>
      </w:r>
      <w:r>
        <w:rPr>
          <w:rFonts w:ascii="Arial" w:cs="Arial" w:eastAsia="Arial" w:hAnsi="Arial"/>
          <w:sz w:val="13"/>
          <w:szCs w:val="13"/>
          <w:color w:val="auto"/>
        </w:rPr>
        <w:t>, which can cause injury to the eye and other complications. These and other complications or side effects could harm the development and/or commercialization of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treatment of cancer or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for the treatment of diseases of the eye.</w:t>
      </w:r>
    </w:p>
    <w:p>
      <w:pPr>
        <w:spacing w:after="0" w:line="129" w:lineRule="exact"/>
        <w:rPr>
          <w:sz w:val="20"/>
          <w:szCs w:val="20"/>
          <w:color w:val="auto"/>
        </w:rPr>
      </w:pPr>
    </w:p>
    <w:p>
      <w:pPr>
        <w:jc w:val="both"/>
        <w:ind w:firstLine="241"/>
        <w:spacing w:after="0" w:line="206" w:lineRule="auto"/>
        <w:rPr>
          <w:sz w:val="20"/>
          <w:szCs w:val="20"/>
          <w:color w:val="auto"/>
        </w:rPr>
      </w:pPr>
      <w:r>
        <w:rPr>
          <w:rFonts w:ascii="Arial" w:cs="Arial" w:eastAsia="Arial" w:hAnsi="Arial"/>
          <w:sz w:val="14"/>
          <w:szCs w:val="14"/>
          <w:color w:val="auto"/>
        </w:rPr>
        <w:t>As more patients begin to use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if it receives regulatory approval for the prevention of gout flares in patients initiating uric acid-lowering therapy, and to the extent it is tested in new disease settings, new risks and side effects associated with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may be discovered, and risks previously viewed as inconsequential could be determined to be significant. Like cytokine antagonists such as Ilaris</w:t>
      </w:r>
      <w:r>
        <w:rPr>
          <w:rFonts w:ascii="Arial" w:cs="Arial" w:eastAsia="Arial" w:hAnsi="Arial"/>
          <w:sz w:val="19"/>
          <w:szCs w:val="19"/>
          <w:color w:val="auto"/>
          <w:vertAlign w:val="superscript"/>
        </w:rPr>
        <w:t>®</w:t>
      </w:r>
      <w:r>
        <w:rPr>
          <w:rFonts w:ascii="Arial" w:cs="Arial" w:eastAsia="Arial" w:hAnsi="Arial"/>
          <w:sz w:val="14"/>
          <w:szCs w:val="14"/>
          <w:color w:val="auto"/>
        </w:rPr>
        <w:t xml:space="preserve"> (canakinumab), a registered trademark of Novartis, Kineret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(anakinra) and Enbrel</w:t>
      </w:r>
      <w:r>
        <w:rPr>
          <w:rFonts w:ascii="Arial" w:cs="Arial" w:eastAsia="Arial" w:hAnsi="Arial"/>
          <w:sz w:val="19"/>
          <w:szCs w:val="19"/>
          <w:color w:val="auto"/>
          <w:vertAlign w:val="superscript"/>
        </w:rPr>
        <w:t>®</w:t>
      </w:r>
      <w:r>
        <w:rPr>
          <w:rFonts w:ascii="Arial" w:cs="Arial" w:eastAsia="Arial" w:hAnsi="Arial"/>
          <w:sz w:val="14"/>
          <w:szCs w:val="14"/>
          <w:color w:val="auto"/>
        </w:rPr>
        <w:t xml:space="preserve"> (etanercept), registered trademarks of Amgen, and Remicade</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(infliximab) a registered trademark of Centocor Ortho Biotech,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affects the immune defense system of the body by blocking some of its functions. Therefore,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may interfere with the body’s ability to fight infections. As noted above, in June 2011, following two positive Phase 3 trials, the Arthritis Advisory Committee of the FDA voted to recommend against approval in a gout indication for Ilaris</w:t>
      </w:r>
      <w:r>
        <w:rPr>
          <w:rFonts w:ascii="Arial" w:cs="Arial" w:eastAsia="Arial" w:hAnsi="Arial"/>
          <w:sz w:val="19"/>
          <w:szCs w:val="19"/>
          <w:color w:val="auto"/>
          <w:vertAlign w:val="superscript"/>
        </w:rPr>
        <w:t>®</w:t>
      </w:r>
      <w:r>
        <w:rPr>
          <w:rFonts w:ascii="Arial" w:cs="Arial" w:eastAsia="Arial" w:hAnsi="Arial"/>
          <w:sz w:val="14"/>
          <w:szCs w:val="14"/>
          <w:color w:val="auto"/>
        </w:rPr>
        <w:t>, Novartis’ IL-1 inhibitor which works through a similar mechanism as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and, in August 2011, Novartis received a Complete Response letter from the FDA requesting additional information, including clinical data to evaluate the benefit-risk profile of Ilaris</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in refractory patients.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52" w:name="page53"/>
    <w:bookmarkEnd w:id="52"/>
    <w:p>
      <w:pPr>
        <w:jc w:val="both"/>
        <w:ind w:firstLine="230"/>
        <w:spacing w:after="0" w:line="211" w:lineRule="auto"/>
        <w:rPr>
          <w:sz w:val="20"/>
          <w:szCs w:val="20"/>
          <w:color w:val="auto"/>
        </w:rPr>
      </w:pPr>
      <w:r>
        <w:rPr>
          <w:rFonts w:ascii="Arial" w:cs="Arial" w:eastAsia="Arial" w:hAnsi="Arial"/>
          <w:sz w:val="14"/>
          <w:szCs w:val="14"/>
          <w:color w:val="auto"/>
        </w:rPr>
        <w:t>Treatment with Kineret</w:t>
      </w:r>
      <w:r>
        <w:rPr>
          <w:rFonts w:ascii="Arial" w:cs="Arial" w:eastAsia="Arial" w:hAnsi="Arial"/>
          <w:sz w:val="19"/>
          <w:szCs w:val="19"/>
          <w:color w:val="auto"/>
          <w:vertAlign w:val="superscript"/>
        </w:rPr>
        <w:t>®</w:t>
      </w:r>
      <w:r>
        <w:rPr>
          <w:rFonts w:ascii="Arial" w:cs="Arial" w:eastAsia="Arial" w:hAnsi="Arial"/>
          <w:sz w:val="14"/>
          <w:szCs w:val="14"/>
          <w:color w:val="auto"/>
        </w:rPr>
        <w:t>, a medication that works through the inhibition of IL-1, has been associated with an increased risk of serious infections, and serious, life threatening infections have been reported in patients taking ARCALYST</w:t>
      </w:r>
      <w:r>
        <w:rPr>
          <w:rFonts w:ascii="Arial" w:cs="Arial" w:eastAsia="Arial" w:hAnsi="Arial"/>
          <w:sz w:val="19"/>
          <w:szCs w:val="19"/>
          <w:color w:val="auto"/>
          <w:vertAlign w:val="superscript"/>
        </w:rPr>
        <w:t>®</w:t>
      </w:r>
      <w:r>
        <w:rPr>
          <w:rFonts w:ascii="Arial" w:cs="Arial" w:eastAsia="Arial" w:hAnsi="Arial"/>
          <w:sz w:val="14"/>
          <w:szCs w:val="14"/>
          <w:color w:val="auto"/>
        </w:rPr>
        <w:t>. These or other complications or side effects could cause regulatory authorities to revoke approvals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treatment of CAPS or deny the approval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prevention of gout flares in patients initiating uric acid-lowering treatment or other disease settings. Alternatively, we may be required to conduct additional clinical trials, make changes in the labeling of our product, or limit or abandon our efforts to develop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in new disease settings. Any such side effects may also result in a reduction, or even the elimination, of sales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in the current or future approved indications.</w:t>
      </w:r>
    </w:p>
    <w:p>
      <w:pPr>
        <w:spacing w:after="0" w:line="138" w:lineRule="exact"/>
        <w:rPr>
          <w:sz w:val="20"/>
          <w:szCs w:val="20"/>
          <w:color w:val="auto"/>
        </w:rPr>
      </w:pPr>
    </w:p>
    <w:p>
      <w:pPr>
        <w:jc w:val="both"/>
        <w:ind w:firstLine="219"/>
        <w:spacing w:after="0" w:line="269" w:lineRule="auto"/>
        <w:rPr>
          <w:sz w:val="20"/>
          <w:szCs w:val="20"/>
          <w:color w:val="auto"/>
        </w:rPr>
      </w:pPr>
      <w:r>
        <w:rPr>
          <w:rFonts w:ascii="Arial" w:cs="Arial" w:eastAsia="Arial" w:hAnsi="Arial"/>
          <w:sz w:val="14"/>
          <w:szCs w:val="14"/>
          <w:color w:val="auto"/>
        </w:rPr>
        <w:t>We are studying REGN475, a fully human monoclonal antibody to NGF, in a variety of pain indications, including osteoarthritis of the knee. In December 2010, we were informed by the FDA that a case confirmed as avascular necrosis of a joint was seen in another company’s anti-NGF program. The FDA believes this case, which follows previously-reported cases of joint replacements in patients on an anti-NGF drug candidate being developed by another pharmaceutical company, provides evidence to suggest a class-effect and placed REGN475 on clinical hold. The FDA Arthritis Advisory Committee scheduled for September 13, 2011 to discuss possible safety issues related to anti-NGF compounds has been postponed. There are currently no ongoing trials with REGN475 that are either enrolling or treating patients.</w:t>
      </w:r>
    </w:p>
    <w:p>
      <w:pPr>
        <w:spacing w:after="0" w:line="173" w:lineRule="exact"/>
        <w:rPr>
          <w:sz w:val="20"/>
          <w:szCs w:val="20"/>
          <w:color w:val="auto"/>
        </w:rPr>
      </w:pPr>
    </w:p>
    <w:p>
      <w:pPr>
        <w:ind w:left="140"/>
        <w:spacing w:after="0" w:line="291" w:lineRule="auto"/>
        <w:rPr>
          <w:sz w:val="20"/>
          <w:szCs w:val="20"/>
          <w:color w:val="auto"/>
        </w:rPr>
      </w:pPr>
      <w:r>
        <w:rPr>
          <w:rFonts w:ascii="Arial" w:cs="Arial" w:eastAsia="Arial" w:hAnsi="Arial"/>
          <w:sz w:val="14"/>
          <w:szCs w:val="14"/>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180" w:lineRule="exact"/>
        <w:rPr>
          <w:sz w:val="20"/>
          <w:szCs w:val="20"/>
          <w:color w:val="auto"/>
        </w:rPr>
      </w:pPr>
    </w:p>
    <w:p>
      <w:pPr>
        <w:jc w:val="both"/>
        <w:ind w:firstLine="296"/>
        <w:spacing w:after="0" w:line="269" w:lineRule="auto"/>
        <w:rPr>
          <w:sz w:val="20"/>
          <w:szCs w:val="20"/>
          <w:color w:val="auto"/>
        </w:rPr>
      </w:pPr>
      <w:r>
        <w:rPr>
          <w:rFonts w:ascii="Arial" w:cs="Arial" w:eastAsia="Arial" w:hAnsi="Arial"/>
          <w:sz w:val="14"/>
          <w:szCs w:val="14"/>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173" w:lineRule="exact"/>
        <w:rPr>
          <w:sz w:val="20"/>
          <w:szCs w:val="20"/>
          <w:color w:val="auto"/>
        </w:rPr>
      </w:pPr>
    </w:p>
    <w:p>
      <w:pPr>
        <w:ind w:left="140"/>
        <w:spacing w:after="0" w:line="291" w:lineRule="auto"/>
        <w:rPr>
          <w:sz w:val="20"/>
          <w:szCs w:val="20"/>
          <w:color w:val="auto"/>
        </w:rPr>
      </w:pPr>
      <w:r>
        <w:rPr>
          <w:rFonts w:ascii="Arial" w:cs="Arial" w:eastAsia="Arial" w:hAnsi="Arial"/>
          <w:sz w:val="14"/>
          <w:szCs w:val="14"/>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w:t>
      </w:r>
    </w:p>
    <w:p>
      <w:pPr>
        <w:spacing w:after="0" w:line="180" w:lineRule="exact"/>
        <w:rPr>
          <w:sz w:val="20"/>
          <w:szCs w:val="20"/>
          <w:color w:val="auto"/>
        </w:rPr>
      </w:pPr>
    </w:p>
    <w:p>
      <w:pPr>
        <w:jc w:val="both"/>
        <w:ind w:firstLine="219"/>
        <w:spacing w:after="0" w:line="271" w:lineRule="auto"/>
        <w:rPr>
          <w:sz w:val="20"/>
          <w:szCs w:val="20"/>
          <w:color w:val="auto"/>
        </w:rPr>
      </w:pPr>
      <w:r>
        <w:rPr>
          <w:rFonts w:ascii="Arial" w:cs="Arial" w:eastAsia="Arial" w:hAnsi="Arial"/>
          <w:sz w:val="14"/>
          <w:szCs w:val="14"/>
          <w:color w:val="auto"/>
        </w:rPr>
        <w:t>If we are unable to continue to develop suitable product formulations or manufacturing processes to support large scale clinical testing of our product candidates, including our antibody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7" w:right="21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color w:val="auto"/>
        </w:rPr>
        <w:t>Risks Related to Intellectual Property and Market Exclusivity</w:t>
      </w:r>
    </w:p>
    <w:p>
      <w:pPr>
        <w:spacing w:after="0" w:line="216" w:lineRule="exact"/>
        <w:rPr>
          <w:sz w:val="20"/>
          <w:szCs w:val="20"/>
          <w:color w:val="auto"/>
        </w:rPr>
      </w:pPr>
    </w:p>
    <w:p>
      <w:pPr>
        <w:ind w:left="140"/>
        <w:spacing w:after="0"/>
        <w:rPr>
          <w:sz w:val="20"/>
          <w:szCs w:val="20"/>
          <w:color w:val="auto"/>
        </w:rPr>
      </w:pPr>
      <w:r>
        <w:rPr>
          <w:rFonts w:ascii="Arial" w:cs="Arial" w:eastAsia="Arial" w:hAnsi="Arial"/>
          <w:sz w:val="13"/>
          <w:szCs w:val="13"/>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45" w:lineRule="exact"/>
        <w:rPr>
          <w:sz w:val="20"/>
          <w:szCs w:val="20"/>
          <w:color w:val="auto"/>
        </w:rPr>
      </w:pPr>
    </w:p>
    <w:p>
      <w:pPr>
        <w:jc w:val="both"/>
        <w:ind w:firstLine="285"/>
        <w:spacing w:after="0" w:line="286" w:lineRule="auto"/>
        <w:rPr>
          <w:sz w:val="20"/>
          <w:szCs w:val="20"/>
          <w:color w:val="auto"/>
        </w:rPr>
      </w:pPr>
      <w:r>
        <w:rPr>
          <w:rFonts w:ascii="Arial" w:cs="Arial" w:eastAsia="Arial" w:hAnsi="Arial"/>
          <w:sz w:val="13"/>
          <w:szCs w:val="13"/>
          <w:color w:val="auto"/>
        </w:rPr>
        <w:t>Our business requires using sensitive and proprietary technology and other information that we protect as trade secrets. We seek to prevent improper disclosure of these trade secrets through confidentiality agreements. If our trade secrets are improperly disclosed, by our own employees, our collaborators or otherwise,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or circumvented. Patent applications filed outside the U.S. may be challenged by third parties who file an opposition. Such opposition proceedings are increasingly common in the European Union and are costly to defend. We have pending patent applications in the European Patent Office and it is likely that we will need to defend patent applications from third-party challengers from time to time in the future. Patent applications filed in the U.S. may also be challenged by third parties who file a request for post-grant review under the America Invents Act of 2011, beginning on September 16, 2012. We expect that post-grant review proceedings will become common in the U.S. and will be costly to defend. We have pending patent applications in the U.S. Patent and Trademark Office and it is likely that we will need to defend patent applications from third-party challengers from time to time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69" w:lineRule="exact"/>
        <w:rPr>
          <w:sz w:val="20"/>
          <w:szCs w:val="20"/>
          <w:color w:val="auto"/>
        </w:rPr>
      </w:pPr>
    </w:p>
    <w:p>
      <w:pPr>
        <w:ind w:left="140"/>
        <w:spacing w:after="0" w:line="291" w:lineRule="auto"/>
        <w:rPr>
          <w:sz w:val="20"/>
          <w:szCs w:val="20"/>
          <w:color w:val="auto"/>
        </w:rPr>
      </w:pPr>
      <w:r>
        <w:rPr>
          <w:rFonts w:ascii="Arial" w:cs="Arial" w:eastAsia="Arial" w:hAnsi="Arial"/>
          <w:sz w:val="14"/>
          <w:szCs w:val="14"/>
          <w:b w:val="1"/>
          <w:bCs w:val="1"/>
          <w:i w:val="1"/>
          <w:iCs w:val="1"/>
          <w:color w:val="auto"/>
        </w:rPr>
        <w:t>We may be restricted in our development, manufacturing, and/or commercialization activities by, and could be subject to damage awards if we are found to have infringed, third-party patents or other proprietary rights, and the costs and expenses of ongoing patent litigation have been and will likely continue to be significant.</w:t>
      </w:r>
    </w:p>
    <w:p>
      <w:pPr>
        <w:spacing w:after="0" w:line="180" w:lineRule="exact"/>
        <w:rPr>
          <w:sz w:val="20"/>
          <w:szCs w:val="20"/>
          <w:color w:val="auto"/>
        </w:rPr>
      </w:pPr>
    </w:p>
    <w:p>
      <w:pPr>
        <w:jc w:val="both"/>
        <w:ind w:firstLine="230"/>
        <w:spacing w:after="0" w:line="274" w:lineRule="auto"/>
        <w:rPr>
          <w:sz w:val="20"/>
          <w:szCs w:val="20"/>
          <w:color w:val="auto"/>
        </w:rPr>
      </w:pPr>
      <w:r>
        <w:rPr>
          <w:rFonts w:ascii="Arial" w:cs="Arial" w:eastAsia="Arial" w:hAnsi="Arial"/>
          <w:sz w:val="13"/>
          <w:szCs w:val="13"/>
          <w:color w:val="auto"/>
        </w:rPr>
        <w:t xml:space="preserve">Our commercial success depends significantly on our ability to operate without infringing the patents and other proprietary rights of third parties. Other parties may allege that they have blocking patents to our products in clinical development or even to products that have received regulatory approval and are being or have been commercialized, either because they claim to hold proprietary rights to the composition of a product or the way it is manufactured or used. Moreover, other parties may allege that they have blocking patents to antibody products made using our </w:t>
      </w:r>
      <w:r>
        <w:rPr>
          <w:rFonts w:ascii="Arial" w:cs="Arial" w:eastAsia="Arial" w:hAnsi="Arial"/>
          <w:sz w:val="13"/>
          <w:szCs w:val="13"/>
          <w:i w:val="1"/>
          <w:iCs w:val="1"/>
          <w:color w:val="auto"/>
        </w:rPr>
        <w:t>VelocImmune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technology, either because of the way the antibodies are discovered or produced or because of a proprietary composition covering an antibody or the antibody’s target.</w:t>
      </w:r>
    </w:p>
    <w:p>
      <w:pPr>
        <w:spacing w:after="0" w:line="185" w:lineRule="exact"/>
        <w:rPr>
          <w:sz w:val="20"/>
          <w:szCs w:val="20"/>
          <w:color w:val="auto"/>
        </w:rPr>
      </w:pPr>
    </w:p>
    <w:p>
      <w:pPr>
        <w:jc w:val="both"/>
        <w:ind w:firstLine="252"/>
        <w:spacing w:after="0" w:line="274" w:lineRule="auto"/>
        <w:rPr>
          <w:sz w:val="20"/>
          <w:szCs w:val="20"/>
          <w:color w:val="auto"/>
        </w:rPr>
      </w:pPr>
      <w:r>
        <w:rPr>
          <w:rFonts w:ascii="Arial" w:cs="Arial" w:eastAsia="Arial" w:hAnsi="Arial"/>
          <w:sz w:val="13"/>
          <w:szCs w:val="13"/>
          <w:color w:val="auto"/>
        </w:rPr>
        <w:t>We are aware of issued patents and pending patent applications owned by Genentech that claim certain chimeric VEGF receptors. We do not believe that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or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infringe any valid claim in these patents or patent applications. As described above under Part II, Item 1 (“Legal Proceedings”), in November 2010, we commenced a lawsuit against Genentech in the U.S. District Court for the Southern District of New York, seeking a declaratory judgment that no activities relating to VEGF Trap infringe any valid claim of certain Genentech patents referred to as the Davis-Smyth patents. In April 2011, we and Genentech entered into a Joint Stipulation whereby Genentech agreed that it would not seek to transfer the case to another judicial district or move to dismiss the case for lack of subject matter jurisdiction. On April 25, 2011, Genentech filed an answer to our complaint, denying that we are entitled to the declaratory relief being sought by us, and asserting counterclaims that our prior or planned activities relating to VEGF Trap have infringed or will infringe one or more claims of the Davis-Smyth patents. In its answer, Genentech requests a judgment against us for damages, including for willful infringement, and other relief as the Court deems appropriate. On May 11, 2011, Genentech filed an amended answer and counterclaim, again denying that we are entitled to the declaratory relief being sought by us, and asserting counterclaims that our prior or planned activities relating to our VEGF Trap have infringed or will infringe claims of four of the five Davis-Smyth patents. In its amended answer and counterclaim, Genentech requests a judgment against us for damages, including for willful infringement, and other relief as the Court deems appropriate. On May 25, 2011, we replied to Genentech's amended answer and counterclaim, denying Genentech's counterclaims, and denying that any of our prior or planned activities relating to VEGF Trap infringe any valid claim of the Davis-Smyth patents. We believe Genentech's counterclaims are without merit and intend to continue to defend against them vigorously. However, it is possible that there could be an adverse determination or judgment in this litigation that would materially harm our business by requiring us to seek a license, which may not be available, or precluding the manufacture, further development, or sale of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or EYLEA</w:t>
      </w:r>
      <w:r>
        <w:rPr>
          <w:rFonts w:ascii="Arial" w:cs="Arial" w:eastAsia="Arial" w:hAnsi="Arial"/>
          <w:sz w:val="17"/>
          <w:szCs w:val="17"/>
          <w:color w:val="auto"/>
          <w:vertAlign w:val="superscript"/>
        </w:rPr>
        <w:t>TM</w:t>
      </w:r>
      <w:r>
        <w:rPr>
          <w:rFonts w:ascii="Arial" w:cs="Arial" w:eastAsia="Arial" w:hAnsi="Arial"/>
          <w:sz w:val="13"/>
          <w:szCs w:val="13"/>
          <w:color w:val="auto"/>
        </w:rPr>
        <w:t>, or resulting in a damage award. In addition, irrespective of the outcome of this litigation, we have incurred and will likely continue to incur significant costs and expenses associated with this matter, which has negatively affected, and will likely continue to negatively affect, our results of operations. We have initiated patent-related actions against Genentech in Germany, the United Kingdom, and Italy, and may initiate other actions in other countries outside the U.S., which could have similar or other adverse outcomes that would materially harm our business and which, irrespective of the outcomes, may also entail significant costs and expenses.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54" w:name="page55"/>
    <w:bookmarkEnd w:id="54"/>
    <w:p>
      <w:pPr>
        <w:jc w:val="both"/>
        <w:ind w:firstLine="230"/>
        <w:spacing w:after="0" w:line="276" w:lineRule="auto"/>
        <w:rPr>
          <w:sz w:val="20"/>
          <w:szCs w:val="20"/>
          <w:color w:val="auto"/>
        </w:rPr>
      </w:pPr>
      <w:r>
        <w:rPr>
          <w:rFonts w:ascii="Arial" w:cs="Arial" w:eastAsia="Arial" w:hAnsi="Arial"/>
          <w:sz w:val="14"/>
          <w:szCs w:val="14"/>
          <w:color w:val="auto"/>
        </w:rPr>
        <w:t>We are aware of patents and pending applications owned by Roche that claim antibodies to IL-6R and methods of treating rheumatoid arthritis with such antibodies. We are developing sarilumab, an antibody to IL-6R, for the treatment of rheumatoid arthritis. Although we do not believe that sarilumab infringes any valid claim in these patents or patent applications, Roche could initiate a lawsuit for patent infringement and assert its patents are valid and cover sarilumab.</w:t>
      </w:r>
    </w:p>
    <w:p>
      <w:pPr>
        <w:spacing w:after="0" w:line="191" w:lineRule="exact"/>
        <w:rPr>
          <w:sz w:val="20"/>
          <w:szCs w:val="20"/>
          <w:color w:val="auto"/>
        </w:rPr>
      </w:pPr>
    </w:p>
    <w:p>
      <w:pPr>
        <w:jc w:val="both"/>
        <w:ind w:firstLine="296"/>
        <w:spacing w:after="0" w:line="235" w:lineRule="auto"/>
        <w:rPr>
          <w:sz w:val="20"/>
          <w:szCs w:val="20"/>
          <w:color w:val="auto"/>
        </w:rPr>
      </w:pPr>
      <w:r>
        <w:rPr>
          <w:rFonts w:ascii="Arial" w:cs="Arial" w:eastAsia="Arial" w:hAnsi="Arial"/>
          <w:sz w:val="14"/>
          <w:szCs w:val="14"/>
          <w:color w:val="auto"/>
        </w:rPr>
        <w:t>We are aware of a U.S. patent jointly owned by Genentech and City of Hope relating to the production of recombinant antibodies in host cells. We currently produce our antibody product candidates using recombinant antibodies from host cells and may choose to produce additional antibody product candidates in this manner. Neither ARCALYST</w:t>
      </w:r>
      <w:r>
        <w:rPr>
          <w:rFonts w:ascii="Arial" w:cs="Arial" w:eastAsia="Arial" w:hAnsi="Arial"/>
          <w:sz w:val="19"/>
          <w:szCs w:val="19"/>
          <w:color w:val="auto"/>
          <w:vertAlign w:val="superscript"/>
        </w:rPr>
        <w:t>®</w:t>
      </w:r>
      <w:r>
        <w:rPr>
          <w:rFonts w:ascii="Arial" w:cs="Arial" w:eastAsia="Arial" w:hAnsi="Arial"/>
          <w:sz w:val="14"/>
          <w:szCs w:val="14"/>
          <w:color w:val="auto"/>
        </w:rPr>
        <w:t>, ZALTRAP</w:t>
      </w:r>
      <w:r>
        <w:rPr>
          <w:rFonts w:ascii="Arial" w:cs="Arial" w:eastAsia="Arial" w:hAnsi="Arial"/>
          <w:sz w:val="19"/>
          <w:szCs w:val="19"/>
          <w:color w:val="auto"/>
          <w:vertAlign w:val="superscript"/>
        </w:rPr>
        <w:t>®</w:t>
      </w:r>
      <w:r>
        <w:rPr>
          <w:rFonts w:ascii="Arial" w:cs="Arial" w:eastAsia="Arial" w:hAnsi="Arial"/>
          <w:sz w:val="14"/>
          <w:szCs w:val="14"/>
          <w:color w:val="auto"/>
        </w:rPr>
        <w:t>, nor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are recombinant antibodies. If any of our antibody product candidates are produced in a manner subject to valid claims in the Genentech patent, then we may need to obtain a license from Genentech, should one be available. Genentech has licensed this patent to several different companies under confidential license agreements. If we desire a license for any of our antibody product candidates and are unable to obtain a license on commercially reasonable terms or at all, we may be restricted in our ability to use Genentech’s techniques to make recombinant antibodies in or to import them into the U.S.</w:t>
      </w:r>
    </w:p>
    <w:p>
      <w:pPr>
        <w:spacing w:after="0" w:line="214" w:lineRule="exact"/>
        <w:rPr>
          <w:sz w:val="20"/>
          <w:szCs w:val="20"/>
          <w:color w:val="auto"/>
        </w:rPr>
      </w:pPr>
    </w:p>
    <w:p>
      <w:pPr>
        <w:jc w:val="both"/>
        <w:ind w:firstLine="241"/>
        <w:spacing w:after="0" w:line="291" w:lineRule="auto"/>
        <w:rPr>
          <w:sz w:val="20"/>
          <w:szCs w:val="20"/>
          <w:color w:val="auto"/>
        </w:rPr>
      </w:pPr>
      <w:r>
        <w:rPr>
          <w:rFonts w:ascii="Arial" w:cs="Arial" w:eastAsia="Arial" w:hAnsi="Arial"/>
          <w:sz w:val="14"/>
          <w:szCs w:val="14"/>
          <w:color w:val="auto"/>
        </w:rPr>
        <w:t>Further, we are aware of a number of other third-party patent applications that, if granted with claims as currently drafted, may cover our current or planned activities. It could be determined that our products and/or actions in manufacturing or selling our product candidates infringe such patents.</w:t>
      </w:r>
    </w:p>
    <w:p>
      <w:pPr>
        <w:spacing w:after="0" w:line="180" w:lineRule="exact"/>
        <w:rPr>
          <w:sz w:val="20"/>
          <w:szCs w:val="20"/>
          <w:color w:val="auto"/>
        </w:rPr>
      </w:pPr>
    </w:p>
    <w:p>
      <w:pPr>
        <w:jc w:val="both"/>
        <w:ind w:firstLine="219"/>
        <w:spacing w:after="0" w:line="247" w:lineRule="auto"/>
        <w:rPr>
          <w:sz w:val="20"/>
          <w:szCs w:val="20"/>
          <w:color w:val="auto"/>
        </w:rPr>
      </w:pPr>
      <w:r>
        <w:rPr>
          <w:rFonts w:ascii="Arial" w:cs="Arial" w:eastAsia="Arial" w:hAnsi="Arial"/>
          <w:sz w:val="14"/>
          <w:szCs w:val="14"/>
          <w:color w:val="auto"/>
        </w:rPr>
        <w:t>Patent holders in addition to Genentech could assert claims against us for damages and seek to prevent us from manufacturing, selling, or developing our drug candidates, and a court may find that we are infringing validly issued patents of third parties. In the event that the manufacture, use, or sale of any of our drug candidates, including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or our other late-stage product candidates, infringes on the patents or violates other proprietary rights of third parties, we may be prevented from pursuing product development, manufacturing, and commercialization of those drugs and may be required to pay costly damages. Such a result may materially harm our business, financial condition, and results of operations. In any event, legal disputes are likely to be costly and time consuming to defend.</w:t>
      </w:r>
    </w:p>
    <w:p>
      <w:pPr>
        <w:spacing w:after="0" w:line="209" w:lineRule="exact"/>
        <w:rPr>
          <w:sz w:val="20"/>
          <w:szCs w:val="20"/>
          <w:color w:val="auto"/>
        </w:rPr>
      </w:pPr>
    </w:p>
    <w:p>
      <w:pPr>
        <w:jc w:val="both"/>
        <w:ind w:firstLine="285"/>
        <w:spacing w:after="0" w:line="276" w:lineRule="auto"/>
        <w:rPr>
          <w:sz w:val="20"/>
          <w:szCs w:val="20"/>
          <w:color w:val="auto"/>
        </w:rPr>
      </w:pPr>
      <w:r>
        <w:rPr>
          <w:rFonts w:ascii="Arial" w:cs="Arial" w:eastAsia="Arial" w:hAnsi="Arial"/>
          <w:sz w:val="14"/>
          <w:szCs w:val="14"/>
          <w:color w:val="auto"/>
        </w:rPr>
        <w:t>We seek to obtain licenses to patents when, in our judgment, such licenses are needed or advisable.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169"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Loss or limitation of patent rights, and new regulatory pathways for biosimilar competition, could reduce the duration of market exclusivity for our products.</w:t>
      </w:r>
    </w:p>
    <w:p>
      <w:pPr>
        <w:spacing w:after="0" w:line="23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In the pharmaceutical and biotechnology industries, the majority of an innovative product’s commercial value is usually realized during the period in which it has market exclusivity. In the U.S.</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and some other countries, when market exclusivity expires and generic versions of a product are approved and marketed, there usually are very substantial and rapid declines in the product’s sales.</w:t>
      </w:r>
    </w:p>
    <w:p>
      <w:pPr>
        <w:spacing w:after="0" w:line="240" w:lineRule="exact"/>
        <w:rPr>
          <w:sz w:val="20"/>
          <w:szCs w:val="20"/>
          <w:color w:val="auto"/>
        </w:rPr>
      </w:pPr>
    </w:p>
    <w:p>
      <w:pPr>
        <w:jc w:val="both"/>
        <w:ind w:firstLine="219"/>
        <w:spacing w:after="0" w:line="294" w:lineRule="auto"/>
        <w:rPr>
          <w:sz w:val="20"/>
          <w:szCs w:val="20"/>
          <w:color w:val="auto"/>
        </w:rPr>
      </w:pPr>
      <w:r>
        <w:rPr>
          <w:rFonts w:ascii="Arial" w:cs="Arial" w:eastAsia="Arial" w:hAnsi="Arial"/>
          <w:sz w:val="13"/>
          <w:szCs w:val="13"/>
          <w:color w:val="auto"/>
        </w:rPr>
        <w:t>If our late-stage product candidates or other clinical candidates are approved for marketing in the U.S or elsewhere, market exclusivity for those products will generally be based upon patent rights and/or certain regulatory forms of exclusivity. As described above under "</w:t>
      </w:r>
      <w:r>
        <w:rPr>
          <w:rFonts w:ascii="Arial" w:cs="Arial" w:eastAsia="Arial" w:hAnsi="Arial"/>
          <w:sz w:val="13"/>
          <w:szCs w:val="13"/>
          <w:i w:val="1"/>
          <w:iCs w:val="1"/>
          <w:color w:val="auto"/>
        </w:rPr>
        <w:t>If we cannot protect the confidentiality of our trade secrets or our patents are insufficient to protect our proprietary rights, our</w:t>
      </w:r>
      <w:r>
        <w:rPr>
          <w:rFonts w:ascii="Arial" w:cs="Arial" w:eastAsia="Arial" w:hAnsi="Arial"/>
          <w:sz w:val="13"/>
          <w:szCs w:val="13"/>
          <w:color w:val="auto"/>
        </w:rPr>
        <w:t xml:space="preserve"> </w:t>
      </w:r>
      <w:r>
        <w:rPr>
          <w:rFonts w:ascii="Arial" w:cs="Arial" w:eastAsia="Arial" w:hAnsi="Arial"/>
          <w:sz w:val="13"/>
          <w:szCs w:val="13"/>
          <w:i w:val="1"/>
          <w:iCs w:val="1"/>
          <w:color w:val="auto"/>
        </w:rPr>
        <w:t>business and competitive position will be harmed</w:t>
      </w:r>
      <w:r>
        <w:rPr>
          <w:rFonts w:ascii="Arial" w:cs="Arial" w:eastAsia="Arial" w:hAnsi="Arial"/>
          <w:sz w:val="13"/>
          <w:szCs w:val="13"/>
          <w:color w:val="auto"/>
        </w:rPr>
        <w:t>", the scope and enforceability of our patent rights may vary from country to country. The failure to obtain patent and other intellectual property rights,</w:t>
      </w:r>
      <w:r>
        <w:rPr>
          <w:rFonts w:ascii="Arial" w:cs="Arial" w:eastAsia="Arial" w:hAnsi="Arial"/>
          <w:sz w:val="13"/>
          <w:szCs w:val="13"/>
          <w:i w:val="1"/>
          <w:iCs w:val="1"/>
          <w:color w:val="auto"/>
        </w:rPr>
        <w:t xml:space="preserve"> </w:t>
      </w:r>
      <w:r>
        <w:rPr>
          <w:rFonts w:ascii="Arial" w:cs="Arial" w:eastAsia="Arial" w:hAnsi="Arial"/>
          <w:sz w:val="13"/>
          <w:szCs w:val="13"/>
          <w:color w:val="auto"/>
        </w:rPr>
        <w:t>or limitations on the use, or the loss, of such rights could be material to us. Absent patent protection or regulatory exclusivity for our products, it is possible, both in the U.S. and elsewhere, that generic and/or biosimilar versions of those products may be approved and marketed which would likely result in substantial and rapid reductions in revenues from sales of those products.</w:t>
      </w:r>
    </w:p>
    <w:p>
      <w:pPr>
        <w:spacing w:after="0" w:line="181" w:lineRule="exact"/>
        <w:rPr>
          <w:sz w:val="20"/>
          <w:szCs w:val="20"/>
          <w:color w:val="auto"/>
        </w:rPr>
      </w:pPr>
    </w:p>
    <w:p>
      <w:pPr>
        <w:jc w:val="both"/>
        <w:ind w:firstLine="285"/>
        <w:spacing w:after="0" w:line="269" w:lineRule="auto"/>
        <w:rPr>
          <w:sz w:val="20"/>
          <w:szCs w:val="20"/>
          <w:color w:val="auto"/>
        </w:rPr>
      </w:pPr>
      <w:r>
        <w:rPr>
          <w:rFonts w:ascii="Arial" w:cs="Arial" w:eastAsia="Arial" w:hAnsi="Arial"/>
          <w:sz w:val="14"/>
          <w:szCs w:val="14"/>
          <w:color w:val="auto"/>
        </w:rPr>
        <w:t>Under the PPACA, enacted in 2010, there is now a new, abbreviated path in the U.S. for regulatory approval of biosimilar versions of biological products. The PPACA provides a regulatory mechanism that allows for FDA approval of biologic drugs that are similar to (but not generic copies of) innovative drugs on the basis of less extensive data than is required by a full BLA. Under this new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U.S. and could be shortened.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55" w:name="page56"/>
    <w:bookmarkEnd w:id="55"/>
    <w:p>
      <w:pPr>
        <w:jc w:val="both"/>
        <w:ind w:firstLine="241"/>
        <w:spacing w:after="0" w:line="298" w:lineRule="auto"/>
        <w:rPr>
          <w:sz w:val="20"/>
          <w:szCs w:val="20"/>
          <w:color w:val="auto"/>
        </w:rPr>
      </w:pPr>
      <w:r>
        <w:rPr>
          <w:rFonts w:ascii="Arial" w:cs="Arial" w:eastAsia="Arial" w:hAnsi="Arial"/>
          <w:sz w:val="13"/>
          <w:szCs w:val="13"/>
          <w:color w:val="auto"/>
        </w:rPr>
        <w:t>The increased likelihood of biosimilar competition has increased the risk of loss of innovators’ market exclusivity. Due to this risk, and uncertainties regarding patent protection, if our late-stage product candidates or other clinical candidates are approved for marketing, it is not possible to predict the length of market exclusivity for a particular product with certainty based solely on the expiration of the relevant patent(s) or the current forms of regulatory exclusivity. It is also not possible to predict changes in U.S.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Manufacturing and Supply</w:t>
      </w:r>
    </w:p>
    <w:p>
      <w:pPr>
        <w:spacing w:after="0" w:line="216" w:lineRule="exact"/>
        <w:rPr>
          <w:sz w:val="20"/>
          <w:szCs w:val="20"/>
          <w:color w:val="auto"/>
        </w:rPr>
      </w:pPr>
    </w:p>
    <w:p>
      <w:pPr>
        <w:ind w:left="140"/>
        <w:spacing w:after="0" w:line="291" w:lineRule="auto"/>
        <w:rPr>
          <w:sz w:val="20"/>
          <w:szCs w:val="20"/>
          <w:color w:val="auto"/>
        </w:rPr>
      </w:pPr>
      <w:r>
        <w:rPr>
          <w:rFonts w:ascii="Arial" w:cs="Arial" w:eastAsia="Arial" w:hAnsi="Arial"/>
          <w:sz w:val="14"/>
          <w:szCs w:val="14"/>
          <w:b w:val="1"/>
          <w:bCs w:val="1"/>
          <w:i w:val="1"/>
          <w:iCs w:val="1"/>
          <w:color w:val="auto"/>
        </w:rPr>
        <w:t>We have and rely on limited internal and contracted manufacturing and supply chain capacity, which could result in our being unable to successfully commercialize our product candidates if they receive regulatory approval and also to continue to develop our clinical candidates.</w:t>
      </w:r>
    </w:p>
    <w:p>
      <w:pPr>
        <w:spacing w:after="0" w:line="178" w:lineRule="exact"/>
        <w:rPr>
          <w:sz w:val="20"/>
          <w:szCs w:val="20"/>
          <w:color w:val="auto"/>
        </w:rPr>
      </w:pPr>
    </w:p>
    <w:p>
      <w:pPr>
        <w:jc w:val="both"/>
        <w:ind w:firstLine="263"/>
        <w:spacing w:after="0" w:line="278" w:lineRule="auto"/>
        <w:rPr>
          <w:sz w:val="20"/>
          <w:szCs w:val="20"/>
          <w:color w:val="auto"/>
        </w:rPr>
      </w:pPr>
      <w:r>
        <w:rPr>
          <w:rFonts w:ascii="Arial" w:cs="Arial" w:eastAsia="Arial" w:hAnsi="Arial"/>
          <w:sz w:val="13"/>
          <w:szCs w:val="13"/>
          <w:color w:val="auto"/>
        </w:rPr>
        <w:t>Our manufacturing facility would be inadequate to produce the active pharmaceutical ingredients of (a) EYLEA</w:t>
      </w:r>
      <w:r>
        <w:rPr>
          <w:rFonts w:ascii="Arial" w:cs="Arial" w:eastAsia="Arial" w:hAnsi="Arial"/>
          <w:sz w:val="17"/>
          <w:szCs w:val="17"/>
          <w:color w:val="auto"/>
          <w:vertAlign w:val="superscript"/>
        </w:rPr>
        <w:t>TM</w:t>
      </w:r>
      <w:r>
        <w:rPr>
          <w:rFonts w:ascii="Arial" w:cs="Arial" w:eastAsia="Arial" w:hAnsi="Arial"/>
          <w:sz w:val="13"/>
          <w:szCs w:val="13"/>
          <w:color w:val="auto"/>
        </w:rPr>
        <w:t>, ZALTRAP</w:t>
      </w:r>
      <w:r>
        <w:rPr>
          <w:rFonts w:ascii="Arial" w:cs="Arial" w:eastAsia="Arial" w:hAnsi="Arial"/>
          <w:sz w:val="17"/>
          <w:szCs w:val="17"/>
          <w:color w:val="auto"/>
          <w:vertAlign w:val="superscript"/>
        </w:rPr>
        <w:t>®</w:t>
      </w:r>
      <w:r>
        <w:rPr>
          <w:rFonts w:ascii="Arial" w:cs="Arial" w:eastAsia="Arial" w:hAnsi="Arial"/>
          <w:sz w:val="13"/>
          <w:szCs w:val="13"/>
          <w:color w:val="auto"/>
        </w:rPr>
        <w:t>, and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treatment of gout flares in sufficient commercial quantities if these late-stage product candidates were all to receive regulatory approval, and (b) our earlier stage product candidates in sufficient clinical quantities if our clinical pipeline advances as planned. In addition to expanding our internal capacity, we intend to rely on our corporate collaborators, as well as contract manufacturers, to produce commercial quantities of drug material needed for commercialization of our products to the extent such quantities are not manufactured at our own facility. We rely entirely on third-parties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such third parties manufacture and supply sufficient commercial quantities of our products on acceptable terms, or if we should encounter delays or other difficulties in our relationships with our corporate collaborators, third-party manufacturers, or other parties involved in our supply chain which adversely affect the timely manufacture and supply of our products, our business, financial condition, results of operations, and prospects may be materially harmed.</w:t>
      </w:r>
    </w:p>
    <w:p>
      <w:pPr>
        <w:spacing w:after="0" w:line="167" w:lineRule="exact"/>
        <w:rPr>
          <w:sz w:val="20"/>
          <w:szCs w:val="20"/>
          <w:color w:val="auto"/>
        </w:rPr>
      </w:pPr>
    </w:p>
    <w:p>
      <w:pPr>
        <w:ind w:left="140"/>
        <w:spacing w:after="0" w:line="332" w:lineRule="auto"/>
        <w:rPr>
          <w:sz w:val="20"/>
          <w:szCs w:val="20"/>
          <w:color w:val="auto"/>
        </w:rPr>
      </w:pPr>
      <w:r>
        <w:rPr>
          <w:rFonts w:ascii="Arial" w:cs="Arial" w:eastAsia="Arial" w:hAnsi="Arial"/>
          <w:sz w:val="13"/>
          <w:szCs w:val="13"/>
          <w:b w:val="1"/>
          <w:bCs w:val="1"/>
          <w:i w:val="1"/>
          <w:iCs w:val="1"/>
          <w:color w:val="auto"/>
        </w:rPr>
        <w:t>Expanding our manufacturing capacity will be costly and we may be unsuccessful in doing so in a timely manner, which could delay or prevent the launch and successful commercialization of our late-stage product candidates if they are approved for marketing and could jeopardize our current and future clinical development programs.</w:t>
      </w:r>
    </w:p>
    <w:p>
      <w:pPr>
        <w:spacing w:after="0" w:line="157" w:lineRule="exact"/>
        <w:rPr>
          <w:sz w:val="20"/>
          <w:szCs w:val="20"/>
          <w:color w:val="auto"/>
        </w:rPr>
      </w:pPr>
    </w:p>
    <w:p>
      <w:pPr>
        <w:jc w:val="both"/>
        <w:ind w:firstLine="263"/>
        <w:spacing w:after="0" w:line="278" w:lineRule="auto"/>
        <w:rPr>
          <w:sz w:val="20"/>
          <w:szCs w:val="20"/>
          <w:color w:val="auto"/>
        </w:rPr>
      </w:pPr>
      <w:r>
        <w:rPr>
          <w:rFonts w:ascii="Arial" w:cs="Arial" w:eastAsia="Arial" w:hAnsi="Arial"/>
          <w:sz w:val="13"/>
          <w:szCs w:val="13"/>
          <w:color w:val="auto"/>
        </w:rPr>
        <w:t>Expanding our manufacturing capacity to supply commercial quantities of the active pharmaceutical ingredients for our late-stage product candidates if they are approved for marketing, and to supply clinical drug material to support the continued growth of our clinical programs, will require substantial additional expenditures, and we will need to hire and train significant numbers of employees and managerial personnel to staff our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EYLEA</w:t>
      </w:r>
      <w:r>
        <w:rPr>
          <w:rFonts w:ascii="Arial" w:cs="Arial" w:eastAsia="Arial" w:hAnsi="Arial"/>
          <w:sz w:val="17"/>
          <w:szCs w:val="17"/>
          <w:color w:val="auto"/>
          <w:vertAlign w:val="superscript"/>
        </w:rPr>
        <w:t>TM</w:t>
      </w:r>
      <w:r>
        <w:rPr>
          <w:rFonts w:ascii="Arial" w:cs="Arial" w:eastAsia="Arial" w:hAnsi="Arial"/>
          <w:sz w:val="13"/>
          <w:szCs w:val="13"/>
          <w:color w:val="auto"/>
        </w:rPr>
        <w:t>, ZALTRAP</w:t>
      </w:r>
      <w:r>
        <w:rPr>
          <w:rFonts w:ascii="Arial" w:cs="Arial" w:eastAsia="Arial" w:hAnsi="Arial"/>
          <w:sz w:val="17"/>
          <w:szCs w:val="17"/>
          <w:color w:val="auto"/>
          <w:vertAlign w:val="superscript"/>
        </w:rPr>
        <w:t>®</w:t>
      </w:r>
      <w:r>
        <w:rPr>
          <w:rFonts w:ascii="Arial" w:cs="Arial" w:eastAsia="Arial" w:hAnsi="Arial"/>
          <w:sz w:val="13"/>
          <w:szCs w:val="13"/>
          <w:color w:val="auto"/>
        </w:rPr>
        <w:t>, and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prevention of gout flares in patients initiating uric acid-lowering treatment if they receive regulatory approval, and could also delay or require us to discontinue one or more of our clinical development programs. As a result, our business, financial condition, and results of operations could be materially harmed.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56" w:name="page57"/>
    <w:bookmarkEnd w:id="56"/>
    <w:p>
      <w:pPr>
        <w:ind w:left="140"/>
        <w:spacing w:after="0" w:line="291" w:lineRule="auto"/>
        <w:rPr>
          <w:sz w:val="20"/>
          <w:szCs w:val="20"/>
          <w:color w:val="auto"/>
        </w:rPr>
      </w:pPr>
      <w:r>
        <w:rPr>
          <w:rFonts w:ascii="Arial" w:cs="Arial" w:eastAsia="Arial" w:hAnsi="Arial"/>
          <w:sz w:val="14"/>
          <w:szCs w:val="14"/>
          <w:b w:val="1"/>
          <w:bCs w:val="1"/>
          <w:i w:val="1"/>
          <w:iCs w:val="1"/>
          <w:color w:val="auto"/>
        </w:rPr>
        <w:t>Our ability to manufacture our products may be impaired if any of our manufacturing activities, or the activities of third parties involved in our manufacture and supply chain, are found to infringe third-party patents.</w:t>
      </w:r>
    </w:p>
    <w:p>
      <w:pPr>
        <w:spacing w:after="0" w:line="178" w:lineRule="exact"/>
        <w:rPr>
          <w:sz w:val="20"/>
          <w:szCs w:val="20"/>
          <w:color w:val="auto"/>
        </w:rPr>
      </w:pPr>
    </w:p>
    <w:p>
      <w:pPr>
        <w:jc w:val="both"/>
        <w:ind w:firstLine="252"/>
        <w:spacing w:after="0" w:line="248" w:lineRule="auto"/>
        <w:rPr>
          <w:sz w:val="20"/>
          <w:szCs w:val="20"/>
          <w:color w:val="auto"/>
        </w:rPr>
      </w:pPr>
      <w:r>
        <w:rPr>
          <w:rFonts w:ascii="Arial" w:cs="Arial" w:eastAsia="Arial" w:hAnsi="Arial"/>
          <w:sz w:val="14"/>
          <w:szCs w:val="14"/>
          <w:color w:val="auto"/>
        </w:rPr>
        <w:t>Our ability to continue to manufacture ARCALYST</w:t>
      </w:r>
      <w:r>
        <w:rPr>
          <w:rFonts w:ascii="Arial" w:cs="Arial" w:eastAsia="Arial" w:hAnsi="Arial"/>
          <w:sz w:val="19"/>
          <w:szCs w:val="19"/>
          <w:color w:val="auto"/>
          <w:vertAlign w:val="superscript"/>
        </w:rPr>
        <w:t>®</w:t>
      </w:r>
      <w:r>
        <w:rPr>
          <w:rFonts w:ascii="Arial" w:cs="Arial" w:eastAsia="Arial" w:hAnsi="Arial"/>
          <w:sz w:val="14"/>
          <w:szCs w:val="14"/>
          <w:color w:val="auto"/>
        </w:rPr>
        <w:t>, EYLEA</w:t>
      </w:r>
      <w:r>
        <w:rPr>
          <w:rFonts w:ascii="Arial" w:cs="Arial" w:eastAsia="Arial" w:hAnsi="Arial"/>
          <w:sz w:val="19"/>
          <w:szCs w:val="19"/>
          <w:color w:val="auto"/>
          <w:vertAlign w:val="superscript"/>
        </w:rPr>
        <w:t>TM</w:t>
      </w:r>
      <w:r>
        <w:rPr>
          <w:rFonts w:ascii="Arial" w:cs="Arial" w:eastAsia="Arial" w:hAnsi="Arial"/>
          <w:sz w:val="14"/>
          <w:szCs w:val="14"/>
          <w:color w:val="auto"/>
        </w:rPr>
        <w:t>, and ZALTRAP</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in our Rensselaer, New York facilities, or to utilize third parties to produce our products or perform fill/finish services or other steps in our manufacture and supply chain, depends on our and their ability to operate without infringing the patents or other intellectual property rights of third parties. Other parties may allege that our manufacturing activities, or the activities of third parties involved in our manufacture and supply chain, infringe patents or other intellectual property rights. A judicial decision in favor of one or more parties making such allegations could preclude the manufacture of our products where those intellectual property rights apply which could materially harm our business, results of operations, and prospects.</w:t>
      </w:r>
    </w:p>
    <w:p>
      <w:pPr>
        <w:spacing w:after="0" w:line="186" w:lineRule="exact"/>
        <w:rPr>
          <w:sz w:val="20"/>
          <w:szCs w:val="20"/>
          <w:color w:val="auto"/>
        </w:rPr>
      </w:pPr>
    </w:p>
    <w:p>
      <w:pPr>
        <w:ind w:left="140"/>
        <w:spacing w:after="0" w:line="291" w:lineRule="auto"/>
        <w:rPr>
          <w:sz w:val="20"/>
          <w:szCs w:val="20"/>
          <w:color w:val="auto"/>
        </w:rPr>
      </w:pPr>
      <w:r>
        <w:rPr>
          <w:rFonts w:ascii="Arial" w:cs="Arial" w:eastAsia="Arial" w:hAnsi="Arial"/>
          <w:sz w:val="14"/>
          <w:szCs w:val="14"/>
          <w:b w:val="1"/>
          <w:bCs w:val="1"/>
          <w:i w:val="1"/>
          <w:iCs w:val="1"/>
          <w:color w:val="auto"/>
        </w:rPr>
        <w:t>If the launch of our late-stage product candidates, or any of our clinical programs, are delayed or discontinued, we may face costs related to unused capacity at our manufacturing facilities and at the facilities of third parties performing fill/finish services or other steps in our manufacture and supply chain.</w:t>
      </w:r>
    </w:p>
    <w:p>
      <w:pPr>
        <w:spacing w:after="0" w:line="178" w:lineRule="exact"/>
        <w:rPr>
          <w:sz w:val="20"/>
          <w:szCs w:val="20"/>
          <w:color w:val="auto"/>
        </w:rPr>
      </w:pPr>
    </w:p>
    <w:p>
      <w:pPr>
        <w:jc w:val="both"/>
        <w:ind w:firstLine="252"/>
        <w:spacing w:after="0" w:line="247" w:lineRule="auto"/>
        <w:rPr>
          <w:sz w:val="20"/>
          <w:szCs w:val="20"/>
          <w:color w:val="auto"/>
        </w:rPr>
      </w:pPr>
      <w:r>
        <w:rPr>
          <w:rFonts w:ascii="Arial" w:cs="Arial" w:eastAsia="Arial" w:hAnsi="Arial"/>
          <w:sz w:val="14"/>
          <w:szCs w:val="14"/>
          <w:color w:val="auto"/>
        </w:rPr>
        <w:t>We have large-scale manufacturing operations in Rensselaer, New York. We use our facilities to produce bulk product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treatment of CAPS and of clinical and preclinical candidates for ourselves and our collaborations, and plan to use such facilities to produce bulk product for commercial supply of our late-stage product candidates if they are approved for marketing. If our clinical candidates are discontinued or their clinical development is delayed, if the launch of any of our late-stage product candidates is delayed or does not occur, or if such products are launched and subsequently recalled or marketing approval is rescinded, we may have to absorb one hundred percent of related overhead costs and inefficiencies, as well as similar costs of third-party contract manufacturers performing fill/finish services for us.</w:t>
      </w:r>
    </w:p>
    <w:p>
      <w:pPr>
        <w:spacing w:after="0" w:line="189" w:lineRule="exact"/>
        <w:rPr>
          <w:sz w:val="20"/>
          <w:szCs w:val="20"/>
          <w:color w:val="auto"/>
        </w:rPr>
      </w:pPr>
    </w:p>
    <w:p>
      <w:pPr>
        <w:ind w:left="140"/>
        <w:spacing w:after="0" w:line="291" w:lineRule="auto"/>
        <w:rPr>
          <w:sz w:val="20"/>
          <w:szCs w:val="20"/>
          <w:color w:val="auto"/>
        </w:rPr>
      </w:pPr>
      <w:r>
        <w:rPr>
          <w:rFonts w:ascii="Arial" w:cs="Arial" w:eastAsia="Arial" w:hAnsi="Arial"/>
          <w:sz w:val="14"/>
          <w:szCs w:val="14"/>
          <w:b w:val="1"/>
          <w:bCs w:val="1"/>
          <w:i w:val="1"/>
          <w:iCs w:val="1"/>
          <w:color w:val="auto"/>
        </w:rPr>
        <w:t>Third-party service or supply failures, or other failures, business interruptions, or natural disasters affecting our manufacturing facilities in Rensselaer, New York or the facilities of any other party participating in the supply chain, would adversely affect our ability to supply our products.</w:t>
      </w:r>
    </w:p>
    <w:p>
      <w:pPr>
        <w:spacing w:after="0" w:line="180" w:lineRule="exact"/>
        <w:rPr>
          <w:sz w:val="20"/>
          <w:szCs w:val="20"/>
          <w:color w:val="auto"/>
        </w:rPr>
      </w:pPr>
    </w:p>
    <w:p>
      <w:pPr>
        <w:jc w:val="both"/>
        <w:ind w:firstLine="219"/>
        <w:spacing w:after="0" w:line="332" w:lineRule="auto"/>
        <w:rPr>
          <w:sz w:val="20"/>
          <w:szCs w:val="20"/>
          <w:color w:val="auto"/>
        </w:rPr>
      </w:pPr>
      <w:r>
        <w:rPr>
          <w:rFonts w:ascii="Arial" w:cs="Arial" w:eastAsia="Arial" w:hAnsi="Arial"/>
          <w:sz w:val="13"/>
          <w:szCs w:val="13"/>
          <w:color w:val="auto"/>
        </w:rPr>
        <w:t>We manufacture all of our bulk drug materials at our manufacturing facilities in Rensselaer, New York. We would be unable to manufacture these materials if our Rensselaer facilities were to cease production due to regulatory requirements or action, business interruptions, labor shortages or disputes, contaminations, fire, natural disasters, or other problems at the facilities.</w:t>
      </w:r>
    </w:p>
    <w:p>
      <w:pPr>
        <w:spacing w:after="0" w:line="155" w:lineRule="exact"/>
        <w:rPr>
          <w:sz w:val="20"/>
          <w:szCs w:val="20"/>
          <w:color w:val="auto"/>
        </w:rPr>
      </w:pPr>
    </w:p>
    <w:p>
      <w:pPr>
        <w:jc w:val="both"/>
        <w:ind w:firstLine="263"/>
        <w:spacing w:after="0" w:line="218" w:lineRule="auto"/>
        <w:rPr>
          <w:sz w:val="20"/>
          <w:szCs w:val="20"/>
          <w:color w:val="auto"/>
        </w:rPr>
      </w:pPr>
      <w:r>
        <w:rPr>
          <w:rFonts w:ascii="Arial" w:cs="Arial" w:eastAsia="Arial" w:hAnsi="Arial"/>
          <w:sz w:val="14"/>
          <w:szCs w:val="14"/>
          <w:color w:val="auto"/>
        </w:rPr>
        <w:t>Also, certain raw materials necessary for the manufacture and formulation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and of our product candidates, including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and ZALTRAP</w:t>
      </w:r>
      <w:r>
        <w:rPr>
          <w:rFonts w:ascii="Arial" w:cs="Arial" w:eastAsia="Arial" w:hAnsi="Arial"/>
          <w:sz w:val="19"/>
          <w:szCs w:val="19"/>
          <w:color w:val="auto"/>
          <w:vertAlign w:val="superscript"/>
        </w:rPr>
        <w:t>®</w:t>
      </w:r>
      <w:r>
        <w:rPr>
          <w:rFonts w:ascii="Arial" w:cs="Arial" w:eastAsia="Arial" w:hAnsi="Arial"/>
          <w:sz w:val="14"/>
          <w:szCs w:val="14"/>
          <w:color w:val="auto"/>
        </w:rPr>
        <w:t>, are provided by single-source unaffiliated third-party suppliers. In addition, we rely on certain third parties to perform filling, finishing, distribution, laboratory testing, and other services related to the manufacture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and our product candidates. We would be unable to obtain these raw materials or services for an indeterminate period of time if any of these third parties were to cease or interrupt production or otherwise fail to supply these materials, products, or services to us for any reason, including due to regulatory requirements or action, adverse financial developments at or affecting the supplier, failure by the supplier to comply with cGMPs, business interruptions, or labor shortages or disputes. This, in turn, could materially and adversely affect our ability to manufacture or supply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treatment of CAPS and to manufacture and supply commercial quantities of EYLEA</w:t>
      </w:r>
      <w:r>
        <w:rPr>
          <w:rFonts w:ascii="Arial" w:cs="Arial" w:eastAsia="Arial" w:hAnsi="Arial"/>
          <w:sz w:val="19"/>
          <w:szCs w:val="19"/>
          <w:color w:val="auto"/>
          <w:vertAlign w:val="superscript"/>
        </w:rPr>
        <w:t>TM</w:t>
      </w:r>
      <w:r>
        <w:rPr>
          <w:rFonts w:ascii="Arial" w:cs="Arial" w:eastAsia="Arial" w:hAnsi="Arial"/>
          <w:sz w:val="14"/>
          <w:szCs w:val="14"/>
          <w:color w:val="auto"/>
        </w:rPr>
        <w:t>, ZALTRAP</w:t>
      </w:r>
      <w:r>
        <w:rPr>
          <w:rFonts w:ascii="Arial" w:cs="Arial" w:eastAsia="Arial" w:hAnsi="Arial"/>
          <w:sz w:val="19"/>
          <w:szCs w:val="19"/>
          <w:color w:val="auto"/>
          <w:vertAlign w:val="superscript"/>
        </w:rPr>
        <w:t>®</w:t>
      </w:r>
      <w:r>
        <w:rPr>
          <w:rFonts w:ascii="Arial" w:cs="Arial" w:eastAsia="Arial" w:hAnsi="Arial"/>
          <w:sz w:val="14"/>
          <w:szCs w:val="14"/>
          <w:color w:val="auto"/>
        </w:rPr>
        <w:t>, and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prevention of gout flares if they receive regulatory approval, which could materially and adversely affect our business and future prospects.</w:t>
      </w:r>
    </w:p>
    <w:p>
      <w:pPr>
        <w:spacing w:after="0" w:line="217" w:lineRule="exact"/>
        <w:rPr>
          <w:sz w:val="20"/>
          <w:szCs w:val="20"/>
          <w:color w:val="auto"/>
        </w:rPr>
      </w:pPr>
    </w:p>
    <w:p>
      <w:pPr>
        <w:jc w:val="both"/>
        <w:ind w:firstLine="252"/>
        <w:spacing w:after="0" w:line="276" w:lineRule="auto"/>
        <w:rPr>
          <w:sz w:val="20"/>
          <w:szCs w:val="20"/>
          <w:color w:val="auto"/>
        </w:rPr>
      </w:pPr>
      <w:r>
        <w:rPr>
          <w:rFonts w:ascii="Arial" w:cs="Arial" w:eastAsia="Arial" w:hAnsi="Arial"/>
          <w:sz w:val="14"/>
          <w:szCs w:val="14"/>
          <w:color w:val="auto"/>
        </w:rPr>
        <w:t>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7" w:right="219" w:bottom="1440" w:gutter="0" w:footer="0" w:header="0"/>
        </w:sectPr>
      </w:pPr>
    </w:p>
    <w:bookmarkStart w:id="57" w:name="page58"/>
    <w:bookmarkEnd w:id="57"/>
    <w:p>
      <w:pPr>
        <w:ind w:left="140"/>
        <w:spacing w:after="0" w:line="291" w:lineRule="auto"/>
        <w:rPr>
          <w:sz w:val="20"/>
          <w:szCs w:val="20"/>
          <w:color w:val="auto"/>
        </w:rPr>
      </w:pPr>
      <w:r>
        <w:rPr>
          <w:rFonts w:ascii="Arial" w:cs="Arial" w:eastAsia="Arial" w:hAnsi="Arial"/>
          <w:sz w:val="14"/>
          <w:szCs w:val="14"/>
          <w:b w:val="1"/>
          <w:bCs w:val="1"/>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and/or in their commercial launch if they obtain regulatory approval, and a reduction in sales.</w:t>
      </w:r>
    </w:p>
    <w:p>
      <w:pPr>
        <w:spacing w:after="0" w:line="180" w:lineRule="exact"/>
        <w:rPr>
          <w:sz w:val="20"/>
          <w:szCs w:val="20"/>
          <w:color w:val="auto"/>
        </w:rPr>
      </w:pPr>
    </w:p>
    <w:p>
      <w:pPr>
        <w:jc w:val="both"/>
        <w:ind w:firstLine="307"/>
        <w:spacing w:after="0" w:line="302" w:lineRule="auto"/>
        <w:rPr>
          <w:sz w:val="20"/>
          <w:szCs w:val="20"/>
          <w:color w:val="auto"/>
        </w:rPr>
      </w:pPr>
      <w:r>
        <w:rPr>
          <w:rFonts w:ascii="Arial" w:cs="Arial" w:eastAsia="Arial" w:hAnsi="Arial"/>
          <w:sz w:val="12"/>
          <w:szCs w:val="12"/>
          <w:color w:val="auto"/>
        </w:rPr>
        <w:t>We and our third-party providers are required to maintain compliance with cGMP,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 candidates at our facility in Rensselaer, New York, including ARCALYST</w:t>
      </w:r>
      <w:r>
        <w:rPr>
          <w:rFonts w:ascii="Arial" w:cs="Arial" w:eastAsia="Arial" w:hAnsi="Arial"/>
          <w:sz w:val="16"/>
          <w:szCs w:val="16"/>
          <w:color w:val="auto"/>
          <w:vertAlign w:val="superscript"/>
        </w:rPr>
        <w:t>®</w:t>
      </w:r>
      <w:r>
        <w:rPr>
          <w:rFonts w:ascii="Arial" w:cs="Arial" w:eastAsia="Arial" w:hAnsi="Arial"/>
          <w:sz w:val="12"/>
          <w:szCs w:val="12"/>
          <w:color w:val="auto"/>
        </w:rPr>
        <w:t>, EYLEA</w:t>
      </w:r>
      <w:r>
        <w:rPr>
          <w:rFonts w:ascii="Arial" w:cs="Arial" w:eastAsia="Arial" w:hAnsi="Arial"/>
          <w:sz w:val="16"/>
          <w:szCs w:val="16"/>
          <w:color w:val="auto"/>
          <w:vertAlign w:val="superscript"/>
        </w:rPr>
        <w:t>TM</w:t>
      </w:r>
      <w:r>
        <w:rPr>
          <w:rFonts w:ascii="Arial" w:cs="Arial" w:eastAsia="Arial" w:hAnsi="Arial"/>
          <w:sz w:val="12"/>
          <w:szCs w:val="12"/>
          <w:color w:val="auto"/>
        </w:rPr>
        <w:t>, and ZALTRAP</w:t>
      </w:r>
      <w:r>
        <w:rPr>
          <w:rFonts w:ascii="Arial" w:cs="Arial" w:eastAsia="Arial" w:hAnsi="Arial"/>
          <w:sz w:val="16"/>
          <w:szCs w:val="16"/>
          <w:color w:val="auto"/>
          <w:vertAlign w:val="superscript"/>
        </w:rPr>
        <w:t>®</w:t>
      </w:r>
      <w:r>
        <w:rPr>
          <w:rFonts w:ascii="Arial" w:cs="Arial" w:eastAsia="Arial" w:hAnsi="Arial"/>
          <w:sz w:val="12"/>
          <w:szCs w:val="12"/>
          <w:color w:val="auto"/>
        </w:rPr>
        <w:t>, there are increased risks associated with cGMP compliance. Our inability, or the inability of our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Any delay, interruption, or other issue that arises in the manufacture, fill/finish, packaging, or storage of any drug product or product candidate as a result of a failure of our facilities or the facilities or operations of third parties to pass any regulatory agency inspection or maintain cGMP compliance could significantly impair our ability to develop, obtain approval for, and successfully commercialize our products, which would substantially harm our business and prospects. Any finding of non-compliance could also increase our costs, cause us to delay the development of our product candidates, result in delay in our obtaining, or our not obtaining, regulatory approval of product candidates, and cause us to lose revenue from any marketed products, which could be seriously detrimental to our business, financial condition, and prospects.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Commercialization of Products</w:t>
      </w:r>
    </w:p>
    <w:p>
      <w:pPr>
        <w:spacing w:after="0" w:line="214" w:lineRule="exact"/>
        <w:rPr>
          <w:sz w:val="20"/>
          <w:szCs w:val="20"/>
          <w:color w:val="auto"/>
        </w:rPr>
      </w:pPr>
    </w:p>
    <w:p>
      <w:pPr>
        <w:ind w:left="140"/>
        <w:spacing w:after="0" w:line="226" w:lineRule="auto"/>
        <w:rPr>
          <w:sz w:val="20"/>
          <w:szCs w:val="20"/>
          <w:color w:val="auto"/>
        </w:rPr>
      </w:pPr>
      <w:r>
        <w:rPr>
          <w:rFonts w:ascii="Arial" w:cs="Arial" w:eastAsia="Arial" w:hAnsi="Arial"/>
          <w:sz w:val="14"/>
          <w:szCs w:val="14"/>
          <w:b w:val="1"/>
          <w:bCs w:val="1"/>
          <w:i w:val="1"/>
          <w:iCs w:val="1"/>
          <w:color w:val="auto"/>
        </w:rPr>
        <w:t>Even if we receive regulatory approval to market EYLEA</w:t>
      </w:r>
      <w:r>
        <w:rPr>
          <w:rFonts w:ascii="Arial" w:cs="Arial" w:eastAsia="Arial" w:hAnsi="Arial"/>
          <w:sz w:val="19"/>
          <w:szCs w:val="19"/>
          <w:b w:val="1"/>
          <w:bCs w:val="1"/>
          <w:i w:val="1"/>
          <w:iCs w:val="1"/>
          <w:color w:val="auto"/>
          <w:vertAlign w:val="superscript"/>
        </w:rPr>
        <w:t>TM</w:t>
      </w:r>
      <w:r>
        <w:rPr>
          <w:rFonts w:ascii="Arial" w:cs="Arial" w:eastAsia="Arial" w:hAnsi="Arial"/>
          <w:sz w:val="14"/>
          <w:szCs w:val="14"/>
          <w:b w:val="1"/>
          <w:bCs w:val="1"/>
          <w:i w:val="1"/>
          <w:iCs w:val="1"/>
          <w:color w:val="auto"/>
        </w:rPr>
        <w:t xml:space="preserve"> or our other late-stage product candidates, we may be unsuccessful in commercializing them, which would materially delay or prevent our achieving profitability.</w:t>
      </w:r>
    </w:p>
    <w:p>
      <w:pPr>
        <w:spacing w:after="0" w:line="215" w:lineRule="exact"/>
        <w:rPr>
          <w:sz w:val="20"/>
          <w:szCs w:val="20"/>
          <w:color w:val="auto"/>
        </w:rPr>
      </w:pPr>
    </w:p>
    <w:p>
      <w:pPr>
        <w:jc w:val="both"/>
        <w:ind w:firstLine="219"/>
        <w:spacing w:after="0" w:line="298" w:lineRule="auto"/>
        <w:rPr>
          <w:sz w:val="20"/>
          <w:szCs w:val="20"/>
          <w:color w:val="auto"/>
        </w:rPr>
      </w:pPr>
      <w:r>
        <w:rPr>
          <w:rFonts w:ascii="Arial" w:cs="Arial" w:eastAsia="Arial" w:hAnsi="Arial"/>
          <w:sz w:val="13"/>
          <w:szCs w:val="13"/>
          <w:color w:val="auto"/>
        </w:rPr>
        <w:t>Even if clinical trials demonstrate the safety and effectiveness of any of our product candidates for a specific disease and the necessary regulatory approvals are obtained, the commercial success of any of our product candidates will depend upon, among other things, their acceptance by patients, the medical community, and third-party payers and on our and our collaborators' ability to successfully manufacture and commercialize those products. Even if we obtain regulatory approval for our product candidates, if they are not successfully commercialized, we will not be able to recover the significant investment we have made in developing such products and our business, results of operations, and financial condition would be severely harmed.</w:t>
      </w:r>
    </w:p>
    <w:p>
      <w:pPr>
        <w:spacing w:after="0" w:line="177" w:lineRule="exact"/>
        <w:rPr>
          <w:sz w:val="20"/>
          <w:szCs w:val="20"/>
          <w:color w:val="auto"/>
        </w:rPr>
      </w:pPr>
    </w:p>
    <w:p>
      <w:pPr>
        <w:jc w:val="both"/>
        <w:ind w:firstLine="241"/>
        <w:spacing w:after="0" w:line="216" w:lineRule="auto"/>
        <w:rPr>
          <w:sz w:val="20"/>
          <w:szCs w:val="20"/>
          <w:color w:val="auto"/>
        </w:rPr>
      </w:pPr>
      <w:r>
        <w:rPr>
          <w:rFonts w:ascii="Arial" w:cs="Arial" w:eastAsia="Arial" w:hAnsi="Arial"/>
          <w:sz w:val="14"/>
          <w:szCs w:val="14"/>
          <w:color w:val="auto"/>
        </w:rPr>
        <w:t>In particular, we cannot be sure that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for the treatment of wet AMD will be commercially successful in the pharmaceutical market even if we obtain marketing approval for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for such indication in a timely manner. In addition to the challenges we face related to a company launching its first major commercial drug, as described in detail in the risk factor immediately below, we and Bayer HealthCare will face intense competition from Lucentis</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and from off-label use of Avastin</w:t>
      </w:r>
      <w:r>
        <w:rPr>
          <w:rFonts w:ascii="Arial" w:cs="Arial" w:eastAsia="Arial" w:hAnsi="Arial"/>
          <w:sz w:val="19"/>
          <w:szCs w:val="19"/>
          <w:color w:val="auto"/>
          <w:vertAlign w:val="superscript"/>
        </w:rPr>
        <w:t>®</w:t>
      </w:r>
      <w:r>
        <w:rPr>
          <w:rFonts w:ascii="Arial" w:cs="Arial" w:eastAsia="Arial" w:hAnsi="Arial"/>
          <w:sz w:val="14"/>
          <w:szCs w:val="14"/>
          <w:color w:val="auto"/>
        </w:rPr>
        <w:t>, both of which have been on the market for a number of years. We expect that the initial commercial success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for the treatment of wet AMD if it is approved for marketing will depend on many factors, including the following:</w:t>
      </w:r>
    </w:p>
    <w:p>
      <w:pPr>
        <w:spacing w:after="0" w:line="58" w:lineRule="exact"/>
        <w:rPr>
          <w:sz w:val="20"/>
          <w:szCs w:val="20"/>
          <w:color w:val="auto"/>
        </w:rPr>
      </w:pPr>
    </w:p>
    <w:p>
      <w:pPr>
        <w:ind w:left="440"/>
        <w:spacing w:after="0" w:line="226" w:lineRule="auto"/>
        <w:rPr>
          <w:sz w:val="20"/>
          <w:szCs w:val="20"/>
          <w:color w:val="auto"/>
        </w:rPr>
      </w:pPr>
      <w:r>
        <w:rPr>
          <w:rFonts w:ascii="Arial" w:cs="Arial" w:eastAsia="Arial" w:hAnsi="Arial"/>
          <w:sz w:val="14"/>
          <w:szCs w:val="14"/>
          <w:color w:val="auto"/>
        </w:rPr>
        <w:t>the effectiveness of our and Bayer HealthCare's commercial strategies for the launch and marketing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and outside the U.S., respectively, including pricing strategy and the effectiveness of efforts to obtain, and the timing of obtaining, adequate third-party reimbursements;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-191135</wp:posOffset>
            </wp:positionV>
            <wp:extent cx="53340" cy="533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line="244" w:lineRule="auto"/>
        <w:rPr>
          <w:sz w:val="20"/>
          <w:szCs w:val="20"/>
          <w:color w:val="auto"/>
        </w:rPr>
      </w:pPr>
      <w:r>
        <w:rPr>
          <w:rFonts w:ascii="Arial" w:cs="Arial" w:eastAsia="Arial" w:hAnsi="Arial"/>
          <w:sz w:val="13"/>
          <w:szCs w:val="13"/>
          <w:color w:val="auto"/>
        </w:rPr>
        <w:t>maintaining and successfully monitoring commercial manufacturing arrangements for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with third parties who perform fill/finish or other steps in the manufacture of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to ensure that they meet our standards and those of regulatory authorities, including the FDA, which extensively regulate and monitor pharmaceutical manufacturing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-191770</wp:posOffset>
            </wp:positionV>
            <wp:extent cx="53340" cy="533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line="191" w:lineRule="auto"/>
        <w:rPr>
          <w:sz w:val="20"/>
          <w:szCs w:val="20"/>
          <w:color w:val="auto"/>
        </w:rPr>
      </w:pPr>
      <w:r>
        <w:rPr>
          <w:rFonts w:ascii="Arial" w:cs="Arial" w:eastAsia="Arial" w:hAnsi="Arial"/>
          <w:sz w:val="14"/>
          <w:szCs w:val="14"/>
          <w:color w:val="auto"/>
        </w:rPr>
        <w:t>our ability to meet the demand for commercial supplies of EYLEA</w:t>
      </w:r>
      <w:r>
        <w:rPr>
          <w:rFonts w:ascii="Arial" w:cs="Arial" w:eastAsia="Arial" w:hAnsi="Arial"/>
          <w:sz w:val="19"/>
          <w:szCs w:val="19"/>
          <w:color w:val="auto"/>
          <w:vertAlign w:val="superscript"/>
        </w:rPr>
        <w:t>TM</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-79375</wp:posOffset>
            </wp:positionV>
            <wp:extent cx="53340" cy="533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line="192" w:lineRule="auto"/>
        <w:rPr>
          <w:sz w:val="20"/>
          <w:szCs w:val="20"/>
          <w:color w:val="auto"/>
        </w:rPr>
      </w:pPr>
      <w:r>
        <w:rPr>
          <w:rFonts w:ascii="Arial" w:cs="Arial" w:eastAsia="Arial" w:hAnsi="Arial"/>
          <w:sz w:val="14"/>
          <w:szCs w:val="14"/>
          <w:color w:val="auto"/>
        </w:rPr>
        <w:t>our ability to effectively communicate to the marketplace the benefits of the dosing regimen of EYLEA</w:t>
      </w:r>
      <w:r>
        <w:rPr>
          <w:rFonts w:ascii="Arial" w:cs="Arial" w:eastAsia="Arial" w:hAnsi="Arial"/>
          <w:sz w:val="20"/>
          <w:szCs w:val="20"/>
          <w:color w:val="auto"/>
          <w:vertAlign w:val="superscript"/>
        </w:rPr>
        <w:t>TM</w:t>
      </w:r>
      <w:r>
        <w:rPr>
          <w:rFonts w:ascii="Arial" w:cs="Arial" w:eastAsia="Arial" w:hAnsi="Arial"/>
          <w:sz w:val="14"/>
          <w:szCs w:val="14"/>
          <w:color w:val="auto"/>
        </w:rPr>
        <w:t xml:space="preserve"> of every 2 months as compared to the monthly dosing regimen of Lucentis</w:t>
      </w:r>
      <w:r>
        <w:rPr>
          <w:rFonts w:ascii="Arial" w:cs="Arial" w:eastAsia="Arial" w:hAnsi="Arial"/>
          <w:sz w:val="19"/>
          <w:szCs w:val="19"/>
          <w:color w:val="auto"/>
          <w:vertAlign w:val="superscript"/>
        </w:rPr>
        <w:t>®</w:t>
      </w:r>
      <w:r>
        <w:rPr>
          <w:rFonts w:ascii="Arial" w:cs="Arial" w:eastAsia="Arial" w:hAnsi="Arial"/>
          <w:sz w:val="14"/>
          <w:szCs w:val="14"/>
          <w:color w:val="auto"/>
        </w:rPr>
        <w:t>, and the willingness of retinal specialists and patients to switch from Lucentis</w:t>
      </w:r>
      <w:r>
        <w:rPr>
          <w:rFonts w:ascii="Arial" w:cs="Arial" w:eastAsia="Arial" w:hAnsi="Arial"/>
          <w:sz w:val="19"/>
          <w:szCs w:val="19"/>
          <w:color w:val="auto"/>
          <w:vertAlign w:val="superscript"/>
        </w:rPr>
        <w:t>®</w:t>
      </w:r>
      <w:r>
        <w:rPr>
          <w:rFonts w:ascii="Arial" w:cs="Arial" w:eastAsia="Arial" w:hAnsi="Arial"/>
          <w:sz w:val="14"/>
          <w:szCs w:val="14"/>
          <w:color w:val="auto"/>
        </w:rPr>
        <w:t xml:space="preserve"> or off-label use of Avastin</w:t>
      </w:r>
      <w:r>
        <w:rPr>
          <w:rFonts w:ascii="Arial" w:cs="Arial" w:eastAsia="Arial" w:hAnsi="Arial"/>
          <w:sz w:val="19"/>
          <w:szCs w:val="19"/>
          <w:color w:val="auto"/>
          <w:vertAlign w:val="superscript"/>
        </w:rPr>
        <w:t>®</w:t>
      </w:r>
      <w:r>
        <w:rPr>
          <w:rFonts w:ascii="Arial" w:cs="Arial" w:eastAsia="Arial" w:hAnsi="Arial"/>
          <w:sz w:val="14"/>
          <w:szCs w:val="14"/>
          <w:color w:val="auto"/>
        </w:rPr>
        <w:t xml:space="preserve"> to EYLEATM for the treatment of wet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-196215</wp:posOffset>
            </wp:positionV>
            <wp:extent cx="53340" cy="533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3"/>
          <w:szCs w:val="13"/>
          <w:color w:val="auto"/>
        </w:rPr>
        <w:t>the ability of patients, retinal specialists, and other providers to obtain and maintain sufficient coverage and reimbursement from third-party payors, including Medicare and Medicaid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-67945</wp:posOffset>
            </wp:positionV>
            <wp:extent cx="53340" cy="533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4"/>
          <w:szCs w:val="14"/>
          <w:color w:val="auto"/>
        </w:rPr>
        <w:t>U.S. and other government and private payors in the U.S. and foreign jurisdictions; and</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effect of new health care legislation currently being implemented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-71120</wp:posOffset>
            </wp:positionV>
            <wp:extent cx="53340" cy="533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7" w:right="219" w:bottom="1440" w:gutter="0" w:footer="0" w:header="0"/>
        </w:sectPr>
      </w:pPr>
    </w:p>
    <w:bookmarkStart w:id="58" w:name="page59"/>
    <w:bookmarkEnd w:id="58"/>
    <w:p>
      <w:pPr>
        <w:jc w:val="both"/>
        <w:ind w:firstLine="252"/>
        <w:spacing w:after="0" w:line="231" w:lineRule="auto"/>
        <w:rPr>
          <w:sz w:val="20"/>
          <w:szCs w:val="20"/>
          <w:color w:val="auto"/>
        </w:rPr>
      </w:pPr>
      <w:r>
        <w:rPr>
          <w:rFonts w:ascii="Arial" w:cs="Arial" w:eastAsia="Arial" w:hAnsi="Arial"/>
          <w:sz w:val="13"/>
          <w:szCs w:val="13"/>
          <w:color w:val="auto"/>
        </w:rPr>
        <w:t>While we believe that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for the treatment of wet AMD will have a commercially competitive profile if it is approved for marketing in the U.S. or elsewhere, we cannot predict whether ophthalmologists, particularly retinal specialists, and patients, will accept or utilize EYLEA</w:t>
      </w:r>
      <w:r>
        <w:rPr>
          <w:rFonts w:ascii="Arial" w:cs="Arial" w:eastAsia="Arial" w:hAnsi="Arial"/>
          <w:sz w:val="17"/>
          <w:szCs w:val="17"/>
          <w:color w:val="auto"/>
          <w:vertAlign w:val="superscript"/>
        </w:rPr>
        <w:t>TM</w:t>
      </w:r>
      <w:r>
        <w:rPr>
          <w:rFonts w:ascii="Arial" w:cs="Arial" w:eastAsia="Arial" w:hAnsi="Arial"/>
          <w:sz w:val="13"/>
          <w:szCs w:val="13"/>
          <w:color w:val="auto"/>
        </w:rPr>
        <w:t>. Our and Bayer HealthCare's efforts to educate the relevant medical community and third-party payors regarding the benefits of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for the treatment of wet AMD will require significant resources and may not be successful in achieving our objectives. If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is approved for marketing but does not achieve significant market acceptance for the treatment of wet AMD, our ability to achieve profitability would be materially impaired or delayed.</w:t>
      </w:r>
    </w:p>
    <w:p>
      <w:pPr>
        <w:spacing w:after="0" w:line="193" w:lineRule="exact"/>
        <w:rPr>
          <w:sz w:val="20"/>
          <w:szCs w:val="20"/>
          <w:color w:val="auto"/>
        </w:rPr>
      </w:pPr>
    </w:p>
    <w:p>
      <w:pPr>
        <w:jc w:val="both"/>
        <w:ind w:left="140"/>
        <w:spacing w:after="0" w:line="276" w:lineRule="auto"/>
        <w:rPr>
          <w:sz w:val="20"/>
          <w:szCs w:val="20"/>
          <w:color w:val="auto"/>
        </w:rPr>
      </w:pPr>
      <w:r>
        <w:rPr>
          <w:rFonts w:ascii="Arial" w:cs="Arial" w:eastAsia="Arial" w:hAnsi="Arial"/>
          <w:sz w:val="14"/>
          <w:szCs w:val="14"/>
          <w:b w:val="1"/>
          <w:bCs w:val="1"/>
          <w:i w:val="1"/>
          <w:iCs w:val="1"/>
          <w:color w:val="auto"/>
        </w:rPr>
        <w:t>If we are unable to establish and effectively deploy and manage sales, marketing, and distribution capabilities in the applicable markets or to enter into agreements with third parties to do so, even if our late-stage product candidates receive regulatory approval we will be unable to successfully launch and commercialize those products in those markets, which would materially harm our business, operating results, and financial condition.</w:t>
      </w:r>
    </w:p>
    <w:p>
      <w:pPr>
        <w:spacing w:after="0" w:line="189" w:lineRule="exact"/>
        <w:rPr>
          <w:sz w:val="20"/>
          <w:szCs w:val="20"/>
          <w:color w:val="auto"/>
        </w:rPr>
      </w:pPr>
    </w:p>
    <w:p>
      <w:pPr>
        <w:jc w:val="both"/>
        <w:ind w:firstLine="285"/>
        <w:spacing w:after="0" w:line="242" w:lineRule="auto"/>
        <w:rPr>
          <w:sz w:val="20"/>
          <w:szCs w:val="20"/>
          <w:color w:val="auto"/>
        </w:rPr>
      </w:pPr>
      <w:r>
        <w:rPr>
          <w:rFonts w:ascii="Arial" w:cs="Arial" w:eastAsia="Arial" w:hAnsi="Arial"/>
          <w:sz w:val="13"/>
          <w:szCs w:val="13"/>
          <w:color w:val="auto"/>
        </w:rPr>
        <w:t>We are selling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ourselves in the U.S. for the treatment of CAPS, primarily through third-party service providers. We are establishing our own sales, marketing, and distribution organization in anticipation of receiving regulatory approval to market and sell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the U.S. for the treatment of wet AMD, and in anticipation of filing for and receiving regulatory approval to market and sell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the U.S. for the treatment of CRVO. However, even if we can fully establish this organization in a timely fashion, we may be unsuccessful in achieving a successful launch and commercialization of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the U.S., which would materially harm our business, operating results, financial condition, and prospects.</w:t>
      </w:r>
    </w:p>
    <w:p>
      <w:pPr>
        <w:spacing w:after="0" w:line="133" w:lineRule="exact"/>
        <w:rPr>
          <w:sz w:val="20"/>
          <w:szCs w:val="20"/>
          <w:color w:val="auto"/>
        </w:rPr>
      </w:pPr>
    </w:p>
    <w:p>
      <w:pPr>
        <w:jc w:val="both"/>
        <w:ind w:firstLine="241"/>
        <w:spacing w:after="0" w:line="224" w:lineRule="auto"/>
        <w:rPr>
          <w:sz w:val="20"/>
          <w:szCs w:val="20"/>
          <w:color w:val="auto"/>
        </w:rPr>
      </w:pPr>
      <w:r>
        <w:rPr>
          <w:rFonts w:ascii="Arial" w:cs="Arial" w:eastAsia="Arial" w:hAnsi="Arial"/>
          <w:sz w:val="14"/>
          <w:szCs w:val="14"/>
          <w:color w:val="auto"/>
        </w:rPr>
        <w:t>We will have to rely on a third party or devote significant resources to develop our own sales, marketing, and distribution capabilities for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patients with gout initiating uric acid-lowering drug therapy if it receives regulatory approval. If we are unable to obtain these capabilities, either by developing our own organizations or entering into agreements with others to provide these functions, even if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prevention of gout flares receives marketing approval, we will not be able to successfully launch and commercialize this product, which would also materially harm our business, operating results, financial condition, and prospects.</w:t>
      </w:r>
    </w:p>
    <w:p>
      <w:pPr>
        <w:spacing w:after="0" w:line="215" w:lineRule="exact"/>
        <w:rPr>
          <w:sz w:val="20"/>
          <w:szCs w:val="20"/>
          <w:color w:val="auto"/>
        </w:rPr>
      </w:pPr>
    </w:p>
    <w:p>
      <w:pPr>
        <w:jc w:val="both"/>
        <w:ind w:firstLine="219"/>
        <w:spacing w:after="0" w:line="261" w:lineRule="auto"/>
        <w:rPr>
          <w:sz w:val="20"/>
          <w:szCs w:val="20"/>
          <w:color w:val="auto"/>
        </w:rPr>
      </w:pPr>
      <w:r>
        <w:rPr>
          <w:rFonts w:ascii="Arial" w:cs="Arial" w:eastAsia="Arial" w:hAnsi="Arial"/>
          <w:sz w:val="13"/>
          <w:szCs w:val="13"/>
          <w:color w:val="auto"/>
        </w:rPr>
        <w:t>We have no experience in sales, marketing, or distribution of products in substantial commercial quantities or in establishing and managing the required infrastructure to do so, including large-scale information technology systems and a large-scale distribution network, and we may be unable to establish such infrastructure on a timely basis. In building a field force in anticipation of the possible approval and launch in the U.S. of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wet AMD and other ophthalmologic indications for which it is currently in Phase 3 clinical trials, we may be unable to successfully recruit and retain within the required time frame an adequate number of qualified sales representatives. To the extent we determine to utilize third parties to provide sales, marketing, or distribution capabilities for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prevention of gout flares or any of our other products if they receive regulatory approval, we may encounter difficulties in retaining such parties on acceptable terms. Even if we hire qualified sales and marketing personnel, and establish the required infrastructure we need to support our objectives, or enter into marketing and distribution agreements with third parties on acceptable terms, we may not do so in an efficient manner or on a timely basis. We may not be able to correctly judge the size and experience of the sales and marketing force and the scale of distribution capabilities necessary to successfully market and sell in the U.S. EYLEA</w:t>
      </w:r>
      <w:r>
        <w:rPr>
          <w:rFonts w:ascii="Arial" w:cs="Arial" w:eastAsia="Arial" w:hAnsi="Arial"/>
          <w:sz w:val="17"/>
          <w:szCs w:val="17"/>
          <w:color w:val="auto"/>
          <w:vertAlign w:val="superscript"/>
        </w:rPr>
        <w:t>TM</w:t>
      </w:r>
      <w:r>
        <w:rPr>
          <w:rFonts w:ascii="Arial" w:cs="Arial" w:eastAsia="Arial" w:hAnsi="Arial"/>
          <w:sz w:val="13"/>
          <w:szCs w:val="13"/>
          <w:color w:val="auto"/>
        </w:rPr>
        <w:t>,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prevention of gout flares, or any of our other product candidates if they receive regulatory approval in the U.S. and as to which we retain sales and marketing responsibility in that market. Establishing and maintaining sales, marketing, and distribution capabilities are expensive and time-consuming. Our expenses associated with building up and maintaining a sales force and distribution capabilities may be disproportional, particularly in the near term, compared to the revenues we may be able to generate on sales in the U.S. of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or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prevention of gout flares. Ultimately neither we nor our collaborators may be successful in commercializing EYLEA</w:t>
      </w:r>
      <w:r>
        <w:rPr>
          <w:rFonts w:ascii="Arial" w:cs="Arial" w:eastAsia="Arial" w:hAnsi="Arial"/>
          <w:sz w:val="17"/>
          <w:szCs w:val="17"/>
          <w:color w:val="auto"/>
          <w:vertAlign w:val="superscript"/>
        </w:rPr>
        <w:t>TM</w:t>
      </w:r>
      <w:r>
        <w:rPr>
          <w:rFonts w:ascii="Arial" w:cs="Arial" w:eastAsia="Arial" w:hAnsi="Arial"/>
          <w:sz w:val="13"/>
          <w:szCs w:val="13"/>
          <w:color w:val="auto"/>
        </w:rPr>
        <w:t>, ZALTRAP</w:t>
      </w:r>
      <w:r>
        <w:rPr>
          <w:rFonts w:ascii="Arial" w:cs="Arial" w:eastAsia="Arial" w:hAnsi="Arial"/>
          <w:sz w:val="17"/>
          <w:szCs w:val="17"/>
          <w:color w:val="auto"/>
          <w:vertAlign w:val="superscript"/>
        </w:rPr>
        <w:t>®</w:t>
      </w:r>
      <w:r>
        <w:rPr>
          <w:rFonts w:ascii="Arial" w:cs="Arial" w:eastAsia="Arial" w:hAnsi="Arial"/>
          <w:sz w:val="13"/>
          <w:szCs w:val="13"/>
          <w:color w:val="auto"/>
        </w:rPr>
        <w:t>,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prevention of gout flares, or any of our other product candidates.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7" w:right="219" w:bottom="1440" w:gutter="0" w:footer="0" w:header="0"/>
        </w:sectPr>
      </w:pPr>
    </w:p>
    <w:bookmarkStart w:id="59" w:name="page60"/>
    <w:bookmarkEnd w:id="59"/>
    <w:p>
      <w:pPr>
        <w:jc w:val="both"/>
        <w:ind w:firstLine="230"/>
        <w:spacing w:after="0" w:line="226" w:lineRule="auto"/>
        <w:rPr>
          <w:sz w:val="20"/>
          <w:szCs w:val="20"/>
          <w:color w:val="auto"/>
        </w:rPr>
      </w:pPr>
      <w:r>
        <w:rPr>
          <w:rFonts w:ascii="Arial" w:cs="Arial" w:eastAsia="Arial" w:hAnsi="Arial"/>
          <w:sz w:val="14"/>
          <w:szCs w:val="14"/>
          <w:color w:val="auto"/>
        </w:rPr>
        <w:t>Under the terms of our collaboration agreement, Sanofi has primary responsibility for sales, marketing, and distribution of ZALTRAP</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in cancer indications, should it be approved in the future by regulatory authorities for marketing.</w:t>
      </w:r>
    </w:p>
    <w:p>
      <w:pPr>
        <w:spacing w:after="0" w:line="215" w:lineRule="exact"/>
        <w:rPr>
          <w:sz w:val="20"/>
          <w:szCs w:val="20"/>
          <w:color w:val="auto"/>
        </w:rPr>
      </w:pPr>
    </w:p>
    <w:p>
      <w:pPr>
        <w:jc w:val="both"/>
        <w:ind w:firstLine="230"/>
        <w:spacing w:after="0" w:line="300" w:lineRule="auto"/>
        <w:rPr>
          <w:sz w:val="20"/>
          <w:szCs w:val="20"/>
          <w:color w:val="auto"/>
        </w:rPr>
      </w:pPr>
      <w:r>
        <w:rPr>
          <w:rFonts w:ascii="Arial" w:cs="Arial" w:eastAsia="Arial" w:hAnsi="Arial"/>
          <w:sz w:val="14"/>
          <w:szCs w:val="14"/>
          <w:color w:val="auto"/>
        </w:rPr>
        <w:t>We currently have no sales, marketing, commercial, or distribution capabilities outside the U.S. Under the terms of our license and collaboration agreement with Bayer HealthCare, we will rely on Bayer HealthCare for sales, marketing, and distribution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countries outside the U.S. should it be approved for marketing in such countries.</w:t>
      </w:r>
    </w:p>
    <w:p>
      <w:pPr>
        <w:spacing w:after="0" w:line="74" w:lineRule="exact"/>
        <w:rPr>
          <w:sz w:val="20"/>
          <w:szCs w:val="20"/>
          <w:color w:val="auto"/>
        </w:rPr>
      </w:pPr>
    </w:p>
    <w:p>
      <w:pPr>
        <w:ind w:left="140"/>
        <w:spacing w:after="0" w:line="291" w:lineRule="auto"/>
        <w:rPr>
          <w:sz w:val="20"/>
          <w:szCs w:val="20"/>
          <w:color w:val="auto"/>
        </w:rPr>
      </w:pPr>
      <w:r>
        <w:rPr>
          <w:rFonts w:ascii="Arial" w:cs="Arial" w:eastAsia="Arial" w:hAnsi="Arial"/>
          <w:sz w:val="14"/>
          <w:szCs w:val="14"/>
          <w:b w:val="1"/>
          <w:bCs w:val="1"/>
          <w:i w:val="1"/>
          <w:iCs w:val="1"/>
          <w:color w:val="auto"/>
        </w:rPr>
        <w:t>Even if our product candidates are approved for marketing, their commercial success is highly uncertain given their method of administration, and because our competitors have received approval for and may be marketing products with a similar mechanism of action or may enter the marketplace with better or lower cost drugs.</w:t>
      </w:r>
    </w:p>
    <w:p>
      <w:pPr>
        <w:spacing w:after="0" w:line="180" w:lineRule="exact"/>
        <w:rPr>
          <w:sz w:val="20"/>
          <w:szCs w:val="20"/>
          <w:color w:val="auto"/>
        </w:rPr>
      </w:pPr>
    </w:p>
    <w:p>
      <w:pPr>
        <w:jc w:val="both"/>
        <w:ind w:firstLine="241"/>
        <w:spacing w:after="0" w:line="291" w:lineRule="auto"/>
        <w:rPr>
          <w:sz w:val="20"/>
          <w:szCs w:val="20"/>
          <w:color w:val="auto"/>
        </w:rPr>
      </w:pPr>
      <w:r>
        <w:rPr>
          <w:rFonts w:ascii="Arial" w:cs="Arial" w:eastAsia="Arial" w:hAnsi="Arial"/>
          <w:sz w:val="14"/>
          <w:szCs w:val="14"/>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180" w:lineRule="exact"/>
        <w:rPr>
          <w:sz w:val="20"/>
          <w:szCs w:val="20"/>
          <w:color w:val="auto"/>
        </w:rPr>
      </w:pPr>
    </w:p>
    <w:p>
      <w:pPr>
        <w:jc w:val="both"/>
        <w:ind w:firstLine="274"/>
        <w:spacing w:after="0" w:line="298" w:lineRule="auto"/>
        <w:rPr>
          <w:sz w:val="20"/>
          <w:szCs w:val="20"/>
          <w:color w:val="auto"/>
        </w:rPr>
      </w:pPr>
      <w:r>
        <w:rPr>
          <w:rFonts w:ascii="Arial" w:cs="Arial" w:eastAsia="Arial" w:hAnsi="Arial"/>
          <w:sz w:val="13"/>
          <w:szCs w:val="13"/>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w:t>
      </w:r>
    </w:p>
    <w:p>
      <w:pPr>
        <w:spacing w:after="0" w:line="177" w:lineRule="exact"/>
        <w:rPr>
          <w:sz w:val="20"/>
          <w:szCs w:val="20"/>
          <w:color w:val="auto"/>
        </w:rPr>
      </w:pPr>
    </w:p>
    <w:p>
      <w:pPr>
        <w:jc w:val="both"/>
        <w:ind w:firstLine="285"/>
        <w:spacing w:after="0" w:line="241" w:lineRule="auto"/>
        <w:rPr>
          <w:sz w:val="20"/>
          <w:szCs w:val="20"/>
          <w:color w:val="auto"/>
        </w:rPr>
      </w:pPr>
      <w:r>
        <w:rPr>
          <w:rFonts w:ascii="Arial" w:cs="Arial" w:eastAsia="Arial" w:hAnsi="Arial"/>
          <w:sz w:val="13"/>
          <w:szCs w:val="13"/>
          <w:color w:val="auto"/>
        </w:rPr>
        <w:t>As previously noted, Genentech has an approved VEGF antagonist, Avastin</w:t>
      </w:r>
      <w:r>
        <w:rPr>
          <w:rFonts w:ascii="Arial" w:cs="Arial" w:eastAsia="Arial" w:hAnsi="Arial"/>
          <w:sz w:val="17"/>
          <w:szCs w:val="17"/>
          <w:color w:val="auto"/>
          <w:vertAlign w:val="superscript"/>
        </w:rPr>
        <w:t>®</w:t>
      </w:r>
      <w:r>
        <w:rPr>
          <w:rFonts w:ascii="Arial" w:cs="Arial" w:eastAsia="Arial" w:hAnsi="Arial"/>
          <w:sz w:val="13"/>
          <w:szCs w:val="13"/>
          <w:color w:val="auto"/>
        </w:rPr>
        <w:t>, on the market for treating certain cancers and many different pharmaceutical and biotechnology companies are working to develop competing VEGF antagonists, including Novartis, Amgen, Imclone LLC/Eli Lilly and Company, Pfizer, AstraZeneca, and GlaxoSmithKline. Some of these molecules are further along in development than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may offer competitive advantages over our molecule. Each of Pfizer, Onyx Pharmaceuticals, Inc. (together with its partner Bayer HealthCare), and GlaxoSmithKline are marketing and selling oral medications that target tumor cell growth and new vasculature formation that fuels the growth of tumors. The marketing approvals for Genentech’s VEGF antagonist, Avastin</w:t>
      </w:r>
      <w:r>
        <w:rPr>
          <w:rFonts w:ascii="Arial" w:cs="Arial" w:eastAsia="Arial" w:hAnsi="Arial"/>
          <w:sz w:val="17"/>
          <w:szCs w:val="17"/>
          <w:color w:val="auto"/>
          <w:vertAlign w:val="superscript"/>
        </w:rPr>
        <w:t>®</w:t>
      </w:r>
      <w:r>
        <w:rPr>
          <w:rFonts w:ascii="Arial" w:cs="Arial" w:eastAsia="Arial" w:hAnsi="Arial"/>
          <w:sz w:val="13"/>
          <w:szCs w:val="13"/>
          <w:color w:val="auto"/>
        </w:rPr>
        <w:t>, and their extensive, ongoing clinical development plan for Avastin</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other cancer indications, make it more difficult for us to enroll patients in clinical trials to support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those indications and to obtain regulatory approval of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those indications. This may delay or impair our ability to successfully develop and commercialize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various cancer indications. In addition, even if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is approved for sale for the treatment of certain cancers, it will be difficult for our drug to compete against Avastin</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the FDA approved kinase inhibitors,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217" w:lineRule="exact"/>
        <w:rPr>
          <w:sz w:val="20"/>
          <w:szCs w:val="20"/>
          <w:color w:val="auto"/>
        </w:rPr>
      </w:pPr>
    </w:p>
    <w:p>
      <w:pPr>
        <w:jc w:val="both"/>
        <w:ind w:firstLine="219"/>
        <w:spacing w:after="0" w:line="239" w:lineRule="auto"/>
        <w:rPr>
          <w:sz w:val="20"/>
          <w:szCs w:val="20"/>
          <w:color w:val="auto"/>
        </w:rPr>
      </w:pPr>
      <w:r>
        <w:rPr>
          <w:rFonts w:ascii="Arial" w:cs="Arial" w:eastAsia="Arial" w:hAnsi="Arial"/>
          <w:sz w:val="14"/>
          <w:szCs w:val="14"/>
          <w:color w:val="auto"/>
        </w:rPr>
        <w:t>The market for eye disease products is also very competitive. Novartis and Genentech are collaborating on the commercialization and further development of a VEGF antibody fragment, Lucentis</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treatment of wet AMD, CRVO, DME, and other eye indications. Lucentis</w:t>
      </w:r>
      <w:r>
        <w:rPr>
          <w:rFonts w:ascii="Arial" w:cs="Arial" w:eastAsia="Arial" w:hAnsi="Arial"/>
          <w:sz w:val="19"/>
          <w:szCs w:val="19"/>
          <w:color w:val="auto"/>
          <w:vertAlign w:val="superscript"/>
        </w:rPr>
        <w:t>®</w:t>
      </w:r>
      <w:r>
        <w:rPr>
          <w:rFonts w:ascii="Arial" w:cs="Arial" w:eastAsia="Arial" w:hAnsi="Arial"/>
          <w:sz w:val="14"/>
          <w:szCs w:val="14"/>
          <w:color w:val="auto"/>
        </w:rPr>
        <w:t xml:space="preserve"> was approved by the FDA in June 2006 for the treatment of wet AMD and in June 2010 for the treatment of macular edema following retinal vein occlusion (RVO), CRVO, and branch retinal vein occlusion (BRVO). Lucentis</w:t>
      </w:r>
      <w:r>
        <w:rPr>
          <w:rFonts w:ascii="Arial" w:cs="Arial" w:eastAsia="Arial" w:hAnsi="Arial"/>
          <w:sz w:val="19"/>
          <w:szCs w:val="19"/>
          <w:color w:val="auto"/>
          <w:vertAlign w:val="superscript"/>
        </w:rPr>
        <w:t>®</w:t>
      </w:r>
      <w:r>
        <w:rPr>
          <w:rFonts w:ascii="Arial" w:cs="Arial" w:eastAsia="Arial" w:hAnsi="Arial"/>
          <w:sz w:val="14"/>
          <w:szCs w:val="14"/>
          <w:color w:val="auto"/>
        </w:rPr>
        <w:t xml:space="preserve"> was also approved by the EMA for wet AMD in January 2007 and for DME in January 2011. Many other companies are working on the development of product candidates for the potential treatment of wet AMD and DME including those that act by blocking VEGF and VEGF receptors, as well as small interfering ribonucleic acids (siRNAs) that modulate gene expression. In addition, ophthalmologists are using off-label, with success for the treatment of wet AMD, DME, and RVO, third-party repackaged versions of Genentech’s approved VEGF antagonist, Avastin</w:t>
      </w:r>
      <w:r>
        <w:rPr>
          <w:rFonts w:ascii="Arial" w:cs="Arial" w:eastAsia="Arial" w:hAnsi="Arial"/>
          <w:sz w:val="19"/>
          <w:szCs w:val="19"/>
          <w:color w:val="auto"/>
          <w:vertAlign w:val="superscript"/>
        </w:rPr>
        <w:t>®</w:t>
      </w:r>
      <w:r>
        <w:rPr>
          <w:rFonts w:ascii="Arial" w:cs="Arial" w:eastAsia="Arial" w:hAnsi="Arial"/>
          <w:sz w:val="14"/>
          <w:szCs w:val="14"/>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7" w:right="219" w:bottom="1440" w:gutter="0" w:footer="0" w:header="0"/>
        </w:sectPr>
      </w:pPr>
    </w:p>
    <w:bookmarkStart w:id="60" w:name="page61"/>
    <w:bookmarkEnd w:id="60"/>
    <w:p>
      <w:pPr>
        <w:jc w:val="both"/>
        <w:ind w:firstLine="219"/>
        <w:spacing w:after="0" w:line="228" w:lineRule="auto"/>
        <w:rPr>
          <w:sz w:val="20"/>
          <w:szCs w:val="20"/>
          <w:color w:val="auto"/>
        </w:rPr>
      </w:pPr>
      <w:r>
        <w:rPr>
          <w:rFonts w:ascii="Arial" w:cs="Arial" w:eastAsia="Arial" w:hAnsi="Arial"/>
          <w:sz w:val="13"/>
          <w:szCs w:val="13"/>
          <w:color w:val="auto"/>
        </w:rPr>
        <w:t>The National Eye Institute (NEI) and others are conducting long-term, controlled clinical trials comparing Lucentis</w:t>
      </w:r>
      <w:r>
        <w:rPr>
          <w:rFonts w:ascii="Arial" w:cs="Arial" w:eastAsia="Arial" w:hAnsi="Arial"/>
          <w:sz w:val="17"/>
          <w:szCs w:val="17"/>
          <w:color w:val="auto"/>
          <w:vertAlign w:val="superscript"/>
        </w:rPr>
        <w:t>®</w:t>
      </w:r>
      <w:r>
        <w:rPr>
          <w:rFonts w:ascii="Arial" w:cs="Arial" w:eastAsia="Arial" w:hAnsi="Arial"/>
          <w:sz w:val="13"/>
          <w:szCs w:val="13"/>
          <w:color w:val="auto"/>
        </w:rPr>
        <w:t xml:space="preserve"> to Avastin</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the treatment of wet AMD. One-year data from the Comparison of Age-Related Macular Degeneration Treatments Trial (CATT) were reported in April 2011 and indicated that Avastin</w:t>
      </w:r>
      <w:r>
        <w:rPr>
          <w:rFonts w:ascii="Arial" w:cs="Arial" w:eastAsia="Arial" w:hAnsi="Arial"/>
          <w:sz w:val="17"/>
          <w:szCs w:val="17"/>
          <w:color w:val="auto"/>
          <w:vertAlign w:val="superscript"/>
        </w:rPr>
        <w:t>®</w:t>
      </w:r>
      <w:r>
        <w:rPr>
          <w:rFonts w:ascii="Arial" w:cs="Arial" w:eastAsia="Arial" w:hAnsi="Arial"/>
          <w:sz w:val="13"/>
          <w:szCs w:val="13"/>
          <w:color w:val="auto"/>
        </w:rPr>
        <w:t xml:space="preserve"> dosed monthly was non-inferior to Lucentis</w:t>
      </w:r>
      <w:r>
        <w:rPr>
          <w:rFonts w:ascii="Arial" w:cs="Arial" w:eastAsia="Arial" w:hAnsi="Arial"/>
          <w:sz w:val="17"/>
          <w:szCs w:val="17"/>
          <w:color w:val="auto"/>
          <w:vertAlign w:val="superscript"/>
        </w:rPr>
        <w:t>®</w:t>
      </w:r>
      <w:r>
        <w:rPr>
          <w:rFonts w:ascii="Arial" w:cs="Arial" w:eastAsia="Arial" w:hAnsi="Arial"/>
          <w:sz w:val="13"/>
          <w:szCs w:val="13"/>
          <w:color w:val="auto"/>
        </w:rPr>
        <w:t xml:space="preserve"> dosed monthly in the primary efficacy endpoint of mean visual acuity gain at 52 weeks. Even if our BLA for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for the treatment of wet AMD is approved, it may be difficult for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this or other eye indications for which it may be approved to compete against Lucentis</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off-label use of Avastin</w:t>
      </w:r>
      <w:r>
        <w:rPr>
          <w:rFonts w:ascii="Arial" w:cs="Arial" w:eastAsia="Arial" w:hAnsi="Arial"/>
          <w:sz w:val="17"/>
          <w:szCs w:val="17"/>
          <w:color w:val="auto"/>
          <w:vertAlign w:val="superscript"/>
        </w:rPr>
        <w:t>®</w:t>
      </w:r>
      <w:r>
        <w:rPr>
          <w:rFonts w:ascii="Arial" w:cs="Arial" w:eastAsia="Arial" w:hAnsi="Arial"/>
          <w:sz w:val="13"/>
          <w:szCs w:val="13"/>
          <w:color w:val="auto"/>
        </w:rPr>
        <w:t xml:space="preserve"> because doctors and patients have had significant experience using these medicines. Moreover, the recently reported results of the CATT study, combined with the relatively low cost of Avastin</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treating patients with wet AMD, may well exacerbate the competitive challenge which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will face in this or other eye indications for which it may be approved. In addition, while we believe that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would not be well tolerated if administered directly to the eye, if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is approved for the treatment of certain cancers, there is a risk that third parties will attempt to repackage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off-label use and sale for the treatment of wet AMD and other diseases of the eye, which would present a potential low-cost competitive threat to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if it is approved for wet AMD or other eye indications.</w:t>
      </w:r>
    </w:p>
    <w:p>
      <w:pPr>
        <w:spacing w:after="0" w:line="138" w:lineRule="exact"/>
        <w:rPr>
          <w:sz w:val="20"/>
          <w:szCs w:val="20"/>
          <w:color w:val="auto"/>
        </w:rPr>
      </w:pPr>
    </w:p>
    <w:p>
      <w:pPr>
        <w:jc w:val="both"/>
        <w:ind w:firstLine="241"/>
        <w:spacing w:after="0" w:line="217" w:lineRule="auto"/>
        <w:rPr>
          <w:sz w:val="20"/>
          <w:szCs w:val="20"/>
          <w:color w:val="auto"/>
        </w:rPr>
      </w:pPr>
      <w:r>
        <w:rPr>
          <w:rFonts w:ascii="Arial" w:cs="Arial" w:eastAsia="Arial" w:hAnsi="Arial"/>
          <w:sz w:val="14"/>
          <w:szCs w:val="14"/>
          <w:color w:val="auto"/>
        </w:rPr>
        <w:t>The availability of highly effective FDA approved Tumor Necrosis Factors-antagonists (TNF-antagonists) such as Enbrel</w:t>
      </w:r>
      <w:r>
        <w:rPr>
          <w:rFonts w:ascii="Arial" w:cs="Arial" w:eastAsia="Arial" w:hAnsi="Arial"/>
          <w:sz w:val="19"/>
          <w:szCs w:val="19"/>
          <w:color w:val="auto"/>
          <w:vertAlign w:val="superscript"/>
        </w:rPr>
        <w:t>®</w:t>
      </w:r>
      <w:r>
        <w:rPr>
          <w:rFonts w:ascii="Arial" w:cs="Arial" w:eastAsia="Arial" w:hAnsi="Arial"/>
          <w:sz w:val="14"/>
          <w:szCs w:val="14"/>
          <w:color w:val="auto"/>
        </w:rPr>
        <w:t>, Remicade</w:t>
      </w:r>
      <w:r>
        <w:rPr>
          <w:rFonts w:ascii="Arial" w:cs="Arial" w:eastAsia="Arial" w:hAnsi="Arial"/>
          <w:sz w:val="19"/>
          <w:szCs w:val="19"/>
          <w:color w:val="auto"/>
          <w:vertAlign w:val="superscript"/>
        </w:rPr>
        <w:t>®</w:t>
      </w:r>
      <w:r>
        <w:rPr>
          <w:rFonts w:ascii="Arial" w:cs="Arial" w:eastAsia="Arial" w:hAnsi="Arial"/>
          <w:sz w:val="14"/>
          <w:szCs w:val="14"/>
          <w:color w:val="auto"/>
        </w:rPr>
        <w:t>, Humira</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(adalimumab), a registered trademark of Abbott Laboratories, Simponi</w:t>
      </w:r>
      <w:r>
        <w:rPr>
          <w:rFonts w:ascii="Arial" w:cs="Arial" w:eastAsia="Arial" w:hAnsi="Arial"/>
          <w:sz w:val="19"/>
          <w:szCs w:val="19"/>
          <w:color w:val="auto"/>
          <w:vertAlign w:val="superscript"/>
        </w:rPr>
        <w:t>®</w:t>
      </w:r>
      <w:r>
        <w:rPr>
          <w:rFonts w:ascii="Arial" w:cs="Arial" w:eastAsia="Arial" w:hAnsi="Arial"/>
          <w:sz w:val="14"/>
          <w:szCs w:val="14"/>
          <w:color w:val="auto"/>
        </w:rPr>
        <w:t xml:space="preserve"> (golimumab), a registered trademark of Johnson &amp; Johnson, the IL-1 receptor antagonist Kineret</w:t>
      </w:r>
      <w:r>
        <w:rPr>
          <w:rFonts w:ascii="Arial" w:cs="Arial" w:eastAsia="Arial" w:hAnsi="Arial"/>
          <w:sz w:val="19"/>
          <w:szCs w:val="19"/>
          <w:color w:val="auto"/>
          <w:vertAlign w:val="superscript"/>
        </w:rPr>
        <w:t>®</w:t>
      </w:r>
      <w:r>
        <w:rPr>
          <w:rFonts w:ascii="Arial" w:cs="Arial" w:eastAsia="Arial" w:hAnsi="Arial"/>
          <w:sz w:val="14"/>
          <w:szCs w:val="14"/>
          <w:color w:val="auto"/>
        </w:rPr>
        <w:t>, Ilaris</w:t>
      </w:r>
      <w:r>
        <w:rPr>
          <w:rFonts w:ascii="Arial" w:cs="Arial" w:eastAsia="Arial" w:hAnsi="Arial"/>
          <w:sz w:val="19"/>
          <w:szCs w:val="19"/>
          <w:color w:val="auto"/>
          <w:vertAlign w:val="superscript"/>
        </w:rPr>
        <w:t>®</w:t>
      </w:r>
      <w:r>
        <w:rPr>
          <w:rFonts w:ascii="Arial" w:cs="Arial" w:eastAsia="Arial" w:hAnsi="Arial"/>
          <w:sz w:val="14"/>
          <w:szCs w:val="14"/>
          <w:color w:val="auto"/>
        </w:rPr>
        <w:t xml:space="preserve"> (canakinumab), and other marketed therapies makes it more difficult to successfully develop and commercialize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in indications other than CAPS, and this is one of the reasons we discontinued the development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in adult rheumatoid arthritis. In addition, even if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is ever approved for sale in indications where TNF-antagonists are approved, it will be difficult for our drug to compete against these FDA approved TNF-antagonists because doctors and patients have had significant experience using these effective medicines. Moreover, in such indications these approved therapeutics may offer competitive advantages over ARCALYST</w:t>
      </w:r>
      <w:r>
        <w:rPr>
          <w:rFonts w:ascii="Arial" w:cs="Arial" w:eastAsia="Arial" w:hAnsi="Arial"/>
          <w:sz w:val="19"/>
          <w:szCs w:val="19"/>
          <w:color w:val="auto"/>
          <w:vertAlign w:val="superscript"/>
        </w:rPr>
        <w:t>®</w:t>
      </w:r>
      <w:r>
        <w:rPr>
          <w:rFonts w:ascii="Arial" w:cs="Arial" w:eastAsia="Arial" w:hAnsi="Arial"/>
          <w:sz w:val="14"/>
          <w:szCs w:val="14"/>
          <w:color w:val="auto"/>
        </w:rPr>
        <w:t>, such as requiring fewer injections.</w:t>
      </w:r>
    </w:p>
    <w:p>
      <w:pPr>
        <w:spacing w:after="0" w:line="141" w:lineRule="exact"/>
        <w:rPr>
          <w:sz w:val="20"/>
          <w:szCs w:val="20"/>
          <w:color w:val="auto"/>
        </w:rPr>
      </w:pPr>
    </w:p>
    <w:p>
      <w:pPr>
        <w:jc w:val="both"/>
        <w:ind w:firstLine="219"/>
        <w:spacing w:after="0" w:line="254" w:lineRule="auto"/>
        <w:rPr>
          <w:sz w:val="20"/>
          <w:szCs w:val="20"/>
          <w:color w:val="auto"/>
        </w:rPr>
      </w:pPr>
      <w:r>
        <w:rPr>
          <w:rFonts w:ascii="Arial" w:cs="Arial" w:eastAsia="Arial" w:hAnsi="Arial"/>
          <w:sz w:val="13"/>
          <w:szCs w:val="13"/>
          <w:color w:val="auto"/>
        </w:rPr>
        <w:t>There are both small molecules and antibodies in development by other companies that are designed to block the synthesis of IL-1 or inhibit the signaling of IL-1. For example, Eli Lilly, Xoma Ltd. (in collaboration with Servier), and Novartis are each developing antibodies to IL-1 and both Amgen and MedImmune are developing antibodies to the IL-1 receptor. In 2009, Novartis received regulatory approval in the U.S. and Europe for Ilaris</w:t>
      </w:r>
      <w:r>
        <w:rPr>
          <w:rFonts w:ascii="Arial" w:cs="Arial" w:eastAsia="Arial" w:hAnsi="Arial"/>
          <w:sz w:val="17"/>
          <w:szCs w:val="17"/>
          <w:color w:val="auto"/>
          <w:vertAlign w:val="superscript"/>
        </w:rPr>
        <w:t>®</w:t>
      </w:r>
      <w:r>
        <w:rPr>
          <w:rFonts w:ascii="Arial" w:cs="Arial" w:eastAsia="Arial" w:hAnsi="Arial"/>
          <w:sz w:val="13"/>
          <w:szCs w:val="13"/>
          <w:color w:val="auto"/>
        </w:rPr>
        <w:t>, a fully human anti-interleukin-IL1ß antibody, for the treatment of CAPS. Ilaris</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is also in development for atherosclerosis and a number of other inflammatory diseases. Novartis’ IL-1 antibody and these other drug candidates could offer competitive advantages over ARCALYST</w:t>
      </w:r>
      <w:r>
        <w:rPr>
          <w:rFonts w:ascii="Arial" w:cs="Arial" w:eastAsia="Arial" w:hAnsi="Arial"/>
          <w:sz w:val="17"/>
          <w:szCs w:val="17"/>
          <w:color w:val="auto"/>
          <w:vertAlign w:val="superscript"/>
        </w:rPr>
        <w:t>®</w:t>
      </w:r>
      <w:r>
        <w:rPr>
          <w:rFonts w:ascii="Arial" w:cs="Arial" w:eastAsia="Arial" w:hAnsi="Arial"/>
          <w:sz w:val="13"/>
          <w:szCs w:val="13"/>
          <w:color w:val="auto"/>
        </w:rPr>
        <w:t>. For example, Ilaris</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is dosed once every eight weeks compared to the once-weekly dosing regimen for ARCALYST</w:t>
      </w:r>
      <w:r>
        <w:rPr>
          <w:rFonts w:ascii="Arial" w:cs="Arial" w:eastAsia="Arial" w:hAnsi="Arial"/>
          <w:sz w:val="17"/>
          <w:szCs w:val="17"/>
          <w:color w:val="auto"/>
          <w:vertAlign w:val="superscript"/>
        </w:rPr>
        <w:t>®</w:t>
      </w:r>
      <w:r>
        <w:rPr>
          <w:rFonts w:ascii="Arial" w:cs="Arial" w:eastAsia="Arial" w:hAnsi="Arial"/>
          <w:sz w:val="13"/>
          <w:szCs w:val="13"/>
          <w:color w:val="auto"/>
        </w:rPr>
        <w:t>. The successful development and/or commercialization of these competing molecules could adversely affect sales of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treatment of CAPS and delay or impair our ability to commercialize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indications other than CAPS.</w:t>
      </w:r>
    </w:p>
    <w:p>
      <w:pPr>
        <w:spacing w:after="0" w:line="127" w:lineRule="exact"/>
        <w:rPr>
          <w:sz w:val="20"/>
          <w:szCs w:val="20"/>
          <w:color w:val="auto"/>
        </w:rPr>
      </w:pPr>
    </w:p>
    <w:p>
      <w:pPr>
        <w:jc w:val="both"/>
        <w:ind w:firstLine="252"/>
        <w:spacing w:after="0" w:line="236" w:lineRule="auto"/>
        <w:rPr>
          <w:sz w:val="20"/>
          <w:szCs w:val="20"/>
          <w:color w:val="auto"/>
        </w:rPr>
      </w:pPr>
      <w:r>
        <w:rPr>
          <w:rFonts w:ascii="Arial" w:cs="Arial" w:eastAsia="Arial" w:hAnsi="Arial"/>
          <w:sz w:val="13"/>
          <w:szCs w:val="13"/>
          <w:color w:val="auto"/>
        </w:rPr>
        <w:t>We are developing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prevention of gout flares in patients initiating uric acid-lowering therapy and have submitted a supplemental BLA filing for U.S. regulatory approval in this indication. In January 2011, Novartis announced that the results of two Phase 3 studies with Ilaris</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focused on reducing pain and preventing recurrent attacks or “flares” in patients with hard-to-treat gout were positive. Novartis has also reported that regulatory filings for the use of Ilaris</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gouty arthritis have been completed in the European Union in 2010 and in the U.S. in the first quarter of 2011, based on the results of these two Phase 3 studies. Ilaris</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is dosed less frequently for the treatment of CAPS, and if it is approved for the treatment of gout, it may be perceived by some physicians as offering competitive advantages over ARCALYST</w:t>
      </w:r>
      <w:r>
        <w:rPr>
          <w:rFonts w:ascii="Arial" w:cs="Arial" w:eastAsia="Arial" w:hAnsi="Arial"/>
          <w:sz w:val="17"/>
          <w:szCs w:val="17"/>
          <w:color w:val="auto"/>
          <w:vertAlign w:val="superscript"/>
        </w:rPr>
        <w:t>®</w:t>
      </w:r>
      <w:r>
        <w:rPr>
          <w:rFonts w:ascii="Arial" w:cs="Arial" w:eastAsia="Arial" w:hAnsi="Arial"/>
          <w:sz w:val="13"/>
          <w:szCs w:val="13"/>
          <w:color w:val="auto"/>
        </w:rPr>
        <w:t>, which would make it difficult for us to successfully commercialize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that disease.</w:t>
      </w:r>
    </w:p>
    <w:p>
      <w:pPr>
        <w:spacing w:after="0" w:line="138" w:lineRule="exact"/>
        <w:rPr>
          <w:sz w:val="20"/>
          <w:szCs w:val="20"/>
          <w:color w:val="auto"/>
        </w:rPr>
      </w:pPr>
    </w:p>
    <w:p>
      <w:pPr>
        <w:jc w:val="both"/>
        <w:ind w:firstLine="219"/>
        <w:spacing w:after="0" w:line="300" w:lineRule="auto"/>
        <w:rPr>
          <w:sz w:val="20"/>
          <w:szCs w:val="20"/>
          <w:color w:val="auto"/>
        </w:rPr>
      </w:pPr>
      <w:r>
        <w:rPr>
          <w:rFonts w:ascii="Arial" w:cs="Arial" w:eastAsia="Arial" w:hAnsi="Arial"/>
          <w:sz w:val="14"/>
          <w:szCs w:val="14"/>
          <w:color w:val="auto"/>
        </w:rPr>
        <w:t>Currently, inexpensive, oral therapies such as analgesics and other NSAIDS, are used as the standard of care to treat the symptoms of gout diseases. These established, inexpensive, orally delivered drugs may make it difficult for us to successfully commercialize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in these diseases.</w:t>
      </w:r>
    </w:p>
    <w:p>
      <w:pPr>
        <w:spacing w:after="0" w:line="94" w:lineRule="exact"/>
        <w:rPr>
          <w:sz w:val="20"/>
          <w:szCs w:val="20"/>
          <w:color w:val="auto"/>
        </w:rPr>
      </w:pPr>
    </w:p>
    <w:p>
      <w:pPr>
        <w:jc w:val="both"/>
        <w:ind w:firstLine="263"/>
        <w:spacing w:after="0" w:line="226" w:lineRule="auto"/>
        <w:rPr>
          <w:sz w:val="20"/>
          <w:szCs w:val="20"/>
          <w:color w:val="auto"/>
        </w:rPr>
      </w:pPr>
      <w:r>
        <w:rPr>
          <w:rFonts w:ascii="Arial" w:cs="Arial" w:eastAsia="Arial" w:hAnsi="Arial"/>
          <w:sz w:val="14"/>
          <w:szCs w:val="14"/>
          <w:color w:val="auto"/>
        </w:rPr>
        <w:t xml:space="preserve">Our early-stage clinical candidates in development are all fully human monoclonal antibodies, which were generated using our </w:t>
      </w:r>
      <w:r>
        <w:rPr>
          <w:rFonts w:ascii="Arial" w:cs="Arial" w:eastAsia="Arial" w:hAnsi="Arial"/>
          <w:sz w:val="14"/>
          <w:szCs w:val="14"/>
          <w:i w:val="1"/>
          <w:iCs w:val="1"/>
          <w:color w:val="auto"/>
        </w:rPr>
        <w:t>VelocImmune</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xml:space="preserve"> technology. Our antibody generation technologies and early-stage clinical candidates face competition from many pharmaceutical and biotechnology companies using various technologies.</w:t>
      </w:r>
    </w:p>
    <w:p>
      <w:pPr>
        <w:spacing w:after="0" w:line="215" w:lineRule="exact"/>
        <w:rPr>
          <w:sz w:val="20"/>
          <w:szCs w:val="20"/>
          <w:color w:val="auto"/>
        </w:rPr>
      </w:pPr>
    </w:p>
    <w:p>
      <w:pPr>
        <w:jc w:val="both"/>
        <w:ind w:firstLine="241"/>
        <w:spacing w:after="0" w:line="276" w:lineRule="auto"/>
        <w:rPr>
          <w:sz w:val="20"/>
          <w:szCs w:val="20"/>
          <w:color w:val="auto"/>
        </w:rPr>
      </w:pPr>
      <w:r>
        <w:rPr>
          <w:rFonts w:ascii="Arial" w:cs="Arial" w:eastAsia="Arial" w:hAnsi="Arial"/>
          <w:sz w:val="14"/>
          <w:szCs w:val="14"/>
          <w:color w:val="auto"/>
        </w:rPr>
        <w:t>Numerous other companies are developing therapeutic antibody products. Companies such as Pfizer, Johnson &amp; Johnson, AstraZeneca, Amgen, Biogen Idec, Novartis, Genentech/Roche, Bristol-Myers Squib, Abbott, and GlaxoSmithKline have generated therapeutic products that are currently in development or on the market that are derived from recombinant DNA that comprise human antibody sequences.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7" w:right="219" w:bottom="1440" w:gutter="0" w:footer="0" w:header="0"/>
        </w:sectPr>
      </w:pPr>
    </w:p>
    <w:bookmarkStart w:id="61" w:name="page62"/>
    <w:bookmarkEnd w:id="61"/>
    <w:p>
      <w:pPr>
        <w:jc w:val="both"/>
        <w:ind w:firstLine="241"/>
        <w:spacing w:after="0" w:line="289" w:lineRule="auto"/>
        <w:rPr>
          <w:sz w:val="20"/>
          <w:szCs w:val="20"/>
          <w:color w:val="auto"/>
        </w:rPr>
      </w:pPr>
      <w:r>
        <w:rPr>
          <w:rFonts w:ascii="Arial" w:cs="Arial" w:eastAsia="Arial" w:hAnsi="Arial"/>
          <w:sz w:val="13"/>
          <w:szCs w:val="13"/>
          <w:color w:val="auto"/>
        </w:rPr>
        <w:t>We are aware of several pharmaceutical and biotechnology companies actively engaged in the research and development of antibody products against targets that are also the targets of our early-stage product candidates. For example, Pfizer, Johnson &amp; Johnson, and Abbott are developing antibody product candidates against NGF. Genentech/Roche is marketing an antibody against IL-6R (tocilizumab) for the treatment of rheumatoid arthritis, and several other companies, including Centocor/Johnson &amp; Johnson, and Bristol-Myers Squibb, have antibodies against IL-6 in clinical development for this disease. GlaxoSmithKline, in partnership with OncoMed Pharmaceuticals, has a Dll4 antibody in clinical development for the treatment of solid tumors. Aerovance has two formulations of a biologic directed against IL-4 in clinical development. Amgen previously had an antibody against IL-4R in clinical development for the treatment of asthma. We believe that several companies, including Amgen and Pfizer, have development programs for antibodies against PCSK9. Amgen, Pfizer, and AstraZeneca have development programs underway for antibodies against ANG2.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w:t>
      </w:r>
    </w:p>
    <w:p>
      <w:pPr>
        <w:spacing w:after="0" w:line="161" w:lineRule="exact"/>
        <w:rPr>
          <w:sz w:val="20"/>
          <w:szCs w:val="20"/>
          <w:color w:val="auto"/>
        </w:rPr>
      </w:pPr>
    </w:p>
    <w:p>
      <w:pPr>
        <w:jc w:val="both"/>
        <w:ind w:left="140"/>
        <w:spacing w:after="0" w:line="276" w:lineRule="auto"/>
        <w:rPr>
          <w:sz w:val="20"/>
          <w:szCs w:val="20"/>
          <w:color w:val="auto"/>
        </w:rPr>
      </w:pPr>
      <w:r>
        <w:rPr>
          <w:rFonts w:ascii="Arial" w:cs="Arial" w:eastAsia="Arial" w:hAnsi="Arial"/>
          <w:sz w:val="14"/>
          <w:szCs w:val="14"/>
          <w:b w:val="1"/>
          <w:bCs w:val="1"/>
          <w:i w:val="1"/>
          <w:iCs w:val="1"/>
          <w:color w:val="auto"/>
        </w:rPr>
        <w:t>The successful commercialization of our late-stage product candidates will depend on obtaining coverage and reimbursement for use of these products from third-party payers, including Medicare and Medicaid in the U.S., and these payers may not agree to cover or adequately reimburse for use of our products or may do so at levels that make our products uncompetitive and/or unprofitable, which would materially harm our business, operating results, and financial condition.</w:t>
      </w:r>
    </w:p>
    <w:p>
      <w:pPr>
        <w:spacing w:after="0" w:line="189" w:lineRule="exact"/>
        <w:rPr>
          <w:sz w:val="20"/>
          <w:szCs w:val="20"/>
          <w:color w:val="auto"/>
        </w:rPr>
      </w:pPr>
    </w:p>
    <w:p>
      <w:pPr>
        <w:jc w:val="both"/>
        <w:ind w:firstLine="219"/>
        <w:spacing w:after="0" w:line="253" w:lineRule="auto"/>
        <w:rPr>
          <w:sz w:val="20"/>
          <w:szCs w:val="20"/>
          <w:color w:val="auto"/>
        </w:rPr>
      </w:pPr>
      <w:r>
        <w:rPr>
          <w:rFonts w:ascii="Arial" w:cs="Arial" w:eastAsia="Arial" w:hAnsi="Arial"/>
          <w:sz w:val="14"/>
          <w:szCs w:val="14"/>
          <w:color w:val="auto"/>
        </w:rPr>
        <w:t>Our product candidates, if commercialized, may be significantly more expensive than traditional drug treatments. For example, we are developing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prevention of gout flares in patients initiating uric acid-lowering drug therapy. Patients suffering from this gout indication are currently treated with inexpensive therapies, including NSAIDS. These existing treatment options are likely to be considerably less expensive and may be preferable to a biologic medication for some patients. Our future revenues and profitability will be adversely affected in a material manner if U.S. and foreign governmental, private third-party insurers and payers, and other third-party payers, including Medicare and Medicaid, do not agree to defray or reimburse the cost of our products to the patients. If these entities do not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payers more expensive for patients, and require prior authorization or failure on another type of treatment before covering a particular drug. In particular, payers may impose these obstacles to coverage on higher-priced drugs, as our product candidates are likely to be.</w:t>
      </w:r>
    </w:p>
    <w:p>
      <w:pPr>
        <w:spacing w:after="0" w:line="207" w:lineRule="exact"/>
        <w:rPr>
          <w:sz w:val="20"/>
          <w:szCs w:val="20"/>
          <w:color w:val="auto"/>
        </w:rPr>
      </w:pPr>
    </w:p>
    <w:p>
      <w:pPr>
        <w:jc w:val="both"/>
        <w:ind w:firstLine="219"/>
        <w:spacing w:after="0" w:line="251" w:lineRule="auto"/>
        <w:rPr>
          <w:sz w:val="20"/>
          <w:szCs w:val="20"/>
          <w:color w:val="auto"/>
        </w:rPr>
      </w:pPr>
      <w:r>
        <w:rPr>
          <w:rFonts w:ascii="Arial" w:cs="Arial" w:eastAsia="Arial" w:hAnsi="Arial"/>
          <w:sz w:val="14"/>
          <w:szCs w:val="14"/>
          <w:color w:val="auto"/>
        </w:rPr>
        <w:t>Government and other third-party payers are challenging the prices charged for healthcare products and increasingly limiting, and attempting to limit, both coverage and level of reimbursement for prescription drugs. In March 2010, the PPACA and a related reconciliation bill were enacted in the U.S. This legislation imposes cost containment measures that are likely to adversely affect the amount of reimbursement for our future products. The full effects of this legislation are unknown at this time and will not be known until regulations and guidance are issued by the Centers for Medicare and Medicaid Services (CMS) and other federal and state agencies. Further, in September 2011 the Office of Inspector General (OIG) of the Department of Health and Human Services issued a report entitled “Review of Medicare Part B Avastin and Lucentis Treatments for Age-Related Macular Degeneration” in which the OIG details possible savings to the Medicare program by using off-label Avastin</w:t>
      </w:r>
      <w:r>
        <w:rPr>
          <w:rFonts w:ascii="Arial" w:cs="Arial" w:eastAsia="Arial" w:hAnsi="Arial"/>
          <w:sz w:val="20"/>
          <w:szCs w:val="20"/>
          <w:color w:val="auto"/>
          <w:vertAlign w:val="superscript"/>
        </w:rPr>
        <w:t>®</w:t>
      </w:r>
      <w:r>
        <w:rPr>
          <w:rFonts w:ascii="Arial" w:cs="Arial" w:eastAsia="Arial" w:hAnsi="Arial"/>
          <w:sz w:val="14"/>
          <w:szCs w:val="14"/>
          <w:color w:val="auto"/>
        </w:rPr>
        <w:t xml:space="preserve"> rather than Lucentis</w:t>
      </w:r>
      <w:r>
        <w:rPr>
          <w:rFonts w:ascii="Arial" w:cs="Arial" w:eastAsia="Arial" w:hAnsi="Arial"/>
          <w:sz w:val="20"/>
          <w:szCs w:val="20"/>
          <w:color w:val="auto"/>
          <w:vertAlign w:val="superscript"/>
        </w:rPr>
        <w:t>®</w:t>
      </w:r>
      <w:r>
        <w:rPr>
          <w:rFonts w:ascii="Arial" w:cs="Arial" w:eastAsia="Arial" w:hAnsi="Arial"/>
          <w:sz w:val="14"/>
          <w:szCs w:val="14"/>
          <w:color w:val="auto"/>
        </w:rPr>
        <w:t xml:space="preserve"> for the treatment of wet AMD.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It is likely that federal and state legislatures and health agencies will continue to focus on additional health care reform in the future that will impose additional constraints on prices and reimbursements for our products.</w:t>
      </w:r>
    </w:p>
    <w:p>
      <w:pPr>
        <w:spacing w:after="0" w:line="210" w:lineRule="exact"/>
        <w:rPr>
          <w:sz w:val="20"/>
          <w:szCs w:val="20"/>
          <w:color w:val="auto"/>
        </w:rPr>
      </w:pPr>
    </w:p>
    <w:p>
      <w:pPr>
        <w:jc w:val="both"/>
        <w:ind w:firstLine="241"/>
        <w:spacing w:after="0" w:line="275" w:lineRule="auto"/>
        <w:rPr>
          <w:sz w:val="20"/>
          <w:szCs w:val="20"/>
          <w:color w:val="auto"/>
        </w:rPr>
      </w:pPr>
      <w:r>
        <w:rPr>
          <w:rFonts w:ascii="Arial" w:cs="Arial" w:eastAsia="Arial" w:hAnsi="Arial"/>
          <w:sz w:val="13"/>
          <w:szCs w:val="13"/>
          <w:color w:val="auto"/>
        </w:rPr>
        <w:t>Since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for the treatment of wet AMD and other eye diseases,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oncology indications, and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prevention of gout flares will likely be too expensive for most patients to afford without health insurance coverage, if these products are approved for marketing but are unable to obtain adequate coverage and reimbursement by third-party payers, including Medicare and Medicaid in the U.S., our ability to successfully commercialize these products would be materially adversely impacted. Third-party payers, including Medicare and Medicaid in the U.S., may not cover and/or reimburse for these products at levels required for us to successfully commercialize these products. Any limitation imposed by third-party payers on the use of our products if they are approved for marketing, any action or decision by CMS or analogous foreign agencies or authorities which for any reason denies coverage or reimbursement for our products or provides coverage or reimbursement at levels that harm our products’ competitiveness or leads to lower prices for those products, will have a material negative effect on our ability to achieve profitability.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62" w:name="page63"/>
    <w:bookmarkEnd w:id="62"/>
    <w:p>
      <w:pPr>
        <w:jc w:val="both"/>
        <w:ind w:firstLine="307"/>
        <w:spacing w:after="0" w:line="266" w:lineRule="auto"/>
        <w:rPr>
          <w:sz w:val="20"/>
          <w:szCs w:val="20"/>
          <w:color w:val="auto"/>
        </w:rPr>
      </w:pPr>
      <w:r>
        <w:rPr>
          <w:rFonts w:ascii="Arial" w:cs="Arial" w:eastAsia="Arial" w:hAnsi="Arial"/>
          <w:sz w:val="14"/>
          <w:szCs w:val="14"/>
          <w:color w:val="auto"/>
        </w:rPr>
        <w:t>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products in those countries.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products in foreign countries is limited or delayed.</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Regulatory and Litigation Risks</w:t>
      </w:r>
    </w:p>
    <w:p>
      <w:pPr>
        <w:spacing w:after="0" w:line="216"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If the testing or use of our products harms people, we could be subject to costly and damaging product liability claims.</w:t>
      </w:r>
    </w:p>
    <w:p>
      <w:pPr>
        <w:spacing w:after="0" w:line="234" w:lineRule="exact"/>
        <w:rPr>
          <w:sz w:val="20"/>
          <w:szCs w:val="20"/>
          <w:color w:val="auto"/>
        </w:rPr>
      </w:pPr>
    </w:p>
    <w:p>
      <w:pPr>
        <w:jc w:val="both"/>
        <w:ind w:firstLine="219"/>
        <w:spacing w:after="0" w:line="235" w:lineRule="auto"/>
        <w:rPr>
          <w:sz w:val="20"/>
          <w:szCs w:val="20"/>
          <w:color w:val="auto"/>
        </w:rPr>
      </w:pPr>
      <w:r>
        <w:rPr>
          <w:rFonts w:ascii="Arial" w:cs="Arial" w:eastAsia="Arial" w:hAnsi="Arial"/>
          <w:sz w:val="14"/>
          <w:szCs w:val="14"/>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treatment of CAPS, or EYLEA</w:t>
      </w:r>
      <w:r>
        <w:rPr>
          <w:rFonts w:ascii="Arial" w:cs="Arial" w:eastAsia="Arial" w:hAnsi="Arial"/>
          <w:sz w:val="19"/>
          <w:szCs w:val="19"/>
          <w:color w:val="auto"/>
          <w:vertAlign w:val="superscript"/>
        </w:rPr>
        <w:t>TM</w:t>
      </w:r>
      <w:r>
        <w:rPr>
          <w:rFonts w:ascii="Arial" w:cs="Arial" w:eastAsia="Arial" w:hAnsi="Arial"/>
          <w:sz w:val="14"/>
          <w:szCs w:val="14"/>
          <w:color w:val="auto"/>
        </w:rPr>
        <w:t>, ZALTRAP</w:t>
      </w:r>
      <w:r>
        <w:rPr>
          <w:rFonts w:ascii="Arial" w:cs="Arial" w:eastAsia="Arial" w:hAnsi="Arial"/>
          <w:sz w:val="19"/>
          <w:szCs w:val="19"/>
          <w:color w:val="auto"/>
          <w:vertAlign w:val="superscript"/>
        </w:rPr>
        <w:t>®</w:t>
      </w:r>
      <w:r>
        <w:rPr>
          <w:rFonts w:ascii="Arial" w:cs="Arial" w:eastAsia="Arial" w:hAnsi="Arial"/>
          <w:sz w:val="14"/>
          <w:szCs w:val="14"/>
          <w:color w:val="auto"/>
        </w:rPr>
        <w:t>, or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prevention of gout flares if those product candidates receive regulatory approval and become commercially available, that they have been injured by a side effect associated with the drug. We may face product liability claims and be found responsible even if injury arises from the acts or omissions of our third-party fill/finish or other providers. Our product liability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192"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If we market and sell approved products, in a way that violates federal or state fraud and abuse laws, we may be subject to civil or criminal penalties.</w:t>
      </w:r>
    </w:p>
    <w:p>
      <w:pPr>
        <w:spacing w:after="0" w:line="234" w:lineRule="exact"/>
        <w:rPr>
          <w:sz w:val="20"/>
          <w:szCs w:val="20"/>
          <w:color w:val="auto"/>
        </w:rPr>
      </w:pPr>
    </w:p>
    <w:p>
      <w:pPr>
        <w:jc w:val="both"/>
        <w:ind w:firstLine="219"/>
        <w:spacing w:after="0" w:line="271" w:lineRule="auto"/>
        <w:rPr>
          <w:sz w:val="20"/>
          <w:szCs w:val="20"/>
          <w:color w:val="auto"/>
        </w:rPr>
      </w:pPr>
      <w:r>
        <w:rPr>
          <w:rFonts w:ascii="Arial" w:cs="Arial" w:eastAsia="Arial" w:hAnsi="Arial"/>
          <w:sz w:val="14"/>
          <w:szCs w:val="14"/>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194" w:lineRule="exact"/>
        <w:rPr>
          <w:sz w:val="20"/>
          <w:szCs w:val="20"/>
          <w:color w:val="auto"/>
        </w:rPr>
      </w:pPr>
    </w:p>
    <w:p>
      <w:pPr>
        <w:jc w:val="both"/>
        <w:ind w:firstLine="241"/>
        <w:spacing w:after="0" w:line="269" w:lineRule="auto"/>
        <w:rPr>
          <w:sz w:val="20"/>
          <w:szCs w:val="20"/>
          <w:color w:val="auto"/>
        </w:rPr>
      </w:pPr>
      <w:r>
        <w:rPr>
          <w:rFonts w:ascii="Arial" w:cs="Arial" w:eastAsia="Arial" w:hAnsi="Arial"/>
          <w:sz w:val="14"/>
          <w:szCs w:val="14"/>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63" w:name="page64"/>
    <w:bookmarkEnd w:id="63"/>
    <w:p>
      <w:pPr>
        <w:jc w:val="both"/>
        <w:ind w:firstLine="230"/>
        <w:spacing w:after="0" w:line="276" w:lineRule="auto"/>
        <w:rPr>
          <w:sz w:val="20"/>
          <w:szCs w:val="20"/>
          <w:color w:val="auto"/>
        </w:rPr>
      </w:pPr>
      <w:r>
        <w:rPr>
          <w:rFonts w:ascii="Arial" w:cs="Arial" w:eastAsia="Arial" w:hAnsi="Arial"/>
          <w:sz w:val="14"/>
          <w:szCs w:val="14"/>
          <w:color w:val="auto"/>
        </w:rPr>
        <w:t>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w:t>
      </w:r>
    </w:p>
    <w:p>
      <w:pPr>
        <w:spacing w:after="0" w:line="191" w:lineRule="exact"/>
        <w:rPr>
          <w:sz w:val="20"/>
          <w:szCs w:val="20"/>
          <w:color w:val="auto"/>
        </w:rPr>
      </w:pPr>
    </w:p>
    <w:p>
      <w:pPr>
        <w:jc w:val="both"/>
        <w:ind w:firstLine="241"/>
        <w:spacing w:after="0" w:line="276" w:lineRule="auto"/>
        <w:rPr>
          <w:sz w:val="20"/>
          <w:szCs w:val="20"/>
          <w:color w:val="auto"/>
        </w:rPr>
      </w:pPr>
      <w:r>
        <w:rPr>
          <w:rFonts w:ascii="Arial" w:cs="Arial" w:eastAsia="Arial" w:hAnsi="Arial"/>
          <w:sz w:val="14"/>
          <w:szCs w:val="14"/>
          <w:color w:val="auto"/>
        </w:rPr>
        <w:t>Even if it is determined that we have not violated these laws, government investigations into these issues typically require the expenditure of significant resources and generate negative publicity, which would harm our business and financial results and condition. Because of the breadth of these laws and the narrowness of the safe harbors, it is possible that some of our business activities could be challenged under one or more of such laws.</w:t>
      </w:r>
    </w:p>
    <w:p>
      <w:pPr>
        <w:spacing w:after="0" w:line="191" w:lineRule="exact"/>
        <w:rPr>
          <w:sz w:val="20"/>
          <w:szCs w:val="20"/>
          <w:color w:val="auto"/>
        </w:rPr>
      </w:pPr>
    </w:p>
    <w:p>
      <w:pPr>
        <w:jc w:val="both"/>
        <w:ind w:firstLine="230"/>
        <w:spacing w:after="0" w:line="267" w:lineRule="auto"/>
        <w:rPr>
          <w:sz w:val="20"/>
          <w:szCs w:val="20"/>
          <w:color w:val="auto"/>
        </w:rPr>
      </w:pPr>
      <w:r>
        <w:rPr>
          <w:rFonts w:ascii="Arial" w:cs="Arial" w:eastAsia="Arial" w:hAnsi="Arial"/>
          <w:sz w:val="14"/>
          <w:szCs w:val="14"/>
          <w:color w:val="auto"/>
        </w:rPr>
        <w:t>In recent years, several states and localities, including California, the District of Columbia, Massachusetts, Minnesota, Nevada, New Mexico, Vermont, and West Virginia, have enacted legislation requiring pharmaceutical companies to establish marketing compliance programs, and file periodic reports with the state or make periodic public disclosures on sales, marketing, pricing, clinical trials, and other activities. Similar requirements are being considered in other states. In addition, as part of the PPACA pharmaceutical companies will be required to file reports with the federal government regarding payments made to healthcare professionals. Many of these requirements are new and uncertain, and the penalties for failure to comply with these requirements are unclear. Nonetheless, if we are found not to be in full compliance with these laws, we could face enforcement actions, fines, and other penalties, and could receive adverse publicity, which would harm our business and financial results and condition.</w:t>
      </w:r>
    </w:p>
    <w:p>
      <w:pPr>
        <w:spacing w:after="0" w:line="176" w:lineRule="exact"/>
        <w:rPr>
          <w:sz w:val="20"/>
          <w:szCs w:val="20"/>
          <w:color w:val="auto"/>
        </w:rPr>
      </w:pPr>
    </w:p>
    <w:p>
      <w:pPr>
        <w:ind w:left="140"/>
        <w:spacing w:after="0" w:line="291" w:lineRule="auto"/>
        <w:rPr>
          <w:sz w:val="20"/>
          <w:szCs w:val="20"/>
          <w:color w:val="auto"/>
        </w:rPr>
      </w:pPr>
      <w:r>
        <w:rPr>
          <w:rFonts w:ascii="Arial" w:cs="Arial" w:eastAsia="Arial" w:hAnsi="Arial"/>
          <w:sz w:val="14"/>
          <w:szCs w:val="14"/>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80" w:lineRule="exact"/>
        <w:rPr>
          <w:sz w:val="20"/>
          <w:szCs w:val="20"/>
          <w:color w:val="auto"/>
        </w:rPr>
      </w:pPr>
    </w:p>
    <w:p>
      <w:pPr>
        <w:jc w:val="both"/>
        <w:ind w:firstLine="219"/>
        <w:spacing w:after="0" w:line="271" w:lineRule="auto"/>
        <w:rPr>
          <w:sz w:val="20"/>
          <w:szCs w:val="20"/>
          <w:color w:val="auto"/>
        </w:rPr>
      </w:pPr>
      <w:r>
        <w:rPr>
          <w:rFonts w:ascii="Arial" w:cs="Arial" w:eastAsia="Arial" w:hAnsi="Arial"/>
          <w:sz w:val="14"/>
          <w:szCs w:val="14"/>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72" w:lineRule="exact"/>
        <w:rPr>
          <w:sz w:val="20"/>
          <w:szCs w:val="20"/>
          <w:color w:val="auto"/>
        </w:rPr>
      </w:pPr>
    </w:p>
    <w:p>
      <w:pPr>
        <w:ind w:left="140"/>
        <w:spacing w:after="0" w:line="291" w:lineRule="auto"/>
        <w:rPr>
          <w:sz w:val="20"/>
          <w:szCs w:val="20"/>
          <w:color w:val="auto"/>
        </w:rPr>
      </w:pPr>
      <w:r>
        <w:rPr>
          <w:rFonts w:ascii="Arial" w:cs="Arial" w:eastAsia="Arial" w:hAnsi="Arial"/>
          <w:sz w:val="14"/>
          <w:szCs w:val="14"/>
          <w:b w:val="1"/>
          <w:bCs w:val="1"/>
          <w:i w:val="1"/>
          <w:iCs w:val="1"/>
          <w:color w:val="auto"/>
        </w:rPr>
        <w:t>Our business is subject to increasingly complex corporate governance, public disclosure, and accounting requirements and regulations that could adversely affect our business and financial results and condition.</w:t>
      </w:r>
    </w:p>
    <w:p>
      <w:pPr>
        <w:spacing w:after="0" w:line="180" w:lineRule="exact"/>
        <w:rPr>
          <w:sz w:val="20"/>
          <w:szCs w:val="20"/>
          <w:color w:val="auto"/>
        </w:rPr>
      </w:pPr>
    </w:p>
    <w:p>
      <w:pPr>
        <w:jc w:val="both"/>
        <w:ind w:firstLine="219"/>
        <w:spacing w:after="0" w:line="290" w:lineRule="auto"/>
        <w:rPr>
          <w:sz w:val="20"/>
          <w:szCs w:val="20"/>
          <w:color w:val="auto"/>
        </w:rPr>
      </w:pPr>
      <w:r>
        <w:rPr>
          <w:rFonts w:ascii="Arial" w:cs="Arial" w:eastAsia="Arial" w:hAnsi="Arial"/>
          <w:sz w:val="13"/>
          <w:szCs w:val="13"/>
          <w:color w:val="auto"/>
        </w:rPr>
        <w:t>We are subject to changing rules and regulations of various federal and state governmental authorities as well as the stock exchange on which our Common Stock is listed. These entities, including the Public Company Accounting Oversight Board (PCAOB), the Securities and Exchange Commission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such as shareholder approval of executive compensation (so-called “say on pay”) and proxy access. On January 25, 2011, the SEC adopted final rules concerning “say on pay”. Our efforts to comply with these requirements and regulations have resulted in, and are likely to continue to result in, an increase in expenses and a diversion of management’s time from other business activities.</w:t>
      </w:r>
    </w:p>
    <w:p>
      <w:pPr>
        <w:spacing w:after="0" w:line="162" w:lineRule="exact"/>
        <w:rPr>
          <w:sz w:val="20"/>
          <w:szCs w:val="20"/>
          <w:color w:val="auto"/>
        </w:rPr>
      </w:pPr>
    </w:p>
    <w:p>
      <w:pPr>
        <w:ind w:left="140"/>
        <w:spacing w:after="0"/>
        <w:rPr>
          <w:sz w:val="20"/>
          <w:szCs w:val="20"/>
          <w:color w:val="auto"/>
        </w:rPr>
      </w:pPr>
      <w:r>
        <w:rPr>
          <w:rFonts w:ascii="Arial" w:cs="Arial" w:eastAsia="Arial" w:hAnsi="Arial"/>
          <w:sz w:val="13"/>
          <w:szCs w:val="13"/>
          <w:b w:val="1"/>
          <w:bCs w:val="1"/>
          <w:i w:val="1"/>
          <w:iCs w:val="1"/>
          <w:color w:val="auto"/>
        </w:rPr>
        <w:t>In future years, if we are unable to conclude that our internal control over financial reporting is effective, the market value of our Common Stock could be adversely affected.</w:t>
      </w:r>
    </w:p>
    <w:p>
      <w:pPr>
        <w:spacing w:after="0" w:line="245" w:lineRule="exact"/>
        <w:rPr>
          <w:sz w:val="20"/>
          <w:szCs w:val="20"/>
          <w:color w:val="auto"/>
        </w:rPr>
      </w:pPr>
    </w:p>
    <w:p>
      <w:pPr>
        <w:jc w:val="both"/>
        <w:ind w:firstLine="285"/>
        <w:spacing w:after="0" w:line="289" w:lineRule="auto"/>
        <w:rPr>
          <w:sz w:val="20"/>
          <w:szCs w:val="20"/>
          <w:color w:val="auto"/>
        </w:rPr>
      </w:pPr>
      <w:r>
        <w:rPr>
          <w:rFonts w:ascii="Arial" w:cs="Arial" w:eastAsia="Arial" w:hAnsi="Arial"/>
          <w:sz w:val="13"/>
          <w:szCs w:val="13"/>
          <w:color w:val="auto"/>
        </w:rPr>
        <w:t>As directed by Section 404 of the Sarbanes-Oxley Act of 2002, the SEC adopted rules requiring public companies to include a report of management on the Company’s internal control over financial reporting in their annual reports on Form 10-K that contains an assessment by management of the effectiveness of our internal control over financial reporting. In addition, the independent registered public accounting firm auditing our financial statements must attest to and report on the effectiveness of our internal control over financial reporting. Our independent registered public accounting firm provided us with an unqualified report as to the effectiveness of our internal control over financial reporting as of December 31, 2010, which report is included in our Annual Report on Form 10-K for the fiscal year ended on that date. However, management or our independent registered public accounting firm may not be able to provide such an unqualified report as of future year-ends. In this event, investors could lose confidence in the reliability of our financial statements, which could result in a decrease in the market value of our Common Stock. In addition, if it is determined that deficiencies in the design or operation of internal controls exist and that they are reasonably likely to adversely affect our ability to record, process, summarize, and report financial information, we would likely incur additional costs to remediate these deficiencies and the costs of such remediation could be material.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64" w:name="page65"/>
    <w:bookmarkEnd w:id="64"/>
    <w:p>
      <w:pPr>
        <w:ind w:left="140"/>
        <w:spacing w:after="0"/>
        <w:rPr>
          <w:sz w:val="20"/>
          <w:szCs w:val="20"/>
          <w:color w:val="auto"/>
        </w:rPr>
      </w:pPr>
      <w:r>
        <w:rPr>
          <w:rFonts w:ascii="Arial" w:cs="Arial" w:eastAsia="Arial" w:hAnsi="Arial"/>
          <w:sz w:val="14"/>
          <w:szCs w:val="14"/>
          <w:b w:val="1"/>
          <w:bCs w:val="1"/>
          <w:i w:val="1"/>
          <w:iCs w:val="1"/>
          <w:color w:val="auto"/>
        </w:rPr>
        <w:t>Changes in laws and regulations affecting the healthcare industry could adversely affect our business.</w:t>
      </w:r>
    </w:p>
    <w:p>
      <w:pPr>
        <w:spacing w:after="0" w:line="234" w:lineRule="exact"/>
        <w:rPr>
          <w:sz w:val="20"/>
          <w:szCs w:val="20"/>
          <w:color w:val="auto"/>
        </w:rPr>
      </w:pPr>
    </w:p>
    <w:p>
      <w:pPr>
        <w:jc w:val="both"/>
        <w:ind w:firstLine="307"/>
        <w:spacing w:after="0" w:line="291" w:lineRule="auto"/>
        <w:rPr>
          <w:sz w:val="20"/>
          <w:szCs w:val="20"/>
          <w:color w:val="auto"/>
        </w:rPr>
      </w:pPr>
      <w:r>
        <w:rPr>
          <w:rFonts w:ascii="Arial" w:cs="Arial" w:eastAsia="Arial" w:hAnsi="Arial"/>
          <w:sz w:val="14"/>
          <w:szCs w:val="14"/>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changes in the FDA and foreign regulatory processes for new therapeutics that may delay or prevent the approval of any of our current or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-67945</wp:posOffset>
            </wp:positionV>
            <wp:extent cx="53340" cy="533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line="261" w:lineRule="auto"/>
        <w:rPr>
          <w:sz w:val="20"/>
          <w:szCs w:val="20"/>
          <w:color w:val="auto"/>
        </w:rPr>
      </w:pPr>
      <w:r>
        <w:rPr>
          <w:rFonts w:ascii="Arial" w:cs="Arial" w:eastAsia="Arial" w:hAnsi="Arial"/>
          <w:sz w:val="14"/>
          <w:szCs w:val="14"/>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-191135</wp:posOffset>
            </wp:positionV>
            <wp:extent cx="53340" cy="533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right="20"/>
        <w:spacing w:after="0" w:line="261" w:lineRule="auto"/>
        <w:rPr>
          <w:sz w:val="20"/>
          <w:szCs w:val="20"/>
          <w:color w:val="auto"/>
        </w:rPr>
      </w:pPr>
      <w:r>
        <w:rPr>
          <w:rFonts w:ascii="Arial" w:cs="Arial" w:eastAsia="Arial" w:hAnsi="Arial"/>
          <w:sz w:val="14"/>
          <w:szCs w:val="14"/>
          <w:color w:val="auto"/>
        </w:rPr>
        <w:t>changes in FDA and foreign regulations that may require additional safety monitoring prior to or after the introduction of new products to market, which could materially increase our costs of doing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-191135</wp:posOffset>
            </wp:positionV>
            <wp:extent cx="53340" cy="533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line="283" w:lineRule="auto"/>
        <w:rPr>
          <w:sz w:val="20"/>
          <w:szCs w:val="20"/>
          <w:color w:val="auto"/>
        </w:rPr>
      </w:pPr>
      <w:r>
        <w:rPr>
          <w:rFonts w:ascii="Arial" w:cs="Arial" w:eastAsia="Arial" w:hAnsi="Arial"/>
          <w:sz w:val="14"/>
          <w:szCs w:val="14"/>
          <w:color w:val="auto"/>
        </w:rPr>
        <w:t>changes in FDA and foreign cGMPs that may make it more difficult and costly for us to maintain regulatory compliance and/or manufacture our marketed product and product candidates in accordance with cGMPs.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-210185</wp:posOffset>
            </wp:positionV>
            <wp:extent cx="53340" cy="533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spacing w:after="0" w:line="121" w:lineRule="exact"/>
        <w:rPr>
          <w:sz w:val="20"/>
          <w:szCs w:val="20"/>
          <w:color w:val="auto"/>
        </w:rPr>
      </w:pPr>
    </w:p>
    <w:p>
      <w:pPr>
        <w:jc w:val="both"/>
        <w:ind w:firstLine="252"/>
        <w:spacing w:after="0" w:line="276" w:lineRule="auto"/>
        <w:rPr>
          <w:sz w:val="20"/>
          <w:szCs w:val="20"/>
          <w:color w:val="auto"/>
        </w:rPr>
      </w:pPr>
      <w:r>
        <w:rPr>
          <w:rFonts w:ascii="Arial" w:cs="Arial" w:eastAsia="Arial" w:hAnsi="Arial"/>
          <w:sz w:val="14"/>
          <w:szCs w:val="14"/>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Reliance on Third Parties</w:t>
      </w:r>
    </w:p>
    <w:p>
      <w:pPr>
        <w:spacing w:after="0" w:line="216" w:lineRule="exact"/>
        <w:rPr>
          <w:sz w:val="20"/>
          <w:szCs w:val="20"/>
          <w:color w:val="auto"/>
        </w:rPr>
      </w:pPr>
    </w:p>
    <w:p>
      <w:pPr>
        <w:ind w:left="140"/>
        <w:spacing w:after="0" w:line="291" w:lineRule="auto"/>
        <w:rPr>
          <w:sz w:val="20"/>
          <w:szCs w:val="20"/>
          <w:color w:val="auto"/>
        </w:rPr>
      </w:pPr>
      <w:r>
        <w:rPr>
          <w:rFonts w:ascii="Arial" w:cs="Arial" w:eastAsia="Arial" w:hAnsi="Arial"/>
          <w:sz w:val="14"/>
          <w:szCs w:val="14"/>
          <w:b w:val="1"/>
          <w:bCs w:val="1"/>
          <w:i w:val="1"/>
          <w:iCs w:val="1"/>
          <w:color w:val="auto"/>
        </w:rPr>
        <w:t>If our antibody collaboration with Sanofi is terminated, our business operations and financial condition, and our ability to discover, develop, manufacture, and commercialize our pipeline of product candidates in the time expected, or at all, would be materially harmed.</w:t>
      </w:r>
    </w:p>
    <w:p>
      <w:pPr>
        <w:spacing w:after="0" w:line="180" w:lineRule="exact"/>
        <w:rPr>
          <w:sz w:val="20"/>
          <w:szCs w:val="20"/>
          <w:color w:val="auto"/>
        </w:rPr>
      </w:pPr>
    </w:p>
    <w:p>
      <w:pPr>
        <w:jc w:val="both"/>
        <w:ind w:firstLine="252"/>
        <w:spacing w:after="0" w:line="285" w:lineRule="auto"/>
        <w:rPr>
          <w:sz w:val="20"/>
          <w:szCs w:val="20"/>
          <w:color w:val="auto"/>
        </w:rPr>
      </w:pPr>
      <w:r>
        <w:rPr>
          <w:rFonts w:ascii="Arial" w:cs="Arial" w:eastAsia="Arial" w:hAnsi="Arial"/>
          <w:sz w:val="13"/>
          <w:szCs w:val="13"/>
          <w:color w:val="auto"/>
        </w:rPr>
        <w:t>We rely heavily on funding from Sanofi to support our target discovery and antibody research and development programs. Sanofi has committed to pay up to $160 million per year, or a total of $1.28 billion, between 2010 and 2017 to fund our efforts to identify and validate drug discovery targets and pre-clinically develop fully human monoclonal antibodies against such targets. Sanofi has a one-time option to adjust the maximum reimbursement amount down to $120 million per year commencing in 2014 if over the prior two years certain specified criteria are not satisfied. If this downward adjustment occurs, it will reduce our resources available for antibody discovery activities and negatively affect our clinical pipeline. Sanofi also initially funds almost all of the development expenses incurred by both companies in connection with the clinical development of antibodies that Sanofi elects to co-develop with us. We rely on Sanofi to fund these activities. In addition, with respect to those antibodies that Sanofi elects to co-develop with us, such as REGN727, sarilumab, REGN668, REGN421, REGN910, REGN475, and REGN728, we rely on Sanofi to lead much of the clinical development efforts and assist with obtaining regulatory approval, particularly outside the U.S. We also rely on Sanofi to lead the commercialization efforts to support all of the antibody products that are co-developed by Sanofi and us if they receive regulatory approval. If Sanofi does not elect to co-develop the antibodies that we discover or opts-out of their development, we would be required to fund and oversee on our own the clinical trials, any regulatory responsibilities, and the ensuing commercialization efforts to support those antibody products. If Sanofi terminates the antibody collaboration or fails to comply with its payment obligations thereunder, our business, financial condition, results of operations and prospects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Even though none of the antibodies from this collaboration may ever be successfully developed and commercialized, if Sanofi does not perform its obligations with respect to antibodies that it elects to co-develop, our ability to develop, manufacture, and commercialize these antibody product candidates will be significantly adversely affected.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7" w:right="219" w:bottom="1440" w:gutter="0" w:footer="0" w:header="0"/>
        </w:sectPr>
      </w:pPr>
    </w:p>
    <w:bookmarkStart w:id="65" w:name="page66"/>
    <w:bookmarkEnd w:id="65"/>
    <w:p>
      <w:pPr>
        <w:ind w:left="140"/>
        <w:spacing w:after="0" w:line="239" w:lineRule="auto"/>
        <w:rPr>
          <w:sz w:val="20"/>
          <w:szCs w:val="20"/>
          <w:color w:val="auto"/>
        </w:rPr>
      </w:pPr>
      <w:r>
        <w:rPr>
          <w:rFonts w:ascii="Arial" w:cs="Arial" w:eastAsia="Arial" w:hAnsi="Arial"/>
          <w:sz w:val="14"/>
          <w:szCs w:val="14"/>
          <w:b w:val="1"/>
          <w:bCs w:val="1"/>
          <w:i w:val="1"/>
          <w:iCs w:val="1"/>
          <w:color w:val="auto"/>
        </w:rPr>
        <w:t>If our collaboration with Sanofi for ZALTRAP</w:t>
      </w:r>
      <w:r>
        <w:rPr>
          <w:rFonts w:ascii="Arial" w:cs="Arial" w:eastAsia="Arial" w:hAnsi="Arial"/>
          <w:sz w:val="19"/>
          <w:szCs w:val="19"/>
          <w:b w:val="1"/>
          <w:bCs w:val="1"/>
          <w:i w:val="1"/>
          <w:iCs w:val="1"/>
          <w:color w:val="auto"/>
          <w:vertAlign w:val="superscript"/>
        </w:rPr>
        <w:t>®</w:t>
      </w:r>
      <w:r>
        <w:rPr>
          <w:rFonts w:ascii="Arial" w:cs="Arial" w:eastAsia="Arial" w:hAnsi="Arial"/>
          <w:sz w:val="14"/>
          <w:szCs w:val="14"/>
          <w:b w:val="1"/>
          <w:bCs w:val="1"/>
          <w:i w:val="1"/>
          <w:iCs w:val="1"/>
          <w:color w:val="auto"/>
        </w:rPr>
        <w:t xml:space="preserve"> is terminated, or Sanofi materially breaches its obligations thereunder, our business operations and financial condition, and our ability to develop, manufacture, and commercialize ZALTRAP</w:t>
      </w:r>
      <w:r>
        <w:rPr>
          <w:rFonts w:ascii="Arial" w:cs="Arial" w:eastAsia="Arial" w:hAnsi="Arial"/>
          <w:sz w:val="19"/>
          <w:szCs w:val="19"/>
          <w:b w:val="1"/>
          <w:bCs w:val="1"/>
          <w:i w:val="1"/>
          <w:iCs w:val="1"/>
          <w:color w:val="auto"/>
          <w:vertAlign w:val="superscript"/>
        </w:rPr>
        <w:t>®</w:t>
      </w:r>
      <w:r>
        <w:rPr>
          <w:rFonts w:ascii="Arial" w:cs="Arial" w:eastAsia="Arial" w:hAnsi="Arial"/>
          <w:sz w:val="14"/>
          <w:szCs w:val="14"/>
          <w:b w:val="1"/>
          <w:bCs w:val="1"/>
          <w:i w:val="1"/>
          <w:iCs w:val="1"/>
          <w:color w:val="auto"/>
        </w:rPr>
        <w:t xml:space="preserve"> in the time expected, or at all, would be materially harmed.</w:t>
      </w:r>
    </w:p>
    <w:p>
      <w:pPr>
        <w:spacing w:after="0" w:line="135" w:lineRule="exact"/>
        <w:rPr>
          <w:sz w:val="20"/>
          <w:szCs w:val="20"/>
          <w:color w:val="auto"/>
        </w:rPr>
      </w:pPr>
    </w:p>
    <w:p>
      <w:pPr>
        <w:jc w:val="both"/>
        <w:ind w:firstLine="230"/>
        <w:spacing w:after="0" w:line="243" w:lineRule="auto"/>
        <w:rPr>
          <w:sz w:val="20"/>
          <w:szCs w:val="20"/>
          <w:color w:val="auto"/>
        </w:rPr>
      </w:pPr>
      <w:r>
        <w:rPr>
          <w:rFonts w:ascii="Arial" w:cs="Arial" w:eastAsia="Arial" w:hAnsi="Arial"/>
          <w:sz w:val="13"/>
          <w:szCs w:val="13"/>
          <w:color w:val="auto"/>
        </w:rPr>
        <w:t>We rely heavily on Sanofi to lead much of the development of ZALTRAP</w:t>
      </w:r>
      <w:r>
        <w:rPr>
          <w:rFonts w:ascii="Arial" w:cs="Arial" w:eastAsia="Arial" w:hAnsi="Arial"/>
          <w:sz w:val="17"/>
          <w:szCs w:val="17"/>
          <w:color w:val="auto"/>
          <w:vertAlign w:val="superscript"/>
        </w:rPr>
        <w:t>®</w:t>
      </w:r>
      <w:r>
        <w:rPr>
          <w:rFonts w:ascii="Arial" w:cs="Arial" w:eastAsia="Arial" w:hAnsi="Arial"/>
          <w:sz w:val="13"/>
          <w:szCs w:val="13"/>
          <w:color w:val="auto"/>
        </w:rPr>
        <w:t>. Sanofi initially funds all of the development expenses incurred by both companies in connection with the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program. If the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program continues, we will rely on Sanofi to assist with funding the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program, provide commercial manufacturing capacity, enroll and monitor clinical trials, obtain regulatory approval, particularly outside the U.S., and lead the commercialization of ZALTRAP</w:t>
      </w:r>
      <w:r>
        <w:rPr>
          <w:rFonts w:ascii="Arial" w:cs="Arial" w:eastAsia="Arial" w:hAnsi="Arial"/>
          <w:sz w:val="17"/>
          <w:szCs w:val="17"/>
          <w:color w:val="auto"/>
          <w:vertAlign w:val="superscript"/>
        </w:rPr>
        <w:t>®</w:t>
      </w:r>
      <w:r>
        <w:rPr>
          <w:rFonts w:ascii="Arial" w:cs="Arial" w:eastAsia="Arial" w:hAnsi="Arial"/>
          <w:sz w:val="13"/>
          <w:szCs w:val="13"/>
          <w:color w:val="auto"/>
        </w:rPr>
        <w:t>. While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may not ever be successfully developed and commercialized, if Sanofi fails to perform its obligations in a timely manner, or at all, our ability to develop, manufacture, and commercialize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cancer indications will be significantly adversely affected. Sanofi has the right to terminate its collaboration agreement with us at any time upon twelve months advance notice. If Sanofi were to terminate its collaboration agreement with us, we would not have the resources or skills to replace those of our partner, which could require us to seek additional funding that might not be available on favorable terms or at all, and could cause significant delays in the development and/or manufacture of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result in substantial additional costs to us. We have limited commercial capabilities and would have to develop or outsource these capabilities. Termination of the Sanofi collaboration agreement for ZALTRAP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would create substantial new and additional risks to the successful development and commercialization of ZALTRAP</w:t>
      </w:r>
      <w:r>
        <w:rPr>
          <w:rFonts w:ascii="Arial" w:cs="Arial" w:eastAsia="Arial" w:hAnsi="Arial"/>
          <w:sz w:val="17"/>
          <w:szCs w:val="17"/>
          <w:color w:val="auto"/>
          <w:vertAlign w:val="superscript"/>
        </w:rPr>
        <w:t>®</w:t>
      </w:r>
      <w:r>
        <w:rPr>
          <w:rFonts w:ascii="Arial" w:cs="Arial" w:eastAsia="Arial" w:hAnsi="Arial"/>
          <w:sz w:val="13"/>
          <w:szCs w:val="13"/>
          <w:color w:val="auto"/>
        </w:rPr>
        <w:t>.</w:t>
      </w:r>
    </w:p>
    <w:p>
      <w:pPr>
        <w:spacing w:after="0" w:line="111" w:lineRule="exact"/>
        <w:rPr>
          <w:sz w:val="20"/>
          <w:szCs w:val="20"/>
          <w:color w:val="auto"/>
        </w:rPr>
      </w:pPr>
    </w:p>
    <w:p>
      <w:pPr>
        <w:ind w:left="140"/>
        <w:spacing w:after="0" w:line="295" w:lineRule="auto"/>
        <w:rPr>
          <w:sz w:val="20"/>
          <w:szCs w:val="20"/>
          <w:color w:val="auto"/>
        </w:rPr>
      </w:pPr>
      <w:r>
        <w:rPr>
          <w:rFonts w:ascii="Arial" w:cs="Arial" w:eastAsia="Arial" w:hAnsi="Arial"/>
          <w:sz w:val="13"/>
          <w:szCs w:val="13"/>
          <w:b w:val="1"/>
          <w:bCs w:val="1"/>
          <w:i w:val="1"/>
          <w:iCs w:val="1"/>
          <w:color w:val="auto"/>
        </w:rPr>
        <w:t>If our collaboration with Bayer HealthCare for EYLEA</w:t>
      </w:r>
      <w:r>
        <w:rPr>
          <w:rFonts w:ascii="Arial" w:cs="Arial" w:eastAsia="Arial" w:hAnsi="Arial"/>
          <w:sz w:val="17"/>
          <w:szCs w:val="17"/>
          <w:b w:val="1"/>
          <w:bCs w:val="1"/>
          <w:i w:val="1"/>
          <w:iCs w:val="1"/>
          <w:color w:val="auto"/>
          <w:vertAlign w:val="superscript"/>
        </w:rPr>
        <w:t>TM</w:t>
      </w:r>
      <w:r>
        <w:rPr>
          <w:rFonts w:ascii="Arial" w:cs="Arial" w:eastAsia="Arial" w:hAnsi="Arial"/>
          <w:sz w:val="13"/>
          <w:szCs w:val="13"/>
          <w:b w:val="1"/>
          <w:bCs w:val="1"/>
          <w:i w:val="1"/>
          <w:iCs w:val="1"/>
          <w:color w:val="auto"/>
        </w:rPr>
        <w:t xml:space="preserve"> is terminated, or Bayer HealthCare materially breaches its obligations thereunder, our business operations and financial condition, and our ability to continue to develop EYLEA</w:t>
      </w:r>
      <w:r>
        <w:rPr>
          <w:rFonts w:ascii="Arial" w:cs="Arial" w:eastAsia="Arial" w:hAnsi="Arial"/>
          <w:sz w:val="17"/>
          <w:szCs w:val="17"/>
          <w:b w:val="1"/>
          <w:bCs w:val="1"/>
          <w:i w:val="1"/>
          <w:iCs w:val="1"/>
          <w:color w:val="auto"/>
          <w:vertAlign w:val="superscript"/>
        </w:rPr>
        <w:t>TM</w:t>
      </w:r>
      <w:r>
        <w:rPr>
          <w:rFonts w:ascii="Arial" w:cs="Arial" w:eastAsia="Arial" w:hAnsi="Arial"/>
          <w:sz w:val="13"/>
          <w:szCs w:val="13"/>
          <w:b w:val="1"/>
          <w:bCs w:val="1"/>
          <w:i w:val="1"/>
          <w:iCs w:val="1"/>
          <w:color w:val="auto"/>
        </w:rPr>
        <w:t xml:space="preserve"> and commercialize EYLEA</w:t>
      </w:r>
      <w:r>
        <w:rPr>
          <w:rFonts w:ascii="Arial" w:cs="Arial" w:eastAsia="Arial" w:hAnsi="Arial"/>
          <w:sz w:val="17"/>
          <w:szCs w:val="17"/>
          <w:b w:val="1"/>
          <w:bCs w:val="1"/>
          <w:i w:val="1"/>
          <w:iCs w:val="1"/>
          <w:color w:val="auto"/>
          <w:vertAlign w:val="superscript"/>
        </w:rPr>
        <w:t>TM</w:t>
      </w:r>
      <w:r>
        <w:rPr>
          <w:rFonts w:ascii="Arial" w:cs="Arial" w:eastAsia="Arial" w:hAnsi="Arial"/>
          <w:sz w:val="13"/>
          <w:szCs w:val="13"/>
          <w:b w:val="1"/>
          <w:bCs w:val="1"/>
          <w:i w:val="1"/>
          <w:iCs w:val="1"/>
          <w:color w:val="auto"/>
        </w:rPr>
        <w:t xml:space="preserve"> outside the U.S. in the time expected, or at all, would be materially harmed.</w:t>
      </w:r>
    </w:p>
    <w:p>
      <w:pPr>
        <w:spacing w:after="0" w:line="90" w:lineRule="exact"/>
        <w:rPr>
          <w:sz w:val="20"/>
          <w:szCs w:val="20"/>
          <w:color w:val="auto"/>
        </w:rPr>
      </w:pPr>
    </w:p>
    <w:p>
      <w:pPr>
        <w:jc w:val="both"/>
        <w:ind w:firstLine="241"/>
        <w:spacing w:after="0"/>
        <w:rPr>
          <w:sz w:val="20"/>
          <w:szCs w:val="20"/>
          <w:color w:val="auto"/>
        </w:rPr>
      </w:pPr>
      <w:r>
        <w:rPr>
          <w:rFonts w:ascii="Arial" w:cs="Arial" w:eastAsia="Arial" w:hAnsi="Arial"/>
          <w:sz w:val="13"/>
          <w:szCs w:val="13"/>
          <w:color w:val="auto"/>
        </w:rPr>
        <w:t>We rely heavily on Bayer HealthCare to assist with the development, and the commercialization outside the U.S., of EYLEA</w:t>
      </w:r>
      <w:r>
        <w:rPr>
          <w:rFonts w:ascii="Arial" w:cs="Arial" w:eastAsia="Arial" w:hAnsi="Arial"/>
          <w:sz w:val="17"/>
          <w:szCs w:val="17"/>
          <w:color w:val="auto"/>
          <w:vertAlign w:val="superscript"/>
        </w:rPr>
        <w:t>TM</w:t>
      </w:r>
      <w:r>
        <w:rPr>
          <w:rFonts w:ascii="Arial" w:cs="Arial" w:eastAsia="Arial" w:hAnsi="Arial"/>
          <w:sz w:val="13"/>
          <w:szCs w:val="13"/>
          <w:color w:val="auto"/>
        </w:rPr>
        <w:t>. Under our agreement with them, Bayer HealthCare is required to fund approximately half of the development expenses incurred by both companies in connection with the global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development program. As the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program continues, we will continue to rely on Bayer HealthCare to assist with funding the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development program, continue to lead the development of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outside the U.S., obtain regulatory approval outside the U.S., and provide all sales, marketing, and commercial support for the product outside the U.S. In particular, Bayer HealthCare has responsibility for selling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outside the U.S. using its sales force. While we cannot assure you that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will receive regulatory approval in or outside the U.S. or be successfully commercialized, if Bayer HealthCare does not perform its obligations in a timely manner, or at all, our ability to develop, manufacture, and commercialize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outside the U.S.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require us to seek additional funding or another collaboration that might not be available on favorable terms or at all, and could cause significant delays in the development and/or commercialization of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outside the U.S. and result in substantial additional costs to us. We currently have limited commercial capabilities and would have to develop or outsource these capabilities outside the U.S. Termination of the Bayer HealthCare collaboration agreement would create substantial new and additional risks to the successful development and commercialization of EYLEA</w:t>
      </w:r>
      <w:r>
        <w:rPr>
          <w:rFonts w:ascii="Arial" w:cs="Arial" w:eastAsia="Arial" w:hAnsi="Arial"/>
          <w:sz w:val="17"/>
          <w:szCs w:val="17"/>
          <w:color w:val="auto"/>
          <w:vertAlign w:val="superscript"/>
        </w:rPr>
        <w:t>TM</w:t>
      </w:r>
      <w:r>
        <w:rPr>
          <w:rFonts w:ascii="Arial" w:cs="Arial" w:eastAsia="Arial" w:hAnsi="Arial"/>
          <w:sz w:val="13"/>
          <w:szCs w:val="13"/>
          <w:color w:val="auto"/>
        </w:rPr>
        <w:t>, particularly outside the U.S.</w:t>
      </w:r>
    </w:p>
    <w:p>
      <w:pPr>
        <w:spacing w:after="0" w:line="118" w:lineRule="exact"/>
        <w:rPr>
          <w:sz w:val="20"/>
          <w:szCs w:val="20"/>
          <w:color w:val="auto"/>
        </w:rPr>
      </w:pPr>
    </w:p>
    <w:p>
      <w:pPr>
        <w:ind w:left="140"/>
        <w:spacing w:after="0" w:line="291" w:lineRule="auto"/>
        <w:rPr>
          <w:sz w:val="20"/>
          <w:szCs w:val="20"/>
          <w:color w:val="auto"/>
        </w:rPr>
      </w:pPr>
      <w:r>
        <w:rPr>
          <w:rFonts w:ascii="Arial" w:cs="Arial" w:eastAsia="Arial" w:hAnsi="Arial"/>
          <w:sz w:val="14"/>
          <w:szCs w:val="14"/>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18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We depend upon third-party collaborators, including Sanofi, Bayer HealthCare, and service providers such as CROs, outside testing laboratories, clinical investigator sites, and third-party manufacturers, fill/finish, and product packagers and labelers, to assist us in the manufacture and preclinical and clinical development of our product candidates, and will also depend on some of these third parties in connection with the commercialization of our late-stage product candidates if they are approved for marketing. If any of our existing collaborators or service providers breaches or terminates its agreement with us or does not perform its development or manufacturing services under an agreement in a timely manner or in compliance with applicable GMPs, Good Laboratory Practices (GLPs), or GCP Standards, we could experience additional costs, delays, and difficulties in the manufacture or development of, or in obtaining approval by regulatory authorities for and successfully commercializing, our product candidates.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5" w:right="219" w:bottom="1440" w:gutter="0" w:footer="0" w:header="0"/>
        </w:sectPr>
      </w:pPr>
    </w:p>
    <w:bookmarkStart w:id="66" w:name="page67"/>
    <w:bookmarkEnd w:id="66"/>
    <w:p>
      <w:pPr>
        <w:jc w:val="both"/>
        <w:ind w:firstLine="241"/>
        <w:spacing w:after="0" w:line="214" w:lineRule="auto"/>
        <w:rPr>
          <w:sz w:val="20"/>
          <w:szCs w:val="20"/>
          <w:color w:val="auto"/>
        </w:rPr>
      </w:pPr>
      <w:r>
        <w:rPr>
          <w:rFonts w:ascii="Arial" w:cs="Arial" w:eastAsia="Arial" w:hAnsi="Arial"/>
          <w:sz w:val="14"/>
          <w:szCs w:val="14"/>
          <w:color w:val="auto"/>
        </w:rPr>
        <w:t>We rely on third-party service providers to support the distribution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and many other related activities in connection with the commercialization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treatment of CAPS. Despite our arrangements with them, these third parties may not perform adequately. If these service providers do not perform their services adequately, our sales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treatment of CAPS will suffer.</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Related to Employees</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57" w:lineRule="exact"/>
        <w:rPr>
          <w:sz w:val="20"/>
          <w:szCs w:val="20"/>
          <w:color w:val="auto"/>
        </w:rPr>
      </w:pPr>
    </w:p>
    <w:p>
      <w:pPr>
        <w:jc w:val="both"/>
        <w:ind w:firstLine="230"/>
        <w:spacing w:after="0" w:line="266" w:lineRule="auto"/>
        <w:rPr>
          <w:sz w:val="20"/>
          <w:szCs w:val="20"/>
          <w:color w:val="auto"/>
        </w:rPr>
      </w:pPr>
      <w:r>
        <w:rPr>
          <w:rFonts w:ascii="Arial" w:cs="Arial" w:eastAsia="Arial" w:hAnsi="Arial"/>
          <w:sz w:val="14"/>
          <w:szCs w:val="14"/>
          <w:color w:val="auto"/>
        </w:rPr>
        <w:t>We are highly dependent on certain of our executive officers, other key members of our senior management team, and our Chairman. If we are not able to retain any of these persons, our business may suffer. In particular, we depend on the services of P. Roy Vagelos, M.D., the Chairman of our board of directors, Leonard S. Schleifer, M.D., Ph.D., our President and Chief Executive Officer, George D. Yancopoulos, M.D., Ph.D., our Executive Vice President, Chief Scientific Officer and President, Regeneron Research Laboratories, and Neil Stahl, Ph.D., our Senior Vice President, Research and Development Sciences. As we prepare for commercialization in the U.S. of our late-stage product candidates should they receive regulatory approval, we will also be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Information Technology Risks</w:t>
      </w:r>
    </w:p>
    <w:p>
      <w:pPr>
        <w:spacing w:after="0" w:line="216"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Significant disruptions of information technology systems or breaches of data security could adversely affect our business.</w:t>
      </w:r>
    </w:p>
    <w:p>
      <w:pPr>
        <w:spacing w:after="0" w:line="234" w:lineRule="exact"/>
        <w:rPr>
          <w:sz w:val="20"/>
          <w:szCs w:val="20"/>
          <w:color w:val="auto"/>
        </w:rPr>
      </w:pPr>
    </w:p>
    <w:p>
      <w:pPr>
        <w:jc w:val="both"/>
        <w:ind w:firstLine="219"/>
        <w:spacing w:after="0" w:line="276" w:lineRule="auto"/>
        <w:rPr>
          <w:sz w:val="20"/>
          <w:szCs w:val="20"/>
          <w:color w:val="auto"/>
        </w:rPr>
      </w:pPr>
      <w:r>
        <w:rPr>
          <w:rFonts w:ascii="Arial" w:cs="Arial" w:eastAsia="Arial" w:hAnsi="Arial"/>
          <w:sz w:val="14"/>
          <w:szCs w:val="14"/>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them potentially vulnerable to breakdown, malicious intrusion, and computer viruses which may result in the impairment of production and key business processes.</w:t>
      </w:r>
    </w:p>
    <w:p>
      <w:pPr>
        <w:spacing w:after="0" w:line="191" w:lineRule="exact"/>
        <w:rPr>
          <w:sz w:val="20"/>
          <w:szCs w:val="20"/>
          <w:color w:val="auto"/>
        </w:rPr>
      </w:pPr>
    </w:p>
    <w:p>
      <w:pPr>
        <w:jc w:val="both"/>
        <w:ind w:firstLine="285"/>
        <w:spacing w:after="0" w:line="276" w:lineRule="auto"/>
        <w:rPr>
          <w:sz w:val="20"/>
          <w:szCs w:val="20"/>
          <w:color w:val="auto"/>
        </w:rPr>
      </w:pPr>
      <w:r>
        <w:rPr>
          <w:rFonts w:ascii="Arial" w:cs="Arial" w:eastAsia="Arial" w:hAnsi="Arial"/>
          <w:sz w:val="14"/>
          <w:szCs w:val="14"/>
          <w:color w:val="auto"/>
        </w:rPr>
        <w:t>In addition, our systems are potentially vulnerable to data security breaches—whether by employees or others—which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Such disruptions and breaches of security could have a material adverse effect on our business, financial condition, and results of operations.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7" w:right="21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color w:val="auto"/>
        </w:rPr>
        <w:t>Risks Related to Our Common Stock</w:t>
      </w:r>
    </w:p>
    <w:p>
      <w:pPr>
        <w:spacing w:after="0" w:line="216"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Our stock price is extremely volatile.</w:t>
      </w:r>
    </w:p>
    <w:p>
      <w:pPr>
        <w:spacing w:after="0" w:line="234" w:lineRule="exact"/>
        <w:rPr>
          <w:sz w:val="20"/>
          <w:szCs w:val="20"/>
          <w:color w:val="auto"/>
        </w:rPr>
      </w:pPr>
    </w:p>
    <w:p>
      <w:pPr>
        <w:jc w:val="both"/>
        <w:ind w:firstLine="241"/>
        <w:spacing w:after="0" w:line="291" w:lineRule="auto"/>
        <w:rPr>
          <w:sz w:val="20"/>
          <w:szCs w:val="20"/>
          <w:color w:val="auto"/>
        </w:rPr>
      </w:pPr>
      <w:r>
        <w:rPr>
          <w:rFonts w:ascii="Arial" w:cs="Arial" w:eastAsia="Arial" w:hAnsi="Arial"/>
          <w:sz w:val="14"/>
          <w:szCs w:val="14"/>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03" w:lineRule="exact"/>
        <w:rPr>
          <w:sz w:val="20"/>
          <w:szCs w:val="20"/>
          <w:color w:val="auto"/>
        </w:rPr>
      </w:pPr>
    </w:p>
    <w:p>
      <w:pPr>
        <w:ind w:left="440"/>
        <w:spacing w:after="0" w:line="265" w:lineRule="auto"/>
        <w:rPr>
          <w:sz w:val="20"/>
          <w:szCs w:val="20"/>
          <w:color w:val="auto"/>
        </w:rPr>
      </w:pPr>
      <w:r>
        <w:rPr>
          <w:rFonts w:ascii="Arial" w:cs="Arial" w:eastAsia="Arial" w:hAnsi="Arial"/>
          <w:sz w:val="14"/>
          <w:szCs w:val="14"/>
          <w:color w:val="auto"/>
        </w:rPr>
        <w:t>announcement of actions by the FDA or foreign regulatory authorities or their respective advisory committees regarding our currently pending or future application(s) for regulatory approval of our late-stage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-191135</wp:posOffset>
            </wp:positionV>
            <wp:extent cx="53340" cy="533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right="4000"/>
        <w:spacing w:after="0" w:line="261" w:lineRule="auto"/>
        <w:rPr>
          <w:sz w:val="20"/>
          <w:szCs w:val="20"/>
          <w:color w:val="auto"/>
        </w:rPr>
      </w:pPr>
      <w:r>
        <w:rPr>
          <w:rFonts w:ascii="Arial" w:cs="Arial" w:eastAsia="Arial" w:hAnsi="Arial"/>
          <w:sz w:val="14"/>
          <w:szCs w:val="14"/>
          <w:color w:val="auto"/>
        </w:rPr>
        <w:t>announcement of submission of an application for regulatory approval of one or more of our late-stage product candidates; progress, delays, or adverse results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-191135</wp:posOffset>
            </wp:positionV>
            <wp:extent cx="53340" cy="533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-80010</wp:posOffset>
            </wp:positionV>
            <wp:extent cx="53340" cy="533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4"/>
          <w:szCs w:val="14"/>
          <w:color w:val="auto"/>
        </w:rPr>
        <w:t>announcement of technological innovations or product candidates by us or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-71120</wp:posOffset>
            </wp:positionV>
            <wp:extent cx="53340" cy="533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line="196" w:lineRule="auto"/>
        <w:rPr>
          <w:sz w:val="20"/>
          <w:szCs w:val="20"/>
          <w:color w:val="auto"/>
        </w:rPr>
      </w:pPr>
      <w:r>
        <w:rPr>
          <w:rFonts w:ascii="Arial" w:cs="Arial" w:eastAsia="Arial" w:hAnsi="Arial"/>
          <w:sz w:val="14"/>
          <w:szCs w:val="14"/>
          <w:color w:val="auto"/>
        </w:rPr>
        <w:t>fluctuations in our operating results; in particular, if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or any of our other late-stage product candidates is approved for marketing, and our revenues, market share, and/or market acceptance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or such other products do not meet the expectations of investors or analysts;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-195580</wp:posOffset>
            </wp:positionV>
            <wp:extent cx="53340" cy="533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right="4620"/>
        <w:spacing w:after="0" w:line="256" w:lineRule="auto"/>
        <w:rPr>
          <w:sz w:val="20"/>
          <w:szCs w:val="20"/>
          <w:color w:val="auto"/>
        </w:rPr>
      </w:pPr>
      <w:r>
        <w:rPr>
          <w:rFonts w:ascii="Arial" w:cs="Arial" w:eastAsia="Arial" w:hAnsi="Arial"/>
          <w:sz w:val="14"/>
          <w:szCs w:val="14"/>
          <w:color w:val="auto"/>
        </w:rPr>
        <w:t>third-party claims that our products or technologies infringe their patents; third-party challenges to our patents in the European Patent Office and in the U.S. Patent and Trademark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-191135</wp:posOffset>
            </wp:positionV>
            <wp:extent cx="53340" cy="533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-80010</wp:posOffset>
            </wp:positionV>
            <wp:extent cx="53340" cy="533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line="222" w:lineRule="auto"/>
        <w:rPr>
          <w:sz w:val="20"/>
          <w:szCs w:val="20"/>
          <w:color w:val="auto"/>
        </w:rPr>
      </w:pPr>
      <w:r>
        <w:rPr>
          <w:rFonts w:ascii="Arial" w:cs="Arial" w:eastAsia="Arial" w:hAnsi="Arial"/>
          <w:sz w:val="14"/>
          <w:szCs w:val="14"/>
          <w:color w:val="auto"/>
        </w:rPr>
        <w:t>public concern as to the safety or effectiveness of any of our product candidates, including EYLEA</w:t>
      </w:r>
      <w:r>
        <w:rPr>
          <w:rFonts w:ascii="Arial" w:cs="Arial" w:eastAsia="Arial" w:hAnsi="Arial"/>
          <w:sz w:val="19"/>
          <w:szCs w:val="19"/>
          <w:color w:val="auto"/>
          <w:vertAlign w:val="superscript"/>
        </w:rPr>
        <w:t>TM</w:t>
      </w:r>
      <w:r>
        <w:rPr>
          <w:rFonts w:ascii="Arial" w:cs="Arial" w:eastAsia="Arial" w:hAnsi="Arial"/>
          <w:sz w:val="14"/>
          <w:szCs w:val="14"/>
          <w:color w:val="auto"/>
        </w:rPr>
        <w:t>, ZALTRAP</w:t>
      </w:r>
      <w:r>
        <w:rPr>
          <w:rFonts w:ascii="Arial" w:cs="Arial" w:eastAsia="Arial" w:hAnsi="Arial"/>
          <w:sz w:val="19"/>
          <w:szCs w:val="19"/>
          <w:color w:val="auto"/>
          <w:vertAlign w:val="superscript"/>
        </w:rPr>
        <w:t>®</w:t>
      </w:r>
      <w:r>
        <w:rPr>
          <w:rFonts w:ascii="Arial" w:cs="Arial" w:eastAsia="Arial" w:hAnsi="Arial"/>
          <w:sz w:val="14"/>
          <w:szCs w:val="14"/>
          <w:color w:val="auto"/>
        </w:rPr>
        <w:t>, or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prevention of gout flares in patients initiating uric acid-lowering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-191770</wp:posOffset>
            </wp:positionV>
            <wp:extent cx="53340" cy="533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3"/>
          <w:szCs w:val="13"/>
          <w:color w:val="auto"/>
        </w:rPr>
        <w:t>pricing or reimbursement actions or decisions by government authorities or insurers affecting the coverage or reimbursement of any of our product candidates or competitive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-64135</wp:posOffset>
            </wp:positionV>
            <wp:extent cx="53340" cy="533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spacing w:after="0" w:line="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ability to raise additional capital as needed on favorable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-71120</wp:posOffset>
            </wp:positionV>
            <wp:extent cx="53340" cy="533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4"/>
          <w:szCs w:val="14"/>
          <w:color w:val="auto"/>
        </w:rPr>
        <w:t>developments in our relationship with collaborative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-71120</wp:posOffset>
            </wp:positionV>
            <wp:extent cx="53340" cy="533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4"/>
          <w:szCs w:val="14"/>
          <w:color w:val="auto"/>
        </w:rPr>
        <w:t>developments in the biotechnology industry or in government regulation of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-71120</wp:posOffset>
            </wp:positionV>
            <wp:extent cx="53340" cy="533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4"/>
          <w:szCs w:val="14"/>
          <w:color w:val="auto"/>
        </w:rPr>
        <w:t>large sales of our Common Stock by our executive officers, directors, or significant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-71120</wp:posOffset>
            </wp:positionV>
            <wp:extent cx="53340" cy="533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4"/>
          <w:szCs w:val="14"/>
          <w:color w:val="auto"/>
        </w:rPr>
        <w:t>arrivals and departures of key personnel;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-71120</wp:posOffset>
            </wp:positionV>
            <wp:extent cx="53340" cy="533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4"/>
          <w:szCs w:val="14"/>
          <w:color w:val="auto"/>
        </w:rPr>
        <w:t>general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-71120</wp:posOffset>
            </wp:positionV>
            <wp:extent cx="53340" cy="533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spacing w:after="0" w:line="164" w:lineRule="exact"/>
        <w:rPr>
          <w:sz w:val="20"/>
          <w:szCs w:val="20"/>
          <w:color w:val="auto"/>
        </w:rPr>
      </w:pPr>
    </w:p>
    <w:p>
      <w:pPr>
        <w:jc w:val="both"/>
        <w:ind w:firstLine="219"/>
        <w:spacing w:after="0" w:line="291" w:lineRule="auto"/>
        <w:rPr>
          <w:sz w:val="20"/>
          <w:szCs w:val="20"/>
          <w:color w:val="auto"/>
        </w:rPr>
      </w:pPr>
      <w:r>
        <w:rPr>
          <w:rFonts w:ascii="Arial" w:cs="Arial" w:eastAsia="Arial" w:hAnsi="Arial"/>
          <w:sz w:val="14"/>
          <w:szCs w:val="14"/>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Future sales of our Common Stock by our significant shareholders or us may depress our stock price and impair our ability to raise funds in new share offerings.</w:t>
      </w:r>
    </w:p>
    <w:p>
      <w:pPr>
        <w:spacing w:after="0" w:line="234" w:lineRule="exact"/>
        <w:rPr>
          <w:sz w:val="20"/>
          <w:szCs w:val="20"/>
          <w:color w:val="auto"/>
        </w:rPr>
      </w:pPr>
    </w:p>
    <w:p>
      <w:pPr>
        <w:jc w:val="both"/>
        <w:ind w:firstLine="219"/>
        <w:spacing w:after="0" w:line="264" w:lineRule="auto"/>
        <w:rPr>
          <w:sz w:val="20"/>
          <w:szCs w:val="20"/>
          <w:color w:val="auto"/>
        </w:rPr>
      </w:pPr>
      <w:r>
        <w:rPr>
          <w:rFonts w:ascii="Arial" w:cs="Arial" w:eastAsia="Arial" w:hAnsi="Arial"/>
          <w:sz w:val="14"/>
          <w:szCs w:val="14"/>
          <w:color w:val="auto"/>
        </w:rPr>
        <w:t>A small number of our shareholders beneficially own a substantial amount of our Common Stock. As of September 30, 2011, our six largest shareholders plus Leonard S. Schleifer, M.D, Ph.D., our Chief Executive Officer, beneficially owned 62.6% of our outstanding shares of Common Stock, assuming, in the case of our Chief Executive Officer, the conversion of his Class A Stock into Common Stock and the exercise of all options held by him which are exercisable within 60 days of September 30, 2011. In September 2003, Sanofi (then Aventis Pharmaceuticals Inc.) purchased 2,799,552 newly issued, unregistered shares of our Common Stock, and in December 2007 Sanofi purchased an additional 12,000,000 newly issued, unregistered shares of our Common Stock. Under our investor agreement, as amended, with Sanofi, these shares may not be sold until December 20, 2017 except under limited circumstances and subject to earlier termination of these restrictions upon the occurrence of certain events. In addition, in October 2010, Sanofi purchased an additional 1,017,401 shares of Common Stock in our underwritten public offering. As of September 30, 2011, Sanofi beneficially owned 15,816,953 shares of our Common Stock, representing approximately 17.5% of the shares of Common Stock then outstanding. If Sanofi, or our other significant shareholders or we, sell substantial amounts of our Common Stock in the public market, or the perception that such sales may occur exists,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68" w:name="page69"/>
    <w:bookmarkEnd w:id="68"/>
    <w:p>
      <w:pPr>
        <w:ind w:left="140"/>
        <w:spacing w:after="0"/>
        <w:rPr>
          <w:sz w:val="20"/>
          <w:szCs w:val="20"/>
          <w:color w:val="auto"/>
        </w:rPr>
      </w:pPr>
      <w:r>
        <w:rPr>
          <w:rFonts w:ascii="Arial" w:cs="Arial" w:eastAsia="Arial" w:hAnsi="Arial"/>
          <w:sz w:val="14"/>
          <w:szCs w:val="14"/>
          <w:b w:val="1"/>
          <w:bCs w:val="1"/>
          <w:i w:val="1"/>
          <w:iCs w:val="1"/>
          <w:color w:val="auto"/>
        </w:rPr>
        <w:t>Our existing shareholders may be able to exert significant influence over matters requiring shareholder approval.</w:t>
      </w:r>
    </w:p>
    <w:p>
      <w:pPr>
        <w:spacing w:after="0" w:line="234" w:lineRule="exact"/>
        <w:rPr>
          <w:sz w:val="20"/>
          <w:szCs w:val="20"/>
          <w:color w:val="auto"/>
        </w:rPr>
      </w:pPr>
    </w:p>
    <w:p>
      <w:pPr>
        <w:jc w:val="both"/>
        <w:ind w:firstLine="263"/>
        <w:spacing w:after="0" w:line="269" w:lineRule="auto"/>
        <w:rPr>
          <w:sz w:val="20"/>
          <w:szCs w:val="20"/>
          <w:color w:val="auto"/>
        </w:rPr>
      </w:pPr>
      <w:r>
        <w:rPr>
          <w:rFonts w:ascii="Arial" w:cs="Arial" w:eastAsia="Arial" w:hAnsi="Arial"/>
          <w:sz w:val="14"/>
          <w:szCs w:val="14"/>
          <w:color w:val="auto"/>
        </w:rPr>
        <w:t>Holders of Class A Stock, who are generally the shareholders who purchased their stock from us before our initial public offering, are entitled to ten votes per share, while holders of Common Stock are entitled to one vote per share. As of September 30, 2011, holders of Class A Stock held 18.9%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September 30, 2011:</w:t>
      </w:r>
    </w:p>
    <w:p>
      <w:pPr>
        <w:spacing w:after="0" w:line="118" w:lineRule="exact"/>
        <w:rPr>
          <w:sz w:val="20"/>
          <w:szCs w:val="20"/>
          <w:color w:val="auto"/>
        </w:rPr>
      </w:pPr>
    </w:p>
    <w:p>
      <w:pPr>
        <w:jc w:val="both"/>
        <w:ind w:left="440"/>
        <w:spacing w:after="0" w:line="284" w:lineRule="auto"/>
        <w:rPr>
          <w:sz w:val="20"/>
          <w:szCs w:val="20"/>
          <w:color w:val="auto"/>
        </w:rPr>
      </w:pPr>
      <w:r>
        <w:rPr>
          <w:rFonts w:ascii="Arial" w:cs="Arial" w:eastAsia="Arial" w:hAnsi="Arial"/>
          <w:sz w:val="13"/>
          <w:szCs w:val="13"/>
          <w:color w:val="auto"/>
        </w:rPr>
        <w:t>our current executive officers and directors beneficially owned 11.0% of our outstanding shares of Common Stock, assuming conversion of their Class A Stock into Common Stock and the exercise of all options held by such persons which are exercisable within 60 days of September 30, 2011, and 24.6% of the combined voting power of our outstanding shares of Common Stock and Class A Stock, assuming the exercise of all options held by such persons which are exercisable within 60 days of September 30, 2011;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-302260</wp:posOffset>
            </wp:positionV>
            <wp:extent cx="53340" cy="533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jc w:val="both"/>
        <w:ind w:left="440"/>
        <w:spacing w:after="0" w:line="268" w:lineRule="auto"/>
        <w:rPr>
          <w:sz w:val="20"/>
          <w:szCs w:val="20"/>
          <w:color w:val="auto"/>
        </w:rPr>
      </w:pPr>
      <w:r>
        <w:rPr>
          <w:rFonts w:ascii="Arial" w:cs="Arial" w:eastAsia="Arial" w:hAnsi="Arial"/>
          <w:sz w:val="14"/>
          <w:szCs w:val="14"/>
          <w:color w:val="auto"/>
        </w:rPr>
        <w:t>our six largest shareholders plus Leonard S. Schleifer, M.D., Ph.D. our Chief Executive Officer, beneficially owned 62.6% of our outstanding shares of Common Stock, assuming, in the case of our Chief Executive Officer, the conversion of his Class A Stock into Common Stock and the exercise of all options held by him which are exercisable within 60 days of September 30, 2011. In addition, these seven shareholders held 65.7% of the combined voting power of our outstanding shares of Common Stock and Class A Stock, assuming the exercise of all options held by our Chief Executive Officer which are exercisable within 60 days of September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-425450</wp:posOffset>
            </wp:positionV>
            <wp:extent cx="53340" cy="533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spacing w:after="0" w:line="133" w:lineRule="exact"/>
        <w:rPr>
          <w:sz w:val="20"/>
          <w:szCs w:val="20"/>
          <w:color w:val="auto"/>
        </w:rPr>
      </w:pPr>
    </w:p>
    <w:p>
      <w:pPr>
        <w:jc w:val="both"/>
        <w:ind w:firstLine="241"/>
        <w:spacing w:after="0" w:line="307" w:lineRule="auto"/>
        <w:rPr>
          <w:sz w:val="20"/>
          <w:szCs w:val="20"/>
          <w:color w:val="auto"/>
        </w:rPr>
      </w:pPr>
      <w:r>
        <w:rPr>
          <w:rFonts w:ascii="Arial" w:cs="Arial" w:eastAsia="Arial" w:hAnsi="Arial"/>
          <w:sz w:val="13"/>
          <w:szCs w:val="13"/>
          <w:color w:val="auto"/>
        </w:rPr>
        <w:t>Pursuant to an investor agreement, as amended, Sanofi has agreed to vote its shares, at Sanofi’s election, either as recommended by our board of directors or proportionally with the votes cast by our other shareholders, except with respect to certain change of control transactions, liquidation or dissolution, stock issuances equal to or exceeding 10% of the then outstanding shares or voting rights of Common Stock and Class A Stock, and new equity compensation plans or amendments if not materially consistent with our historical equity compensation practices.</w:t>
      </w:r>
    </w:p>
    <w:p>
      <w:pPr>
        <w:spacing w:after="0" w:line="150" w:lineRule="exact"/>
        <w:rPr>
          <w:sz w:val="20"/>
          <w:szCs w:val="20"/>
          <w:color w:val="auto"/>
        </w:rPr>
      </w:pPr>
    </w:p>
    <w:p>
      <w:pPr>
        <w:ind w:left="140"/>
        <w:spacing w:after="0" w:line="291" w:lineRule="auto"/>
        <w:rPr>
          <w:sz w:val="20"/>
          <w:szCs w:val="20"/>
          <w:color w:val="auto"/>
        </w:rPr>
      </w:pPr>
      <w:r>
        <w:rPr>
          <w:rFonts w:ascii="Arial" w:cs="Arial" w:eastAsia="Arial" w:hAnsi="Arial"/>
          <w:sz w:val="14"/>
          <w:szCs w:val="14"/>
          <w:b w:val="1"/>
          <w:bCs w:val="1"/>
          <w:i w:val="1"/>
          <w:iCs w:val="1"/>
          <w:color w:val="auto"/>
        </w:rPr>
        <w:t>The anti-takeover effects of provisions of our charter, by-laws, and of New York corporate law and the contractual “standstill” provisions in our investor agreement with Sanofi, could deter, delay, or prevent an acquisition or other “change in control” of us and could adversely affect the price of our Common Stock.</w:t>
      </w:r>
    </w:p>
    <w:p>
      <w:pPr>
        <w:spacing w:after="0" w:line="180" w:lineRule="exact"/>
        <w:rPr>
          <w:sz w:val="20"/>
          <w:szCs w:val="20"/>
          <w:color w:val="auto"/>
        </w:rPr>
      </w:pPr>
    </w:p>
    <w:p>
      <w:pPr>
        <w:jc w:val="both"/>
        <w:ind w:firstLine="274"/>
        <w:spacing w:after="0" w:line="271" w:lineRule="auto"/>
        <w:rPr>
          <w:sz w:val="20"/>
          <w:szCs w:val="20"/>
          <w:color w:val="auto"/>
        </w:rPr>
      </w:pPr>
      <w:r>
        <w:rPr>
          <w:rFonts w:ascii="Arial" w:cs="Arial" w:eastAsia="Arial" w:hAnsi="Arial"/>
          <w:sz w:val="14"/>
          <w:szCs w:val="14"/>
          <w:color w:val="auto"/>
        </w:rPr>
        <w:t>Our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118" w:lineRule="exact"/>
        <w:rPr>
          <w:sz w:val="20"/>
          <w:szCs w:val="20"/>
          <w:color w:val="auto"/>
        </w:rPr>
      </w:pPr>
    </w:p>
    <w:p>
      <w:pPr>
        <w:ind w:left="440"/>
        <w:spacing w:after="0" w:line="265" w:lineRule="auto"/>
        <w:rPr>
          <w:sz w:val="20"/>
          <w:szCs w:val="20"/>
          <w:color w:val="auto"/>
        </w:rPr>
      </w:pPr>
      <w:r>
        <w:rPr>
          <w:rFonts w:ascii="Arial" w:cs="Arial" w:eastAsia="Arial" w:hAnsi="Arial"/>
          <w:sz w:val="14"/>
          <w:szCs w:val="14"/>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-191135</wp:posOffset>
            </wp:positionV>
            <wp:extent cx="53340" cy="533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4"/>
          <w:szCs w:val="14"/>
          <w:color w:val="auto"/>
        </w:rPr>
        <w:t>a staggered board of directors, so that it would take three successive annual meetings to replace all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-71120</wp:posOffset>
            </wp:positionV>
            <wp:extent cx="53340" cy="533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line="261" w:lineRule="auto"/>
        <w:rPr>
          <w:sz w:val="20"/>
          <w:szCs w:val="20"/>
          <w:color w:val="auto"/>
        </w:rPr>
      </w:pPr>
      <w:r>
        <w:rPr>
          <w:rFonts w:ascii="Arial" w:cs="Arial" w:eastAsia="Arial" w:hAnsi="Arial"/>
          <w:sz w:val="14"/>
          <w:szCs w:val="14"/>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-191135</wp:posOffset>
            </wp:positionV>
            <wp:extent cx="53340" cy="533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line="283" w:lineRule="auto"/>
        <w:rPr>
          <w:sz w:val="20"/>
          <w:szCs w:val="20"/>
          <w:color w:val="auto"/>
        </w:rPr>
      </w:pPr>
      <w:r>
        <w:rPr>
          <w:rFonts w:ascii="Arial" w:cs="Arial" w:eastAsia="Arial" w:hAnsi="Arial"/>
          <w:sz w:val="14"/>
          <w:szCs w:val="14"/>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-210185</wp:posOffset>
            </wp:positionV>
            <wp:extent cx="53340" cy="533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7" w:right="219" w:bottom="1440" w:gutter="0" w:footer="0" w:header="0"/>
        </w:sectPr>
      </w:pPr>
    </w:p>
    <w:bookmarkStart w:id="69" w:name="page70"/>
    <w:bookmarkEnd w:id="69"/>
    <w:p>
      <w:pPr>
        <w:jc w:val="both"/>
        <w:ind w:left="440"/>
        <w:spacing w:after="0" w:line="265" w:lineRule="auto"/>
        <w:rPr>
          <w:sz w:val="20"/>
          <w:szCs w:val="20"/>
          <w:color w:val="auto"/>
        </w:rPr>
      </w:pPr>
      <w:r>
        <w:rPr>
          <w:rFonts w:ascii="Arial" w:cs="Arial" w:eastAsia="Arial" w:hAnsi="Arial"/>
          <w:sz w:val="14"/>
          <w:szCs w:val="14"/>
          <w:color w:val="auto"/>
        </w:rPr>
        <w:t>a requirement that any shareholder seeking to bring business before an annual meeting of shareholders must provide timely notice of this intention in writing and meet various other requirements;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-191135</wp:posOffset>
            </wp:positionV>
            <wp:extent cx="53340" cy="533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jc w:val="both"/>
        <w:ind w:left="440"/>
        <w:spacing w:after="0" w:line="272" w:lineRule="auto"/>
        <w:rPr>
          <w:sz w:val="20"/>
          <w:szCs w:val="20"/>
          <w:color w:val="auto"/>
        </w:rPr>
      </w:pPr>
      <w:r>
        <w:rPr>
          <w:rFonts w:ascii="Arial" w:cs="Arial" w:eastAsia="Arial" w:hAnsi="Arial"/>
          <w:sz w:val="14"/>
          <w:szCs w:val="14"/>
          <w:color w:val="auto"/>
        </w:rPr>
        <w:t xml:space="preserve">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immediately above captioned </w:t>
      </w:r>
      <w:r>
        <w:rPr>
          <w:rFonts w:ascii="Arial" w:cs="Arial" w:eastAsia="Arial" w:hAnsi="Arial"/>
          <w:sz w:val="14"/>
          <w:szCs w:val="14"/>
          <w:i w:val="1"/>
          <w:iCs w:val="1"/>
          <w:color w:val="auto"/>
        </w:rPr>
        <w:t>“Our</w:t>
      </w:r>
      <w:r>
        <w:rPr>
          <w:rFonts w:ascii="Arial" w:cs="Arial" w:eastAsia="Arial" w:hAnsi="Arial"/>
          <w:sz w:val="14"/>
          <w:szCs w:val="14"/>
          <w:color w:val="auto"/>
        </w:rPr>
        <w:t xml:space="preserve"> </w:t>
      </w:r>
      <w:r>
        <w:rPr>
          <w:rFonts w:ascii="Arial" w:cs="Arial" w:eastAsia="Arial" w:hAnsi="Arial"/>
          <w:sz w:val="14"/>
          <w:szCs w:val="14"/>
          <w:i w:val="1"/>
          <w:iCs w:val="1"/>
          <w:color w:val="auto"/>
        </w:rPr>
        <w:t>existing shareholders may be able to exert significant influence over matters requiring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-316865</wp:posOffset>
            </wp:positionV>
            <wp:extent cx="53340" cy="533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spacing w:after="0" w:line="127" w:lineRule="exact"/>
        <w:rPr>
          <w:sz w:val="20"/>
          <w:szCs w:val="20"/>
          <w:color w:val="auto"/>
        </w:rPr>
      </w:pPr>
    </w:p>
    <w:p>
      <w:pPr>
        <w:jc w:val="both"/>
        <w:ind w:firstLine="252"/>
        <w:spacing w:after="0" w:line="237" w:lineRule="auto"/>
        <w:rPr>
          <w:sz w:val="20"/>
          <w:szCs w:val="20"/>
          <w:color w:val="auto"/>
        </w:rPr>
      </w:pPr>
      <w:r>
        <w:rPr>
          <w:rFonts w:ascii="Arial" w:cs="Arial" w:eastAsia="Arial" w:hAnsi="Arial"/>
          <w:sz w:val="14"/>
          <w:szCs w:val="14"/>
          <w:color w:val="auto"/>
        </w:rPr>
        <w:t>Until the later of the fifth anniversaries of the expiration or earlier termination of our antibody collaboration agreements with Sanofi or our ZALTRAP</w:t>
      </w:r>
      <w:r>
        <w:rPr>
          <w:rFonts w:ascii="Arial" w:cs="Arial" w:eastAsia="Arial" w:hAnsi="Arial"/>
          <w:sz w:val="19"/>
          <w:szCs w:val="19"/>
          <w:color w:val="auto"/>
          <w:vertAlign w:val="superscript"/>
        </w:rPr>
        <w:t>®</w:t>
      </w:r>
      <w:r>
        <w:rPr>
          <w:rFonts w:ascii="Arial" w:cs="Arial" w:eastAsia="Arial" w:hAnsi="Arial"/>
          <w:sz w:val="14"/>
          <w:szCs w:val="14"/>
          <w:color w:val="auto"/>
        </w:rPr>
        <w:t xml:space="preserve"> collaboration with Sanofi, Sanofi will be bound by certain “standstill” provisions, as amended, which contractually prohibit Sanofi from acquiring more than certain specified percentages of our Class A Stock and Common Stock (taken together) or otherwise seeking to obtain control of our company.</w:t>
      </w:r>
    </w:p>
    <w:p>
      <w:pPr>
        <w:spacing w:after="0" w:line="214" w:lineRule="exact"/>
        <w:rPr>
          <w:sz w:val="20"/>
          <w:szCs w:val="20"/>
          <w:color w:val="auto"/>
        </w:rPr>
      </w:pPr>
    </w:p>
    <w:p>
      <w:pPr>
        <w:jc w:val="both"/>
        <w:ind w:firstLine="219"/>
        <w:spacing w:after="0" w:line="307" w:lineRule="auto"/>
        <w:rPr>
          <w:sz w:val="20"/>
          <w:szCs w:val="20"/>
          <w:color w:val="auto"/>
        </w:rPr>
      </w:pPr>
      <w:r>
        <w:rPr>
          <w:rFonts w:ascii="Arial" w:cs="Arial" w:eastAsia="Arial" w:hAnsi="Arial"/>
          <w:sz w:val="13"/>
          <w:szCs w:val="13"/>
          <w:color w:val="auto"/>
        </w:rPr>
        <w:t>In addition, we have a Change in Control Severance Plan and our Chief Executive Officer has an employment agreement that provides severance benefits in the event our officers are terminated as a result of a change in control of our company. Many of our stock options issued under our 2000 Long-Term Incentive Plan, as amended and restated, may become fully vested in connection with a “change in control” of our company, as defined in the plan. These contractual provisions may also have the effect of deterring, delaying, or preventing an acquisition or other change in control.</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Relating to Our Convertible Senior Notes and Related Hedge Transactions</w:t>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The convertible note hedges and warrant transactions may affect the trading price of our Common Stock.</w:t>
      </w:r>
    </w:p>
    <w:p>
      <w:pPr>
        <w:spacing w:after="0" w:line="200" w:lineRule="exact"/>
        <w:rPr>
          <w:sz w:val="20"/>
          <w:szCs w:val="20"/>
          <w:color w:val="auto"/>
        </w:rPr>
      </w:pPr>
    </w:p>
    <w:p>
      <w:pPr>
        <w:jc w:val="both"/>
        <w:ind w:firstLine="241"/>
        <w:spacing w:after="0" w:line="271" w:lineRule="auto"/>
        <w:rPr>
          <w:sz w:val="20"/>
          <w:szCs w:val="20"/>
          <w:color w:val="auto"/>
        </w:rPr>
      </w:pPr>
      <w:r>
        <w:rPr>
          <w:rFonts w:ascii="Arial" w:cs="Arial" w:eastAsia="Arial" w:hAnsi="Arial"/>
          <w:sz w:val="14"/>
          <w:szCs w:val="14"/>
          <w:color w:val="auto"/>
        </w:rPr>
        <w:t>In connection with our offering of our 1.875% Convertible Senior Notes due October 1, 2016, we entered into convertible note hedge transactions with four financial institutions (the “hedge counterparties”). The convertible note hedge transactions are expected to reduce the potential dilution to our Common Stock and/or offset potential cash payments in excess of the principal amount of the notes, as the case may be upon conversion of the notes. In the event that the hedge counterparties fail to deliver shares to us or potential cash payments as the case may be as required under the convertible note hedge documents, we would not receive the benefit of such transaction. Separately, we also entered into warrant transactions with the hedge counterparties. The warrant transactions could separately have a dilutive effect from the issuance of Common Stock pursuant to the warrants.</w:t>
      </w:r>
    </w:p>
    <w:p>
      <w:pPr>
        <w:spacing w:after="0" w:line="166" w:lineRule="exact"/>
        <w:rPr>
          <w:sz w:val="20"/>
          <w:szCs w:val="20"/>
          <w:color w:val="auto"/>
        </w:rPr>
      </w:pPr>
    </w:p>
    <w:p>
      <w:pPr>
        <w:jc w:val="both"/>
        <w:ind w:firstLine="230"/>
        <w:spacing w:after="0" w:line="249" w:lineRule="auto"/>
        <w:rPr>
          <w:sz w:val="20"/>
          <w:szCs w:val="20"/>
          <w:color w:val="auto"/>
        </w:rPr>
      </w:pPr>
      <w:r>
        <w:rPr>
          <w:rFonts w:ascii="Arial" w:cs="Arial" w:eastAsia="Arial" w:hAnsi="Arial"/>
          <w:sz w:val="15"/>
          <w:szCs w:val="15"/>
          <w:color w:val="auto"/>
        </w:rPr>
        <w:t>In connection with hedging these transactions, the hedge counterparties and/or their affiliates may enter into various derivative transactions with respect to our Common Stock, and may enter into, or may unwind, various derivative transactions and/or purchase or sell our Common Stock or other securities of ours in secondary market transactions prior to maturity of the notes (and are likely to do so during any conversion period related to any conversion of the notes). These activities could have the effect of increasing or preventing a decline in, or could have a negative effect on, the value of our Common Stock and could have the effect of increasing or preventing a decline in the value of our common stock during any cash settlement averaging period related to a conversion of the notes.</w:t>
      </w:r>
    </w:p>
    <w:p>
      <w:pPr>
        <w:spacing w:after="0" w:line="180" w:lineRule="exact"/>
        <w:rPr>
          <w:sz w:val="20"/>
          <w:szCs w:val="20"/>
          <w:color w:val="auto"/>
        </w:rPr>
      </w:pPr>
    </w:p>
    <w:p>
      <w:pPr>
        <w:jc w:val="both"/>
        <w:ind w:firstLine="263"/>
        <w:spacing w:after="0" w:line="291" w:lineRule="auto"/>
        <w:rPr>
          <w:sz w:val="20"/>
          <w:szCs w:val="20"/>
          <w:color w:val="auto"/>
        </w:rPr>
      </w:pPr>
      <w:r>
        <w:rPr>
          <w:rFonts w:ascii="Arial" w:cs="Arial" w:eastAsia="Arial" w:hAnsi="Arial"/>
          <w:sz w:val="13"/>
          <w:szCs w:val="13"/>
          <w:color w:val="auto"/>
        </w:rPr>
        <w:t>In addition, we intend to exercise options under the convertible note hedge transactions whenever notes are converted. In order to unwind its hedge position with respect to the options we exercise, the hedge counterparties and/or their affiliates may sell shares of our Common Stock or other securities in secondary market transactions or unwind various derivative transactions with respect to our Common Stock during the cash settlement averaging period for the converted notes. The effect, if any, of any of these transactions and activities on the trading price of our Common Stock or the notes will depend in part on market conditions and cannot be ascertained at this time, but any of these activities could adversely affect the value of our Common Stock and the value of the notes. The derivative transactions that the hedge counterparties and/or their affiliates expect to enter into to hedge these transactions may include cash-settled equity swaps referenced to our Common Stock. In certain circumstances, the hedge counterparties and/or their affiliates may have derivative positions that, when combined with the hedge counterparties’ and their affiliates’ ownership of our Common Stock, if any, would give them economic exposure to the return on a significant number of shares of our Common Stock.</w:t>
      </w:r>
    </w:p>
    <w:p>
      <w:pPr>
        <w:spacing w:after="0" w:line="135" w:lineRule="exact"/>
        <w:rPr>
          <w:sz w:val="20"/>
          <w:szCs w:val="20"/>
          <w:color w:val="auto"/>
        </w:rPr>
      </w:pPr>
    </w:p>
    <w:p>
      <w:pPr>
        <w:ind w:left="140"/>
        <w:spacing w:after="0" w:line="263" w:lineRule="auto"/>
        <w:rPr>
          <w:sz w:val="20"/>
          <w:szCs w:val="20"/>
          <w:color w:val="auto"/>
        </w:rPr>
      </w:pPr>
      <w:r>
        <w:rPr>
          <w:rFonts w:ascii="Arial" w:cs="Arial" w:eastAsia="Arial" w:hAnsi="Arial"/>
          <w:sz w:val="15"/>
          <w:szCs w:val="15"/>
          <w:b w:val="1"/>
          <w:bCs w:val="1"/>
          <w:i w:val="1"/>
          <w:iCs w:val="1"/>
          <w:color w:val="auto"/>
        </w:rPr>
        <w:t>The fundamental change provisions of our convertible notes and certain of the terms of the convertible note hedge and warrant transactions may delay or prevent an otherwise beneficial takeover attempt of us.</w:t>
      </w:r>
    </w:p>
    <w:p>
      <w:pPr>
        <w:spacing w:after="0" w:line="170" w:lineRule="exact"/>
        <w:rPr>
          <w:sz w:val="20"/>
          <w:szCs w:val="20"/>
          <w:color w:val="auto"/>
        </w:rPr>
      </w:pPr>
    </w:p>
    <w:p>
      <w:pPr>
        <w:jc w:val="both"/>
        <w:ind w:firstLine="241"/>
        <w:spacing w:after="0" w:line="293" w:lineRule="auto"/>
        <w:rPr>
          <w:sz w:val="20"/>
          <w:szCs w:val="20"/>
          <w:color w:val="auto"/>
        </w:rPr>
      </w:pPr>
      <w:r>
        <w:rPr>
          <w:rFonts w:ascii="Arial" w:cs="Arial" w:eastAsia="Arial" w:hAnsi="Arial"/>
          <w:sz w:val="13"/>
          <w:szCs w:val="13"/>
          <w:color w:val="auto"/>
        </w:rPr>
        <w:t>The fundamental change purchase rights, which will allow noteholders to require us to purchase all or a portion of their notes upon the occurrence of a fundamental change, as defined in the indenture governing the notes, and the provisions requiring an increase to the conversion rate for conversions in connection with make-whole fundamental changes, as set forth in the indenture, may in certain circumstances delay or prevent a takeover of us and the removal of incumbent management that might otherwise be beneficial to investors. In addition, upon the occurrence of certain extraordinary events, the convertible note hedge transactions would be exercised upon the conversion of notes, and the warrant transactions may be terminated. It is possible that the proceeds we receive upon the exercise of the convertible note hedge transactions would be significantly lower than the amounts we would be required to pay upon termination of the warrant transactions. Such differences may result in the acquisition of us being on terms less favorable to our shareholders than it would otherwise be.</w:t>
      </w:r>
    </w:p>
    <w:p>
      <w:pPr>
        <w:spacing w:after="0" w:line="134"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We are subject to counterparty risk with respect to the convertible note hedge transactions.</w:t>
      </w:r>
    </w:p>
    <w:p>
      <w:pPr>
        <w:spacing w:after="0" w:line="200" w:lineRule="exact"/>
        <w:rPr>
          <w:sz w:val="20"/>
          <w:szCs w:val="20"/>
          <w:color w:val="auto"/>
        </w:rPr>
      </w:pPr>
    </w:p>
    <w:p>
      <w:pPr>
        <w:jc w:val="both"/>
        <w:ind w:firstLine="219"/>
        <w:spacing w:after="0" w:line="290" w:lineRule="auto"/>
        <w:rPr>
          <w:sz w:val="20"/>
          <w:szCs w:val="20"/>
          <w:color w:val="auto"/>
        </w:rPr>
      </w:pPr>
      <w:r>
        <w:rPr>
          <w:rFonts w:ascii="Arial" w:cs="Arial" w:eastAsia="Arial" w:hAnsi="Arial"/>
          <w:sz w:val="13"/>
          <w:szCs w:val="13"/>
          <w:color w:val="auto"/>
        </w:rPr>
        <w:t>The hedge counterparties for the convertible note hedge transactions are financial institutions, and we will be subject to the risk that any or all of them might default under the convertible note hedge transactions. Our exposure to the credit risk of the hedge counterparties will not be secured by any collateral. Recent global economic conditions have resulted in the actual or perceived failure or financial difficulties of many financial institutions, including the bankruptcy filing by Lehman Brothers Holdings Inc. and its various affiliates. If a hedge counterparty becomes subject to insolvency proceedings, we will become an unsecured creditor in those proceedings with a claim equal to our exposure at that time under our transactions with that hedge counterparty. Furthermore, if a hedge counterparty defaults, we will not be able to set off our obligations to the hedge counterparty under the warrant transactions against the obligations of such hedge counterparty to us under the convertible note hedge transactions, which may result in significant losses to us. Our exposure will depend on many factors but, generally, the increase in our exposure will be correlated to the increase in the market price and in the volatility of our Common Stock. In addition, upon a default by a hedge counterparty, we may suffer adverse tax consequences and more dilution than we currently anticipate with respect to our Common Stock. We can provide no assurances as to the financial stability or viability of the hedge counterparties.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UNREGISTERED SALES OF EQUITY SECURITIES AND USE OF PROCEEDS</w:t>
      </w:r>
    </w:p>
    <w:p>
      <w:pPr>
        <w:spacing w:after="0" w:line="204" w:lineRule="exact"/>
        <w:rPr>
          <w:sz w:val="20"/>
          <w:szCs w:val="20"/>
          <w:color w:val="auto"/>
        </w:rPr>
      </w:pPr>
    </w:p>
    <w:p>
      <w:pPr>
        <w:jc w:val="both"/>
        <w:ind w:firstLine="263"/>
        <w:spacing w:after="0" w:line="311" w:lineRule="auto"/>
        <w:rPr>
          <w:sz w:val="20"/>
          <w:szCs w:val="20"/>
          <w:color w:val="auto"/>
        </w:rPr>
      </w:pPr>
      <w:r>
        <w:rPr>
          <w:rFonts w:ascii="Arial" w:cs="Arial" w:eastAsia="Arial" w:hAnsi="Arial"/>
          <w:sz w:val="13"/>
          <w:szCs w:val="13"/>
          <w:color w:val="auto"/>
        </w:rPr>
        <w:t>On October 21, 2011, we issued and sold $400 million aggregate principal amount of 1.875% Convertible Senior Notes due October 1, 2016 to the initial purchaser in a private placement pursuant to exemptions from the registration requirements of the Securities Act. We offered and sold the notes in reliance on the exemption from registration provided by Section 4(2) of the Securities Act. The initial purchaser offered and sold the notes to “qualified institutional buyers” pursuant to the exemption from registration provided by Rule 144A under the Securities Act.</w:t>
      </w:r>
    </w:p>
    <w:p>
      <w:pPr>
        <w:spacing w:after="0" w:line="143" w:lineRule="exact"/>
        <w:rPr>
          <w:sz w:val="20"/>
          <w:szCs w:val="20"/>
          <w:color w:val="auto"/>
        </w:rPr>
      </w:pPr>
    </w:p>
    <w:p>
      <w:pPr>
        <w:jc w:val="both"/>
        <w:ind w:firstLine="230"/>
        <w:spacing w:after="0" w:line="301" w:lineRule="auto"/>
        <w:rPr>
          <w:sz w:val="20"/>
          <w:szCs w:val="20"/>
          <w:color w:val="auto"/>
        </w:rPr>
      </w:pPr>
      <w:r>
        <w:rPr>
          <w:rFonts w:ascii="Arial" w:cs="Arial" w:eastAsia="Arial" w:hAnsi="Arial"/>
          <w:sz w:val="13"/>
          <w:szCs w:val="13"/>
          <w:color w:val="auto"/>
        </w:rPr>
        <w:t>On October 18, 2011, we entered into warrant confirmation transactions with certain option counterparties relating to convertible note hedge and warrant transactions. Pursuant to the warrant confirmation transactions, up to 4,760,840 shares of our Common Stock (subject to adjustment from time to time as provided in the warrant confirmations) may be issuable upon the conversion of warrants. The strike price of the warrant transaction will initially be $103.41 per share. We offered and sold the warrants in reliance on the exemption from registration provided by Section 4(2) of the Securities Act. Neither the warrants nor the underlying shares of Common Stock issuable upon the conversion of the warrants have been registered under the Securities Act.</w:t>
      </w:r>
    </w:p>
    <w:p>
      <w:pPr>
        <w:spacing w:after="0" w:line="150" w:lineRule="exact"/>
        <w:rPr>
          <w:sz w:val="20"/>
          <w:szCs w:val="20"/>
          <w:color w:val="auto"/>
        </w:rPr>
      </w:pPr>
    </w:p>
    <w:p>
      <w:pPr>
        <w:jc w:val="both"/>
        <w:ind w:firstLine="219"/>
        <w:spacing w:after="0" w:line="250" w:lineRule="auto"/>
        <w:rPr>
          <w:sz w:val="20"/>
          <w:szCs w:val="20"/>
          <w:color w:val="auto"/>
        </w:rPr>
      </w:pPr>
      <w:r>
        <w:rPr>
          <w:rFonts w:ascii="Arial" w:cs="Arial" w:eastAsia="Arial" w:hAnsi="Arial"/>
          <w:sz w:val="15"/>
          <w:szCs w:val="15"/>
          <w:color w:val="auto"/>
        </w:rPr>
        <w:t>The net proceeds to us from the notes offering were approximately $391.3 million after deducting the initial purchaser’s discount and estimated offering expenses. Although the gross proceeds to us from the sale of the warrants were approximately $93.8 million, we paid an aggregate of $117.5 million to the option counterparties for the convertible note hedge transactions. As a result, there were no additional net proceeds to us from the warrant transactions and we used $23.7 million of the net proceeds of the notes offering to fund the convertible hedge transactions. We intend to use the remaining net proceeds of the notes offering for general corporate purposes.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EXHIBITS</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 Exhibits</w:t>
      </w:r>
    </w:p>
    <w:p>
      <w:pPr>
        <w:spacing w:after="0" w:line="197"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5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6"/>
                <w:szCs w:val="16"/>
                <w:color w:val="auto"/>
              </w:rPr>
            </w:pPr>
          </w:p>
        </w:tc>
        <w:tc>
          <w:tcPr>
            <w:tcW w:w="10480" w:type="dxa"/>
            <w:vAlign w:val="bottom"/>
          </w:tcPr>
          <w:p>
            <w:pPr>
              <w:spacing w:after="0"/>
              <w:rPr>
                <w:sz w:val="16"/>
                <w:szCs w:val="16"/>
                <w:color w:val="auto"/>
              </w:rPr>
            </w:pPr>
          </w:p>
        </w:tc>
      </w:tr>
      <w:tr>
        <w:trPr>
          <w:trHeight w:val="204"/>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Borders>
              <w:bottom w:val="single" w:sz="8" w:color="C0C0C0"/>
            </w:tcBorders>
          </w:tcPr>
          <w:p>
            <w:pPr>
              <w:spacing w:after="0"/>
              <w:rPr>
                <w:sz w:val="17"/>
                <w:szCs w:val="17"/>
                <w:color w:val="auto"/>
              </w:rPr>
            </w:pPr>
          </w:p>
        </w:tc>
        <w:tc>
          <w:tcPr>
            <w:tcW w:w="10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540" w:type="dxa"/>
            <w:vAlign w:val="bottom"/>
            <w:shd w:val="clear" w:color="auto" w:fill="C0C0C0"/>
          </w:tcPr>
          <w:p>
            <w:pPr>
              <w:spacing w:after="0"/>
              <w:rPr>
                <w:sz w:val="20"/>
                <w:szCs w:val="20"/>
                <w:color w:val="auto"/>
              </w:rPr>
            </w:pPr>
            <w:r>
              <w:rPr>
                <w:rFonts w:ascii="Arial" w:cs="Arial" w:eastAsia="Arial" w:hAnsi="Arial"/>
                <w:sz w:val="14"/>
                <w:szCs w:val="14"/>
                <w:color w:val="auto"/>
              </w:rPr>
              <w:t>10.1</w:t>
            </w:r>
          </w:p>
        </w:tc>
        <w:tc>
          <w:tcPr>
            <w:tcW w:w="10700" w:type="dxa"/>
            <w:vAlign w:val="bottom"/>
            <w:gridSpan w:val="2"/>
            <w:shd w:val="clear" w:color="auto" w:fill="C0C0C0"/>
          </w:tcPr>
          <w:p>
            <w:pPr>
              <w:ind w:left="220"/>
              <w:spacing w:after="0"/>
              <w:rPr>
                <w:sz w:val="20"/>
                <w:szCs w:val="20"/>
                <w:color w:val="auto"/>
              </w:rPr>
            </w:pPr>
            <w:r>
              <w:rPr>
                <w:rFonts w:ascii="Arial" w:cs="Arial" w:eastAsia="Arial" w:hAnsi="Arial"/>
                <w:sz w:val="14"/>
                <w:szCs w:val="14"/>
                <w:color w:val="auto"/>
              </w:rPr>
              <w:t>- Eighth Amendment to Lease, by and between BMR-Landmark at Eastview LLC and the Registrant, entered into as of August 1, 2011.</w:t>
            </w:r>
          </w:p>
        </w:tc>
      </w:tr>
      <w:tr>
        <w:trPr>
          <w:trHeight w:val="191"/>
        </w:trPr>
        <w:tc>
          <w:tcPr>
            <w:tcW w:w="540" w:type="dxa"/>
            <w:vAlign w:val="bottom"/>
          </w:tcPr>
          <w:p>
            <w:pPr>
              <w:spacing w:after="0"/>
              <w:rPr>
                <w:sz w:val="20"/>
                <w:szCs w:val="20"/>
                <w:color w:val="auto"/>
              </w:rPr>
            </w:pPr>
            <w:r>
              <w:rPr>
                <w:rFonts w:ascii="Arial" w:cs="Arial" w:eastAsia="Arial" w:hAnsi="Arial"/>
                <w:sz w:val="14"/>
                <w:szCs w:val="14"/>
                <w:color w:val="auto"/>
              </w:rPr>
              <w:t>10.2</w:t>
            </w:r>
          </w:p>
        </w:tc>
        <w:tc>
          <w:tcPr>
            <w:tcW w:w="10700" w:type="dxa"/>
            <w:vAlign w:val="bottom"/>
            <w:gridSpan w:val="2"/>
          </w:tcPr>
          <w:p>
            <w:pPr>
              <w:ind w:left="220"/>
              <w:spacing w:after="0"/>
              <w:rPr>
                <w:sz w:val="20"/>
                <w:szCs w:val="20"/>
                <w:color w:val="auto"/>
              </w:rPr>
            </w:pPr>
            <w:r>
              <w:rPr>
                <w:rFonts w:ascii="Arial" w:cs="Arial" w:eastAsia="Arial" w:hAnsi="Arial"/>
                <w:sz w:val="14"/>
                <w:szCs w:val="14"/>
                <w:color w:val="auto"/>
              </w:rPr>
              <w:t>- Ninth Amendment to Lease, by and between BMR-Landmark at Eastview LLC and the Registrant, entered into as of September 30, 2011.</w:t>
            </w:r>
          </w:p>
        </w:tc>
      </w:tr>
      <w:tr>
        <w:trPr>
          <w:trHeight w:val="204"/>
        </w:trPr>
        <w:tc>
          <w:tcPr>
            <w:tcW w:w="540" w:type="dxa"/>
            <w:vAlign w:val="bottom"/>
            <w:shd w:val="clear" w:color="auto" w:fill="C0C0C0"/>
          </w:tcPr>
          <w:p>
            <w:pPr>
              <w:spacing w:after="0"/>
              <w:rPr>
                <w:sz w:val="20"/>
                <w:szCs w:val="20"/>
                <w:color w:val="auto"/>
              </w:rPr>
            </w:pPr>
            <w:r>
              <w:rPr>
                <w:rFonts w:ascii="Arial" w:cs="Arial" w:eastAsia="Arial" w:hAnsi="Arial"/>
                <w:sz w:val="14"/>
                <w:szCs w:val="14"/>
                <w:color w:val="auto"/>
              </w:rPr>
              <w:t>31.1</w:t>
            </w:r>
          </w:p>
        </w:tc>
        <w:tc>
          <w:tcPr>
            <w:tcW w:w="10700" w:type="dxa"/>
            <w:vAlign w:val="bottom"/>
            <w:gridSpan w:val="2"/>
            <w:shd w:val="clear" w:color="auto" w:fill="C0C0C0"/>
          </w:tcPr>
          <w:p>
            <w:pPr>
              <w:ind w:left="220"/>
              <w:spacing w:after="0"/>
              <w:rPr>
                <w:sz w:val="20"/>
                <w:szCs w:val="20"/>
                <w:color w:val="auto"/>
              </w:rPr>
            </w:pPr>
            <w:r>
              <w:rPr>
                <w:rFonts w:ascii="Arial" w:cs="Arial" w:eastAsia="Arial" w:hAnsi="Arial"/>
                <w:sz w:val="14"/>
                <w:szCs w:val="14"/>
                <w:color w:val="auto"/>
              </w:rPr>
              <w:t>- Certification of CEO pursuant to Rule 13a-14(a) under the Securities Exchange Act of 1934.</w:t>
            </w:r>
          </w:p>
        </w:tc>
      </w:tr>
      <w:tr>
        <w:trPr>
          <w:trHeight w:val="191"/>
        </w:trPr>
        <w:tc>
          <w:tcPr>
            <w:tcW w:w="540" w:type="dxa"/>
            <w:vAlign w:val="bottom"/>
          </w:tcPr>
          <w:p>
            <w:pPr>
              <w:spacing w:after="0"/>
              <w:rPr>
                <w:sz w:val="20"/>
                <w:szCs w:val="20"/>
                <w:color w:val="auto"/>
              </w:rPr>
            </w:pPr>
            <w:r>
              <w:rPr>
                <w:rFonts w:ascii="Arial" w:cs="Arial" w:eastAsia="Arial" w:hAnsi="Arial"/>
                <w:sz w:val="14"/>
                <w:szCs w:val="14"/>
                <w:color w:val="auto"/>
              </w:rPr>
              <w:t>31.2</w:t>
            </w:r>
          </w:p>
        </w:tc>
        <w:tc>
          <w:tcPr>
            <w:tcW w:w="10700" w:type="dxa"/>
            <w:vAlign w:val="bottom"/>
            <w:gridSpan w:val="2"/>
          </w:tcPr>
          <w:p>
            <w:pPr>
              <w:ind w:left="220"/>
              <w:spacing w:after="0"/>
              <w:rPr>
                <w:sz w:val="20"/>
                <w:szCs w:val="20"/>
                <w:color w:val="auto"/>
              </w:rPr>
            </w:pPr>
            <w:r>
              <w:rPr>
                <w:rFonts w:ascii="Arial" w:cs="Arial" w:eastAsia="Arial" w:hAnsi="Arial"/>
                <w:sz w:val="14"/>
                <w:szCs w:val="14"/>
                <w:color w:val="auto"/>
              </w:rPr>
              <w:t>- Certification of CFO pursuant to Rule 13a-14(a) under the Securities Exchange Act of 1934.</w:t>
            </w:r>
          </w:p>
        </w:tc>
      </w:tr>
      <w:tr>
        <w:trPr>
          <w:trHeight w:val="204"/>
        </w:trPr>
        <w:tc>
          <w:tcPr>
            <w:tcW w:w="540" w:type="dxa"/>
            <w:vAlign w:val="bottom"/>
            <w:shd w:val="clear" w:color="auto" w:fill="C0C0C0"/>
          </w:tcPr>
          <w:p>
            <w:pPr>
              <w:spacing w:after="0"/>
              <w:rPr>
                <w:sz w:val="20"/>
                <w:szCs w:val="20"/>
                <w:color w:val="auto"/>
              </w:rPr>
            </w:pPr>
            <w:r>
              <w:rPr>
                <w:rFonts w:ascii="Arial" w:cs="Arial" w:eastAsia="Arial" w:hAnsi="Arial"/>
                <w:sz w:val="14"/>
                <w:szCs w:val="14"/>
                <w:color w:val="auto"/>
              </w:rPr>
              <w:t>32</w:t>
            </w:r>
          </w:p>
        </w:tc>
        <w:tc>
          <w:tcPr>
            <w:tcW w:w="10700" w:type="dxa"/>
            <w:vAlign w:val="bottom"/>
            <w:gridSpan w:val="2"/>
            <w:shd w:val="clear" w:color="auto" w:fill="C0C0C0"/>
          </w:tcPr>
          <w:p>
            <w:pPr>
              <w:ind w:left="220"/>
              <w:spacing w:after="0"/>
              <w:rPr>
                <w:sz w:val="20"/>
                <w:szCs w:val="20"/>
                <w:color w:val="auto"/>
              </w:rPr>
            </w:pPr>
            <w:r>
              <w:rPr>
                <w:rFonts w:ascii="Arial" w:cs="Arial" w:eastAsia="Arial" w:hAnsi="Arial"/>
                <w:sz w:val="14"/>
                <w:szCs w:val="14"/>
                <w:color w:val="auto"/>
              </w:rPr>
              <w:t>- Certification of CEO and CFO pursuant to 18 U.S.C. Section 1350.</w:t>
            </w:r>
          </w:p>
        </w:tc>
      </w:tr>
      <w:tr>
        <w:trPr>
          <w:trHeight w:val="191"/>
        </w:trPr>
        <w:tc>
          <w:tcPr>
            <w:tcW w:w="540" w:type="dxa"/>
            <w:vAlign w:val="bottom"/>
          </w:tcPr>
          <w:p>
            <w:pPr>
              <w:spacing w:after="0"/>
              <w:rPr>
                <w:sz w:val="20"/>
                <w:szCs w:val="20"/>
                <w:color w:val="auto"/>
              </w:rPr>
            </w:pPr>
            <w:r>
              <w:rPr>
                <w:rFonts w:ascii="Arial" w:cs="Arial" w:eastAsia="Arial" w:hAnsi="Arial"/>
                <w:sz w:val="14"/>
                <w:szCs w:val="14"/>
                <w:color w:val="auto"/>
              </w:rPr>
              <w:t>101</w:t>
            </w:r>
          </w:p>
        </w:tc>
        <w:tc>
          <w:tcPr>
            <w:tcW w:w="10700" w:type="dxa"/>
            <w:vAlign w:val="bottom"/>
            <w:gridSpan w:val="2"/>
          </w:tcPr>
          <w:p>
            <w:pPr>
              <w:ind w:left="220"/>
              <w:spacing w:after="0"/>
              <w:rPr>
                <w:sz w:val="20"/>
                <w:szCs w:val="20"/>
                <w:color w:val="auto"/>
              </w:rPr>
            </w:pPr>
            <w:r>
              <w:rPr>
                <w:rFonts w:ascii="Arial" w:cs="Arial" w:eastAsia="Arial" w:hAnsi="Arial"/>
                <w:sz w:val="14"/>
                <w:szCs w:val="14"/>
                <w:color w:val="auto"/>
              </w:rPr>
              <w:t>- Interactive Data File</w:t>
            </w:r>
          </w:p>
        </w:tc>
      </w:tr>
      <w:tr>
        <w:trPr>
          <w:trHeight w:val="204"/>
        </w:trPr>
        <w:tc>
          <w:tcPr>
            <w:tcW w:w="540" w:type="dxa"/>
            <w:vAlign w:val="bottom"/>
            <w:shd w:val="clear" w:color="auto" w:fill="C0C0C0"/>
          </w:tcPr>
          <w:p>
            <w:pPr>
              <w:spacing w:after="0"/>
              <w:rPr>
                <w:sz w:val="20"/>
                <w:szCs w:val="20"/>
                <w:color w:val="auto"/>
              </w:rPr>
            </w:pPr>
            <w:r>
              <w:rPr>
                <w:rFonts w:ascii="Arial" w:cs="Arial" w:eastAsia="Arial" w:hAnsi="Arial"/>
                <w:sz w:val="14"/>
                <w:szCs w:val="14"/>
                <w:color w:val="auto"/>
              </w:rPr>
              <w:t>101.INS</w:t>
            </w:r>
          </w:p>
        </w:tc>
        <w:tc>
          <w:tcPr>
            <w:tcW w:w="10700" w:type="dxa"/>
            <w:vAlign w:val="bottom"/>
            <w:gridSpan w:val="2"/>
            <w:shd w:val="clear" w:color="auto" w:fill="C0C0C0"/>
          </w:tcPr>
          <w:p>
            <w:pPr>
              <w:ind w:left="220"/>
              <w:spacing w:after="0"/>
              <w:rPr>
                <w:sz w:val="20"/>
                <w:szCs w:val="20"/>
                <w:color w:val="auto"/>
              </w:rPr>
            </w:pPr>
            <w:r>
              <w:rPr>
                <w:rFonts w:ascii="Arial" w:cs="Arial" w:eastAsia="Arial" w:hAnsi="Arial"/>
                <w:sz w:val="14"/>
                <w:szCs w:val="14"/>
                <w:color w:val="auto"/>
              </w:rPr>
              <w:t>- XBRL Instance Document</w:t>
            </w:r>
          </w:p>
        </w:tc>
      </w:tr>
    </w:tbl>
    <w:p>
      <w:pPr>
        <w:sectPr>
          <w:pgSz w:w="11900" w:h="16838" w:orient="portrait"/>
          <w:cols w:equalWidth="0" w:num="1">
            <w:col w:w="11460"/>
          </w:cols>
          <w:pgMar w:left="220" w:top="670" w:right="219" w:bottom="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 w:type="dxa"/>
            <w:vAlign w:val="bottom"/>
          </w:tcPr>
          <w:p>
            <w:pPr>
              <w:spacing w:after="0"/>
              <w:rPr>
                <w:sz w:val="20"/>
                <w:szCs w:val="20"/>
                <w:color w:val="auto"/>
              </w:rPr>
            </w:pPr>
            <w:r>
              <w:rPr>
                <w:rFonts w:ascii="Arial" w:cs="Arial" w:eastAsia="Arial" w:hAnsi="Arial"/>
                <w:sz w:val="14"/>
                <w:szCs w:val="14"/>
                <w:color w:val="auto"/>
              </w:rPr>
              <w:t>101.SCH</w:t>
            </w:r>
          </w:p>
        </w:tc>
        <w:tc>
          <w:tcPr>
            <w:tcW w:w="10580" w:type="dxa"/>
            <w:vAlign w:val="bottom"/>
          </w:tcPr>
          <w:p>
            <w:pPr>
              <w:ind w:left="100"/>
              <w:spacing w:after="0"/>
              <w:rPr>
                <w:sz w:val="20"/>
                <w:szCs w:val="20"/>
                <w:color w:val="auto"/>
              </w:rPr>
            </w:pPr>
            <w:r>
              <w:rPr>
                <w:rFonts w:ascii="Arial" w:cs="Arial" w:eastAsia="Arial" w:hAnsi="Arial"/>
                <w:sz w:val="14"/>
                <w:szCs w:val="14"/>
                <w:color w:val="auto"/>
              </w:rPr>
              <w:t>- XBRL Taxonomy Extension Schema</w:t>
            </w:r>
          </w:p>
        </w:tc>
      </w:tr>
      <w:tr>
        <w:trPr>
          <w:trHeight w:val="204"/>
        </w:trPr>
        <w:tc>
          <w:tcPr>
            <w:tcW w:w="660" w:type="dxa"/>
            <w:vAlign w:val="bottom"/>
            <w:shd w:val="clear" w:color="auto" w:fill="C0C0C0"/>
          </w:tcPr>
          <w:p>
            <w:pPr>
              <w:spacing w:after="0"/>
              <w:rPr>
                <w:sz w:val="20"/>
                <w:szCs w:val="20"/>
                <w:color w:val="auto"/>
              </w:rPr>
            </w:pPr>
            <w:r>
              <w:rPr>
                <w:rFonts w:ascii="Arial" w:cs="Arial" w:eastAsia="Arial" w:hAnsi="Arial"/>
                <w:sz w:val="14"/>
                <w:szCs w:val="14"/>
                <w:color w:val="auto"/>
              </w:rPr>
              <w:t>101.CAL</w:t>
            </w:r>
          </w:p>
        </w:tc>
        <w:tc>
          <w:tcPr>
            <w:tcW w:w="10580" w:type="dxa"/>
            <w:vAlign w:val="bottom"/>
            <w:shd w:val="clear" w:color="auto" w:fill="C0C0C0"/>
          </w:tcPr>
          <w:p>
            <w:pPr>
              <w:ind w:left="100"/>
              <w:spacing w:after="0"/>
              <w:rPr>
                <w:sz w:val="20"/>
                <w:szCs w:val="20"/>
                <w:color w:val="auto"/>
              </w:rPr>
            </w:pPr>
            <w:r>
              <w:rPr>
                <w:rFonts w:ascii="Arial" w:cs="Arial" w:eastAsia="Arial" w:hAnsi="Arial"/>
                <w:sz w:val="14"/>
                <w:szCs w:val="14"/>
                <w:color w:val="auto"/>
              </w:rPr>
              <w:t>- XBRL Taxonomy Extension Calculation Linkbase</w:t>
            </w:r>
          </w:p>
        </w:tc>
      </w:tr>
      <w:tr>
        <w:trPr>
          <w:trHeight w:val="191"/>
        </w:trPr>
        <w:tc>
          <w:tcPr>
            <w:tcW w:w="660" w:type="dxa"/>
            <w:vAlign w:val="bottom"/>
          </w:tcPr>
          <w:p>
            <w:pPr>
              <w:spacing w:after="0"/>
              <w:rPr>
                <w:sz w:val="20"/>
                <w:szCs w:val="20"/>
                <w:color w:val="auto"/>
              </w:rPr>
            </w:pPr>
            <w:r>
              <w:rPr>
                <w:rFonts w:ascii="Arial" w:cs="Arial" w:eastAsia="Arial" w:hAnsi="Arial"/>
                <w:sz w:val="14"/>
                <w:szCs w:val="14"/>
                <w:color w:val="auto"/>
              </w:rPr>
              <w:t>101.LAB</w:t>
            </w:r>
          </w:p>
        </w:tc>
        <w:tc>
          <w:tcPr>
            <w:tcW w:w="10580" w:type="dxa"/>
            <w:vAlign w:val="bottom"/>
          </w:tcPr>
          <w:p>
            <w:pPr>
              <w:ind w:left="100"/>
              <w:spacing w:after="0"/>
              <w:rPr>
                <w:sz w:val="20"/>
                <w:szCs w:val="20"/>
                <w:color w:val="auto"/>
              </w:rPr>
            </w:pPr>
            <w:r>
              <w:rPr>
                <w:rFonts w:ascii="Arial" w:cs="Arial" w:eastAsia="Arial" w:hAnsi="Arial"/>
                <w:sz w:val="14"/>
                <w:szCs w:val="14"/>
                <w:color w:val="auto"/>
              </w:rPr>
              <w:t>- XBRL Taxonomy Extension Label Linkbase</w:t>
            </w:r>
          </w:p>
        </w:tc>
      </w:tr>
      <w:tr>
        <w:trPr>
          <w:trHeight w:val="204"/>
        </w:trPr>
        <w:tc>
          <w:tcPr>
            <w:tcW w:w="660" w:type="dxa"/>
            <w:vAlign w:val="bottom"/>
            <w:shd w:val="clear" w:color="auto" w:fill="C0C0C0"/>
          </w:tcPr>
          <w:p>
            <w:pPr>
              <w:spacing w:after="0"/>
              <w:rPr>
                <w:sz w:val="20"/>
                <w:szCs w:val="20"/>
                <w:color w:val="auto"/>
              </w:rPr>
            </w:pPr>
            <w:r>
              <w:rPr>
                <w:rFonts w:ascii="Arial" w:cs="Arial" w:eastAsia="Arial" w:hAnsi="Arial"/>
                <w:sz w:val="14"/>
                <w:szCs w:val="14"/>
                <w:color w:val="auto"/>
              </w:rPr>
              <w:t>101.PRE</w:t>
            </w:r>
          </w:p>
        </w:tc>
        <w:tc>
          <w:tcPr>
            <w:tcW w:w="10580" w:type="dxa"/>
            <w:vAlign w:val="bottom"/>
            <w:shd w:val="clear" w:color="auto" w:fill="C0C0C0"/>
          </w:tcPr>
          <w:p>
            <w:pPr>
              <w:ind w:left="100"/>
              <w:spacing w:after="0"/>
              <w:rPr>
                <w:sz w:val="20"/>
                <w:szCs w:val="20"/>
                <w:color w:val="auto"/>
              </w:rPr>
            </w:pPr>
            <w:r>
              <w:rPr>
                <w:rFonts w:ascii="Arial" w:cs="Arial" w:eastAsia="Arial" w:hAnsi="Arial"/>
                <w:sz w:val="14"/>
                <w:szCs w:val="14"/>
                <w:color w:val="auto"/>
              </w:rPr>
              <w:t>- XBRL Taxonomy Extension Presentation Linkbase</w:t>
            </w:r>
          </w:p>
        </w:tc>
      </w:tr>
      <w:tr>
        <w:trPr>
          <w:trHeight w:val="185"/>
        </w:trPr>
        <w:tc>
          <w:tcPr>
            <w:tcW w:w="660" w:type="dxa"/>
            <w:vAlign w:val="bottom"/>
          </w:tcPr>
          <w:p>
            <w:pPr>
              <w:spacing w:after="0"/>
              <w:rPr>
                <w:sz w:val="20"/>
                <w:szCs w:val="20"/>
                <w:color w:val="auto"/>
              </w:rPr>
            </w:pPr>
            <w:r>
              <w:rPr>
                <w:rFonts w:ascii="Arial" w:cs="Arial" w:eastAsia="Arial" w:hAnsi="Arial"/>
                <w:sz w:val="14"/>
                <w:szCs w:val="14"/>
                <w:color w:val="auto"/>
              </w:rPr>
              <w:t>101.DEF</w:t>
            </w:r>
          </w:p>
        </w:tc>
        <w:tc>
          <w:tcPr>
            <w:tcW w:w="10580" w:type="dxa"/>
            <w:vAlign w:val="bottom"/>
          </w:tcPr>
          <w:p>
            <w:pPr>
              <w:ind w:left="100"/>
              <w:spacing w:after="0"/>
              <w:rPr>
                <w:sz w:val="20"/>
                <w:szCs w:val="20"/>
                <w:color w:val="auto"/>
              </w:rPr>
            </w:pPr>
            <w:r>
              <w:rPr>
                <w:rFonts w:ascii="Arial" w:cs="Arial" w:eastAsia="Arial" w:hAnsi="Arial"/>
                <w:sz w:val="14"/>
                <w:szCs w:val="14"/>
                <w:color w:val="auto"/>
              </w:rPr>
              <w:t>- XBRL Taxonomy Extension Definition Document</w:t>
            </w:r>
          </w:p>
        </w:tc>
      </w:tr>
    </w:tbl>
    <w:p>
      <w:pPr>
        <w:spacing w:after="0" w:line="181" w:lineRule="exact"/>
        <w:rPr>
          <w:sz w:val="20"/>
          <w:szCs w:val="20"/>
          <w:color w:val="auto"/>
        </w:rPr>
      </w:pPr>
    </w:p>
    <w:p>
      <w:pPr>
        <w:jc w:val="center"/>
        <w:ind w:right="220"/>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178435</wp:posOffset>
            </wp:positionV>
            <wp:extent cx="7291705" cy="196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240"/>
          </w:cols>
          <w:pgMar w:left="440" w:top="143" w:right="219" w:bottom="1440" w:gutter="0" w:footer="0" w:header="0"/>
        </w:sectPr>
      </w:pPr>
    </w:p>
    <w:bookmarkStart w:id="71" w:name="page72"/>
    <w:bookmarkEnd w:id="71"/>
    <w:p>
      <w:pPr>
        <w:ind w:left="5320"/>
        <w:spacing w:after="0"/>
        <w:rPr>
          <w:sz w:val="20"/>
          <w:szCs w:val="20"/>
          <w:color w:val="auto"/>
        </w:rPr>
      </w:pPr>
      <w:r>
        <w:rPr>
          <w:rFonts w:ascii="Arial" w:cs="Arial" w:eastAsia="Arial" w:hAnsi="Arial"/>
          <w:sz w:val="14"/>
          <w:szCs w:val="14"/>
          <w:b w:val="1"/>
          <w:bCs w:val="1"/>
          <w:u w:val="single" w:color="auto"/>
          <w:color w:val="auto"/>
        </w:rPr>
        <w:t>SIGNATURE</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REGENERON PHARMACEUTICALS, INC.</w:t>
      </w:r>
    </w:p>
    <w:p>
      <w:pPr>
        <w:spacing w:after="0" w:line="234" w:lineRule="exact"/>
        <w:rPr>
          <w:sz w:val="20"/>
          <w:szCs w:val="20"/>
          <w:color w:val="auto"/>
        </w:rPr>
      </w:pPr>
    </w:p>
    <w:p>
      <w:pPr>
        <w:spacing w:after="0"/>
        <w:tabs>
          <w:tab w:leader="none" w:pos="5640" w:val="left"/>
        </w:tabs>
        <w:rPr>
          <w:sz w:val="20"/>
          <w:szCs w:val="20"/>
          <w:color w:val="auto"/>
        </w:rPr>
      </w:pPr>
      <w:r>
        <w:rPr>
          <w:rFonts w:ascii="Arial" w:cs="Arial" w:eastAsia="Arial" w:hAnsi="Arial"/>
          <w:sz w:val="14"/>
          <w:szCs w:val="14"/>
          <w:color w:val="auto"/>
        </w:rPr>
        <w:t>Date: October 27, 2011</w:t>
      </w:r>
      <w:r>
        <w:rPr>
          <w:sz w:val="20"/>
          <w:szCs w:val="20"/>
          <w:color w:val="auto"/>
        </w:rPr>
        <w:tab/>
      </w:r>
      <w:r>
        <w:rPr>
          <w:rFonts w:ascii="Arial" w:cs="Arial" w:eastAsia="Arial" w:hAnsi="Arial"/>
          <w:sz w:val="14"/>
          <w:szCs w:val="14"/>
          <w:color w:val="auto"/>
        </w:rPr>
        <w:t xml:space="preserve">By: </w:t>
      </w:r>
      <w:r>
        <w:rPr>
          <w:rFonts w:ascii="Arial" w:cs="Arial" w:eastAsia="Arial" w:hAnsi="Arial"/>
          <w:sz w:val="14"/>
          <w:szCs w:val="14"/>
          <w:u w:val="single" w:color="auto"/>
          <w:color w:val="auto"/>
        </w:rPr>
        <w:t>/s/ M</w:t>
      </w:r>
      <w:r>
        <w:rPr>
          <w:rFonts w:ascii="Arial" w:cs="Arial" w:eastAsia="Arial" w:hAnsi="Arial"/>
          <w:sz w:val="10"/>
          <w:szCs w:val="10"/>
          <w:u w:val="single" w:color="auto"/>
          <w:color w:val="auto"/>
        </w:rPr>
        <w:t>URRAY</w:t>
      </w:r>
      <w:r>
        <w:rPr>
          <w:rFonts w:ascii="Arial" w:cs="Arial" w:eastAsia="Arial" w:hAnsi="Arial"/>
          <w:sz w:val="14"/>
          <w:szCs w:val="14"/>
          <w:color w:val="auto"/>
        </w:rPr>
        <w:t xml:space="preserve"> </w:t>
      </w:r>
      <w:r>
        <w:rPr>
          <w:rFonts w:ascii="Arial" w:cs="Arial" w:eastAsia="Arial" w:hAnsi="Arial"/>
          <w:sz w:val="14"/>
          <w:szCs w:val="14"/>
          <w:u w:val="single" w:color="auto"/>
          <w:color w:val="auto"/>
        </w:rPr>
        <w:t>A. G</w:t>
      </w:r>
      <w:r>
        <w:rPr>
          <w:rFonts w:ascii="Arial" w:cs="Arial" w:eastAsia="Arial" w:hAnsi="Arial"/>
          <w:sz w:val="10"/>
          <w:szCs w:val="10"/>
          <w:u w:val="single" w:color="auto"/>
          <w:color w:val="auto"/>
        </w:rPr>
        <w:t>OLDBERG</w:t>
      </w:r>
    </w:p>
    <w:p>
      <w:pPr>
        <w:spacing w:after="0" w:line="245"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Murray A. Goldberg</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Senior Vice President, Finance &amp; Administration,</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Chief Financial Officer, Treasurer, and</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Assistant Secretary</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(Principal Financial Officer and</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Duly Authorized Officer)</w:t>
      </w:r>
    </w:p>
    <w:p>
      <w:pPr>
        <w:spacing w:after="0" w:line="20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7291705" cy="196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0460"/>
          </w:cols>
          <w:pgMar w:left="220" w:top="479" w:right="1219" w:bottom="1440" w:gutter="0" w:footer="0" w:header="0"/>
        </w:sectPr>
      </w:pPr>
    </w:p>
    <w:bookmarkStart w:id="72" w:name="page73"/>
    <w:bookmarkEnd w:id="72"/>
    <w:p>
      <w:pPr>
        <w:jc w:val="right"/>
        <w:spacing w:after="0"/>
        <w:rPr>
          <w:sz w:val="20"/>
          <w:szCs w:val="20"/>
          <w:color w:val="auto"/>
        </w:rPr>
      </w:pPr>
      <w:r>
        <w:rPr>
          <w:rFonts w:ascii="Arial" w:cs="Arial" w:eastAsia="Arial" w:hAnsi="Arial"/>
          <w:sz w:val="14"/>
          <w:szCs w:val="14"/>
          <w:b w:val="1"/>
          <w:bCs w:val="1"/>
          <w:color w:val="auto"/>
        </w:rPr>
        <w:t>Exhibit 10.1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EIGHTH AMENDMENT TO LEASE</w:t>
      </w:r>
    </w:p>
    <w:p>
      <w:pPr>
        <w:spacing w:after="0" w:line="236" w:lineRule="exact"/>
        <w:rPr>
          <w:sz w:val="20"/>
          <w:szCs w:val="20"/>
          <w:color w:val="auto"/>
        </w:rPr>
      </w:pPr>
    </w:p>
    <w:p>
      <w:pPr>
        <w:jc w:val="both"/>
        <w:ind w:firstLine="307"/>
        <w:spacing w:after="0" w:line="226" w:lineRule="auto"/>
        <w:rPr>
          <w:sz w:val="20"/>
          <w:szCs w:val="20"/>
          <w:color w:val="auto"/>
        </w:rPr>
      </w:pPr>
      <w:r>
        <w:rPr>
          <w:rFonts w:ascii="Arial" w:cs="Arial" w:eastAsia="Arial" w:hAnsi="Arial"/>
          <w:sz w:val="14"/>
          <w:szCs w:val="14"/>
          <w:color w:val="auto"/>
        </w:rPr>
        <w:t>THIS EIGHTH AMENDMENT TO LEASE (this “</w:t>
      </w:r>
      <w:r>
        <w:rPr>
          <w:rFonts w:ascii="Arial" w:cs="Arial" w:eastAsia="Arial" w:hAnsi="Arial"/>
          <w:sz w:val="14"/>
          <w:szCs w:val="14"/>
          <w:u w:val="single" w:color="auto"/>
          <w:color w:val="auto"/>
        </w:rPr>
        <w:t>Eighth Amendment</w:t>
      </w:r>
      <w:r>
        <w:rPr>
          <w:rFonts w:ascii="Arial" w:cs="Arial" w:eastAsia="Arial" w:hAnsi="Arial"/>
          <w:sz w:val="14"/>
          <w:szCs w:val="14"/>
          <w:color w:val="auto"/>
        </w:rPr>
        <w:t>”) is entered into as of this 1</w:t>
      </w:r>
      <w:r>
        <w:rPr>
          <w:rFonts w:ascii="Arial" w:cs="Arial" w:eastAsia="Arial" w:hAnsi="Arial"/>
          <w:sz w:val="19"/>
          <w:szCs w:val="19"/>
          <w:color w:val="auto"/>
          <w:vertAlign w:val="superscript"/>
        </w:rPr>
        <w:t>st</w:t>
      </w:r>
      <w:r>
        <w:rPr>
          <w:rFonts w:ascii="Arial" w:cs="Arial" w:eastAsia="Arial" w:hAnsi="Arial"/>
          <w:sz w:val="14"/>
          <w:szCs w:val="14"/>
          <w:color w:val="auto"/>
        </w:rPr>
        <w:t xml:space="preserve"> day of August, 2011 (the “</w:t>
      </w:r>
      <w:r>
        <w:rPr>
          <w:rFonts w:ascii="Arial" w:cs="Arial" w:eastAsia="Arial" w:hAnsi="Arial"/>
          <w:sz w:val="14"/>
          <w:szCs w:val="14"/>
          <w:u w:val="single" w:color="auto"/>
          <w:color w:val="auto"/>
        </w:rPr>
        <w:t>Execution Date</w:t>
      </w:r>
      <w:r>
        <w:rPr>
          <w:rFonts w:ascii="Arial" w:cs="Arial" w:eastAsia="Arial" w:hAnsi="Arial"/>
          <w:sz w:val="14"/>
          <w:szCs w:val="14"/>
          <w:color w:val="auto"/>
        </w:rPr>
        <w:t>”), by and between BMR-LANDMARK AT EASTVIEW LLC, a Delaware limited liability company (“</w:t>
      </w:r>
      <w:r>
        <w:rPr>
          <w:rFonts w:ascii="Arial" w:cs="Arial" w:eastAsia="Arial" w:hAnsi="Arial"/>
          <w:sz w:val="14"/>
          <w:szCs w:val="14"/>
          <w:u w:val="single" w:color="auto"/>
          <w:color w:val="auto"/>
        </w:rPr>
        <w:t>Landlord</w:t>
      </w:r>
      <w:r>
        <w:rPr>
          <w:rFonts w:ascii="Arial" w:cs="Arial" w:eastAsia="Arial" w:hAnsi="Arial"/>
          <w:sz w:val="14"/>
          <w:szCs w:val="14"/>
          <w:color w:val="auto"/>
        </w:rPr>
        <w:t>”), and REGENERON PHARMACEUTICALS, INC., a New York corporation (“</w:t>
      </w:r>
      <w:r>
        <w:rPr>
          <w:rFonts w:ascii="Arial" w:cs="Arial" w:eastAsia="Arial" w:hAnsi="Arial"/>
          <w:sz w:val="14"/>
          <w:szCs w:val="14"/>
          <w:u w:val="single" w:color="auto"/>
          <w:color w:val="auto"/>
        </w:rPr>
        <w:t>Tenant</w:t>
      </w:r>
      <w:r>
        <w:rPr>
          <w:rFonts w:ascii="Arial" w:cs="Arial" w:eastAsia="Arial" w:hAnsi="Arial"/>
          <w:sz w:val="14"/>
          <w:szCs w:val="14"/>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RECITALS</w:t>
      </w:r>
    </w:p>
    <w:p>
      <w:pPr>
        <w:spacing w:after="0" w:line="238" w:lineRule="exact"/>
        <w:rPr>
          <w:sz w:val="20"/>
          <w:szCs w:val="20"/>
          <w:color w:val="auto"/>
        </w:rPr>
      </w:pPr>
    </w:p>
    <w:p>
      <w:pPr>
        <w:jc w:val="both"/>
        <w:ind w:firstLine="274"/>
        <w:spacing w:after="0" w:line="290" w:lineRule="auto"/>
        <w:rPr>
          <w:sz w:val="20"/>
          <w:szCs w:val="20"/>
          <w:color w:val="auto"/>
        </w:rPr>
      </w:pPr>
      <w:r>
        <w:rPr>
          <w:rFonts w:ascii="Arial" w:cs="Arial" w:eastAsia="Arial" w:hAnsi="Arial"/>
          <w:sz w:val="13"/>
          <w:szCs w:val="13"/>
          <w:color w:val="auto"/>
        </w:rPr>
        <w:t>A. WHEREAS, Landlord and Tenant entered into that certain Lease dated as of December 21, 2006 (the “</w:t>
      </w:r>
      <w:r>
        <w:rPr>
          <w:rFonts w:ascii="Arial" w:cs="Arial" w:eastAsia="Arial" w:hAnsi="Arial"/>
          <w:sz w:val="13"/>
          <w:szCs w:val="13"/>
          <w:u w:val="single" w:color="auto"/>
          <w:color w:val="auto"/>
        </w:rPr>
        <w:t>Original Lease</w:t>
      </w:r>
      <w:r>
        <w:rPr>
          <w:rFonts w:ascii="Arial" w:cs="Arial" w:eastAsia="Arial" w:hAnsi="Arial"/>
          <w:sz w:val="13"/>
          <w:szCs w:val="13"/>
          <w:color w:val="auto"/>
        </w:rPr>
        <w:t>”), as amended by that certain First Amendment to Lease dated as of October 24, 2007 (the “</w:t>
      </w:r>
      <w:r>
        <w:rPr>
          <w:rFonts w:ascii="Arial" w:cs="Arial" w:eastAsia="Arial" w:hAnsi="Arial"/>
          <w:sz w:val="13"/>
          <w:szCs w:val="13"/>
          <w:u w:val="single" w:color="auto"/>
          <w:color w:val="auto"/>
        </w:rPr>
        <w:t>First Amendment</w:t>
      </w:r>
      <w:r>
        <w:rPr>
          <w:rFonts w:ascii="Arial" w:cs="Arial" w:eastAsia="Arial" w:hAnsi="Arial"/>
          <w:sz w:val="13"/>
          <w:szCs w:val="13"/>
          <w:color w:val="auto"/>
        </w:rPr>
        <w:t>”), that certain Second Amendment to Lease dated as of September 30, 2008 (the “</w:t>
      </w:r>
      <w:r>
        <w:rPr>
          <w:rFonts w:ascii="Arial" w:cs="Arial" w:eastAsia="Arial" w:hAnsi="Arial"/>
          <w:sz w:val="13"/>
          <w:szCs w:val="13"/>
          <w:u w:val="single" w:color="auto"/>
          <w:color w:val="auto"/>
        </w:rPr>
        <w:t>Second Amendment</w:t>
      </w:r>
      <w:r>
        <w:rPr>
          <w:rFonts w:ascii="Arial" w:cs="Arial" w:eastAsia="Arial" w:hAnsi="Arial"/>
          <w:sz w:val="13"/>
          <w:szCs w:val="13"/>
          <w:color w:val="auto"/>
        </w:rPr>
        <w:t>”), that certain Third Amendment to Lease dated as of April 29, 2009 (the “</w:t>
      </w:r>
      <w:r>
        <w:rPr>
          <w:rFonts w:ascii="Arial" w:cs="Arial" w:eastAsia="Arial" w:hAnsi="Arial"/>
          <w:sz w:val="13"/>
          <w:szCs w:val="13"/>
          <w:u w:val="single" w:color="auto"/>
          <w:color w:val="auto"/>
        </w:rPr>
        <w:t>Third Amendment</w:t>
      </w:r>
      <w:r>
        <w:rPr>
          <w:rFonts w:ascii="Arial" w:cs="Arial" w:eastAsia="Arial" w:hAnsi="Arial"/>
          <w:sz w:val="13"/>
          <w:szCs w:val="13"/>
          <w:color w:val="auto"/>
        </w:rPr>
        <w:t>”), that certain Fourth Amendment to Lease dated as of December 3, 2009 (the “</w:t>
      </w:r>
      <w:r>
        <w:rPr>
          <w:rFonts w:ascii="Arial" w:cs="Arial" w:eastAsia="Arial" w:hAnsi="Arial"/>
          <w:sz w:val="13"/>
          <w:szCs w:val="13"/>
          <w:u w:val="single" w:color="auto"/>
          <w:color w:val="auto"/>
        </w:rPr>
        <w:t>Fourth Amendment</w:t>
      </w:r>
      <w:r>
        <w:rPr>
          <w:rFonts w:ascii="Arial" w:cs="Arial" w:eastAsia="Arial" w:hAnsi="Arial"/>
          <w:sz w:val="13"/>
          <w:szCs w:val="13"/>
          <w:color w:val="auto"/>
        </w:rPr>
        <w:t>”), that certain Fifth Amendment to Lease dated as of February 11, 2010 (the “</w:t>
      </w:r>
      <w:r>
        <w:rPr>
          <w:rFonts w:ascii="Arial" w:cs="Arial" w:eastAsia="Arial" w:hAnsi="Arial"/>
          <w:sz w:val="13"/>
          <w:szCs w:val="13"/>
          <w:u w:val="single" w:color="auto"/>
          <w:color w:val="auto"/>
        </w:rPr>
        <w:t>Fifth Amendment</w:t>
      </w:r>
      <w:r>
        <w:rPr>
          <w:rFonts w:ascii="Arial" w:cs="Arial" w:eastAsia="Arial" w:hAnsi="Arial"/>
          <w:sz w:val="13"/>
          <w:szCs w:val="13"/>
          <w:color w:val="auto"/>
        </w:rPr>
        <w:t>”), that certain Sixth Amendment to Lease dated as of June 4, 2010 (the “</w:t>
      </w:r>
      <w:r>
        <w:rPr>
          <w:rFonts w:ascii="Arial" w:cs="Arial" w:eastAsia="Arial" w:hAnsi="Arial"/>
          <w:sz w:val="13"/>
          <w:szCs w:val="13"/>
          <w:u w:val="single" w:color="auto"/>
          <w:color w:val="auto"/>
        </w:rPr>
        <w:t>Sixth Amendment</w:t>
      </w:r>
      <w:r>
        <w:rPr>
          <w:rFonts w:ascii="Arial" w:cs="Arial" w:eastAsia="Arial" w:hAnsi="Arial"/>
          <w:sz w:val="13"/>
          <w:szCs w:val="13"/>
          <w:color w:val="auto"/>
        </w:rPr>
        <w:t>”), and that certain Seventh Amendment to Lease dated as of December 22, 2010 (the “</w:t>
      </w:r>
      <w:r>
        <w:rPr>
          <w:rFonts w:ascii="Arial" w:cs="Arial" w:eastAsia="Arial" w:hAnsi="Arial"/>
          <w:sz w:val="13"/>
          <w:szCs w:val="13"/>
          <w:u w:val="single" w:color="auto"/>
          <w:color w:val="auto"/>
        </w:rPr>
        <w:t>Seventh Amendment</w:t>
      </w:r>
      <w:r>
        <w:rPr>
          <w:rFonts w:ascii="Arial" w:cs="Arial" w:eastAsia="Arial" w:hAnsi="Arial"/>
          <w:sz w:val="13"/>
          <w:szCs w:val="13"/>
          <w:color w:val="auto"/>
        </w:rPr>
        <w:t>” and, collectively with the Original Lease and the First Amendment, Second Amendment, Third Amendment, Fourth Amendment, Fifth Amendment and Sixth Amendment, and as the same may have been further amended, supplemented or otherwise modified from time to time, the “</w:t>
      </w:r>
      <w:r>
        <w:rPr>
          <w:rFonts w:ascii="Arial" w:cs="Arial" w:eastAsia="Arial" w:hAnsi="Arial"/>
          <w:sz w:val="13"/>
          <w:szCs w:val="13"/>
          <w:u w:val="single" w:color="auto"/>
          <w:color w:val="auto"/>
        </w:rPr>
        <w:t>Lease</w:t>
      </w:r>
      <w:r>
        <w:rPr>
          <w:rFonts w:ascii="Arial" w:cs="Arial" w:eastAsia="Arial" w:hAnsi="Arial"/>
          <w:sz w:val="13"/>
          <w:szCs w:val="13"/>
          <w:color w:val="auto"/>
        </w:rPr>
        <w:t>”), whereby Tenant leases certain premises (the “</w:t>
      </w:r>
      <w:r>
        <w:rPr>
          <w:rFonts w:ascii="Arial" w:cs="Arial" w:eastAsia="Arial" w:hAnsi="Arial"/>
          <w:sz w:val="13"/>
          <w:szCs w:val="13"/>
          <w:u w:val="single" w:color="auto"/>
          <w:color w:val="auto"/>
        </w:rPr>
        <w:t>Premises</w:t>
      </w:r>
      <w:r>
        <w:rPr>
          <w:rFonts w:ascii="Arial" w:cs="Arial" w:eastAsia="Arial" w:hAnsi="Arial"/>
          <w:sz w:val="13"/>
          <w:szCs w:val="13"/>
          <w:color w:val="auto"/>
        </w:rPr>
        <w:t>”) from Landlord at 735, 745, 755, 765 and 777 Old Saw Mill River Road in Tarrytown, New York (collectively, the “</w:t>
      </w:r>
      <w:r>
        <w:rPr>
          <w:rFonts w:ascii="Arial" w:cs="Arial" w:eastAsia="Arial" w:hAnsi="Arial"/>
          <w:sz w:val="13"/>
          <w:szCs w:val="13"/>
          <w:u w:val="single" w:color="auto"/>
          <w:color w:val="auto"/>
        </w:rPr>
        <w:t>Buildings</w:t>
      </w:r>
      <w:r>
        <w:rPr>
          <w:rFonts w:ascii="Arial" w:cs="Arial" w:eastAsia="Arial" w:hAnsi="Arial"/>
          <w:sz w:val="13"/>
          <w:szCs w:val="13"/>
          <w:color w:val="auto"/>
        </w:rPr>
        <w:t>”, and each a “</w:t>
      </w:r>
      <w:r>
        <w:rPr>
          <w:rFonts w:ascii="Arial" w:cs="Arial" w:eastAsia="Arial" w:hAnsi="Arial"/>
          <w:sz w:val="13"/>
          <w:szCs w:val="13"/>
          <w:u w:val="single" w:color="auto"/>
          <w:color w:val="auto"/>
        </w:rPr>
        <w:t>Building</w:t>
      </w:r>
      <w:r>
        <w:rPr>
          <w:rFonts w:ascii="Arial" w:cs="Arial" w:eastAsia="Arial" w:hAnsi="Arial"/>
          <w:sz w:val="13"/>
          <w:szCs w:val="13"/>
          <w:color w:val="auto"/>
        </w:rPr>
        <w:t>”);</w:t>
      </w:r>
    </w:p>
    <w:p>
      <w:pPr>
        <w:spacing w:after="0" w:line="184" w:lineRule="exact"/>
        <w:rPr>
          <w:sz w:val="20"/>
          <w:szCs w:val="20"/>
          <w:color w:val="auto"/>
        </w:rPr>
      </w:pPr>
    </w:p>
    <w:p>
      <w:pPr>
        <w:jc w:val="both"/>
        <w:ind w:firstLine="351"/>
        <w:spacing w:after="0" w:line="276" w:lineRule="auto"/>
        <w:rPr>
          <w:sz w:val="20"/>
          <w:szCs w:val="20"/>
          <w:color w:val="auto"/>
        </w:rPr>
      </w:pPr>
      <w:r>
        <w:rPr>
          <w:rFonts w:ascii="Arial" w:cs="Arial" w:eastAsia="Arial" w:hAnsi="Arial"/>
          <w:sz w:val="14"/>
          <w:szCs w:val="14"/>
          <w:color w:val="auto"/>
        </w:rPr>
        <w:t>B. WHEREAS, Landlord and Tenant are parties to that certain Space License Agreement (“</w:t>
      </w:r>
      <w:r>
        <w:rPr>
          <w:rFonts w:ascii="Arial" w:cs="Arial" w:eastAsia="Arial" w:hAnsi="Arial"/>
          <w:sz w:val="14"/>
          <w:szCs w:val="14"/>
          <w:u w:val="single" w:color="auto"/>
          <w:color w:val="auto"/>
        </w:rPr>
        <w:t>Space License</w:t>
      </w:r>
      <w:r>
        <w:rPr>
          <w:rFonts w:ascii="Arial" w:cs="Arial" w:eastAsia="Arial" w:hAnsi="Arial"/>
          <w:sz w:val="14"/>
          <w:szCs w:val="14"/>
          <w:color w:val="auto"/>
        </w:rPr>
        <w:t>”) dated as of the December 3, 2009 whereby Tenant licenses from Landlord approximately Six Thousand Five Hundred Sixty-Eight (6,568) square feet of Rentable Area on the S-Level of the building located at 777 Old Saw Mill River Road in Tarrytown, New York (the “</w:t>
      </w:r>
      <w:r>
        <w:rPr>
          <w:rFonts w:ascii="Arial" w:cs="Arial" w:eastAsia="Arial" w:hAnsi="Arial"/>
          <w:sz w:val="14"/>
          <w:szCs w:val="14"/>
          <w:u w:val="single" w:color="auto"/>
          <w:color w:val="auto"/>
        </w:rPr>
        <w:t>777</w:t>
      </w:r>
      <w:r>
        <w:rPr>
          <w:rFonts w:ascii="Arial" w:cs="Arial" w:eastAsia="Arial" w:hAnsi="Arial"/>
          <w:sz w:val="14"/>
          <w:szCs w:val="14"/>
          <w:color w:val="auto"/>
        </w:rPr>
        <w:t xml:space="preserve"> </w:t>
      </w:r>
      <w:r>
        <w:rPr>
          <w:rFonts w:ascii="Arial" w:cs="Arial" w:eastAsia="Arial" w:hAnsi="Arial"/>
          <w:sz w:val="14"/>
          <w:szCs w:val="14"/>
          <w:u w:val="single" w:color="auto"/>
          <w:color w:val="auto"/>
        </w:rPr>
        <w:t>License Area Premises</w:t>
      </w:r>
      <w:r>
        <w:rPr>
          <w:rFonts w:ascii="Arial" w:cs="Arial" w:eastAsia="Arial" w:hAnsi="Arial"/>
          <w:sz w:val="14"/>
          <w:szCs w:val="14"/>
          <w:color w:val="auto"/>
        </w:rPr>
        <w:t>”);</w:t>
      </w:r>
    </w:p>
    <w:p>
      <w:pPr>
        <w:spacing w:after="0" w:line="191" w:lineRule="exact"/>
        <w:rPr>
          <w:sz w:val="20"/>
          <w:szCs w:val="20"/>
          <w:color w:val="auto"/>
        </w:rPr>
      </w:pPr>
    </w:p>
    <w:p>
      <w:pPr>
        <w:jc w:val="both"/>
        <w:ind w:firstLine="219"/>
        <w:spacing w:after="0" w:line="291" w:lineRule="auto"/>
        <w:rPr>
          <w:sz w:val="20"/>
          <w:szCs w:val="20"/>
          <w:color w:val="auto"/>
        </w:rPr>
      </w:pPr>
      <w:r>
        <w:rPr>
          <w:rFonts w:ascii="Arial" w:cs="Arial" w:eastAsia="Arial" w:hAnsi="Arial"/>
          <w:sz w:val="14"/>
          <w:szCs w:val="14"/>
          <w:color w:val="auto"/>
        </w:rPr>
        <w:t xml:space="preserve">C. WHEREAS, Tenant desires to exercise the option set forth in </w:t>
      </w:r>
      <w:r>
        <w:rPr>
          <w:rFonts w:ascii="Arial" w:cs="Arial" w:eastAsia="Arial" w:hAnsi="Arial"/>
          <w:sz w:val="14"/>
          <w:szCs w:val="14"/>
          <w:u w:val="single" w:color="auto"/>
          <w:color w:val="auto"/>
        </w:rPr>
        <w:t>Article 25</w:t>
      </w:r>
      <w:r>
        <w:rPr>
          <w:rFonts w:ascii="Arial" w:cs="Arial" w:eastAsia="Arial" w:hAnsi="Arial"/>
          <w:sz w:val="14"/>
          <w:szCs w:val="14"/>
          <w:color w:val="auto"/>
        </w:rPr>
        <w:t xml:space="preserve"> of the Space License to lease from Landlord the 777 License Area Premises, as shown on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attached hereto, and Landlord desires to lease to Tenant the 777 License Area Premises;</w:t>
      </w:r>
    </w:p>
    <w:p>
      <w:pPr>
        <w:spacing w:after="0" w:line="178" w:lineRule="exact"/>
        <w:rPr>
          <w:sz w:val="20"/>
          <w:szCs w:val="20"/>
          <w:color w:val="auto"/>
        </w:rPr>
      </w:pPr>
    </w:p>
    <w:p>
      <w:pPr>
        <w:jc w:val="both"/>
        <w:ind w:firstLine="219"/>
        <w:spacing w:after="0" w:line="226" w:lineRule="auto"/>
        <w:rPr>
          <w:sz w:val="20"/>
          <w:szCs w:val="20"/>
          <w:color w:val="auto"/>
        </w:rPr>
      </w:pPr>
      <w:r>
        <w:rPr>
          <w:rFonts w:ascii="Arial" w:cs="Arial" w:eastAsia="Arial" w:hAnsi="Arial"/>
          <w:sz w:val="14"/>
          <w:szCs w:val="14"/>
          <w:color w:val="auto"/>
        </w:rPr>
        <w:t>D. WHEREAS, Tenant desires to lease from Landlord and Landlord desires to lease to Tenant approximately Four Hundred Forty-Nine (449) square feet of Rentable Area on the third (3</w:t>
      </w:r>
      <w:r>
        <w:rPr>
          <w:rFonts w:ascii="Arial" w:cs="Arial" w:eastAsia="Arial" w:hAnsi="Arial"/>
          <w:sz w:val="19"/>
          <w:szCs w:val="19"/>
          <w:color w:val="auto"/>
          <w:vertAlign w:val="superscript"/>
        </w:rPr>
        <w:t>rd</w:t>
      </w:r>
      <w:r>
        <w:rPr>
          <w:rFonts w:ascii="Arial" w:cs="Arial" w:eastAsia="Arial" w:hAnsi="Arial"/>
          <w:sz w:val="14"/>
          <w:szCs w:val="14"/>
          <w:color w:val="auto"/>
        </w:rPr>
        <w:t xml:space="preserve">) floor of the building located at 765 Old Saw Mill River Road in Tarrytown, New York, as shown on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attached hereto (the “</w:t>
      </w:r>
      <w:r>
        <w:rPr>
          <w:rFonts w:ascii="Arial" w:cs="Arial" w:eastAsia="Arial" w:hAnsi="Arial"/>
          <w:sz w:val="14"/>
          <w:szCs w:val="14"/>
          <w:u w:val="single" w:color="auto"/>
          <w:color w:val="auto"/>
        </w:rPr>
        <w:t>765 Elevator Lobby Premises</w:t>
      </w:r>
      <w:r>
        <w:rPr>
          <w:rFonts w:ascii="Arial" w:cs="Arial" w:eastAsia="Arial" w:hAnsi="Arial"/>
          <w:sz w:val="14"/>
          <w:szCs w:val="14"/>
          <w:color w:val="auto"/>
        </w:rPr>
        <w:t>”); and</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E. WHEREAS, Landlord and Tenant desire to modify and amend the Lease only in the respects and on the conditions hereinafter stated.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326" w:right="219" w:bottom="1440" w:gutter="0" w:footer="0" w:header="0"/>
        </w:sectPr>
      </w:pPr>
    </w:p>
    <w:bookmarkStart w:id="73" w:name="page74"/>
    <w:bookmarkEnd w:id="73"/>
    <w:p>
      <w:pPr>
        <w:jc w:val="center"/>
        <w:spacing w:after="0"/>
        <w:rPr>
          <w:sz w:val="20"/>
          <w:szCs w:val="20"/>
          <w:color w:val="auto"/>
        </w:rPr>
      </w:pPr>
      <w:r>
        <w:rPr>
          <w:rFonts w:ascii="Arial" w:cs="Arial" w:eastAsia="Arial" w:hAnsi="Arial"/>
          <w:sz w:val="14"/>
          <w:szCs w:val="14"/>
          <w:b w:val="1"/>
          <w:bCs w:val="1"/>
          <w:u w:val="single" w:color="auto"/>
          <w:color w:val="auto"/>
        </w:rPr>
        <w:t>AGREEMENT</w:t>
      </w:r>
    </w:p>
    <w:p>
      <w:pPr>
        <w:spacing w:after="0" w:line="238" w:lineRule="exact"/>
        <w:rPr>
          <w:sz w:val="20"/>
          <w:szCs w:val="20"/>
          <w:color w:val="auto"/>
        </w:rPr>
      </w:pPr>
    </w:p>
    <w:p>
      <w:pPr>
        <w:ind w:firstLine="219"/>
        <w:spacing w:after="0" w:line="291" w:lineRule="auto"/>
        <w:rPr>
          <w:sz w:val="20"/>
          <w:szCs w:val="20"/>
          <w:color w:val="auto"/>
        </w:rPr>
      </w:pPr>
      <w:r>
        <w:rPr>
          <w:rFonts w:ascii="Arial" w:cs="Arial" w:eastAsia="Arial" w:hAnsi="Arial"/>
          <w:sz w:val="14"/>
          <w:szCs w:val="14"/>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80" w:lineRule="exact"/>
        <w:rPr>
          <w:sz w:val="20"/>
          <w:szCs w:val="20"/>
          <w:color w:val="auto"/>
        </w:rPr>
      </w:pPr>
    </w:p>
    <w:p>
      <w:pPr>
        <w:ind w:firstLine="260"/>
        <w:spacing w:after="0" w:line="291" w:lineRule="auto"/>
        <w:tabs>
          <w:tab w:leader="none" w:pos="395" w:val="left"/>
        </w:tabs>
        <w:numPr>
          <w:ilvl w:val="1"/>
          <w:numId w:val="4"/>
        </w:numPr>
        <w:rPr>
          <w:rFonts w:ascii="Arial" w:cs="Arial" w:eastAsia="Arial" w:hAnsi="Arial"/>
          <w:sz w:val="14"/>
          <w:szCs w:val="14"/>
          <w:color w:val="auto"/>
        </w:rPr>
      </w:pPr>
      <w:r>
        <w:rPr>
          <w:rFonts w:ascii="Arial" w:cs="Arial" w:eastAsia="Arial" w:hAnsi="Arial"/>
          <w:sz w:val="14"/>
          <w:szCs w:val="14"/>
          <w:u w:val="single" w:color="auto"/>
          <w:color w:val="auto"/>
        </w:rPr>
        <w:t>Definitions</w:t>
      </w:r>
      <w:r>
        <w:rPr>
          <w:rFonts w:ascii="Arial" w:cs="Arial" w:eastAsia="Arial" w:hAnsi="Arial"/>
          <w:sz w:val="14"/>
          <w:szCs w:val="14"/>
          <w:color w:val="auto"/>
        </w:rPr>
        <w:t>. For purposes of this Eighth Amendment, capitalized terms shall have the meanings ascribed to them in the Lease unless otherwise defined herein. The Lease, as amended by this Eighth Amendment, is referred to herein as the “</w:t>
      </w:r>
      <w:r>
        <w:rPr>
          <w:rFonts w:ascii="Arial" w:cs="Arial" w:eastAsia="Arial" w:hAnsi="Arial"/>
          <w:sz w:val="14"/>
          <w:szCs w:val="14"/>
          <w:u w:val="single" w:color="auto"/>
          <w:color w:val="auto"/>
        </w:rPr>
        <w:t>Amended Lease</w:t>
      </w:r>
      <w:r>
        <w:rPr>
          <w:rFonts w:ascii="Arial" w:cs="Arial" w:eastAsia="Arial" w:hAnsi="Arial"/>
          <w:sz w:val="14"/>
          <w:szCs w:val="14"/>
          <w:color w:val="auto"/>
        </w:rPr>
        <w:t>.”</w:t>
      </w:r>
    </w:p>
    <w:p>
      <w:pPr>
        <w:spacing w:after="0" w:line="180" w:lineRule="exact"/>
        <w:rPr>
          <w:rFonts w:ascii="Arial" w:cs="Arial" w:eastAsia="Arial" w:hAnsi="Arial"/>
          <w:sz w:val="14"/>
          <w:szCs w:val="14"/>
          <w:color w:val="auto"/>
        </w:rPr>
      </w:pPr>
    </w:p>
    <w:p>
      <w:pPr>
        <w:ind w:left="360" w:hanging="133"/>
        <w:spacing w:after="0"/>
        <w:tabs>
          <w:tab w:leader="none" w:pos="360" w:val="left"/>
        </w:tabs>
        <w:numPr>
          <w:ilvl w:val="0"/>
          <w:numId w:val="5"/>
        </w:numPr>
        <w:rPr>
          <w:rFonts w:ascii="Arial" w:cs="Arial" w:eastAsia="Arial" w:hAnsi="Arial"/>
          <w:sz w:val="14"/>
          <w:szCs w:val="14"/>
          <w:color w:val="auto"/>
        </w:rPr>
      </w:pPr>
      <w:r>
        <w:rPr>
          <w:rFonts w:ascii="Arial" w:cs="Arial" w:eastAsia="Arial" w:hAnsi="Arial"/>
          <w:sz w:val="14"/>
          <w:szCs w:val="14"/>
          <w:u w:val="single" w:color="auto"/>
          <w:color w:val="auto"/>
        </w:rPr>
        <w:t>Additions to Premises</w:t>
      </w:r>
      <w:r>
        <w:rPr>
          <w:rFonts w:ascii="Arial" w:cs="Arial" w:eastAsia="Arial" w:hAnsi="Arial"/>
          <w:sz w:val="14"/>
          <w:szCs w:val="14"/>
          <w:color w:val="auto"/>
        </w:rPr>
        <w:t>. Landlord hereby leases to Tenant, and Tenant hereby leases from Landlord, the following space on the following terms:</w:t>
      </w:r>
    </w:p>
    <w:p>
      <w:pPr>
        <w:spacing w:after="0" w:line="233" w:lineRule="exact"/>
        <w:rPr>
          <w:rFonts w:ascii="Arial" w:cs="Arial" w:eastAsia="Arial" w:hAnsi="Arial"/>
          <w:sz w:val="14"/>
          <w:szCs w:val="14"/>
          <w:color w:val="auto"/>
        </w:rPr>
      </w:pPr>
    </w:p>
    <w:p>
      <w:pPr>
        <w:jc w:val="both"/>
        <w:ind w:firstLine="501"/>
        <w:spacing w:after="0" w:line="278" w:lineRule="auto"/>
        <w:tabs>
          <w:tab w:leader="none" w:pos="687" w:val="left"/>
        </w:tabs>
        <w:numPr>
          <w:ilvl w:val="2"/>
          <w:numId w:val="5"/>
        </w:numPr>
        <w:rPr>
          <w:rFonts w:ascii="Arial" w:cs="Arial" w:eastAsia="Arial" w:hAnsi="Arial"/>
          <w:sz w:val="13"/>
          <w:szCs w:val="13"/>
          <w:color w:val="auto"/>
        </w:rPr>
      </w:pPr>
      <w:r>
        <w:rPr>
          <w:rFonts w:ascii="Arial" w:cs="Arial" w:eastAsia="Arial" w:hAnsi="Arial"/>
          <w:sz w:val="13"/>
          <w:szCs w:val="13"/>
          <w:color w:val="auto"/>
        </w:rPr>
        <w:t xml:space="preserve">the 777 License Area Premises, effective as of the Execution Date. The parties acknowledge that Tenant has been licensing the 777 License Area Premises pursuant to the Space License. Effective as of the Execution Date, the 777 License Area Premises shall be included in the Amended Lease as a part of the Premises and the 777 License Area Premises shall be governed in all respects by the Amended Lease. The Term for the 777 License Area Premises shall expire on the Term Expiration Date for the New Premises, subject to (i) Tenant’s option to extend the Term of the Lease as provided in </w:t>
      </w:r>
      <w:r>
        <w:rPr>
          <w:rFonts w:ascii="Arial" w:cs="Arial" w:eastAsia="Arial" w:hAnsi="Arial"/>
          <w:sz w:val="13"/>
          <w:szCs w:val="13"/>
          <w:u w:val="single" w:color="auto"/>
          <w:color w:val="auto"/>
        </w:rPr>
        <w:t>Article 44</w:t>
      </w:r>
      <w:r>
        <w:rPr>
          <w:rFonts w:ascii="Arial" w:cs="Arial" w:eastAsia="Arial" w:hAnsi="Arial"/>
          <w:sz w:val="13"/>
          <w:szCs w:val="13"/>
          <w:color w:val="auto"/>
        </w:rPr>
        <w:t xml:space="preserve"> of the Amended Lease and (ii) Tenant’s termination option set forth in </w:t>
      </w:r>
      <w:r>
        <w:rPr>
          <w:rFonts w:ascii="Arial" w:cs="Arial" w:eastAsia="Arial" w:hAnsi="Arial"/>
          <w:sz w:val="13"/>
          <w:szCs w:val="13"/>
          <w:u w:val="single" w:color="auto"/>
          <w:color w:val="auto"/>
        </w:rPr>
        <w:t>Section 5(a)</w:t>
      </w:r>
      <w:r>
        <w:rPr>
          <w:rFonts w:ascii="Arial" w:cs="Arial" w:eastAsia="Arial" w:hAnsi="Arial"/>
          <w:sz w:val="13"/>
          <w:szCs w:val="13"/>
          <w:color w:val="auto"/>
        </w:rPr>
        <w:t xml:space="preserve"> below. Commencing as of the date Landlord delivers the 777 License Area Premises to Tenant and continuing through the Term, and subject to the provisions of </w:t>
      </w:r>
      <w:r>
        <w:rPr>
          <w:rFonts w:ascii="Arial" w:cs="Arial" w:eastAsia="Arial" w:hAnsi="Arial"/>
          <w:sz w:val="13"/>
          <w:szCs w:val="13"/>
          <w:u w:val="single" w:color="auto"/>
          <w:color w:val="auto"/>
        </w:rPr>
        <w:t>Section 5</w:t>
      </w:r>
      <w:r>
        <w:rPr>
          <w:rFonts w:ascii="Arial" w:cs="Arial" w:eastAsia="Arial" w:hAnsi="Arial"/>
          <w:sz w:val="13"/>
          <w:szCs w:val="13"/>
          <w:color w:val="auto"/>
        </w:rPr>
        <w:t xml:space="preserve"> hereof, Tenant shall pay to Landlord Basic Annual Rent for the 777 License Area Premises at an initial rate equal to Thirty-Four and 85/100 Dollars ($34.85) per square foot of Rentable Area per year in accordance with the terms for payment of Basic Annual Rent set forth in the Lease. Basic Annual Rent for the 777 License Area Premises shall increase annually every July 1</w:t>
      </w:r>
      <w:r>
        <w:rPr>
          <w:rFonts w:ascii="Arial" w:cs="Arial" w:eastAsia="Arial" w:hAnsi="Arial"/>
          <w:sz w:val="17"/>
          <w:szCs w:val="17"/>
          <w:color w:val="auto"/>
          <w:vertAlign w:val="superscript"/>
        </w:rPr>
        <w:t>st</w:t>
      </w:r>
      <w:r>
        <w:rPr>
          <w:rFonts w:ascii="Arial" w:cs="Arial" w:eastAsia="Arial" w:hAnsi="Arial"/>
          <w:sz w:val="13"/>
          <w:szCs w:val="13"/>
          <w:color w:val="auto"/>
        </w:rPr>
        <w:t xml:space="preserve"> by two and one-half percent (2.5%) of the then-current applicable Basic Annual Rent, commencing as of July 1, 2012. In addition to Basic Annual Rent, commencing as of the date that Landlord delivers the 777 License Area Premises to Tenant, Tenant shall pay to Landlord as Additional Rent, at times specified in the Amended Lease, Tenant’s Pro Rata Share of Operating Expenses with respect to the 777 License Area Premises. For the avoidance of doubt, HVAC for the 777 License Area Premises shall be calculated in the same manner as provided in the Amended Lease with respect to the Retained Premises, and the 777 License Area Premises shall be treated as Retained Premises for the purposes of allocation of the CAM Pool Charges in accordance with </w:t>
      </w:r>
      <w:r>
        <w:rPr>
          <w:rFonts w:ascii="Arial" w:cs="Arial" w:eastAsia="Arial" w:hAnsi="Arial"/>
          <w:sz w:val="13"/>
          <w:szCs w:val="13"/>
          <w:u w:val="single" w:color="auto"/>
          <w:color w:val="auto"/>
        </w:rPr>
        <w:t>Exhibit O</w:t>
      </w:r>
      <w:r>
        <w:rPr>
          <w:rFonts w:ascii="Arial" w:cs="Arial" w:eastAsia="Arial" w:hAnsi="Arial"/>
          <w:sz w:val="13"/>
          <w:szCs w:val="13"/>
          <w:color w:val="auto"/>
        </w:rPr>
        <w:t xml:space="preserve"> of the Amended Lease (as of the Term commencement date for the 777 License Area Premises);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74" w:name="page75"/>
    <w:bookmarkEnd w:id="74"/>
    <w:p>
      <w:pPr>
        <w:jc w:val="both"/>
        <w:ind w:firstLine="589"/>
        <w:spacing w:after="0" w:line="284" w:lineRule="auto"/>
        <w:tabs>
          <w:tab w:leader="none" w:pos="794" w:val="left"/>
        </w:tabs>
        <w:numPr>
          <w:ilvl w:val="4"/>
          <w:numId w:val="6"/>
        </w:numPr>
        <w:rPr>
          <w:rFonts w:ascii="Arial" w:cs="Arial" w:eastAsia="Arial" w:hAnsi="Arial"/>
          <w:sz w:val="13"/>
          <w:szCs w:val="13"/>
          <w:color w:val="auto"/>
        </w:rPr>
      </w:pPr>
      <w:r>
        <w:rPr>
          <w:rFonts w:ascii="Arial" w:cs="Arial" w:eastAsia="Arial" w:hAnsi="Arial"/>
          <w:sz w:val="13"/>
          <w:szCs w:val="13"/>
          <w:color w:val="auto"/>
        </w:rPr>
        <w:t>the 765 Elevator Lobby Premises, effective as of the “</w:t>
      </w:r>
      <w:r>
        <w:rPr>
          <w:rFonts w:ascii="Arial" w:cs="Arial" w:eastAsia="Arial" w:hAnsi="Arial"/>
          <w:sz w:val="13"/>
          <w:szCs w:val="13"/>
          <w:u w:val="single" w:color="auto"/>
          <w:color w:val="auto"/>
        </w:rPr>
        <w:t>765 Elevator Lobby Premises Commencement Date</w:t>
      </w:r>
      <w:r>
        <w:rPr>
          <w:rFonts w:ascii="Arial" w:cs="Arial" w:eastAsia="Arial" w:hAnsi="Arial"/>
          <w:sz w:val="13"/>
          <w:szCs w:val="13"/>
          <w:color w:val="auto"/>
        </w:rPr>
        <w:t>,” which shall be the earlier of (i) fifteen (15) business days following the Execution Date and (ii) the date that Tenant completes construction of a demising wall (“</w:t>
      </w:r>
      <w:r>
        <w:rPr>
          <w:rFonts w:ascii="Arial" w:cs="Arial" w:eastAsia="Arial" w:hAnsi="Arial"/>
          <w:sz w:val="13"/>
          <w:szCs w:val="13"/>
          <w:u w:val="single" w:color="auto"/>
          <w:color w:val="auto"/>
        </w:rPr>
        <w:t>Demising Wall</w:t>
      </w:r>
      <w:r>
        <w:rPr>
          <w:rFonts w:ascii="Arial" w:cs="Arial" w:eastAsia="Arial" w:hAnsi="Arial"/>
          <w:sz w:val="13"/>
          <w:szCs w:val="13"/>
          <w:color w:val="auto"/>
        </w:rPr>
        <w:t xml:space="preserve">”), in approximately the location depicted in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at Tenant’s sole cost and expense. No construction management fee shall be paid to Landlord based upon the cost of installing the Demising Wall. The Term for the 765 Elevator Lobby Premises shall expire on the Term Expiration Date for the New Premises, subject to (A) Tenant’s option to extend the Term of the Lease as provided in </w:t>
      </w:r>
      <w:r>
        <w:rPr>
          <w:rFonts w:ascii="Arial" w:cs="Arial" w:eastAsia="Arial" w:hAnsi="Arial"/>
          <w:sz w:val="13"/>
          <w:szCs w:val="13"/>
          <w:u w:val="single" w:color="auto"/>
          <w:color w:val="auto"/>
        </w:rPr>
        <w:t>Article 44</w:t>
      </w:r>
      <w:r>
        <w:rPr>
          <w:rFonts w:ascii="Arial" w:cs="Arial" w:eastAsia="Arial" w:hAnsi="Arial"/>
          <w:sz w:val="13"/>
          <w:szCs w:val="13"/>
          <w:color w:val="auto"/>
        </w:rPr>
        <w:t xml:space="preserve"> of the Amended Lease, (B) Tenant’s termination option set forth in </w:t>
      </w:r>
      <w:r>
        <w:rPr>
          <w:rFonts w:ascii="Arial" w:cs="Arial" w:eastAsia="Arial" w:hAnsi="Arial"/>
          <w:sz w:val="13"/>
          <w:szCs w:val="13"/>
          <w:u w:val="single" w:color="auto"/>
          <w:color w:val="auto"/>
        </w:rPr>
        <w:t>Section 5(b)</w:t>
      </w:r>
      <w:r>
        <w:rPr>
          <w:rFonts w:ascii="Arial" w:cs="Arial" w:eastAsia="Arial" w:hAnsi="Arial"/>
          <w:sz w:val="13"/>
          <w:szCs w:val="13"/>
          <w:color w:val="auto"/>
        </w:rPr>
        <w:t xml:space="preserve"> below and</w:t>
      </w:r>
    </w:p>
    <w:p>
      <w:pPr>
        <w:jc w:val="both"/>
        <w:ind w:firstLine="8"/>
        <w:spacing w:after="0" w:line="251" w:lineRule="auto"/>
        <w:tabs>
          <w:tab w:leader="none" w:pos="226"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the provisions of </w:t>
      </w:r>
      <w:r>
        <w:rPr>
          <w:rFonts w:ascii="Arial" w:cs="Arial" w:eastAsia="Arial" w:hAnsi="Arial"/>
          <w:sz w:val="14"/>
          <w:szCs w:val="14"/>
          <w:u w:val="single" w:color="auto"/>
          <w:color w:val="auto"/>
        </w:rPr>
        <w:t>Section 5(d)</w:t>
      </w:r>
      <w:r>
        <w:rPr>
          <w:rFonts w:ascii="Arial" w:cs="Arial" w:eastAsia="Arial" w:hAnsi="Arial"/>
          <w:sz w:val="14"/>
          <w:szCs w:val="14"/>
          <w:color w:val="auto"/>
        </w:rPr>
        <w:t xml:space="preserve"> below. Commencing as of the 765 Elevator Lobby Premises Commencement Date and continuing through the Term, and subject to the provisions of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hereof, Tenant shall pay to Landlord Basic Annual Rent for the 765 Elevator Lobby Premises at an initial rate equal to Five and 00/100 Dollars ($5.00) per square foot of Rentable Area per year in accordance with the terms for payment of Basic Annual Rent set forth in the Lease. Basic Annual Rent for the 765 Elevator Lobby Premises shall increase annually every July 1</w:t>
      </w:r>
      <w:r>
        <w:rPr>
          <w:rFonts w:ascii="Arial" w:cs="Arial" w:eastAsia="Arial" w:hAnsi="Arial"/>
          <w:sz w:val="19"/>
          <w:szCs w:val="19"/>
          <w:color w:val="auto"/>
          <w:vertAlign w:val="superscript"/>
        </w:rPr>
        <w:t>st</w:t>
      </w:r>
      <w:r>
        <w:rPr>
          <w:rFonts w:ascii="Arial" w:cs="Arial" w:eastAsia="Arial" w:hAnsi="Arial"/>
          <w:sz w:val="14"/>
          <w:szCs w:val="14"/>
          <w:color w:val="auto"/>
        </w:rPr>
        <w:t xml:space="preserve"> by two and one-half percent (2.5%) of the then-current applicable Basic Annual Rent, commencing as of July 1, 2012. In addition to Basic Annual Rent, commencing as of the 765 Elevator Lobby Premises Commencement Date, Tenant shall pay to Landlord as Additional Rent, at times specified in the Amended Lease, Tenant’s Pro Rata Share of Operating Expenses with respect to the 765 Elevator Lobby Premises. For the avoidance of doubt, HVAC for the 765 Elevator Lobby Premises shall be calculated in the same manner as provided in the Amended Lease with respect to the Retained Premises, and the 765 Elevator Lobby Premises shall be treated as Retained Premises for the purposes of allocation of the CAM Pool Charges in accordance with </w:t>
      </w:r>
      <w:r>
        <w:rPr>
          <w:rFonts w:ascii="Arial" w:cs="Arial" w:eastAsia="Arial" w:hAnsi="Arial"/>
          <w:sz w:val="14"/>
          <w:szCs w:val="14"/>
          <w:u w:val="single" w:color="auto"/>
          <w:color w:val="auto"/>
        </w:rPr>
        <w:t>Exhibit O</w:t>
      </w:r>
      <w:r>
        <w:rPr>
          <w:rFonts w:ascii="Arial" w:cs="Arial" w:eastAsia="Arial" w:hAnsi="Arial"/>
          <w:sz w:val="14"/>
          <w:szCs w:val="14"/>
          <w:color w:val="auto"/>
        </w:rPr>
        <w:t xml:space="preserve"> of the Amended Lease (as of the 765 Elevator Lobby Premises Commencement Date).</w:t>
      </w:r>
    </w:p>
    <w:p>
      <w:pPr>
        <w:spacing w:after="0" w:line="210" w:lineRule="exact"/>
        <w:rPr>
          <w:rFonts w:ascii="Arial" w:cs="Arial" w:eastAsia="Arial" w:hAnsi="Arial"/>
          <w:sz w:val="14"/>
          <w:szCs w:val="14"/>
          <w:color w:val="auto"/>
        </w:rPr>
      </w:pPr>
    </w:p>
    <w:p>
      <w:pPr>
        <w:jc w:val="both"/>
        <w:ind w:firstLine="238"/>
        <w:spacing w:after="0" w:line="298" w:lineRule="auto"/>
        <w:tabs>
          <w:tab w:leader="none" w:pos="373" w:val="left"/>
        </w:tabs>
        <w:numPr>
          <w:ilvl w:val="2"/>
          <w:numId w:val="7"/>
        </w:numPr>
        <w:rPr>
          <w:rFonts w:ascii="Arial" w:cs="Arial" w:eastAsia="Arial" w:hAnsi="Arial"/>
          <w:sz w:val="13"/>
          <w:szCs w:val="13"/>
          <w:color w:val="auto"/>
        </w:rPr>
      </w:pPr>
      <w:r>
        <w:rPr>
          <w:rFonts w:ascii="Arial" w:cs="Arial" w:eastAsia="Arial" w:hAnsi="Arial"/>
          <w:sz w:val="13"/>
          <w:szCs w:val="13"/>
          <w:u w:val="single" w:color="auto"/>
          <w:color w:val="auto"/>
        </w:rPr>
        <w:t>Tenant’s Pro Rata Shares</w:t>
      </w:r>
      <w:r>
        <w:rPr>
          <w:rFonts w:ascii="Arial" w:cs="Arial" w:eastAsia="Arial" w:hAnsi="Arial"/>
          <w:sz w:val="13"/>
          <w:szCs w:val="13"/>
          <w:color w:val="auto"/>
        </w:rPr>
        <w:t xml:space="preserve">. From and after (a) the Execution Date, with respect to the 777 License Area Premises, and (b) the 765 Elevator Lobby Premises Commencement Date with respect to the 765 Elevator Lobby Premises, the Premises shall thereafter be deemed to include the premises so delivered and Tenant’s Pro Rata Shares of the Building, Existing Project, New Project and Entire Project shall be incrementally increased by the amounts set forth in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attached hereto. As of each such date, the defined terms in </w:t>
      </w:r>
      <w:r>
        <w:rPr>
          <w:rFonts w:ascii="Arial" w:cs="Arial" w:eastAsia="Arial" w:hAnsi="Arial"/>
          <w:sz w:val="13"/>
          <w:szCs w:val="13"/>
          <w:u w:val="single" w:color="auto"/>
          <w:color w:val="auto"/>
        </w:rPr>
        <w:t>Section 2.2</w:t>
      </w:r>
      <w:r>
        <w:rPr>
          <w:rFonts w:ascii="Arial" w:cs="Arial" w:eastAsia="Arial" w:hAnsi="Arial"/>
          <w:sz w:val="13"/>
          <w:szCs w:val="13"/>
          <w:color w:val="auto"/>
        </w:rPr>
        <w:t xml:space="preserve"> of the Lease shall be automatically amended to reflect the adjustments set forth in this Section. Rentable Area and Tenant’s Pro Rata Shares are all subject to adjustment under the Amended Lease, including pursuant to </w:t>
      </w:r>
      <w:r>
        <w:rPr>
          <w:rFonts w:ascii="Arial" w:cs="Arial" w:eastAsia="Arial" w:hAnsi="Arial"/>
          <w:sz w:val="13"/>
          <w:szCs w:val="13"/>
          <w:u w:val="single" w:color="auto"/>
          <w:color w:val="auto"/>
        </w:rPr>
        <w:t>Section 9.2</w:t>
      </w:r>
      <w:r>
        <w:rPr>
          <w:rFonts w:ascii="Arial" w:cs="Arial" w:eastAsia="Arial" w:hAnsi="Arial"/>
          <w:sz w:val="13"/>
          <w:szCs w:val="13"/>
          <w:color w:val="auto"/>
        </w:rPr>
        <w:t>.</w:t>
      </w:r>
    </w:p>
    <w:p>
      <w:pPr>
        <w:spacing w:after="0" w:line="178" w:lineRule="exact"/>
        <w:rPr>
          <w:rFonts w:ascii="Arial" w:cs="Arial" w:eastAsia="Arial" w:hAnsi="Arial"/>
          <w:sz w:val="13"/>
          <w:szCs w:val="13"/>
          <w:color w:val="auto"/>
        </w:rPr>
      </w:pPr>
    </w:p>
    <w:p>
      <w:pPr>
        <w:ind w:firstLine="227"/>
        <w:spacing w:after="0" w:line="291" w:lineRule="auto"/>
        <w:tabs>
          <w:tab w:leader="none" w:pos="362" w:val="left"/>
        </w:tabs>
        <w:numPr>
          <w:ilvl w:val="1"/>
          <w:numId w:val="7"/>
        </w:numPr>
        <w:rPr>
          <w:rFonts w:ascii="Arial" w:cs="Arial" w:eastAsia="Arial" w:hAnsi="Arial"/>
          <w:sz w:val="14"/>
          <w:szCs w:val="14"/>
          <w:color w:val="auto"/>
        </w:rPr>
      </w:pPr>
      <w:r>
        <w:rPr>
          <w:rFonts w:ascii="Arial" w:cs="Arial" w:eastAsia="Arial" w:hAnsi="Arial"/>
          <w:sz w:val="14"/>
          <w:szCs w:val="14"/>
          <w:u w:val="single" w:color="auto"/>
          <w:color w:val="auto"/>
        </w:rPr>
        <w:t>Parking</w:t>
      </w:r>
      <w:r>
        <w:rPr>
          <w:rFonts w:ascii="Arial" w:cs="Arial" w:eastAsia="Arial" w:hAnsi="Arial"/>
          <w:sz w:val="14"/>
          <w:szCs w:val="14"/>
          <w:color w:val="auto"/>
        </w:rPr>
        <w:t>. The parties acknowledge that, in accordance with the Lease, Tenant shall be entitled to its pro rata share of unreserved parking spaces with respect to each portion of the Premises leased to Tenant hereunder.</w:t>
      </w:r>
    </w:p>
    <w:p>
      <w:pPr>
        <w:spacing w:after="0" w:line="180" w:lineRule="exact"/>
        <w:rPr>
          <w:rFonts w:ascii="Arial" w:cs="Arial" w:eastAsia="Arial" w:hAnsi="Arial"/>
          <w:sz w:val="14"/>
          <w:szCs w:val="14"/>
          <w:color w:val="auto"/>
        </w:rPr>
      </w:pPr>
    </w:p>
    <w:p>
      <w:pPr>
        <w:ind w:left="360" w:hanging="133"/>
        <w:spacing w:after="0"/>
        <w:tabs>
          <w:tab w:leader="none" w:pos="360" w:val="left"/>
        </w:tabs>
        <w:numPr>
          <w:ilvl w:val="1"/>
          <w:numId w:val="7"/>
        </w:numPr>
        <w:rPr>
          <w:rFonts w:ascii="Arial" w:cs="Arial" w:eastAsia="Arial" w:hAnsi="Arial"/>
          <w:sz w:val="14"/>
          <w:szCs w:val="14"/>
          <w:color w:val="auto"/>
        </w:rPr>
      </w:pPr>
      <w:r>
        <w:rPr>
          <w:rFonts w:ascii="Arial" w:cs="Arial" w:eastAsia="Arial" w:hAnsi="Arial"/>
          <w:sz w:val="14"/>
          <w:szCs w:val="14"/>
          <w:u w:val="single" w:color="auto"/>
          <w:color w:val="auto"/>
        </w:rPr>
        <w:t>Termination Options</w:t>
      </w:r>
      <w:r>
        <w:rPr>
          <w:rFonts w:ascii="Arial" w:cs="Arial" w:eastAsia="Arial" w:hAnsi="Arial"/>
          <w:sz w:val="14"/>
          <w:szCs w:val="14"/>
          <w:color w:val="auto"/>
        </w:rPr>
        <w:t>.</w:t>
      </w:r>
    </w:p>
    <w:p>
      <w:pPr>
        <w:spacing w:after="0" w:line="233" w:lineRule="exact"/>
        <w:rPr>
          <w:rFonts w:ascii="Arial" w:cs="Arial" w:eastAsia="Arial" w:hAnsi="Arial"/>
          <w:sz w:val="14"/>
          <w:szCs w:val="14"/>
          <w:color w:val="auto"/>
        </w:rPr>
      </w:pPr>
    </w:p>
    <w:p>
      <w:pPr>
        <w:jc w:val="both"/>
        <w:ind w:firstLine="567"/>
        <w:spacing w:after="0" w:line="265" w:lineRule="auto"/>
        <w:tabs>
          <w:tab w:leader="none" w:pos="764" w:val="left"/>
        </w:tabs>
        <w:numPr>
          <w:ilvl w:val="3"/>
          <w:numId w:val="7"/>
        </w:numPr>
        <w:rPr>
          <w:rFonts w:ascii="Arial" w:cs="Arial" w:eastAsia="Arial" w:hAnsi="Arial"/>
          <w:sz w:val="14"/>
          <w:szCs w:val="14"/>
          <w:color w:val="auto"/>
        </w:rPr>
      </w:pPr>
      <w:r>
        <w:rPr>
          <w:rFonts w:ascii="Arial" w:cs="Arial" w:eastAsia="Arial" w:hAnsi="Arial"/>
          <w:sz w:val="14"/>
          <w:szCs w:val="14"/>
          <w:color w:val="auto"/>
        </w:rPr>
        <w:t>Tenant shall be entitled to terminate the Lease with respect to the 777 License Area Premises on June 30, 2014, December 31, 2015, or December 31, 2016; provided that (x) Tenant provides Landlord with no less than eighteen (18) months’ prior written notice and (y) on or before the date of such termination, Tenant pays to Landlord an amount equal to, if terminated on (i) June 30, 2014, One Hundred Ninety-Three Thousand Four Hundred Twenty-Seven and 60/100 Dollars ($193,427.60) (based on Twenty-Nine and 45/100 Dollars ($29.45) per square foot of Rentable Area of the applicable portion of the Premises), (ii) December 31, 2015, One Hundred Thirty-One Thousand Four Hundred Ninety-One and 36/100 Dollars ($131,491.36)(based on Twenty and 02/100 Dollars ($20.02) per square foot of Rentable Area of the applicable portion of the Premises), and (iii) December 31, 2016, Sixty-Eight Thousand Nine Hundred Sixty-Four and 00/100 Dollars ($68,964.00)(based on Ten and 50/100 Dollars ($10.50) per square foot of Rentable Area of the applicable portion of the Premises). If Tenant timely exercises its option to terminate the Lease with respect to the 777 License Area Premises, then Tenant shall surrender the 777 License Area Premises to Landlord on the applicable surrender date in the condition required by the Amended Lease for surrendering Premises upon the expiration.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7291705" cy="196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75" w:name="page76"/>
    <w:bookmarkEnd w:id="75"/>
    <w:p>
      <w:pPr>
        <w:jc w:val="both"/>
        <w:ind w:firstLine="458"/>
        <w:spacing w:after="0" w:line="271" w:lineRule="auto"/>
        <w:tabs>
          <w:tab w:leader="none" w:pos="652" w:val="left"/>
        </w:tabs>
        <w:numPr>
          <w:ilvl w:val="2"/>
          <w:numId w:val="8"/>
        </w:numPr>
        <w:rPr>
          <w:rFonts w:ascii="Arial" w:cs="Arial" w:eastAsia="Arial" w:hAnsi="Arial"/>
          <w:sz w:val="14"/>
          <w:szCs w:val="14"/>
          <w:color w:val="auto"/>
        </w:rPr>
      </w:pPr>
      <w:r>
        <w:rPr>
          <w:rFonts w:ascii="Arial" w:cs="Arial" w:eastAsia="Arial" w:hAnsi="Arial"/>
          <w:sz w:val="14"/>
          <w:szCs w:val="14"/>
          <w:color w:val="auto"/>
        </w:rPr>
        <w:t>Tenant shall be entitled to terminate the Lease with respect to the 765 Elevator Lobby Premises on June 30, 2014, December 31, 2015, or December 31, 2016; provided that Tenant provides Landlord with no less than eighteen (18) months’ prior written notice. If Tenant timely exercises its option to terminate the Lease with respect to the 765 Elevator Lobby Premises or Tenant’s lease of the 765 Elevator Lobby Premises expires or is terminated early, then Tenant shall surrender the 765 Elevator Lobby Premises to Landlord on the applicable surrender date in the condition required by the Amended Lease for surrendering Premises upon expiration.</w:t>
      </w:r>
    </w:p>
    <w:p>
      <w:pPr>
        <w:spacing w:after="0" w:line="194" w:lineRule="exact"/>
        <w:rPr>
          <w:rFonts w:ascii="Arial" w:cs="Arial" w:eastAsia="Arial" w:hAnsi="Arial"/>
          <w:sz w:val="14"/>
          <w:szCs w:val="14"/>
          <w:color w:val="auto"/>
        </w:rPr>
      </w:pPr>
    </w:p>
    <w:p>
      <w:pPr>
        <w:ind w:left="640" w:hanging="193"/>
        <w:spacing w:after="0"/>
        <w:tabs>
          <w:tab w:leader="none" w:pos="640" w:val="left"/>
        </w:tabs>
        <w:numPr>
          <w:ilvl w:val="1"/>
          <w:numId w:val="9"/>
        </w:numPr>
        <w:rPr>
          <w:rFonts w:ascii="Arial" w:cs="Arial" w:eastAsia="Arial" w:hAnsi="Arial"/>
          <w:sz w:val="14"/>
          <w:szCs w:val="14"/>
          <w:color w:val="auto"/>
        </w:rPr>
      </w:pPr>
      <w:r>
        <w:rPr>
          <w:rFonts w:ascii="Arial" w:cs="Arial" w:eastAsia="Arial" w:hAnsi="Arial"/>
          <w:sz w:val="14"/>
          <w:szCs w:val="14"/>
          <w:color w:val="auto"/>
        </w:rPr>
        <w:t xml:space="preserve">Time is of the essence with respect to the exercise of the termination options granted in this </w:t>
      </w:r>
      <w:r>
        <w:rPr>
          <w:rFonts w:ascii="Arial" w:cs="Arial" w:eastAsia="Arial" w:hAnsi="Arial"/>
          <w:sz w:val="14"/>
          <w:szCs w:val="14"/>
          <w:u w:val="single" w:color="auto"/>
          <w:color w:val="auto"/>
        </w:rPr>
        <w:t>Section 5</w:t>
      </w:r>
      <w:r>
        <w:rPr>
          <w:rFonts w:ascii="Arial" w:cs="Arial" w:eastAsia="Arial" w:hAnsi="Arial"/>
          <w:sz w:val="14"/>
          <w:szCs w:val="14"/>
          <w:color w:val="auto"/>
        </w:rPr>
        <w:t>.</w:t>
      </w:r>
    </w:p>
    <w:p>
      <w:pPr>
        <w:spacing w:after="0" w:line="233" w:lineRule="exact"/>
        <w:rPr>
          <w:rFonts w:ascii="Arial" w:cs="Arial" w:eastAsia="Arial" w:hAnsi="Arial"/>
          <w:sz w:val="14"/>
          <w:szCs w:val="14"/>
          <w:color w:val="auto"/>
        </w:rPr>
      </w:pPr>
    </w:p>
    <w:p>
      <w:pPr>
        <w:jc w:val="both"/>
        <w:ind w:firstLine="458"/>
        <w:spacing w:after="0" w:line="269" w:lineRule="auto"/>
        <w:tabs>
          <w:tab w:leader="none" w:pos="652" w:val="left"/>
        </w:tabs>
        <w:numPr>
          <w:ilvl w:val="2"/>
          <w:numId w:val="9"/>
        </w:numPr>
        <w:rPr>
          <w:rFonts w:ascii="Arial" w:cs="Arial" w:eastAsia="Arial" w:hAnsi="Arial"/>
          <w:sz w:val="14"/>
          <w:szCs w:val="14"/>
          <w:color w:val="auto"/>
        </w:rPr>
      </w:pPr>
      <w:r>
        <w:rPr>
          <w:rFonts w:ascii="Arial" w:cs="Arial" w:eastAsia="Arial" w:hAnsi="Arial"/>
          <w:sz w:val="14"/>
          <w:szCs w:val="14"/>
          <w:color w:val="auto"/>
        </w:rPr>
        <w:t xml:space="preserve">In the event that (i) Tenant exercises its Quad I and II Termination Option as set forth in </w:t>
      </w:r>
      <w:r>
        <w:rPr>
          <w:rFonts w:ascii="Arial" w:cs="Arial" w:eastAsia="Arial" w:hAnsi="Arial"/>
          <w:sz w:val="14"/>
          <w:szCs w:val="14"/>
          <w:u w:val="single" w:color="auto"/>
          <w:color w:val="auto"/>
        </w:rPr>
        <w:t>Section 13(b)</w:t>
      </w:r>
      <w:r>
        <w:rPr>
          <w:rFonts w:ascii="Arial" w:cs="Arial" w:eastAsia="Arial" w:hAnsi="Arial"/>
          <w:sz w:val="14"/>
          <w:szCs w:val="14"/>
          <w:color w:val="auto"/>
        </w:rPr>
        <w:t xml:space="preserve"> of the Third Amendment or (ii) Tenant’s lease of any portion of the Quad I or Quad II Premises (as defined in the Third Amendment) expires or is terminated early (each of (i) and (ii), a “</w:t>
      </w:r>
      <w:r>
        <w:rPr>
          <w:rFonts w:ascii="Arial" w:cs="Arial" w:eastAsia="Arial" w:hAnsi="Arial"/>
          <w:sz w:val="14"/>
          <w:szCs w:val="14"/>
          <w:u w:val="single" w:color="auto"/>
          <w:color w:val="auto"/>
        </w:rPr>
        <w:t>Quad I and II Premises Termination</w:t>
      </w:r>
      <w:r>
        <w:rPr>
          <w:rFonts w:ascii="Arial" w:cs="Arial" w:eastAsia="Arial" w:hAnsi="Arial"/>
          <w:sz w:val="14"/>
          <w:szCs w:val="14"/>
          <w:color w:val="auto"/>
        </w:rPr>
        <w:t>” and, collectively, “</w:t>
      </w:r>
      <w:r>
        <w:rPr>
          <w:rFonts w:ascii="Arial" w:cs="Arial" w:eastAsia="Arial" w:hAnsi="Arial"/>
          <w:sz w:val="14"/>
          <w:szCs w:val="14"/>
          <w:u w:val="single" w:color="auto"/>
          <w:color w:val="auto"/>
        </w:rPr>
        <w:t>Quad I and II Premises Terminations</w:t>
      </w:r>
      <w:r>
        <w:rPr>
          <w:rFonts w:ascii="Arial" w:cs="Arial" w:eastAsia="Arial" w:hAnsi="Arial"/>
          <w:sz w:val="14"/>
          <w:szCs w:val="14"/>
          <w:color w:val="auto"/>
        </w:rPr>
        <w:t>”), then Tenant’s lease of the 765 Elevator Lobby Premises shall also terminate effective as of the date of such Quad I and II Premises Termination(s). Upon termination of the 765 Elevator Lobby Premises due to a Quad I and II Premises Termination(s), the 765 Elevator Lobby Premises shall be considered a Common Area under the Amended Lease and shall no longer be included as part of Tenant’s Pro Rata Share.</w:t>
      </w:r>
    </w:p>
    <w:p>
      <w:pPr>
        <w:spacing w:after="0" w:line="194" w:lineRule="exact"/>
        <w:rPr>
          <w:rFonts w:ascii="Arial" w:cs="Arial" w:eastAsia="Arial" w:hAnsi="Arial"/>
          <w:sz w:val="14"/>
          <w:szCs w:val="14"/>
          <w:color w:val="auto"/>
        </w:rPr>
      </w:pPr>
    </w:p>
    <w:p>
      <w:pPr>
        <w:ind w:left="360" w:hanging="133"/>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u w:val="single" w:color="auto"/>
          <w:color w:val="auto"/>
        </w:rPr>
        <w:t>Lease Extension Options</w:t>
      </w:r>
      <w:r>
        <w:rPr>
          <w:rFonts w:ascii="Arial" w:cs="Arial" w:eastAsia="Arial" w:hAnsi="Arial"/>
          <w:sz w:val="14"/>
          <w:szCs w:val="14"/>
          <w:color w:val="auto"/>
        </w:rPr>
        <w:t xml:space="preserve">. From and after the Execution Date, the first paragraph of </w:t>
      </w:r>
      <w:r>
        <w:rPr>
          <w:rFonts w:ascii="Arial" w:cs="Arial" w:eastAsia="Arial" w:hAnsi="Arial"/>
          <w:sz w:val="14"/>
          <w:szCs w:val="14"/>
          <w:u w:val="single" w:color="auto"/>
          <w:color w:val="auto"/>
        </w:rPr>
        <w:t>Article 44</w:t>
      </w:r>
      <w:r>
        <w:rPr>
          <w:rFonts w:ascii="Arial" w:cs="Arial" w:eastAsia="Arial" w:hAnsi="Arial"/>
          <w:sz w:val="14"/>
          <w:szCs w:val="14"/>
          <w:color w:val="auto"/>
        </w:rPr>
        <w:t xml:space="preserve"> of the Lease is hereby deleted and replaced with the following:</w:t>
      </w:r>
    </w:p>
    <w:p>
      <w:pPr>
        <w:spacing w:after="0" w:line="212" w:lineRule="exact"/>
        <w:rPr>
          <w:sz w:val="20"/>
          <w:szCs w:val="20"/>
          <w:color w:val="auto"/>
        </w:rPr>
      </w:pPr>
    </w:p>
    <w:p>
      <w:pPr>
        <w:jc w:val="both"/>
        <w:ind w:left="440" w:right="440" w:firstLine="7"/>
        <w:spacing w:after="0" w:line="307" w:lineRule="auto"/>
        <w:tabs>
          <w:tab w:leader="none" w:pos="654" w:val="left"/>
        </w:tabs>
        <w:numPr>
          <w:ilvl w:val="0"/>
          <w:numId w:val="11"/>
        </w:numPr>
        <w:rPr>
          <w:rFonts w:ascii="Arial" w:cs="Arial" w:eastAsia="Arial" w:hAnsi="Arial"/>
          <w:sz w:val="12"/>
          <w:szCs w:val="12"/>
          <w:color w:val="auto"/>
        </w:rPr>
      </w:pPr>
      <w:r>
        <w:rPr>
          <w:rFonts w:ascii="Arial" w:cs="Arial" w:eastAsia="Arial" w:hAnsi="Arial"/>
          <w:sz w:val="12"/>
          <w:szCs w:val="12"/>
          <w:u w:val="single" w:color="auto"/>
          <w:color w:val="auto"/>
        </w:rPr>
        <w:t>Option to Extend Term</w:t>
      </w:r>
      <w:r>
        <w:rPr>
          <w:rFonts w:ascii="Arial" w:cs="Arial" w:eastAsia="Arial" w:hAnsi="Arial"/>
          <w:sz w:val="12"/>
          <w:szCs w:val="12"/>
          <w:color w:val="auto"/>
        </w:rPr>
        <w:t>. Tenant shall have three (3) options (each, an “</w:t>
      </w:r>
      <w:r>
        <w:rPr>
          <w:rFonts w:ascii="Arial" w:cs="Arial" w:eastAsia="Arial" w:hAnsi="Arial"/>
          <w:sz w:val="12"/>
          <w:szCs w:val="12"/>
          <w:u w:val="single" w:color="auto"/>
          <w:color w:val="auto"/>
        </w:rPr>
        <w:t>Option</w:t>
      </w:r>
      <w:r>
        <w:rPr>
          <w:rFonts w:ascii="Arial" w:cs="Arial" w:eastAsia="Arial" w:hAnsi="Arial"/>
          <w:sz w:val="12"/>
          <w:szCs w:val="12"/>
          <w:color w:val="auto"/>
        </w:rPr>
        <w:t>”) to extend the Term of this Lease (and, in each case, the Term Expiration Date) by five (5) years, in each case on the same terms and conditions as this Lease, except as provided below. If Tenant desires to exercise any Option, Tenant must do so by giving Landlord written notice of such exercise at least one (1) year before the Term would otherwise expire. Tenant may exercise its Option to extend the Term only as to any one or more of the following: (a) the entire Retained Premises plus the Corridor Space, (b) the entire New Whole Building Premises, (c) the entire New Multiple Tenant Building Premises, (d) the Modified Additional Premises,</w:t>
      </w:r>
    </w:p>
    <w:p>
      <w:pPr>
        <w:spacing w:after="0" w:line="1" w:lineRule="exact"/>
        <w:rPr>
          <w:rFonts w:ascii="Arial" w:cs="Arial" w:eastAsia="Arial" w:hAnsi="Arial"/>
          <w:sz w:val="12"/>
          <w:szCs w:val="12"/>
          <w:color w:val="auto"/>
        </w:rPr>
      </w:pPr>
    </w:p>
    <w:p>
      <w:pPr>
        <w:jc w:val="both"/>
        <w:ind w:left="440" w:right="440"/>
        <w:spacing w:after="0" w:line="295" w:lineRule="auto"/>
        <w:rPr>
          <w:rFonts w:ascii="Arial" w:cs="Arial" w:eastAsia="Arial" w:hAnsi="Arial"/>
          <w:sz w:val="12"/>
          <w:szCs w:val="12"/>
          <w:color w:val="auto"/>
        </w:rPr>
      </w:pPr>
      <w:r>
        <w:rPr>
          <w:rFonts w:ascii="Arial" w:cs="Arial" w:eastAsia="Arial" w:hAnsi="Arial"/>
          <w:sz w:val="13"/>
          <w:szCs w:val="13"/>
          <w:color w:val="auto"/>
        </w:rPr>
        <w:t>(e) the Swap Premises and 765 Elevator Lobby Premises, (f) each full floor of the 755 Premises, (g) the 765 Expansion Premises, (h) the 765 Expansion Premises II, (i) C-Level Storage Spaces and (j) the 777 License Area Premises. If Tenant fails to exercise an Option with respect to less than all of the Premises and the time to do so has lapsed (or if a Retained Premises Early Termination or a termination pursuant to a Swap Premises Termination Option has occurred), then Tenant shall no longer have an Option with respect to those portions of the Premises for which it failed to exercise an Option. Tenant’s Options for the remaining Premises shall remain in full force and effect.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7291705" cy="196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76" w:name="page77"/>
    <w:bookmarkEnd w:id="76"/>
    <w:p>
      <w:pPr>
        <w:jc w:val="both"/>
        <w:ind w:firstLine="249"/>
        <w:spacing w:after="0" w:line="265" w:lineRule="auto"/>
        <w:tabs>
          <w:tab w:leader="none" w:pos="384" w:val="left"/>
        </w:tabs>
        <w:numPr>
          <w:ilvl w:val="0"/>
          <w:numId w:val="12"/>
        </w:numPr>
        <w:rPr>
          <w:rFonts w:ascii="Arial" w:cs="Arial" w:eastAsia="Arial" w:hAnsi="Arial"/>
          <w:sz w:val="14"/>
          <w:szCs w:val="14"/>
          <w:color w:val="auto"/>
        </w:rPr>
      </w:pPr>
      <w:r>
        <w:rPr>
          <w:rFonts w:ascii="Arial" w:cs="Arial" w:eastAsia="Arial" w:hAnsi="Arial"/>
          <w:sz w:val="14"/>
          <w:szCs w:val="14"/>
          <w:u w:val="single" w:color="auto"/>
          <w:color w:val="auto"/>
        </w:rPr>
        <w:t>Condition of Premises</w:t>
      </w:r>
      <w:r>
        <w:rPr>
          <w:rFonts w:ascii="Arial" w:cs="Arial" w:eastAsia="Arial" w:hAnsi="Arial"/>
          <w:sz w:val="14"/>
          <w:szCs w:val="14"/>
          <w:color w:val="auto"/>
        </w:rPr>
        <w:t xml:space="preserve">. Except as otherwise provided herein (including </w:t>
      </w: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hereof), Tenant acknowledges that neither Landlord nor any agent of Landlord has made any representation or warranty with respect to the condition of the 777 License Area Premises or the 765 Elevator Lobby Premises with respect to the suitability of the same for the conduct of Tenant’s business. Tenant acknowledges that it is generally familiar with the condition of the 777 License Area Premises and the 765 Elevator Lobby Premises and, notwithstanding anything contained in the Amended Lease to the contrary, agrees to take the same in its condition “as is” as of the applicable delivery date. Tenant’s taking possession of the 777 License Area Premises and the 765 Elevator Lobby Premises, except as otherwise agreed to in writing by Landlord and Tenant, shall conclusively establish that the same were at such time in good, sanitary and satisfactory condition and repair. Notwithstanding the foregoing, Landlord represents and warrants that the Building Systems (including the HVAC systems) in the 777 License Area Premises and the 765 Elevator Lobby Premises are, and will be, in good working condition and that the same are, subject to the provisions of </w:t>
      </w:r>
      <w:r>
        <w:rPr>
          <w:rFonts w:ascii="Arial" w:cs="Arial" w:eastAsia="Arial" w:hAnsi="Arial"/>
          <w:sz w:val="14"/>
          <w:szCs w:val="14"/>
          <w:u w:val="single" w:color="auto"/>
          <w:color w:val="auto"/>
        </w:rPr>
        <w:t>Section 17</w:t>
      </w:r>
      <w:r>
        <w:rPr>
          <w:rFonts w:ascii="Arial" w:cs="Arial" w:eastAsia="Arial" w:hAnsi="Arial"/>
          <w:sz w:val="14"/>
          <w:szCs w:val="14"/>
          <w:color w:val="auto"/>
        </w:rPr>
        <w:t xml:space="preserve"> of the Original Lease, currently serviced by Utilities and other base building services. Subject to Landlord’s reasonable prior approval, Tenant shall have the right, at its sole cost and expense, to convert the Johnson Controls building controls serving the 777 License Area Premises and the 765 Elevator Lobby Premises from Landlord’s network to Tenant’s network.</w:t>
      </w:r>
    </w:p>
    <w:p>
      <w:pPr>
        <w:spacing w:after="0" w:line="199" w:lineRule="exact"/>
        <w:rPr>
          <w:rFonts w:ascii="Arial" w:cs="Arial" w:eastAsia="Arial" w:hAnsi="Arial"/>
          <w:sz w:val="14"/>
          <w:szCs w:val="14"/>
          <w:color w:val="auto"/>
        </w:rPr>
      </w:pPr>
    </w:p>
    <w:p>
      <w:pPr>
        <w:jc w:val="both"/>
        <w:ind w:firstLine="326"/>
        <w:spacing w:after="0" w:line="276" w:lineRule="auto"/>
        <w:tabs>
          <w:tab w:leader="none" w:pos="472" w:val="left"/>
        </w:tabs>
        <w:numPr>
          <w:ilvl w:val="2"/>
          <w:numId w:val="12"/>
        </w:numPr>
        <w:rPr>
          <w:rFonts w:ascii="Arial" w:cs="Arial" w:eastAsia="Arial" w:hAnsi="Arial"/>
          <w:sz w:val="14"/>
          <w:szCs w:val="14"/>
          <w:color w:val="auto"/>
        </w:rPr>
      </w:pPr>
      <w:r>
        <w:rPr>
          <w:rFonts w:ascii="Arial" w:cs="Arial" w:eastAsia="Arial" w:hAnsi="Arial"/>
          <w:sz w:val="14"/>
          <w:szCs w:val="14"/>
          <w:u w:val="single" w:color="auto"/>
          <w:color w:val="auto"/>
        </w:rPr>
        <w:t>Alterations</w:t>
      </w:r>
      <w:r>
        <w:rPr>
          <w:rFonts w:ascii="Arial" w:cs="Arial" w:eastAsia="Arial" w:hAnsi="Arial"/>
          <w:sz w:val="14"/>
          <w:szCs w:val="14"/>
          <w:color w:val="auto"/>
        </w:rPr>
        <w:t>. At Tenant’s sole cost and expense, Tenant shall be permitted to install a card reader on the freight elevator serving the 765 Elevator Lobby Premises (“</w:t>
      </w:r>
      <w:r>
        <w:rPr>
          <w:rFonts w:ascii="Arial" w:cs="Arial" w:eastAsia="Arial" w:hAnsi="Arial"/>
          <w:sz w:val="14"/>
          <w:szCs w:val="14"/>
          <w:u w:val="single" w:color="auto"/>
          <w:color w:val="auto"/>
        </w:rPr>
        <w:t>Card Reader</w:t>
      </w:r>
      <w:r>
        <w:rPr>
          <w:rFonts w:ascii="Arial" w:cs="Arial" w:eastAsia="Arial" w:hAnsi="Arial"/>
          <w:sz w:val="14"/>
          <w:szCs w:val="14"/>
          <w:color w:val="auto"/>
        </w:rPr>
        <w:t>”). No construction management fee shall be paid to Landlord based upon the cost of installing the Card Reader. At Landlord’s request, Tenant shall remove the Card Reader upon the expiration or earlier termination of the Lease and shall promptly repair any damage caused thereby.</w:t>
      </w:r>
    </w:p>
    <w:p>
      <w:pPr>
        <w:spacing w:after="0" w:line="190" w:lineRule="exact"/>
        <w:rPr>
          <w:rFonts w:ascii="Arial" w:cs="Arial" w:eastAsia="Arial" w:hAnsi="Arial"/>
          <w:sz w:val="14"/>
          <w:szCs w:val="14"/>
          <w:color w:val="auto"/>
        </w:rPr>
      </w:pPr>
    </w:p>
    <w:p>
      <w:pPr>
        <w:ind w:firstLine="282"/>
        <w:spacing w:after="0" w:line="291" w:lineRule="auto"/>
        <w:tabs>
          <w:tab w:leader="none" w:pos="428" w:val="left"/>
        </w:tabs>
        <w:numPr>
          <w:ilvl w:val="1"/>
          <w:numId w:val="12"/>
        </w:numPr>
        <w:rPr>
          <w:rFonts w:ascii="Arial" w:cs="Arial" w:eastAsia="Arial" w:hAnsi="Arial"/>
          <w:sz w:val="14"/>
          <w:szCs w:val="14"/>
          <w:color w:val="auto"/>
        </w:rPr>
      </w:pPr>
      <w:r>
        <w:rPr>
          <w:rFonts w:ascii="Arial" w:cs="Arial" w:eastAsia="Arial" w:hAnsi="Arial"/>
          <w:sz w:val="14"/>
          <w:szCs w:val="14"/>
          <w:u w:val="single" w:color="auto"/>
          <w:color w:val="auto"/>
        </w:rPr>
        <w:t>Termination of Space License</w:t>
      </w:r>
      <w:r>
        <w:rPr>
          <w:rFonts w:ascii="Arial" w:cs="Arial" w:eastAsia="Arial" w:hAnsi="Arial"/>
          <w:sz w:val="14"/>
          <w:szCs w:val="14"/>
          <w:color w:val="auto"/>
        </w:rPr>
        <w:t xml:space="preserve">. Landlord and Tenant acknowledge that, concurrent with the execution and delivery of this Eighth Amendment, Landlord and Tenant are executing the Space License Termination Agreement attached hereto as </w:t>
      </w:r>
      <w:r>
        <w:rPr>
          <w:rFonts w:ascii="Arial" w:cs="Arial" w:eastAsia="Arial" w:hAnsi="Arial"/>
          <w:sz w:val="14"/>
          <w:szCs w:val="14"/>
          <w:u w:val="single" w:color="auto"/>
          <w:color w:val="auto"/>
        </w:rPr>
        <w:t>Exhibit D</w:t>
      </w:r>
      <w:r>
        <w:rPr>
          <w:rFonts w:ascii="Arial" w:cs="Arial" w:eastAsia="Arial" w:hAnsi="Arial"/>
          <w:sz w:val="14"/>
          <w:szCs w:val="14"/>
          <w:color w:val="auto"/>
        </w:rPr>
        <w:t>.</w:t>
      </w:r>
    </w:p>
    <w:p>
      <w:pPr>
        <w:spacing w:after="0" w:line="180" w:lineRule="exact"/>
        <w:rPr>
          <w:sz w:val="20"/>
          <w:szCs w:val="20"/>
          <w:color w:val="auto"/>
        </w:rPr>
      </w:pPr>
    </w:p>
    <w:p>
      <w:pPr>
        <w:jc w:val="both"/>
        <w:ind w:firstLine="227"/>
        <w:spacing w:after="0" w:line="271" w:lineRule="auto"/>
        <w:tabs>
          <w:tab w:leader="none" w:pos="433" w:val="left"/>
        </w:tabs>
        <w:numPr>
          <w:ilvl w:val="0"/>
          <w:numId w:val="13"/>
        </w:numPr>
        <w:rPr>
          <w:rFonts w:ascii="Arial" w:cs="Arial" w:eastAsia="Arial" w:hAnsi="Arial"/>
          <w:sz w:val="14"/>
          <w:szCs w:val="14"/>
          <w:color w:val="auto"/>
        </w:rPr>
      </w:pPr>
      <w:r>
        <w:rPr>
          <w:rFonts w:ascii="Arial" w:cs="Arial" w:eastAsia="Arial" w:hAnsi="Arial"/>
          <w:sz w:val="14"/>
          <w:szCs w:val="14"/>
          <w:u w:val="single" w:color="auto"/>
          <w:color w:val="auto"/>
        </w:rPr>
        <w:t>Broker</w:t>
      </w:r>
      <w:r>
        <w:rPr>
          <w:rFonts w:ascii="Arial" w:cs="Arial" w:eastAsia="Arial" w:hAnsi="Arial"/>
          <w:sz w:val="14"/>
          <w:szCs w:val="14"/>
          <w:color w:val="auto"/>
        </w:rPr>
        <w:t>. Tenant represents and warrants that it has not dealt with any broker or agent in the negotiation for or the obtaining of this Eighth Amendment, other than Studley (“</w:t>
      </w:r>
      <w:r>
        <w:rPr>
          <w:rFonts w:ascii="Arial" w:cs="Arial" w:eastAsia="Arial" w:hAnsi="Arial"/>
          <w:sz w:val="14"/>
          <w:szCs w:val="14"/>
          <w:u w:val="single" w:color="auto"/>
          <w:color w:val="auto"/>
        </w:rPr>
        <w:t>Broker</w:t>
      </w:r>
      <w:r>
        <w:rPr>
          <w:rFonts w:ascii="Arial" w:cs="Arial" w:eastAsia="Arial" w:hAnsi="Arial"/>
          <w:sz w:val="14"/>
          <w:szCs w:val="14"/>
          <w:color w:val="auto"/>
        </w:rPr>
        <w:t>”), and agrees to indemnify, defend and hold Landlord harmless from any and all cost or liability for compensation claimed by any such broker or agent, other than Broker, employed or engaged by it or claiming to have been employed or engaged by it. Broker is entitled to a leasing commission in connection with the making of this Eighth Amendment, and Landlord shall pay such commission to Broker pursuant to a separate agreement between Landlord and Broker.</w:t>
      </w:r>
    </w:p>
    <w:p>
      <w:pPr>
        <w:spacing w:after="0" w:line="194" w:lineRule="exact"/>
        <w:rPr>
          <w:rFonts w:ascii="Arial" w:cs="Arial" w:eastAsia="Arial" w:hAnsi="Arial"/>
          <w:sz w:val="14"/>
          <w:szCs w:val="14"/>
          <w:color w:val="auto"/>
        </w:rPr>
      </w:pPr>
    </w:p>
    <w:p>
      <w:pPr>
        <w:ind w:firstLine="238"/>
        <w:spacing w:after="0" w:line="291" w:lineRule="auto"/>
        <w:tabs>
          <w:tab w:leader="none" w:pos="439" w:val="left"/>
        </w:tabs>
        <w:numPr>
          <w:ilvl w:val="0"/>
          <w:numId w:val="13"/>
        </w:numPr>
        <w:rPr>
          <w:rFonts w:ascii="Arial" w:cs="Arial" w:eastAsia="Arial" w:hAnsi="Arial"/>
          <w:sz w:val="14"/>
          <w:szCs w:val="14"/>
          <w:color w:val="auto"/>
        </w:rPr>
      </w:pPr>
      <w:r>
        <w:rPr>
          <w:rFonts w:ascii="Arial" w:cs="Arial" w:eastAsia="Arial" w:hAnsi="Arial"/>
          <w:sz w:val="14"/>
          <w:szCs w:val="14"/>
          <w:u w:val="single" w:color="auto"/>
          <w:color w:val="auto"/>
        </w:rPr>
        <w:t>No Default</w:t>
      </w:r>
      <w:r>
        <w:rPr>
          <w:rFonts w:ascii="Arial" w:cs="Arial" w:eastAsia="Arial" w:hAnsi="Arial"/>
          <w:sz w:val="14"/>
          <w:szCs w:val="14"/>
          <w:color w:val="auto"/>
        </w:rPr>
        <w:t>. Tenant represents, warrants and covenants that, to the best of Tenant’s knowledge, Landlord and Tenant are not in default of any of their respective obligations under the Lease and no event has occurred that, with the passage of time or the giving of notice (or both) would constitute a default by either Landlord or Tenant thereunder.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7291705" cy="196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77" w:name="page78"/>
    <w:bookmarkEnd w:id="77"/>
    <w:p>
      <w:pPr>
        <w:jc w:val="both"/>
        <w:ind w:firstLine="227"/>
        <w:spacing w:after="0" w:line="269" w:lineRule="auto"/>
        <w:tabs>
          <w:tab w:leader="none" w:pos="433" w:val="left"/>
        </w:tabs>
        <w:numPr>
          <w:ilvl w:val="0"/>
          <w:numId w:val="14"/>
        </w:numPr>
        <w:rPr>
          <w:rFonts w:ascii="Arial" w:cs="Arial" w:eastAsia="Arial" w:hAnsi="Arial"/>
          <w:sz w:val="14"/>
          <w:szCs w:val="14"/>
          <w:color w:val="auto"/>
        </w:rPr>
      </w:pPr>
      <w:r>
        <w:rPr>
          <w:rFonts w:ascii="Arial" w:cs="Arial" w:eastAsia="Arial" w:hAnsi="Arial"/>
          <w:sz w:val="14"/>
          <w:szCs w:val="14"/>
          <w:u w:val="single" w:color="auto"/>
          <w:color w:val="auto"/>
        </w:rPr>
        <w:t>Effect of Amendment</w:t>
      </w:r>
      <w:r>
        <w:rPr>
          <w:rFonts w:ascii="Arial" w:cs="Arial" w:eastAsia="Arial" w:hAnsi="Arial"/>
          <w:sz w:val="14"/>
          <w:szCs w:val="14"/>
          <w:color w:val="auto"/>
        </w:rPr>
        <w:t>. Except as modified by this Eighth Amendment, the Lease and all the covenants, agreements, terms, provisions and conditions thereof shall remain in full force and effect and are hereby ratified and affirmed. The covenants, agreements, terms, provisions and conditions contained in this Eighth Amendment shall bind and inure to the benefit of the parties hereto and their respective successors and, except as otherwise provided in the Lease, their respective assigns. In the event of any conflict between the terms contained in this Eighth Amendment and the Lease, the terms herein contained shall supersede and control the obligations and liabilities of the parties. From and after the date hereof, the term “Lease” as used in the Lease shall mean the Lease, as modified by this Eighth Amendment.</w:t>
      </w:r>
    </w:p>
    <w:p>
      <w:pPr>
        <w:spacing w:after="0" w:line="194" w:lineRule="exact"/>
        <w:rPr>
          <w:rFonts w:ascii="Arial" w:cs="Arial" w:eastAsia="Arial" w:hAnsi="Arial"/>
          <w:sz w:val="14"/>
          <w:szCs w:val="14"/>
          <w:color w:val="auto"/>
        </w:rPr>
      </w:pPr>
    </w:p>
    <w:p>
      <w:pPr>
        <w:jc w:val="both"/>
        <w:ind w:firstLine="249"/>
        <w:spacing w:after="0" w:line="271" w:lineRule="auto"/>
        <w:tabs>
          <w:tab w:leader="none" w:pos="455" w:val="left"/>
        </w:tabs>
        <w:numPr>
          <w:ilvl w:val="1"/>
          <w:numId w:val="14"/>
        </w:numPr>
        <w:rPr>
          <w:rFonts w:ascii="Arial" w:cs="Arial" w:eastAsia="Arial" w:hAnsi="Arial"/>
          <w:sz w:val="14"/>
          <w:szCs w:val="14"/>
          <w:color w:val="auto"/>
        </w:rPr>
      </w:pPr>
      <w:r>
        <w:rPr>
          <w:rFonts w:ascii="Arial" w:cs="Arial" w:eastAsia="Arial" w:hAnsi="Arial"/>
          <w:sz w:val="14"/>
          <w:szCs w:val="14"/>
          <w:u w:val="single" w:color="auto"/>
          <w:color w:val="auto"/>
        </w:rPr>
        <w:t>Miscellaneous</w:t>
      </w:r>
      <w:r>
        <w:rPr>
          <w:rFonts w:ascii="Arial" w:cs="Arial" w:eastAsia="Arial" w:hAnsi="Arial"/>
          <w:sz w:val="14"/>
          <w:szCs w:val="14"/>
          <w:color w:val="auto"/>
        </w:rPr>
        <w:t>. This Eighth Amendment becomes effective only upon execution and delivery hereof by Landlord and Tenant. The captions of the paragraphs and subparagraphs in this Eighth Amendment are inserted and included solely for convenience and shall not be considered or given any effect in construing the provisions hereof. All exhibits hereto are incorporated herein by reference. Submission of this instrument for examination or signature by Tenant does not constitute a reservation of or option for a lease, and shall not be effective as a lease, lease amendment or otherwise until execution by and delivery to both Landlord and Tenant.</w:t>
      </w:r>
    </w:p>
    <w:p>
      <w:pPr>
        <w:spacing w:after="0" w:line="194" w:lineRule="exact"/>
        <w:rPr>
          <w:sz w:val="20"/>
          <w:szCs w:val="20"/>
          <w:color w:val="auto"/>
        </w:rPr>
      </w:pPr>
    </w:p>
    <w:p>
      <w:pPr>
        <w:ind w:left="440" w:hanging="213"/>
        <w:spacing w:after="0"/>
        <w:tabs>
          <w:tab w:leader="none" w:pos="440" w:val="left"/>
        </w:tabs>
        <w:numPr>
          <w:ilvl w:val="0"/>
          <w:numId w:val="15"/>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Eighth Amendment may be executed in one or more counterparts, each of which, when taken together, shall constitute one and the same document.</w:t>
      </w:r>
    </w:p>
    <w:p>
      <w:pPr>
        <w:spacing w:after="0" w:line="211" w:lineRule="exact"/>
        <w:rPr>
          <w:rFonts w:ascii="Arial" w:cs="Arial" w:eastAsia="Arial" w:hAnsi="Arial"/>
          <w:sz w:val="14"/>
          <w:szCs w:val="14"/>
          <w:color w:val="auto"/>
        </w:rPr>
      </w:pPr>
    </w:p>
    <w:p>
      <w:pPr>
        <w:ind w:left="3740"/>
        <w:spacing w:after="0"/>
        <w:rPr>
          <w:rFonts w:ascii="Arial" w:cs="Arial" w:eastAsia="Arial" w:hAnsi="Arial"/>
          <w:sz w:val="14"/>
          <w:szCs w:val="14"/>
          <w:color w:val="auto"/>
        </w:rPr>
      </w:pPr>
      <w:r>
        <w:rPr>
          <w:rFonts w:ascii="Arial" w:cs="Arial" w:eastAsia="Arial" w:hAnsi="Arial"/>
          <w:sz w:val="14"/>
          <w:szCs w:val="14"/>
          <w:color w:val="auto"/>
        </w:rPr>
        <w:t>[REMAINDER OF THIS PAGE INTENTIONALLY LEFT BLANK]</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78" w:name="page79"/>
    <w:bookmarkEnd w:id="78"/>
    <w:p>
      <w:pPr>
        <w:ind w:firstLine="219"/>
        <w:spacing w:after="0" w:line="291" w:lineRule="auto"/>
        <w:rPr>
          <w:sz w:val="20"/>
          <w:szCs w:val="20"/>
          <w:color w:val="auto"/>
        </w:rPr>
      </w:pPr>
      <w:r>
        <w:rPr>
          <w:rFonts w:ascii="Arial" w:cs="Arial" w:eastAsia="Arial" w:hAnsi="Arial"/>
          <w:sz w:val="14"/>
          <w:szCs w:val="14"/>
          <w:color w:val="auto"/>
        </w:rPr>
        <w:t>IN WITNESS WHEREOF, Landlord and Tenant have hereunto set their hands as of the date and year first above written, and acknowledge that they possess the requisite authority to enter into this transaction and to execute this Eighth Amendment.</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LANDLORD</w:t>
      </w:r>
      <w:r>
        <w:rPr>
          <w:rFonts w:ascii="Arial" w:cs="Arial" w:eastAsia="Arial" w:hAnsi="Arial"/>
          <w:sz w:val="14"/>
          <w:szCs w:val="14"/>
          <w:b w:val="1"/>
          <w:bCs w:val="1"/>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BMR-LANDMARK AT EASTVIEW LLC,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 Delaware limited liability company</w:t>
      </w:r>
    </w:p>
    <w:p>
      <w:pPr>
        <w:spacing w:after="0" w:line="382"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color w:val="auto"/>
        </w:rPr>
        <w:t>By:</w:t>
        <w:tab/>
        <w:t>/s/ Kevin M. Simonsen</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Name: Kevin M. Simonsen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Title:  VP, Real Estate Counsel</w:t>
      </w: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TENANT</w:t>
      </w:r>
      <w:r>
        <w:rPr>
          <w:rFonts w:ascii="Arial" w:cs="Arial" w:eastAsia="Arial" w:hAnsi="Arial"/>
          <w:sz w:val="14"/>
          <w:szCs w:val="14"/>
          <w:b w:val="1"/>
          <w:bCs w:val="1"/>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REGENERON PHARMACEUTICALS, INC.,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 New York corporation</w:t>
      </w:r>
    </w:p>
    <w:p>
      <w:pPr>
        <w:spacing w:after="0" w:line="379"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color w:val="auto"/>
        </w:rPr>
        <w:t>By:</w:t>
        <w:tab/>
        <w:t>/s/ Murray A. Goldberg</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Name: Murray A. Goldberg</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Title:  Senior Vice President, Finance &amp; Administration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7291705" cy="196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79" w:name="page80"/>
    <w:bookmarkEnd w:id="79"/>
    <w:p>
      <w:pPr>
        <w:jc w:val="center"/>
        <w:ind w:right="-20"/>
        <w:spacing w:after="0"/>
        <w:rPr>
          <w:sz w:val="20"/>
          <w:szCs w:val="20"/>
          <w:color w:val="auto"/>
        </w:rPr>
      </w:pPr>
      <w:r>
        <w:rPr>
          <w:rFonts w:ascii="Arial" w:cs="Arial" w:eastAsia="Arial" w:hAnsi="Arial"/>
          <w:sz w:val="14"/>
          <w:szCs w:val="14"/>
          <w:b w:val="1"/>
          <w:bCs w:val="1"/>
          <w:color w:val="auto"/>
        </w:rPr>
        <w:t>EXHIBIT A</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auto"/>
        </w:rPr>
        <w:t>777 LICENSE AREA PREMISES</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[IMAGE]</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192405</wp:posOffset>
            </wp:positionV>
            <wp:extent cx="7291705" cy="196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9019"/>
          </w:cols>
          <w:pgMar w:left="1440" w:top="523" w:right="1440" w:bottom="1440" w:gutter="0" w:footer="0" w:header="0"/>
        </w:sectPr>
      </w:pPr>
    </w:p>
    <w:bookmarkStart w:id="80" w:name="page81"/>
    <w:bookmarkEnd w:id="80"/>
    <w:p>
      <w:pPr>
        <w:jc w:val="center"/>
        <w:spacing w:after="0"/>
        <w:rPr>
          <w:sz w:val="20"/>
          <w:szCs w:val="20"/>
          <w:color w:val="auto"/>
        </w:rPr>
      </w:pPr>
      <w:r>
        <w:rPr>
          <w:rFonts w:ascii="Arial" w:cs="Arial" w:eastAsia="Arial" w:hAnsi="Arial"/>
          <w:sz w:val="14"/>
          <w:szCs w:val="14"/>
          <w:b w:val="1"/>
          <w:bCs w:val="1"/>
          <w:color w:val="auto"/>
        </w:rPr>
        <w:t>EXHIBIT B</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765 ELEVATOR LOBBY PREMISES AND DEMISING WALL</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[IMAGE]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192405</wp:posOffset>
            </wp:positionV>
            <wp:extent cx="7291705" cy="196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9019"/>
          </w:cols>
          <w:pgMar w:left="1440" w:top="523" w:right="1440" w:bottom="1440" w:gutter="0" w:footer="0" w:header="0"/>
        </w:sectPr>
      </w:pPr>
    </w:p>
    <w:bookmarkStart w:id="81" w:name="page82"/>
    <w:bookmarkEnd w:id="81"/>
    <w:p>
      <w:pPr>
        <w:jc w:val="center"/>
        <w:ind w:right="20"/>
        <w:spacing w:after="0"/>
        <w:rPr>
          <w:sz w:val="20"/>
          <w:szCs w:val="20"/>
          <w:color w:val="auto"/>
        </w:rPr>
      </w:pPr>
      <w:r>
        <w:rPr>
          <w:rFonts w:ascii="Arial" w:cs="Arial" w:eastAsia="Arial" w:hAnsi="Arial"/>
          <w:sz w:val="14"/>
          <w:szCs w:val="14"/>
          <w:b w:val="1"/>
          <w:bCs w:val="1"/>
          <w:color w:val="auto"/>
        </w:rPr>
        <w:t>EXHIBIT C</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auto"/>
        </w:rPr>
        <w:t>TENANT’S PRO RATA SHARES</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2340" w:type="dxa"/>
            <w:vAlign w:val="bottom"/>
            <w:tcBorders>
              <w:top w:val="single" w:sz="8" w:color="auto"/>
              <w:left w:val="single" w:sz="8" w:color="auto"/>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Definition or</w:t>
            </w:r>
          </w:p>
        </w:tc>
        <w:tc>
          <w:tcPr>
            <w:tcW w:w="218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Means the</w:t>
            </w:r>
          </w:p>
        </w:tc>
        <w:tc>
          <w:tcPr>
            <w:tcW w:w="8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Square</w:t>
            </w:r>
          </w:p>
        </w:tc>
        <w:tc>
          <w:tcPr>
            <w:tcW w:w="920" w:type="dxa"/>
            <w:vAlign w:val="bottom"/>
            <w:tcBorders>
              <w:top w:val="single" w:sz="8" w:color="auto"/>
              <w:right w:val="single" w:sz="8" w:color="auto"/>
            </w:tcBorders>
          </w:tcPr>
          <w:p>
            <w:pPr>
              <w:spacing w:after="0"/>
              <w:rPr>
                <w:sz w:val="17"/>
                <w:szCs w:val="17"/>
                <w:color w:val="auto"/>
              </w:rPr>
            </w:pPr>
          </w:p>
        </w:tc>
        <w:tc>
          <w:tcPr>
            <w:tcW w:w="174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Tenant’s Pro</w:t>
            </w:r>
          </w:p>
        </w:tc>
        <w:tc>
          <w:tcPr>
            <w:tcW w:w="172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Tenant’s</w:t>
            </w:r>
          </w:p>
        </w:tc>
        <w:tc>
          <w:tcPr>
            <w:tcW w:w="174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Tenant’s</w:t>
            </w:r>
          </w:p>
        </w:tc>
        <w:tc>
          <w:tcPr>
            <w:tcW w:w="20" w:type="dxa"/>
            <w:vAlign w:val="bottom"/>
          </w:tcPr>
          <w:p>
            <w:pPr>
              <w:spacing w:after="0"/>
              <w:rPr>
                <w:sz w:val="17"/>
                <w:szCs w:val="17"/>
                <w:color w:val="auto"/>
              </w:rPr>
            </w:pPr>
          </w:p>
        </w:tc>
      </w:tr>
      <w:tr>
        <w:trPr>
          <w:trHeight w:val="197"/>
        </w:trPr>
        <w:tc>
          <w:tcPr>
            <w:tcW w:w="23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Provision</w:t>
            </w:r>
          </w:p>
        </w:tc>
        <w:tc>
          <w:tcPr>
            <w:tcW w:w="218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Following:</w:t>
            </w:r>
          </w:p>
        </w:tc>
        <w:tc>
          <w:tcPr>
            <w:tcW w:w="820" w:type="dxa"/>
            <w:vAlign w:val="bottom"/>
          </w:tcPr>
          <w:p>
            <w:pPr>
              <w:spacing w:after="0"/>
              <w:rPr>
                <w:sz w:val="20"/>
                <w:szCs w:val="20"/>
                <w:color w:val="auto"/>
              </w:rPr>
            </w:pPr>
            <w:r>
              <w:rPr>
                <w:rFonts w:ascii="Arial" w:cs="Arial" w:eastAsia="Arial" w:hAnsi="Arial"/>
                <w:sz w:val="14"/>
                <w:szCs w:val="14"/>
                <w:b w:val="1"/>
                <w:bCs w:val="1"/>
                <w:color w:val="auto"/>
              </w:rPr>
              <w:t>Feet of</w:t>
            </w:r>
          </w:p>
        </w:tc>
        <w:tc>
          <w:tcPr>
            <w:tcW w:w="92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Rata Share</w:t>
            </w:r>
          </w:p>
        </w:tc>
        <w:tc>
          <w:tcPr>
            <w:tcW w:w="172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Pro Rata</w:t>
            </w:r>
          </w:p>
        </w:tc>
        <w:tc>
          <w:tcPr>
            <w:tcW w:w="17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Pro Rata</w:t>
            </w:r>
          </w:p>
        </w:tc>
        <w:tc>
          <w:tcPr>
            <w:tcW w:w="20" w:type="dxa"/>
            <w:vAlign w:val="bottom"/>
          </w:tcPr>
          <w:p>
            <w:pPr>
              <w:spacing w:after="0"/>
              <w:rPr>
                <w:sz w:val="17"/>
                <w:szCs w:val="17"/>
                <w:color w:val="auto"/>
              </w:rPr>
            </w:pPr>
          </w:p>
        </w:tc>
      </w:tr>
      <w:tr>
        <w:trPr>
          <w:trHeight w:val="197"/>
        </w:trPr>
        <w:tc>
          <w:tcPr>
            <w:tcW w:w="1060" w:type="dxa"/>
            <w:vAlign w:val="bottom"/>
            <w:tcBorders>
              <w:lef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180" w:type="dxa"/>
            <w:vAlign w:val="bottom"/>
            <w:tcBorders>
              <w:right w:val="single" w:sz="8" w:color="auto"/>
            </w:tcBorders>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4"/>
                <w:szCs w:val="14"/>
                <w:b w:val="1"/>
                <w:bCs w:val="1"/>
                <w:color w:val="auto"/>
              </w:rPr>
              <w:t>Rentable</w:t>
            </w:r>
          </w:p>
        </w:tc>
        <w:tc>
          <w:tcPr>
            <w:tcW w:w="92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of Applicable</w:t>
            </w:r>
          </w:p>
        </w:tc>
        <w:tc>
          <w:tcPr>
            <w:tcW w:w="172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Share of</w:t>
            </w:r>
          </w:p>
        </w:tc>
        <w:tc>
          <w:tcPr>
            <w:tcW w:w="17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Share of</w:t>
            </w:r>
          </w:p>
        </w:tc>
        <w:tc>
          <w:tcPr>
            <w:tcW w:w="20" w:type="dxa"/>
            <w:vAlign w:val="bottom"/>
          </w:tcPr>
          <w:p>
            <w:pPr>
              <w:spacing w:after="0"/>
              <w:rPr>
                <w:sz w:val="17"/>
                <w:szCs w:val="17"/>
                <w:color w:val="auto"/>
              </w:rPr>
            </w:pPr>
          </w:p>
        </w:tc>
      </w:tr>
      <w:tr>
        <w:trPr>
          <w:trHeight w:val="197"/>
        </w:trPr>
        <w:tc>
          <w:tcPr>
            <w:tcW w:w="1060" w:type="dxa"/>
            <w:vAlign w:val="bottom"/>
            <w:tcBorders>
              <w:lef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180" w:type="dxa"/>
            <w:vAlign w:val="bottom"/>
            <w:tcBorders>
              <w:right w:val="single" w:sz="8" w:color="auto"/>
            </w:tcBorders>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4"/>
                <w:szCs w:val="14"/>
                <w:b w:val="1"/>
                <w:bCs w:val="1"/>
                <w:color w:val="auto"/>
              </w:rPr>
              <w:t>Area</w:t>
            </w:r>
          </w:p>
        </w:tc>
        <w:tc>
          <w:tcPr>
            <w:tcW w:w="92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Building</w:t>
            </w:r>
          </w:p>
        </w:tc>
        <w:tc>
          <w:tcPr>
            <w:tcW w:w="172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Existing</w:t>
            </w:r>
          </w:p>
        </w:tc>
        <w:tc>
          <w:tcPr>
            <w:tcW w:w="17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the Entire</w:t>
            </w:r>
          </w:p>
        </w:tc>
        <w:tc>
          <w:tcPr>
            <w:tcW w:w="20" w:type="dxa"/>
            <w:vAlign w:val="bottom"/>
          </w:tcPr>
          <w:p>
            <w:pPr>
              <w:spacing w:after="0"/>
              <w:rPr>
                <w:sz w:val="17"/>
                <w:szCs w:val="17"/>
                <w:color w:val="auto"/>
              </w:rPr>
            </w:pPr>
          </w:p>
        </w:tc>
      </w:tr>
      <w:tr>
        <w:trPr>
          <w:trHeight w:val="197"/>
        </w:trPr>
        <w:tc>
          <w:tcPr>
            <w:tcW w:w="1060" w:type="dxa"/>
            <w:vAlign w:val="bottom"/>
            <w:tcBorders>
              <w:lef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180" w:type="dxa"/>
            <w:vAlign w:val="bottom"/>
            <w:tcBorders>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Project</w:t>
            </w:r>
          </w:p>
        </w:tc>
        <w:tc>
          <w:tcPr>
            <w:tcW w:w="17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Project</w:t>
            </w:r>
          </w:p>
        </w:tc>
        <w:tc>
          <w:tcPr>
            <w:tcW w:w="20" w:type="dxa"/>
            <w:vAlign w:val="bottom"/>
          </w:tcPr>
          <w:p>
            <w:pPr>
              <w:spacing w:after="0"/>
              <w:rPr>
                <w:sz w:val="17"/>
                <w:szCs w:val="17"/>
                <w:color w:val="auto"/>
              </w:rPr>
            </w:pPr>
          </w:p>
        </w:tc>
      </w:tr>
      <w:tr>
        <w:trPr>
          <w:trHeight w:val="204"/>
        </w:trPr>
        <w:tc>
          <w:tcPr>
            <w:tcW w:w="1060" w:type="dxa"/>
            <w:vAlign w:val="bottom"/>
            <w:tcBorders>
              <w:left w:val="single" w:sz="8" w:color="auto"/>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218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(827,790)</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(1,188,310)</w:t>
            </w:r>
          </w:p>
        </w:tc>
        <w:tc>
          <w:tcPr>
            <w:tcW w:w="20" w:type="dxa"/>
            <w:vAlign w:val="bottom"/>
          </w:tcPr>
          <w:p>
            <w:pPr>
              <w:spacing w:after="0"/>
              <w:rPr>
                <w:sz w:val="17"/>
                <w:szCs w:val="17"/>
                <w:color w:val="auto"/>
              </w:rPr>
            </w:pPr>
          </w:p>
        </w:tc>
      </w:tr>
      <w:tr>
        <w:trPr>
          <w:trHeight w:val="151"/>
        </w:trPr>
        <w:tc>
          <w:tcPr>
            <w:tcW w:w="2340" w:type="dxa"/>
            <w:vAlign w:val="bottom"/>
            <w:tcBorders>
              <w:left w:val="single" w:sz="8" w:color="auto"/>
              <w:right w:val="single" w:sz="8" w:color="auto"/>
            </w:tcBorders>
            <w:gridSpan w:val="3"/>
          </w:tcPr>
          <w:p>
            <w:pPr>
              <w:ind w:left="20"/>
              <w:spacing w:after="0" w:line="151" w:lineRule="exact"/>
              <w:rPr>
                <w:sz w:val="20"/>
                <w:szCs w:val="20"/>
                <w:color w:val="auto"/>
              </w:rPr>
            </w:pPr>
            <w:r>
              <w:rPr>
                <w:rFonts w:ascii="Arial" w:cs="Arial" w:eastAsia="Arial" w:hAnsi="Arial"/>
                <w:sz w:val="14"/>
                <w:szCs w:val="14"/>
                <w:color w:val="auto"/>
              </w:rPr>
              <w:t>Portion of added “Premises” and</w:t>
            </w:r>
          </w:p>
        </w:tc>
        <w:tc>
          <w:tcPr>
            <w:tcW w:w="2180" w:type="dxa"/>
            <w:vAlign w:val="bottom"/>
            <w:tcBorders>
              <w:right w:val="single" w:sz="8" w:color="auto"/>
            </w:tcBorders>
          </w:tcPr>
          <w:p>
            <w:pPr>
              <w:spacing w:after="0" w:line="151" w:lineRule="exact"/>
              <w:rPr>
                <w:sz w:val="20"/>
                <w:szCs w:val="20"/>
                <w:color w:val="auto"/>
              </w:rPr>
            </w:pPr>
            <w:r>
              <w:rPr>
                <w:rFonts w:ascii="Arial" w:cs="Arial" w:eastAsia="Arial" w:hAnsi="Arial"/>
                <w:sz w:val="14"/>
                <w:szCs w:val="14"/>
                <w:color w:val="auto"/>
              </w:rPr>
              <w:t>777 License</w:t>
            </w:r>
          </w:p>
        </w:tc>
        <w:tc>
          <w:tcPr>
            <w:tcW w:w="820" w:type="dxa"/>
            <w:vAlign w:val="bottom"/>
          </w:tcPr>
          <w:p>
            <w:pPr>
              <w:spacing w:after="0" w:line="151" w:lineRule="exact"/>
              <w:rPr>
                <w:sz w:val="20"/>
                <w:szCs w:val="20"/>
                <w:color w:val="auto"/>
              </w:rPr>
            </w:pPr>
            <w:r>
              <w:rPr>
                <w:rFonts w:ascii="Arial" w:cs="Arial" w:eastAsia="Arial" w:hAnsi="Arial"/>
                <w:sz w:val="14"/>
                <w:szCs w:val="14"/>
                <w:color w:val="auto"/>
              </w:rPr>
              <w:t>6,568</w:t>
            </w:r>
          </w:p>
        </w:tc>
        <w:tc>
          <w:tcPr>
            <w:tcW w:w="920" w:type="dxa"/>
            <w:vAlign w:val="bottom"/>
            <w:tcBorders>
              <w:right w:val="single" w:sz="8" w:color="auto"/>
            </w:tcBorders>
          </w:tcPr>
          <w:p>
            <w:pPr>
              <w:spacing w:after="0"/>
              <w:rPr>
                <w:sz w:val="13"/>
                <w:szCs w:val="13"/>
                <w:color w:val="auto"/>
              </w:rPr>
            </w:pPr>
          </w:p>
        </w:tc>
        <w:tc>
          <w:tcPr>
            <w:tcW w:w="1740" w:type="dxa"/>
            <w:vAlign w:val="bottom"/>
            <w:tcBorders>
              <w:right w:val="single" w:sz="8" w:color="auto"/>
            </w:tcBorders>
          </w:tcPr>
          <w:p>
            <w:pPr>
              <w:spacing w:after="0" w:line="151" w:lineRule="exact"/>
              <w:rPr>
                <w:sz w:val="20"/>
                <w:szCs w:val="20"/>
                <w:color w:val="auto"/>
              </w:rPr>
            </w:pPr>
            <w:r>
              <w:rPr>
                <w:rFonts w:ascii="Arial" w:cs="Arial" w:eastAsia="Arial" w:hAnsi="Arial"/>
                <w:sz w:val="14"/>
                <w:szCs w:val="14"/>
                <w:color w:val="auto"/>
              </w:rPr>
              <w:t>1.80%</w:t>
            </w:r>
          </w:p>
        </w:tc>
        <w:tc>
          <w:tcPr>
            <w:tcW w:w="1720" w:type="dxa"/>
            <w:vAlign w:val="bottom"/>
            <w:tcBorders>
              <w:right w:val="single" w:sz="8" w:color="auto"/>
            </w:tcBorders>
          </w:tcPr>
          <w:p>
            <w:pPr>
              <w:spacing w:after="0" w:line="151" w:lineRule="exact"/>
              <w:rPr>
                <w:sz w:val="20"/>
                <w:szCs w:val="20"/>
                <w:color w:val="auto"/>
              </w:rPr>
            </w:pPr>
            <w:r>
              <w:rPr>
                <w:rFonts w:ascii="Arial" w:cs="Arial" w:eastAsia="Arial" w:hAnsi="Arial"/>
                <w:sz w:val="14"/>
                <w:szCs w:val="14"/>
                <w:color w:val="auto"/>
              </w:rPr>
              <w:t>0.79%</w:t>
            </w:r>
          </w:p>
        </w:tc>
        <w:tc>
          <w:tcPr>
            <w:tcW w:w="1740" w:type="dxa"/>
            <w:vAlign w:val="bottom"/>
            <w:tcBorders>
              <w:right w:val="single" w:sz="8" w:color="auto"/>
            </w:tcBorders>
          </w:tcPr>
          <w:p>
            <w:pPr>
              <w:spacing w:after="0" w:line="151" w:lineRule="exact"/>
              <w:rPr>
                <w:sz w:val="20"/>
                <w:szCs w:val="20"/>
                <w:color w:val="auto"/>
              </w:rPr>
            </w:pPr>
            <w:r>
              <w:rPr>
                <w:rFonts w:ascii="Arial" w:cs="Arial" w:eastAsia="Arial" w:hAnsi="Arial"/>
                <w:sz w:val="14"/>
                <w:szCs w:val="14"/>
                <w:color w:val="auto"/>
              </w:rPr>
              <w:t>0.55%</w:t>
            </w:r>
          </w:p>
        </w:tc>
        <w:tc>
          <w:tcPr>
            <w:tcW w:w="20" w:type="dxa"/>
            <w:vAlign w:val="bottom"/>
          </w:tcPr>
          <w:p>
            <w:pPr>
              <w:spacing w:after="0"/>
              <w:rPr>
                <w:sz w:val="13"/>
                <w:szCs w:val="13"/>
                <w:color w:val="auto"/>
              </w:rPr>
            </w:pPr>
          </w:p>
        </w:tc>
      </w:tr>
      <w:tr>
        <w:trPr>
          <w:trHeight w:val="20"/>
        </w:trPr>
        <w:tc>
          <w:tcPr>
            <w:tcW w:w="1060" w:type="dxa"/>
            <w:vAlign w:val="bottom"/>
            <w:tcBorders>
              <w:lef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2180" w:type="dxa"/>
            <w:vAlign w:val="bottom"/>
            <w:tcBorders>
              <w:righ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740" w:type="dxa"/>
            <w:vAlign w:val="bottom"/>
            <w:tcBorders>
              <w:right w:val="single" w:sz="8" w:color="auto"/>
            </w:tcBorders>
          </w:tcPr>
          <w:p>
            <w:pPr>
              <w:spacing w:after="0" w:line="20" w:lineRule="exact"/>
              <w:rPr>
                <w:sz w:val="1"/>
                <w:szCs w:val="1"/>
                <w:color w:val="auto"/>
              </w:rPr>
            </w:pPr>
          </w:p>
        </w:tc>
        <w:tc>
          <w:tcPr>
            <w:tcW w:w="1720" w:type="dxa"/>
            <w:vAlign w:val="bottom"/>
            <w:tcBorders>
              <w:right w:val="single" w:sz="8" w:color="auto"/>
            </w:tcBorders>
          </w:tcPr>
          <w:p>
            <w:pPr>
              <w:spacing w:after="0" w:line="20" w:lineRule="exact"/>
              <w:rPr>
                <w:sz w:val="1"/>
                <w:szCs w:val="1"/>
                <w:color w:val="auto"/>
              </w:rPr>
            </w:pPr>
          </w:p>
        </w:tc>
        <w:tc>
          <w:tcPr>
            <w:tcW w:w="17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5"/>
        </w:trPr>
        <w:tc>
          <w:tcPr>
            <w:tcW w:w="23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4"/>
                <w:szCs w:val="14"/>
                <w:color w:val="auto"/>
              </w:rPr>
              <w:t>corresponding Rentable Area</w:t>
            </w:r>
          </w:p>
        </w:tc>
        <w:tc>
          <w:tcPr>
            <w:tcW w:w="2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Area Premises</w:t>
            </w:r>
          </w:p>
        </w:tc>
        <w:tc>
          <w:tcPr>
            <w:tcW w:w="8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82"/>
        </w:trPr>
        <w:tc>
          <w:tcPr>
            <w:tcW w:w="1060" w:type="dxa"/>
            <w:vAlign w:val="bottom"/>
            <w:tcBorders>
              <w:lef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765 Elevator</w:t>
            </w:r>
          </w:p>
        </w:tc>
        <w:tc>
          <w:tcPr>
            <w:tcW w:w="820" w:type="dxa"/>
            <w:vAlign w:val="bottom"/>
          </w:tcPr>
          <w:p>
            <w:pPr>
              <w:spacing w:after="0"/>
              <w:rPr>
                <w:sz w:val="20"/>
                <w:szCs w:val="20"/>
                <w:color w:val="auto"/>
              </w:rPr>
            </w:pPr>
            <w:r>
              <w:rPr>
                <w:rFonts w:ascii="Arial" w:cs="Arial" w:eastAsia="Arial" w:hAnsi="Arial"/>
                <w:sz w:val="14"/>
                <w:szCs w:val="14"/>
                <w:color w:val="auto"/>
              </w:rPr>
              <w:t>449</w:t>
            </w:r>
          </w:p>
        </w:tc>
        <w:tc>
          <w:tcPr>
            <w:tcW w:w="92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0.22%</w:t>
            </w:r>
          </w:p>
        </w:tc>
        <w:tc>
          <w:tcPr>
            <w:tcW w:w="17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0.05%</w:t>
            </w:r>
          </w:p>
        </w:tc>
        <w:tc>
          <w:tcPr>
            <w:tcW w:w="17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0.04%</w:t>
            </w:r>
          </w:p>
        </w:tc>
        <w:tc>
          <w:tcPr>
            <w:tcW w:w="20" w:type="dxa"/>
            <w:vAlign w:val="bottom"/>
          </w:tcPr>
          <w:p>
            <w:pPr>
              <w:spacing w:after="0"/>
              <w:rPr>
                <w:sz w:val="15"/>
                <w:szCs w:val="15"/>
                <w:color w:val="auto"/>
              </w:rPr>
            </w:pPr>
          </w:p>
        </w:tc>
      </w:tr>
      <w:tr>
        <w:trPr>
          <w:trHeight w:val="204"/>
        </w:trPr>
        <w:tc>
          <w:tcPr>
            <w:tcW w:w="1060" w:type="dxa"/>
            <w:vAlign w:val="bottom"/>
            <w:tcBorders>
              <w:left w:val="single" w:sz="8" w:color="auto"/>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2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Lobby Premises</w:t>
            </w:r>
          </w:p>
        </w:tc>
        <w:tc>
          <w:tcPr>
            <w:tcW w:w="82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368"/>
        </w:trPr>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60" w:type="dxa"/>
            <w:vAlign w:val="bottom"/>
            <w:gridSpan w:val="2"/>
          </w:tcPr>
          <w:p>
            <w:pPr>
              <w:ind w:left="280"/>
              <w:spacing w:after="0"/>
              <w:rPr>
                <w:sz w:val="20"/>
                <w:szCs w:val="20"/>
                <w:color w:val="auto"/>
              </w:rPr>
            </w:pPr>
            <w:r>
              <w:rPr>
                <w:rFonts w:ascii="Arial" w:cs="Arial" w:eastAsia="Arial" w:hAnsi="Arial"/>
                <w:sz w:val="14"/>
                <w:szCs w:val="14"/>
                <w:color w:val="auto"/>
              </w:rPr>
              <w:t>C-1</w:t>
            </w: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4"/>
        </w:trPr>
        <w:tc>
          <w:tcPr>
            <w:tcW w:w="10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-12700</wp:posOffset>
            </wp:positionV>
            <wp:extent cx="1270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80"/>
          </w:cols>
          <w:pgMar w:left="220" w:top="523" w:right="199" w:bottom="1440" w:gutter="0" w:footer="0" w:header="0"/>
        </w:sectPr>
      </w:pPr>
    </w:p>
    <w:bookmarkStart w:id="82" w:name="page83"/>
    <w:bookmarkEnd w:id="82"/>
    <w:p>
      <w:pPr>
        <w:jc w:val="center"/>
        <w:spacing w:after="0"/>
        <w:rPr>
          <w:sz w:val="20"/>
          <w:szCs w:val="20"/>
          <w:color w:val="auto"/>
        </w:rPr>
      </w:pPr>
      <w:r>
        <w:rPr>
          <w:rFonts w:ascii="Arial" w:cs="Arial" w:eastAsia="Arial" w:hAnsi="Arial"/>
          <w:sz w:val="14"/>
          <w:szCs w:val="14"/>
          <w:b w:val="1"/>
          <w:bCs w:val="1"/>
          <w:color w:val="auto"/>
        </w:rPr>
        <w:t>EXHIBIT 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SPACE LICENSE TERMINATION AGREEMENT</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[IMAGE]</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192405</wp:posOffset>
            </wp:positionV>
            <wp:extent cx="7291705" cy="196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9019"/>
          </w:cols>
          <w:pgMar w:left="1440" w:top="523" w:right="1440" w:bottom="1440" w:gutter="0" w:footer="0" w:header="0"/>
        </w:sectPr>
      </w:pPr>
    </w:p>
    <w:bookmarkStart w:id="83" w:name="page84"/>
    <w:bookmarkEnd w:id="83"/>
    <w:p>
      <w:pPr>
        <w:jc w:val="center"/>
        <w:spacing w:after="0"/>
        <w:rPr>
          <w:sz w:val="20"/>
          <w:szCs w:val="20"/>
          <w:color w:val="auto"/>
        </w:rPr>
      </w:pPr>
      <w:r>
        <w:rPr>
          <w:rFonts w:ascii="Arial" w:cs="Arial" w:eastAsia="Arial" w:hAnsi="Arial"/>
          <w:sz w:val="14"/>
          <w:szCs w:val="14"/>
          <w:b w:val="1"/>
          <w:bCs w:val="1"/>
          <w:color w:val="auto"/>
        </w:rPr>
        <w:t>SPACE LICENSE TERMINATION AGREEMENT</w:t>
      </w:r>
    </w:p>
    <w:p>
      <w:pPr>
        <w:spacing w:after="0" w:line="236" w:lineRule="exact"/>
        <w:rPr>
          <w:sz w:val="20"/>
          <w:szCs w:val="20"/>
          <w:color w:val="auto"/>
        </w:rPr>
      </w:pPr>
    </w:p>
    <w:p>
      <w:pPr>
        <w:ind w:firstLine="296"/>
        <w:spacing w:after="0" w:line="226" w:lineRule="auto"/>
        <w:rPr>
          <w:sz w:val="20"/>
          <w:szCs w:val="20"/>
          <w:color w:val="auto"/>
        </w:rPr>
      </w:pPr>
      <w:r>
        <w:rPr>
          <w:rFonts w:ascii="Arial" w:cs="Arial" w:eastAsia="Arial" w:hAnsi="Arial"/>
          <w:sz w:val="14"/>
          <w:szCs w:val="14"/>
          <w:color w:val="auto"/>
        </w:rPr>
        <w:t>THIS SPACE LICENSE TERMINATION AGREEMENT (this “</w:t>
      </w:r>
      <w:r>
        <w:rPr>
          <w:rFonts w:ascii="Arial" w:cs="Arial" w:eastAsia="Arial" w:hAnsi="Arial"/>
          <w:sz w:val="14"/>
          <w:szCs w:val="14"/>
          <w:u w:val="single" w:color="auto"/>
          <w:color w:val="auto"/>
        </w:rPr>
        <w:t>Agreement</w:t>
      </w:r>
      <w:r>
        <w:rPr>
          <w:rFonts w:ascii="Arial" w:cs="Arial" w:eastAsia="Arial" w:hAnsi="Arial"/>
          <w:sz w:val="14"/>
          <w:szCs w:val="14"/>
          <w:color w:val="auto"/>
        </w:rPr>
        <w:t>”) is entered into as of this 1</w:t>
      </w:r>
      <w:r>
        <w:rPr>
          <w:rFonts w:ascii="Arial" w:cs="Arial" w:eastAsia="Arial" w:hAnsi="Arial"/>
          <w:sz w:val="19"/>
          <w:szCs w:val="19"/>
          <w:color w:val="auto"/>
          <w:vertAlign w:val="superscript"/>
        </w:rPr>
        <w:t>st</w:t>
      </w:r>
      <w:r>
        <w:rPr>
          <w:rFonts w:ascii="Arial" w:cs="Arial" w:eastAsia="Arial" w:hAnsi="Arial"/>
          <w:sz w:val="14"/>
          <w:szCs w:val="14"/>
          <w:color w:val="auto"/>
        </w:rPr>
        <w:t xml:space="preserve"> day of August, 2011 (“</w:t>
      </w:r>
      <w:r>
        <w:rPr>
          <w:rFonts w:ascii="Arial" w:cs="Arial" w:eastAsia="Arial" w:hAnsi="Arial"/>
          <w:sz w:val="14"/>
          <w:szCs w:val="14"/>
          <w:u w:val="single" w:color="auto"/>
          <w:color w:val="auto"/>
        </w:rPr>
        <w:t>Execution Date</w:t>
      </w:r>
      <w:r>
        <w:rPr>
          <w:rFonts w:ascii="Arial" w:cs="Arial" w:eastAsia="Arial" w:hAnsi="Arial"/>
          <w:sz w:val="14"/>
          <w:szCs w:val="14"/>
          <w:color w:val="auto"/>
        </w:rPr>
        <w:t>”), by and between BMR-LANDMARK AT EASTVIEW LLC, a Delaware limited liability company (“</w:t>
      </w:r>
      <w:r>
        <w:rPr>
          <w:rFonts w:ascii="Arial" w:cs="Arial" w:eastAsia="Arial" w:hAnsi="Arial"/>
          <w:sz w:val="14"/>
          <w:szCs w:val="14"/>
          <w:u w:val="single" w:color="auto"/>
          <w:color w:val="auto"/>
        </w:rPr>
        <w:t>Owner</w:t>
      </w:r>
      <w:r>
        <w:rPr>
          <w:rFonts w:ascii="Arial" w:cs="Arial" w:eastAsia="Arial" w:hAnsi="Arial"/>
          <w:sz w:val="14"/>
          <w:szCs w:val="14"/>
          <w:color w:val="auto"/>
        </w:rPr>
        <w:t>”), and REGENERON PHARMACEUTICALS, INC., a New York corporation (“</w:t>
      </w:r>
      <w:r>
        <w:rPr>
          <w:rFonts w:ascii="Arial" w:cs="Arial" w:eastAsia="Arial" w:hAnsi="Arial"/>
          <w:sz w:val="14"/>
          <w:szCs w:val="14"/>
          <w:u w:val="single" w:color="auto"/>
          <w:color w:val="auto"/>
        </w:rPr>
        <w:t>User</w:t>
      </w:r>
      <w:r>
        <w:rPr>
          <w:rFonts w:ascii="Arial" w:cs="Arial" w:eastAsia="Arial" w:hAnsi="Arial"/>
          <w:sz w:val="14"/>
          <w:szCs w:val="14"/>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RECITALS</w:t>
      </w:r>
    </w:p>
    <w:p>
      <w:pPr>
        <w:spacing w:after="0" w:line="238" w:lineRule="exact"/>
        <w:rPr>
          <w:sz w:val="20"/>
          <w:szCs w:val="20"/>
          <w:color w:val="auto"/>
        </w:rPr>
      </w:pPr>
    </w:p>
    <w:p>
      <w:pPr>
        <w:ind w:firstLine="263"/>
        <w:spacing w:after="0" w:line="332" w:lineRule="auto"/>
        <w:rPr>
          <w:sz w:val="20"/>
          <w:szCs w:val="20"/>
          <w:color w:val="auto"/>
        </w:rPr>
      </w:pPr>
      <w:r>
        <w:rPr>
          <w:rFonts w:ascii="Arial" w:cs="Arial" w:eastAsia="Arial" w:hAnsi="Arial"/>
          <w:sz w:val="13"/>
          <w:szCs w:val="13"/>
          <w:color w:val="auto"/>
        </w:rPr>
        <w:t>F. WHEREAS, Owner and User entered into that certain Space License Agreement (“</w:t>
      </w:r>
      <w:r>
        <w:rPr>
          <w:rFonts w:ascii="Arial" w:cs="Arial" w:eastAsia="Arial" w:hAnsi="Arial"/>
          <w:sz w:val="13"/>
          <w:szCs w:val="13"/>
          <w:u w:val="single" w:color="auto"/>
          <w:color w:val="auto"/>
        </w:rPr>
        <w:t>Space License</w:t>
      </w:r>
      <w:r>
        <w:rPr>
          <w:rFonts w:ascii="Arial" w:cs="Arial" w:eastAsia="Arial" w:hAnsi="Arial"/>
          <w:sz w:val="13"/>
          <w:szCs w:val="13"/>
          <w:color w:val="auto"/>
        </w:rPr>
        <w:t>”) dated as of the December 3, 2009 whereby User licenses from Owner approximately Six Thousand Five Hundred Sixty-Eight (6,568) square feet of rentable area on the S-Level of the building located at 777 Old Saw Mill River Road in Tarrytown, New York (the “</w:t>
      </w:r>
      <w:r>
        <w:rPr>
          <w:rFonts w:ascii="Arial" w:cs="Arial" w:eastAsia="Arial" w:hAnsi="Arial"/>
          <w:sz w:val="13"/>
          <w:szCs w:val="13"/>
          <w:u w:val="single" w:color="auto"/>
          <w:color w:val="auto"/>
        </w:rPr>
        <w:t>License Area</w:t>
      </w:r>
      <w:r>
        <w:rPr>
          <w:rFonts w:ascii="Arial" w:cs="Arial" w:eastAsia="Arial" w:hAnsi="Arial"/>
          <w:sz w:val="13"/>
          <w:szCs w:val="13"/>
          <w:color w:val="auto"/>
        </w:rPr>
        <w:t>”);</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G. WHEREAS, the Term of the Space License continues through August 31, 2011;</w:t>
      </w:r>
    </w:p>
    <w:p>
      <w:pPr>
        <w:spacing w:after="0" w:line="23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H. WHEREAS, User desires to lease the License Area pursuant to an amendment to the Original Lease (as defined in the Space License); and</w:t>
      </w:r>
    </w:p>
    <w:p>
      <w:pPr>
        <w:spacing w:after="0" w:line="23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 WHEREAS, Owner and User desire to terminate the Space License in accordance with the following provisions.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AGREEMENT</w:t>
      </w:r>
    </w:p>
    <w:p>
      <w:pPr>
        <w:spacing w:after="0" w:line="238" w:lineRule="exact"/>
        <w:rPr>
          <w:sz w:val="20"/>
          <w:szCs w:val="20"/>
          <w:color w:val="auto"/>
        </w:rPr>
      </w:pPr>
    </w:p>
    <w:p>
      <w:pPr>
        <w:ind w:firstLine="263"/>
        <w:spacing w:after="0" w:line="291" w:lineRule="auto"/>
        <w:rPr>
          <w:sz w:val="20"/>
          <w:szCs w:val="20"/>
          <w:color w:val="auto"/>
        </w:rPr>
      </w:pPr>
      <w:r>
        <w:rPr>
          <w:rFonts w:ascii="Arial" w:cs="Arial" w:eastAsia="Arial" w:hAnsi="Arial"/>
          <w:sz w:val="14"/>
          <w:szCs w:val="14"/>
          <w:color w:val="auto"/>
        </w:rPr>
        <w:t>NOW, THEREFORE, Owner and User, in consideration of the mutual promises contained herein and for other good and valuable consideration, the receipt and sufficiency of which are hereby acknowledged, and intending to be legally bound, agree as follows:</w:t>
      </w:r>
    </w:p>
    <w:p>
      <w:pPr>
        <w:spacing w:after="0" w:line="180" w:lineRule="exact"/>
        <w:rPr>
          <w:sz w:val="20"/>
          <w:szCs w:val="20"/>
          <w:color w:val="auto"/>
        </w:rPr>
      </w:pPr>
    </w:p>
    <w:p>
      <w:pPr>
        <w:ind w:firstLine="282"/>
        <w:spacing w:after="0" w:line="332" w:lineRule="auto"/>
        <w:tabs>
          <w:tab w:leader="none" w:pos="428" w:val="left"/>
        </w:tabs>
        <w:numPr>
          <w:ilvl w:val="2"/>
          <w:numId w:val="16"/>
        </w:numPr>
        <w:rPr>
          <w:rFonts w:ascii="Arial" w:cs="Arial" w:eastAsia="Arial" w:hAnsi="Arial"/>
          <w:sz w:val="13"/>
          <w:szCs w:val="13"/>
          <w:color w:val="auto"/>
        </w:rPr>
      </w:pPr>
      <w:r>
        <w:rPr>
          <w:rFonts w:ascii="Arial" w:cs="Arial" w:eastAsia="Arial" w:hAnsi="Arial"/>
          <w:sz w:val="13"/>
          <w:szCs w:val="13"/>
          <w:u w:val="single" w:color="auto"/>
          <w:color w:val="auto"/>
        </w:rPr>
        <w:t>Termination of Space License Agreement</w:t>
      </w:r>
      <w:r>
        <w:rPr>
          <w:rFonts w:ascii="Arial" w:cs="Arial" w:eastAsia="Arial" w:hAnsi="Arial"/>
          <w:sz w:val="13"/>
          <w:szCs w:val="13"/>
          <w:color w:val="auto"/>
        </w:rPr>
        <w:t>. The parties hereby terminate the Space License as of the Execution Date, and on the Execution Date the Space License shall be fully and finally surrendered and terminated and shall no longer be of any force or effect, except for those provisions that, by their express terms, survive the expiration or earlier termination thereof.</w:t>
      </w:r>
    </w:p>
    <w:p>
      <w:pPr>
        <w:spacing w:after="0" w:line="156" w:lineRule="exact"/>
        <w:rPr>
          <w:rFonts w:ascii="Arial" w:cs="Arial" w:eastAsia="Arial" w:hAnsi="Arial"/>
          <w:sz w:val="13"/>
          <w:szCs w:val="13"/>
          <w:color w:val="auto"/>
        </w:rPr>
      </w:pPr>
    </w:p>
    <w:p>
      <w:pPr>
        <w:jc w:val="both"/>
        <w:ind w:firstLine="238"/>
        <w:spacing w:after="0" w:line="276" w:lineRule="auto"/>
        <w:tabs>
          <w:tab w:leader="none" w:pos="373" w:val="left"/>
        </w:tabs>
        <w:numPr>
          <w:ilvl w:val="1"/>
          <w:numId w:val="17"/>
        </w:numPr>
        <w:rPr>
          <w:rFonts w:ascii="Arial" w:cs="Arial" w:eastAsia="Arial" w:hAnsi="Arial"/>
          <w:sz w:val="14"/>
          <w:szCs w:val="14"/>
          <w:color w:val="auto"/>
        </w:rPr>
      </w:pPr>
      <w:r>
        <w:rPr>
          <w:rFonts w:ascii="Arial" w:cs="Arial" w:eastAsia="Arial" w:hAnsi="Arial"/>
          <w:sz w:val="14"/>
          <w:szCs w:val="14"/>
          <w:u w:val="single" w:color="auto"/>
          <w:color w:val="auto"/>
        </w:rPr>
        <w:t>Representation of Parties</w:t>
      </w:r>
      <w:r>
        <w:rPr>
          <w:rFonts w:ascii="Arial" w:cs="Arial" w:eastAsia="Arial" w:hAnsi="Arial"/>
          <w:sz w:val="14"/>
          <w:szCs w:val="14"/>
          <w:color w:val="auto"/>
        </w:rPr>
        <w:t>. Each party represents that it has not made any assignment, sublease, transfer, conveyance or other disposition of the Space License or any interest therein, nor made or entered into any agreement that would result in any mechanic’s lien or other claim, demand, obligation, liability, action or cause of action arising from or with respect to the Space License or the License Area.</w:t>
      </w:r>
    </w:p>
    <w:p>
      <w:pPr>
        <w:spacing w:after="0" w:line="190" w:lineRule="exact"/>
        <w:rPr>
          <w:rFonts w:ascii="Arial" w:cs="Arial" w:eastAsia="Arial" w:hAnsi="Arial"/>
          <w:sz w:val="14"/>
          <w:szCs w:val="14"/>
          <w:color w:val="auto"/>
        </w:rPr>
      </w:pPr>
    </w:p>
    <w:p>
      <w:pPr>
        <w:ind w:left="360" w:hanging="133"/>
        <w:spacing w:after="0"/>
        <w:tabs>
          <w:tab w:leader="none" w:pos="360" w:val="left"/>
        </w:tabs>
        <w:numPr>
          <w:ilvl w:val="0"/>
          <w:numId w:val="18"/>
        </w:numPr>
        <w:rPr>
          <w:rFonts w:ascii="Arial" w:cs="Arial" w:eastAsia="Arial" w:hAnsi="Arial"/>
          <w:sz w:val="14"/>
          <w:szCs w:val="14"/>
          <w:color w:val="auto"/>
        </w:rPr>
      </w:pPr>
      <w:r>
        <w:rPr>
          <w:rFonts w:ascii="Arial" w:cs="Arial" w:eastAsia="Arial" w:hAnsi="Arial"/>
          <w:sz w:val="14"/>
          <w:szCs w:val="14"/>
          <w:u w:val="single" w:color="auto"/>
          <w:color w:val="auto"/>
        </w:rPr>
        <w:t>Miscellaneous</w:t>
      </w:r>
      <w:r>
        <w:rPr>
          <w:rFonts w:ascii="Arial" w:cs="Arial" w:eastAsia="Arial" w:hAnsi="Arial"/>
          <w:sz w:val="14"/>
          <w:szCs w:val="14"/>
          <w:color w:val="auto"/>
        </w:rPr>
        <w:t>.</w:t>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 xml:space="preserve">a. </w:t>
      </w:r>
      <w:r>
        <w:rPr>
          <w:rFonts w:ascii="Arial" w:cs="Arial" w:eastAsia="Arial" w:hAnsi="Arial"/>
          <w:sz w:val="14"/>
          <w:szCs w:val="14"/>
          <w:u w:val="single" w:color="auto"/>
          <w:color w:val="auto"/>
        </w:rPr>
        <w:t>Voluntary Agreement</w:t>
      </w:r>
      <w:r>
        <w:rPr>
          <w:rFonts w:ascii="Arial" w:cs="Arial" w:eastAsia="Arial" w:hAnsi="Arial"/>
          <w:sz w:val="14"/>
          <w:szCs w:val="14"/>
          <w:color w:val="auto"/>
        </w:rPr>
        <w:t>. The parties have read this Agreement and have freely and voluntarily entered into this Agreement.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84" w:name="page85"/>
    <w:bookmarkEnd w:id="84"/>
    <w:p>
      <w:pPr>
        <w:jc w:val="both"/>
        <w:ind w:firstLine="439"/>
        <w:spacing w:after="0" w:line="276" w:lineRule="auto"/>
        <w:rPr>
          <w:sz w:val="20"/>
          <w:szCs w:val="20"/>
          <w:color w:val="auto"/>
        </w:rPr>
      </w:pPr>
      <w:r>
        <w:rPr>
          <w:rFonts w:ascii="Arial" w:cs="Arial" w:eastAsia="Arial" w:hAnsi="Arial"/>
          <w:sz w:val="14"/>
          <w:szCs w:val="14"/>
          <w:color w:val="auto"/>
        </w:rPr>
        <w:t xml:space="preserve">b. </w:t>
      </w:r>
      <w:r>
        <w:rPr>
          <w:rFonts w:ascii="Arial" w:cs="Arial" w:eastAsia="Arial" w:hAnsi="Arial"/>
          <w:sz w:val="14"/>
          <w:szCs w:val="14"/>
          <w:u w:val="single" w:color="auto"/>
          <w:color w:val="auto"/>
        </w:rPr>
        <w:t>Attorneys’ Fees</w:t>
      </w:r>
      <w:r>
        <w:rPr>
          <w:rFonts w:ascii="Arial" w:cs="Arial" w:eastAsia="Arial" w:hAnsi="Arial"/>
          <w:sz w:val="14"/>
          <w:szCs w:val="14"/>
          <w:color w:val="auto"/>
        </w:rPr>
        <w:t>. If either party commences an action against the other party arising out of or in connection with this Agreement, then the substantially prevailing party shall be reimbursed by the other party for all reasonable costs and expenses, including reasonable attorneys’ fees and expenses, incurred by the substantially prevailing party in such action or proceeding and in any appeal in connection therewith.</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 xml:space="preserve">c. </w:t>
      </w:r>
      <w:r>
        <w:rPr>
          <w:rFonts w:ascii="Arial" w:cs="Arial" w:eastAsia="Arial" w:hAnsi="Arial"/>
          <w:sz w:val="14"/>
          <w:szCs w:val="14"/>
          <w:u w:val="single" w:color="auto"/>
          <w:color w:val="auto"/>
        </w:rPr>
        <w:t>Successors</w:t>
      </w:r>
      <w:r>
        <w:rPr>
          <w:rFonts w:ascii="Arial" w:cs="Arial" w:eastAsia="Arial" w:hAnsi="Arial"/>
          <w:sz w:val="14"/>
          <w:szCs w:val="14"/>
          <w:color w:val="auto"/>
        </w:rPr>
        <w:t>. This Agreement shall be binding on and inure to the benefit of the parties and their successors and assigns.</w:t>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 xml:space="preserve">d. </w:t>
      </w: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one or more counterparts that, when taken together, shall constitute one original.</w:t>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 xml:space="preserve">e. </w:t>
      </w:r>
      <w:r>
        <w:rPr>
          <w:rFonts w:ascii="Arial" w:cs="Arial" w:eastAsia="Arial" w:hAnsi="Arial"/>
          <w:sz w:val="14"/>
          <w:szCs w:val="14"/>
          <w:u w:val="single" w:color="auto"/>
          <w:color w:val="auto"/>
        </w:rPr>
        <w:t>Defined Terms</w:t>
      </w:r>
      <w:r>
        <w:rPr>
          <w:rFonts w:ascii="Arial" w:cs="Arial" w:eastAsia="Arial" w:hAnsi="Arial"/>
          <w:sz w:val="14"/>
          <w:szCs w:val="14"/>
          <w:color w:val="auto"/>
        </w:rPr>
        <w:t>. Capitalized terms not otherwise defined herein shall have the meanings given them in the Space License.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[REMAINDER OF THIS PAGE INTENTIONALLY LEFT BLANK]</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85" w:name="page86"/>
    <w:bookmarkEnd w:id="85"/>
    <w:p>
      <w:pPr>
        <w:ind w:left="220"/>
        <w:spacing w:after="0"/>
        <w:rPr>
          <w:sz w:val="20"/>
          <w:szCs w:val="20"/>
          <w:color w:val="auto"/>
        </w:rPr>
      </w:pPr>
      <w:r>
        <w:rPr>
          <w:rFonts w:ascii="Arial" w:cs="Arial" w:eastAsia="Arial" w:hAnsi="Arial"/>
          <w:sz w:val="13"/>
          <w:szCs w:val="13"/>
          <w:color w:val="auto"/>
        </w:rPr>
        <w:t>IN WITNESS WHEREOF, the parties have executed this Agreement as of the day hereinabove first written.</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OWNER</w:t>
      </w:r>
      <w:r>
        <w:rPr>
          <w:rFonts w:ascii="Arial" w:cs="Arial" w:eastAsia="Arial" w:hAnsi="Arial"/>
          <w:sz w:val="14"/>
          <w:szCs w:val="14"/>
          <w:b w:val="1"/>
          <w:bCs w:val="1"/>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BMR-LANDMARK AT EASTVIEW LLC,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 Delaware limited liability company</w:t>
      </w:r>
    </w:p>
    <w:p>
      <w:pPr>
        <w:spacing w:after="0" w:line="382"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color w:val="auto"/>
        </w:rPr>
        <w:t>By:</w:t>
        <w:tab/>
        <w:t>/s/ Kevin M. Simonsen</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Name: Kevin M. Simonsen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Title:  VP, Real Estate Counsel</w:t>
      </w: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USER</w:t>
      </w:r>
      <w:r>
        <w:rPr>
          <w:rFonts w:ascii="Arial" w:cs="Arial" w:eastAsia="Arial" w:hAnsi="Arial"/>
          <w:sz w:val="14"/>
          <w:szCs w:val="14"/>
          <w:b w:val="1"/>
          <w:bCs w:val="1"/>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REGENERON PHARMACEUTICALS, INC.,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 New York corporation</w:t>
      </w:r>
    </w:p>
    <w:p>
      <w:pPr>
        <w:spacing w:after="0" w:line="379"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color w:val="auto"/>
        </w:rPr>
        <w:t>By:</w:t>
        <w:tab/>
        <w:t>/s/ Murray A. Goldberg</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Name: Murray A. Goldberg</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Title:  Senior Vice President, Finance &amp; Administration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7291705" cy="196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0239"/>
          </w:cols>
          <w:pgMar w:left="220" w:top="549" w:right="1440" w:bottom="1440" w:gutter="0" w:footer="0" w:header="0"/>
        </w:sectPr>
      </w:pPr>
    </w:p>
    <w:bookmarkStart w:id="86" w:name="page87"/>
    <w:bookmarkEnd w:id="86"/>
    <w:p>
      <w:pPr>
        <w:jc w:val="right"/>
        <w:spacing w:after="0"/>
        <w:rPr>
          <w:sz w:val="20"/>
          <w:szCs w:val="20"/>
          <w:color w:val="auto"/>
        </w:rPr>
      </w:pPr>
      <w:r>
        <w:rPr>
          <w:rFonts w:ascii="Arial" w:cs="Arial" w:eastAsia="Arial" w:hAnsi="Arial"/>
          <w:sz w:val="14"/>
          <w:szCs w:val="14"/>
          <w:b w:val="1"/>
          <w:bCs w:val="1"/>
          <w:color w:val="auto"/>
        </w:rPr>
        <w:t>Exhibit 10.2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NINTH AMENDMENT TO LEASE</w:t>
      </w:r>
    </w:p>
    <w:p>
      <w:pPr>
        <w:spacing w:after="0" w:line="214" w:lineRule="exact"/>
        <w:rPr>
          <w:sz w:val="20"/>
          <w:szCs w:val="20"/>
          <w:color w:val="auto"/>
        </w:rPr>
      </w:pPr>
    </w:p>
    <w:p>
      <w:pPr>
        <w:jc w:val="both"/>
        <w:ind w:firstLine="211"/>
        <w:spacing w:after="0" w:line="226" w:lineRule="auto"/>
        <w:rPr>
          <w:sz w:val="20"/>
          <w:szCs w:val="20"/>
          <w:color w:val="auto"/>
        </w:rPr>
      </w:pPr>
      <w:r>
        <w:rPr>
          <w:rFonts w:ascii="Arial" w:cs="Arial" w:eastAsia="Arial" w:hAnsi="Arial"/>
          <w:sz w:val="14"/>
          <w:szCs w:val="14"/>
          <w:color w:val="auto"/>
        </w:rPr>
        <w:t>THIS NINTH AMENDMENT TO LEASE (this “</w:t>
      </w:r>
      <w:r>
        <w:rPr>
          <w:rFonts w:ascii="Arial" w:cs="Arial" w:eastAsia="Arial" w:hAnsi="Arial"/>
          <w:sz w:val="14"/>
          <w:szCs w:val="14"/>
          <w:u w:val="single" w:color="auto"/>
          <w:color w:val="auto"/>
        </w:rPr>
        <w:t>Amendment</w:t>
      </w:r>
      <w:r>
        <w:rPr>
          <w:rFonts w:ascii="Arial" w:cs="Arial" w:eastAsia="Arial" w:hAnsi="Arial"/>
          <w:sz w:val="14"/>
          <w:szCs w:val="14"/>
          <w:color w:val="auto"/>
        </w:rPr>
        <w:t>”) is entered into as of this 30</w:t>
      </w:r>
      <w:r>
        <w:rPr>
          <w:rFonts w:ascii="Arial" w:cs="Arial" w:eastAsia="Arial" w:hAnsi="Arial"/>
          <w:sz w:val="19"/>
          <w:szCs w:val="19"/>
          <w:color w:val="auto"/>
          <w:vertAlign w:val="superscript"/>
        </w:rPr>
        <w:t>th</w:t>
      </w:r>
      <w:r>
        <w:rPr>
          <w:rFonts w:ascii="Arial" w:cs="Arial" w:eastAsia="Arial" w:hAnsi="Arial"/>
          <w:sz w:val="14"/>
          <w:szCs w:val="14"/>
          <w:color w:val="auto"/>
        </w:rPr>
        <w:t xml:space="preserve"> day of September, 2011 (the “</w:t>
      </w:r>
      <w:r>
        <w:rPr>
          <w:rFonts w:ascii="Arial" w:cs="Arial" w:eastAsia="Arial" w:hAnsi="Arial"/>
          <w:sz w:val="14"/>
          <w:szCs w:val="14"/>
          <w:u w:val="single" w:color="auto"/>
          <w:color w:val="auto"/>
        </w:rPr>
        <w:t>Execution Date</w:t>
      </w:r>
      <w:r>
        <w:rPr>
          <w:rFonts w:ascii="Arial" w:cs="Arial" w:eastAsia="Arial" w:hAnsi="Arial"/>
          <w:sz w:val="14"/>
          <w:szCs w:val="14"/>
          <w:color w:val="auto"/>
        </w:rPr>
        <w:t>”), by and between BMR-LANDMARK AT EASTVIEW LLC, a Delaware limited liability company (“</w:t>
      </w:r>
      <w:r>
        <w:rPr>
          <w:rFonts w:ascii="Arial" w:cs="Arial" w:eastAsia="Arial" w:hAnsi="Arial"/>
          <w:sz w:val="14"/>
          <w:szCs w:val="14"/>
          <w:u w:val="single" w:color="auto"/>
          <w:color w:val="auto"/>
        </w:rPr>
        <w:t>Landlord</w:t>
      </w:r>
      <w:r>
        <w:rPr>
          <w:rFonts w:ascii="Arial" w:cs="Arial" w:eastAsia="Arial" w:hAnsi="Arial"/>
          <w:sz w:val="14"/>
          <w:szCs w:val="14"/>
          <w:color w:val="auto"/>
        </w:rPr>
        <w:t>”), and REGENERON PHARMACEUTICALS, INC., a New York corporation (“</w:t>
      </w:r>
      <w:r>
        <w:rPr>
          <w:rFonts w:ascii="Arial" w:cs="Arial" w:eastAsia="Arial" w:hAnsi="Arial"/>
          <w:sz w:val="14"/>
          <w:szCs w:val="14"/>
          <w:u w:val="single" w:color="auto"/>
          <w:color w:val="auto"/>
        </w:rPr>
        <w:t>Tenant</w:t>
      </w:r>
      <w:r>
        <w:rPr>
          <w:rFonts w:ascii="Arial" w:cs="Arial" w:eastAsia="Arial" w:hAnsi="Arial"/>
          <w:sz w:val="14"/>
          <w:szCs w:val="14"/>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RECITALS</w:t>
      </w:r>
    </w:p>
    <w:p>
      <w:pPr>
        <w:spacing w:after="0" w:line="238" w:lineRule="exact"/>
        <w:rPr>
          <w:sz w:val="20"/>
          <w:szCs w:val="20"/>
          <w:color w:val="auto"/>
        </w:rPr>
      </w:pPr>
    </w:p>
    <w:p>
      <w:pPr>
        <w:jc w:val="both"/>
        <w:ind w:firstLine="219"/>
        <w:spacing w:after="0" w:line="267" w:lineRule="auto"/>
        <w:rPr>
          <w:sz w:val="20"/>
          <w:szCs w:val="20"/>
          <w:color w:val="auto"/>
        </w:rPr>
      </w:pPr>
      <w:r>
        <w:rPr>
          <w:rFonts w:ascii="Arial" w:cs="Arial" w:eastAsia="Arial" w:hAnsi="Arial"/>
          <w:sz w:val="14"/>
          <w:szCs w:val="14"/>
          <w:color w:val="auto"/>
        </w:rPr>
        <w:t>A. WHEREAS, Landlord and Tenant entered into that certain Lease dated as of December 21, 2006, as amended by that certain First Amendment to Lease dated as of October 24, 2007, that certain Second Amendment to Lease dated as of September 30, 2008, that certain Third Amendment to Lease dated as of April 29, 2009, that certain Fourth Amendment to Lease dated as of December 3, 2009, that certain Fifth Amendment to Lease dated as of February 11, 2010, that certain Sixth Amendment to Lease dated as of June 4, 2010, that certain Seventh Amendment to Lease dated as of December 22, 2010, and that certain Eighth Amendment to Lease dated as of August 1, 2011 (collectively, and as the same may have been further amended, amended and restated, supplemented or otherwise modified from time to time, the “</w:t>
      </w:r>
      <w:r>
        <w:rPr>
          <w:rFonts w:ascii="Arial" w:cs="Arial" w:eastAsia="Arial" w:hAnsi="Arial"/>
          <w:sz w:val="14"/>
          <w:szCs w:val="14"/>
          <w:u w:val="single" w:color="auto"/>
          <w:color w:val="auto"/>
        </w:rPr>
        <w:t>Lease</w:t>
      </w:r>
      <w:r>
        <w:rPr>
          <w:rFonts w:ascii="Arial" w:cs="Arial" w:eastAsia="Arial" w:hAnsi="Arial"/>
          <w:sz w:val="14"/>
          <w:szCs w:val="14"/>
          <w:color w:val="auto"/>
        </w:rPr>
        <w:t>”), whereby Tenant leases certain premises (the “</w:t>
      </w:r>
      <w:r>
        <w:rPr>
          <w:rFonts w:ascii="Arial" w:cs="Arial" w:eastAsia="Arial" w:hAnsi="Arial"/>
          <w:sz w:val="14"/>
          <w:szCs w:val="14"/>
          <w:u w:val="single" w:color="auto"/>
          <w:color w:val="auto"/>
        </w:rPr>
        <w:t>Premises</w:t>
      </w:r>
      <w:r>
        <w:rPr>
          <w:rFonts w:ascii="Arial" w:cs="Arial" w:eastAsia="Arial" w:hAnsi="Arial"/>
          <w:sz w:val="14"/>
          <w:szCs w:val="14"/>
          <w:color w:val="auto"/>
        </w:rPr>
        <w:t>”) from Landlord at 735, 745, 755, 765 and 777 Old Saw Mill River Road in Tarrytown, New York (collectively, the “</w:t>
      </w:r>
      <w:r>
        <w:rPr>
          <w:rFonts w:ascii="Arial" w:cs="Arial" w:eastAsia="Arial" w:hAnsi="Arial"/>
          <w:sz w:val="14"/>
          <w:szCs w:val="14"/>
          <w:u w:val="single" w:color="auto"/>
          <w:color w:val="auto"/>
        </w:rPr>
        <w:t>Buildings</w:t>
      </w:r>
      <w:r>
        <w:rPr>
          <w:rFonts w:ascii="Arial" w:cs="Arial" w:eastAsia="Arial" w:hAnsi="Arial"/>
          <w:sz w:val="14"/>
          <w:szCs w:val="14"/>
          <w:color w:val="auto"/>
        </w:rPr>
        <w:t>” and, each, a “</w:t>
      </w:r>
      <w:r>
        <w:rPr>
          <w:rFonts w:ascii="Arial" w:cs="Arial" w:eastAsia="Arial" w:hAnsi="Arial"/>
          <w:sz w:val="14"/>
          <w:szCs w:val="14"/>
          <w:u w:val="single" w:color="auto"/>
          <w:color w:val="auto"/>
        </w:rPr>
        <w:t>Building</w:t>
      </w:r>
      <w:r>
        <w:rPr>
          <w:rFonts w:ascii="Arial" w:cs="Arial" w:eastAsia="Arial" w:hAnsi="Arial"/>
          <w:sz w:val="14"/>
          <w:szCs w:val="14"/>
          <w:color w:val="auto"/>
        </w:rPr>
        <w:t>”);</w:t>
      </w:r>
    </w:p>
    <w:p>
      <w:pPr>
        <w:spacing w:after="0" w:line="196" w:lineRule="exact"/>
        <w:rPr>
          <w:sz w:val="20"/>
          <w:szCs w:val="20"/>
          <w:color w:val="auto"/>
        </w:rPr>
      </w:pPr>
    </w:p>
    <w:p>
      <w:pPr>
        <w:jc w:val="both"/>
        <w:ind w:firstLine="219"/>
        <w:spacing w:after="0" w:line="226" w:lineRule="auto"/>
        <w:rPr>
          <w:sz w:val="20"/>
          <w:szCs w:val="20"/>
          <w:color w:val="auto"/>
        </w:rPr>
      </w:pPr>
      <w:r>
        <w:rPr>
          <w:rFonts w:ascii="Arial" w:cs="Arial" w:eastAsia="Arial" w:hAnsi="Arial"/>
          <w:sz w:val="14"/>
          <w:szCs w:val="14"/>
          <w:color w:val="auto"/>
        </w:rPr>
        <w:t>B. WHEREAS, Tenant desires to lease approximately thirty-nine thousand nine hundred fifty-four (39,954) rentable square feet of additional premises on the third (3</w:t>
      </w:r>
      <w:r>
        <w:rPr>
          <w:rFonts w:ascii="Arial" w:cs="Arial" w:eastAsia="Arial" w:hAnsi="Arial"/>
          <w:sz w:val="19"/>
          <w:szCs w:val="19"/>
          <w:color w:val="auto"/>
          <w:vertAlign w:val="superscript"/>
        </w:rPr>
        <w:t>rd</w:t>
      </w:r>
      <w:r>
        <w:rPr>
          <w:rFonts w:ascii="Arial" w:cs="Arial" w:eastAsia="Arial" w:hAnsi="Arial"/>
          <w:sz w:val="14"/>
          <w:szCs w:val="14"/>
          <w:color w:val="auto"/>
        </w:rPr>
        <w:t xml:space="preserve">) floor of the 777 Building, as depicted on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attached hereto (the “</w:t>
      </w:r>
      <w:r>
        <w:rPr>
          <w:rFonts w:ascii="Arial" w:cs="Arial" w:eastAsia="Arial" w:hAnsi="Arial"/>
          <w:sz w:val="14"/>
          <w:szCs w:val="14"/>
          <w:u w:val="single" w:color="auto"/>
          <w:color w:val="auto"/>
        </w:rPr>
        <w:t>01 Premises</w:t>
      </w:r>
      <w:r>
        <w:rPr>
          <w:rFonts w:ascii="Arial" w:cs="Arial" w:eastAsia="Arial" w:hAnsi="Arial"/>
          <w:sz w:val="14"/>
          <w:szCs w:val="14"/>
          <w:color w:val="auto"/>
        </w:rPr>
        <w:t>”) and currently leased by another tenant (“</w:t>
      </w:r>
      <w:r>
        <w:rPr>
          <w:rFonts w:ascii="Arial" w:cs="Arial" w:eastAsia="Arial" w:hAnsi="Arial"/>
          <w:sz w:val="14"/>
          <w:szCs w:val="14"/>
          <w:u w:val="single" w:color="auto"/>
          <w:color w:val="auto"/>
        </w:rPr>
        <w:t>Vacating Tenant</w:t>
      </w:r>
      <w:r>
        <w:rPr>
          <w:rFonts w:ascii="Arial" w:cs="Arial" w:eastAsia="Arial" w:hAnsi="Arial"/>
          <w:sz w:val="14"/>
          <w:szCs w:val="14"/>
          <w:color w:val="auto"/>
        </w:rPr>
        <w:t>”);</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 WHEREAS, Landlord and Tenant desire to modify and amend the Lease only in the respects and on the conditions hereinafter stated.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AGREEMENT</w:t>
      </w:r>
    </w:p>
    <w:p>
      <w:pPr>
        <w:spacing w:after="0" w:line="238" w:lineRule="exact"/>
        <w:rPr>
          <w:sz w:val="20"/>
          <w:szCs w:val="20"/>
          <w:color w:val="auto"/>
        </w:rPr>
      </w:pPr>
    </w:p>
    <w:p>
      <w:pPr>
        <w:jc w:val="both"/>
        <w:ind w:firstLine="219"/>
        <w:spacing w:after="0" w:line="291" w:lineRule="auto"/>
        <w:rPr>
          <w:sz w:val="20"/>
          <w:szCs w:val="20"/>
          <w:color w:val="auto"/>
        </w:rPr>
      </w:pPr>
      <w:r>
        <w:rPr>
          <w:rFonts w:ascii="Arial" w:cs="Arial" w:eastAsia="Arial" w:hAnsi="Arial"/>
          <w:sz w:val="14"/>
          <w:szCs w:val="14"/>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80" w:lineRule="exact"/>
        <w:rPr>
          <w:sz w:val="20"/>
          <w:szCs w:val="20"/>
          <w:color w:val="auto"/>
        </w:rPr>
      </w:pPr>
    </w:p>
    <w:p>
      <w:pPr>
        <w:ind w:firstLine="326"/>
        <w:spacing w:after="0" w:line="291" w:lineRule="auto"/>
        <w:tabs>
          <w:tab w:leader="none" w:pos="472" w:val="left"/>
        </w:tabs>
        <w:numPr>
          <w:ilvl w:val="0"/>
          <w:numId w:val="19"/>
        </w:numPr>
        <w:rPr>
          <w:rFonts w:ascii="Arial" w:cs="Arial" w:eastAsia="Arial" w:hAnsi="Arial"/>
          <w:sz w:val="14"/>
          <w:szCs w:val="14"/>
          <w:color w:val="auto"/>
        </w:rPr>
      </w:pPr>
      <w:r>
        <w:rPr>
          <w:rFonts w:ascii="Arial" w:cs="Arial" w:eastAsia="Arial" w:hAnsi="Arial"/>
          <w:sz w:val="14"/>
          <w:szCs w:val="14"/>
          <w:u w:val="single" w:color="auto"/>
          <w:color w:val="auto"/>
        </w:rPr>
        <w:t>Definitions</w:t>
      </w:r>
      <w:r>
        <w:rPr>
          <w:rFonts w:ascii="Arial" w:cs="Arial" w:eastAsia="Arial" w:hAnsi="Arial"/>
          <w:sz w:val="14"/>
          <w:szCs w:val="14"/>
          <w:color w:val="auto"/>
        </w:rPr>
        <w:t>. For purposes of this Amendment, capitalized terms shall have the meanings ascribed to them in the Lease unless otherwise defined herein. The Lease, as amended by this Amendment, is referred to herein as the “</w:t>
      </w:r>
      <w:r>
        <w:rPr>
          <w:rFonts w:ascii="Arial" w:cs="Arial" w:eastAsia="Arial" w:hAnsi="Arial"/>
          <w:sz w:val="14"/>
          <w:szCs w:val="14"/>
          <w:u w:val="single" w:color="auto"/>
          <w:color w:val="auto"/>
        </w:rPr>
        <w:t>Amended Lease</w:t>
      </w:r>
      <w:r>
        <w:rPr>
          <w:rFonts w:ascii="Arial" w:cs="Arial" w:eastAsia="Arial" w:hAnsi="Arial"/>
          <w:sz w:val="14"/>
          <w:szCs w:val="14"/>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326" w:right="219" w:bottom="1440" w:gutter="0" w:footer="0" w:header="0"/>
        </w:sectPr>
      </w:pPr>
    </w:p>
    <w:bookmarkStart w:id="87" w:name="page88"/>
    <w:bookmarkEnd w:id="87"/>
    <w:p>
      <w:pPr>
        <w:jc w:val="both"/>
        <w:ind w:firstLine="260"/>
        <w:spacing w:after="0" w:line="289" w:lineRule="auto"/>
        <w:tabs>
          <w:tab w:leader="none" w:pos="395" w:val="left"/>
        </w:tabs>
        <w:numPr>
          <w:ilvl w:val="1"/>
          <w:numId w:val="20"/>
        </w:numPr>
        <w:rPr>
          <w:rFonts w:ascii="Arial" w:cs="Arial" w:eastAsia="Arial" w:hAnsi="Arial"/>
          <w:sz w:val="13"/>
          <w:szCs w:val="13"/>
          <w:color w:val="auto"/>
        </w:rPr>
      </w:pPr>
      <w:r>
        <w:rPr>
          <w:rFonts w:ascii="Arial" w:cs="Arial" w:eastAsia="Arial" w:hAnsi="Arial"/>
          <w:sz w:val="13"/>
          <w:szCs w:val="13"/>
          <w:u w:val="single" w:color="auto"/>
          <w:color w:val="auto"/>
        </w:rPr>
        <w:t>Addition to Premises</w:t>
      </w:r>
      <w:r>
        <w:rPr>
          <w:rFonts w:ascii="Arial" w:cs="Arial" w:eastAsia="Arial" w:hAnsi="Arial"/>
          <w:sz w:val="13"/>
          <w:szCs w:val="13"/>
          <w:color w:val="auto"/>
        </w:rPr>
        <w:t xml:space="preserve">. Conditional upon Vacating Tenant surrendering the 01 Premises to Landlord in accordance with Vacating Tenant’s lease, and subject to Tenant’s termination options set forth in this Section and in </w:t>
      </w:r>
      <w:r>
        <w:rPr>
          <w:rFonts w:ascii="Arial" w:cs="Arial" w:eastAsia="Arial" w:hAnsi="Arial"/>
          <w:sz w:val="13"/>
          <w:szCs w:val="13"/>
          <w:u w:val="single" w:color="auto"/>
          <w:color w:val="auto"/>
        </w:rPr>
        <w:t>Section 3</w:t>
      </w:r>
      <w:r>
        <w:rPr>
          <w:rFonts w:ascii="Arial" w:cs="Arial" w:eastAsia="Arial" w:hAnsi="Arial"/>
          <w:sz w:val="13"/>
          <w:szCs w:val="13"/>
          <w:color w:val="auto"/>
        </w:rPr>
        <w:t xml:space="preserve"> below, Landlord hereby leases to Tenant, and Tenant hereby leases from Landlord, the 01 Premises as of the date (the “</w:t>
      </w:r>
      <w:r>
        <w:rPr>
          <w:rFonts w:ascii="Arial" w:cs="Arial" w:eastAsia="Arial" w:hAnsi="Arial"/>
          <w:sz w:val="13"/>
          <w:szCs w:val="13"/>
          <w:u w:val="single" w:color="auto"/>
          <w:color w:val="auto"/>
        </w:rPr>
        <w:t>01 Premises Commencement Date</w:t>
      </w:r>
      <w:r>
        <w:rPr>
          <w:rFonts w:ascii="Arial" w:cs="Arial" w:eastAsia="Arial" w:hAnsi="Arial"/>
          <w:sz w:val="13"/>
          <w:szCs w:val="13"/>
          <w:color w:val="auto"/>
        </w:rPr>
        <w:t xml:space="preserve">”) that is ten (10) days after Landlord notifies Tenant that Landlord has substantially completed the 01 Premises Landlord Improvements (as defined below). Effective as of the 01 Premises Commencement Date, the Premises shall include the 01 Premises. The Term for the 01 Premises shall expire on the Term Expiration Date for the New Premises, subject to (a) Tenant’s option to extend the Term of the Lease as provided in </w:t>
      </w:r>
      <w:r>
        <w:rPr>
          <w:rFonts w:ascii="Arial" w:cs="Arial" w:eastAsia="Arial" w:hAnsi="Arial"/>
          <w:sz w:val="13"/>
          <w:szCs w:val="13"/>
          <w:u w:val="single" w:color="auto"/>
          <w:color w:val="auto"/>
        </w:rPr>
        <w:t>Article 44</w:t>
      </w:r>
      <w:r>
        <w:rPr>
          <w:rFonts w:ascii="Arial" w:cs="Arial" w:eastAsia="Arial" w:hAnsi="Arial"/>
          <w:sz w:val="13"/>
          <w:szCs w:val="13"/>
          <w:color w:val="auto"/>
        </w:rPr>
        <w:t xml:space="preserve"> of the Lease and (b) Tenant’s termination option set forth in this Section and in </w:t>
      </w:r>
      <w:r>
        <w:rPr>
          <w:rFonts w:ascii="Arial" w:cs="Arial" w:eastAsia="Arial" w:hAnsi="Arial"/>
          <w:sz w:val="13"/>
          <w:szCs w:val="13"/>
          <w:u w:val="single" w:color="auto"/>
          <w:color w:val="auto"/>
        </w:rPr>
        <w:t>Section 3</w:t>
      </w:r>
      <w:r>
        <w:rPr>
          <w:rFonts w:ascii="Arial" w:cs="Arial" w:eastAsia="Arial" w:hAnsi="Arial"/>
          <w:sz w:val="13"/>
          <w:szCs w:val="13"/>
          <w:color w:val="auto"/>
        </w:rPr>
        <w:t xml:space="preserve"> below. If Vacating Tenant does not surrender the 01 Premises to Landlord by February 15, 2012, then Tenant may terminate this Amendment by providing written notice of such termination to Landlord on or before April 15, 2012. Tenant shall execute and deliver to Landlord written acknowledgment of the actual 01 Premises Commencement Date, if the same occurs, within ten (10) days after Tenant takes occupancy of the 01 Premises, in the form attached as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hereto. Failure to execute and deliver such acknowledgment, however, shall not affect the 01 Premises Commencement Date or Landlord’s or Tenant’s liability hereunder.</w:t>
      </w:r>
    </w:p>
    <w:p>
      <w:pPr>
        <w:spacing w:after="0" w:line="183" w:lineRule="exact"/>
        <w:rPr>
          <w:rFonts w:ascii="Arial" w:cs="Arial" w:eastAsia="Arial" w:hAnsi="Arial"/>
          <w:sz w:val="13"/>
          <w:szCs w:val="13"/>
          <w:color w:val="auto"/>
        </w:rPr>
      </w:pPr>
    </w:p>
    <w:p>
      <w:pPr>
        <w:jc w:val="both"/>
        <w:ind w:firstLine="227"/>
        <w:spacing w:after="0" w:line="291" w:lineRule="auto"/>
        <w:tabs>
          <w:tab w:leader="none" w:pos="362" w:val="left"/>
        </w:tabs>
        <w:numPr>
          <w:ilvl w:val="0"/>
          <w:numId w:val="21"/>
        </w:numPr>
        <w:rPr>
          <w:rFonts w:ascii="Arial" w:cs="Arial" w:eastAsia="Arial" w:hAnsi="Arial"/>
          <w:sz w:val="13"/>
          <w:szCs w:val="13"/>
          <w:color w:val="auto"/>
        </w:rPr>
      </w:pPr>
      <w:r>
        <w:rPr>
          <w:rFonts w:ascii="Arial" w:cs="Arial" w:eastAsia="Arial" w:hAnsi="Arial"/>
          <w:sz w:val="13"/>
          <w:szCs w:val="13"/>
          <w:u w:val="single" w:color="auto"/>
          <w:color w:val="auto"/>
        </w:rPr>
        <w:t>Termination Option</w:t>
      </w:r>
      <w:r>
        <w:rPr>
          <w:rFonts w:ascii="Arial" w:cs="Arial" w:eastAsia="Arial" w:hAnsi="Arial"/>
          <w:sz w:val="13"/>
          <w:szCs w:val="13"/>
          <w:color w:val="auto"/>
        </w:rPr>
        <w:t xml:space="preserve">. In addition to the termination option reserved to Tenant under </w:t>
      </w:r>
      <w:r>
        <w:rPr>
          <w:rFonts w:ascii="Arial" w:cs="Arial" w:eastAsia="Arial" w:hAnsi="Arial"/>
          <w:sz w:val="13"/>
          <w:szCs w:val="13"/>
          <w:u w:val="single" w:color="auto"/>
          <w:color w:val="auto"/>
        </w:rPr>
        <w:t>Section 2</w:t>
      </w:r>
      <w:r>
        <w:rPr>
          <w:rFonts w:ascii="Arial" w:cs="Arial" w:eastAsia="Arial" w:hAnsi="Arial"/>
          <w:sz w:val="13"/>
          <w:szCs w:val="13"/>
          <w:color w:val="auto"/>
        </w:rPr>
        <w:t xml:space="preserve"> above, Tenant shall be entitled to terminate the Amended Lease with respect to the 01 Premises as of December 31, 2015, or December 31, 2016;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 Tenant provides Landlord with no less than twelve (12) months’ prior written notice and (b) if the termination is (i) December 31, 2015, Tenant pays to Landlord on or before such date an amount equal to Seven Hundred Twenty Thousand Eight Hundred Two and 75/100 Dollars ($720,802.75) (ii) December 31, 2016, Tenant pays to Landlord on or before such date an amount equal to Six Hundred Thirty-Six Thousand Two and 45/100 Dollars ($636,002.45). If Tenant timely exercises its option to terminate the Amended Lease with respect to the 01 Premises, then Tenant shall surrender the 01 Premises to Landlord on the applicable surrender date in the condition required by the Amended Lease for surrendering Premises upon the expiration or earlier termination thereof. Time is of the essence with respect to the exercise of the termination option granted in this Section.</w:t>
      </w:r>
    </w:p>
    <w:p>
      <w:pPr>
        <w:spacing w:after="0" w:line="184" w:lineRule="exact"/>
        <w:rPr>
          <w:rFonts w:ascii="Arial" w:cs="Arial" w:eastAsia="Arial" w:hAnsi="Arial"/>
          <w:sz w:val="13"/>
          <w:szCs w:val="13"/>
          <w:color w:val="auto"/>
        </w:rPr>
      </w:pPr>
    </w:p>
    <w:p>
      <w:pPr>
        <w:ind w:left="360" w:hanging="133"/>
        <w:spacing w:after="0"/>
        <w:tabs>
          <w:tab w:leader="none" w:pos="360" w:val="left"/>
        </w:tabs>
        <w:numPr>
          <w:ilvl w:val="0"/>
          <w:numId w:val="21"/>
        </w:numPr>
        <w:rPr>
          <w:rFonts w:ascii="Arial" w:cs="Arial" w:eastAsia="Arial" w:hAnsi="Arial"/>
          <w:sz w:val="14"/>
          <w:szCs w:val="14"/>
          <w:color w:val="auto"/>
        </w:rPr>
      </w:pPr>
      <w:r>
        <w:rPr>
          <w:rFonts w:ascii="Arial" w:cs="Arial" w:eastAsia="Arial" w:hAnsi="Arial"/>
          <w:sz w:val="14"/>
          <w:szCs w:val="14"/>
          <w:u w:val="single" w:color="auto"/>
          <w:color w:val="auto"/>
        </w:rPr>
        <w:t>Lease Extension Options</w:t>
      </w:r>
      <w:r>
        <w:rPr>
          <w:rFonts w:ascii="Arial" w:cs="Arial" w:eastAsia="Arial" w:hAnsi="Arial"/>
          <w:sz w:val="14"/>
          <w:szCs w:val="14"/>
          <w:color w:val="auto"/>
        </w:rPr>
        <w:t xml:space="preserve">. From and after the Execution Date, the first paragraph of </w:t>
      </w:r>
      <w:r>
        <w:rPr>
          <w:rFonts w:ascii="Arial" w:cs="Arial" w:eastAsia="Arial" w:hAnsi="Arial"/>
          <w:sz w:val="14"/>
          <w:szCs w:val="14"/>
          <w:u w:val="single" w:color="auto"/>
          <w:color w:val="auto"/>
        </w:rPr>
        <w:t>Article 44</w:t>
      </w:r>
      <w:r>
        <w:rPr>
          <w:rFonts w:ascii="Arial" w:cs="Arial" w:eastAsia="Arial" w:hAnsi="Arial"/>
          <w:sz w:val="14"/>
          <w:szCs w:val="14"/>
          <w:color w:val="auto"/>
        </w:rPr>
        <w:t xml:space="preserve"> of the Lease is hereby deleted and replaced with the following:</w:t>
      </w:r>
    </w:p>
    <w:p>
      <w:pPr>
        <w:spacing w:after="0" w:line="212" w:lineRule="exact"/>
        <w:rPr>
          <w:sz w:val="20"/>
          <w:szCs w:val="20"/>
          <w:color w:val="auto"/>
        </w:rPr>
      </w:pPr>
    </w:p>
    <w:p>
      <w:pPr>
        <w:jc w:val="both"/>
        <w:ind w:left="440" w:right="440" w:firstLine="7"/>
        <w:spacing w:after="0" w:line="307" w:lineRule="auto"/>
        <w:tabs>
          <w:tab w:leader="none" w:pos="654" w:val="left"/>
        </w:tabs>
        <w:numPr>
          <w:ilvl w:val="0"/>
          <w:numId w:val="22"/>
        </w:numPr>
        <w:rPr>
          <w:rFonts w:ascii="Arial" w:cs="Arial" w:eastAsia="Arial" w:hAnsi="Arial"/>
          <w:sz w:val="12"/>
          <w:szCs w:val="12"/>
          <w:color w:val="auto"/>
        </w:rPr>
      </w:pPr>
      <w:r>
        <w:rPr>
          <w:rFonts w:ascii="Arial" w:cs="Arial" w:eastAsia="Arial" w:hAnsi="Arial"/>
          <w:sz w:val="12"/>
          <w:szCs w:val="12"/>
          <w:u w:val="single" w:color="auto"/>
          <w:color w:val="auto"/>
        </w:rPr>
        <w:t>Option to Extend Term</w:t>
      </w:r>
      <w:r>
        <w:rPr>
          <w:rFonts w:ascii="Arial" w:cs="Arial" w:eastAsia="Arial" w:hAnsi="Arial"/>
          <w:sz w:val="12"/>
          <w:szCs w:val="12"/>
          <w:color w:val="auto"/>
        </w:rPr>
        <w:t>. Tenant shall have three (3) options (each, an “</w:t>
      </w:r>
      <w:r>
        <w:rPr>
          <w:rFonts w:ascii="Arial" w:cs="Arial" w:eastAsia="Arial" w:hAnsi="Arial"/>
          <w:sz w:val="12"/>
          <w:szCs w:val="12"/>
          <w:u w:val="single" w:color="auto"/>
          <w:color w:val="auto"/>
        </w:rPr>
        <w:t>Option</w:t>
      </w:r>
      <w:r>
        <w:rPr>
          <w:rFonts w:ascii="Arial" w:cs="Arial" w:eastAsia="Arial" w:hAnsi="Arial"/>
          <w:sz w:val="12"/>
          <w:szCs w:val="12"/>
          <w:color w:val="auto"/>
        </w:rPr>
        <w:t>”) to extend the Term of this Lease (and, in each case, the Term Expiration Date) by five (5) years, in each case on the same terms and conditions as this Lease, except as provided below. If Tenant desires to exercise any Option, Tenant must do so by giving Landlord written notice of such exercise at least one (1) year before the Term would otherwise expire. Tenant may exercise its Option to extend the Term only as to any one or more of the following: (a) the entire Retained Premises plus the Corridor Space, (b) the entire New Whole Building Premises, (c) the entire New Multiple Tenant Building Premises, (d) the Modified Additional Premises,</w:t>
      </w:r>
    </w:p>
    <w:p>
      <w:pPr>
        <w:spacing w:after="0" w:line="1" w:lineRule="exact"/>
        <w:rPr>
          <w:rFonts w:ascii="Arial" w:cs="Arial" w:eastAsia="Arial" w:hAnsi="Arial"/>
          <w:sz w:val="12"/>
          <w:szCs w:val="12"/>
          <w:color w:val="auto"/>
        </w:rPr>
      </w:pPr>
    </w:p>
    <w:p>
      <w:pPr>
        <w:jc w:val="both"/>
        <w:ind w:left="440" w:right="440"/>
        <w:spacing w:after="0" w:line="295" w:lineRule="auto"/>
        <w:rPr>
          <w:rFonts w:ascii="Arial" w:cs="Arial" w:eastAsia="Arial" w:hAnsi="Arial"/>
          <w:sz w:val="12"/>
          <w:szCs w:val="12"/>
          <w:color w:val="auto"/>
        </w:rPr>
      </w:pPr>
      <w:r>
        <w:rPr>
          <w:rFonts w:ascii="Arial" w:cs="Arial" w:eastAsia="Arial" w:hAnsi="Arial"/>
          <w:sz w:val="13"/>
          <w:szCs w:val="13"/>
          <w:color w:val="auto"/>
        </w:rPr>
        <w:t>(e) the Swap Premises and 765 Elevator Lobby Premises, (f) each full floor of the 755 Premises, (g) the 765 Expansion Premises, (h) the 765 Expansion Premises II, (i) C-Level Storage Spaces, (j) the 777 License Area Premises and (k) the 01 Premises. If Tenant fails to exercise an Option with respect to less than all of the Premises and the time to do so has lapsed (or if a Retained Premises Early Termination or a termination pursuant to a Swap Premises Termination Option has occurred), then Tenant shall no longer have an Option with respect to those portions of the Premises for which it failed to exercise an Option, although Tenant’s Options for the remaining Premises shall remain in full force and effect.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88" w:name="page89"/>
    <w:bookmarkEnd w:id="88"/>
    <w:p>
      <w:pPr>
        <w:jc w:val="both"/>
        <w:ind w:firstLine="238"/>
        <w:spacing w:after="0" w:line="290" w:lineRule="auto"/>
        <w:tabs>
          <w:tab w:leader="none" w:pos="373" w:val="left"/>
        </w:tabs>
        <w:numPr>
          <w:ilvl w:val="1"/>
          <w:numId w:val="23"/>
        </w:numPr>
        <w:rPr>
          <w:rFonts w:ascii="Arial" w:cs="Arial" w:eastAsia="Arial" w:hAnsi="Arial"/>
          <w:sz w:val="13"/>
          <w:szCs w:val="13"/>
          <w:color w:val="auto"/>
        </w:rPr>
      </w:pPr>
      <w:r>
        <w:rPr>
          <w:rFonts w:ascii="Arial" w:cs="Arial" w:eastAsia="Arial" w:hAnsi="Arial"/>
          <w:sz w:val="13"/>
          <w:szCs w:val="13"/>
          <w:u w:val="single" w:color="auto"/>
          <w:color w:val="auto"/>
        </w:rPr>
        <w:t>Condition of 01 Premises</w:t>
      </w:r>
      <w:r>
        <w:rPr>
          <w:rFonts w:ascii="Arial" w:cs="Arial" w:eastAsia="Arial" w:hAnsi="Arial"/>
          <w:sz w:val="13"/>
          <w:szCs w:val="13"/>
          <w:color w:val="auto"/>
        </w:rPr>
        <w:t xml:space="preserve">. Except as provided in </w:t>
      </w:r>
      <w:r>
        <w:rPr>
          <w:rFonts w:ascii="Arial" w:cs="Arial" w:eastAsia="Arial" w:hAnsi="Arial"/>
          <w:sz w:val="13"/>
          <w:szCs w:val="13"/>
          <w:u w:val="single" w:color="auto"/>
          <w:color w:val="auto"/>
        </w:rPr>
        <w:t>Section 6</w:t>
      </w:r>
      <w:r>
        <w:rPr>
          <w:rFonts w:ascii="Arial" w:cs="Arial" w:eastAsia="Arial" w:hAnsi="Arial"/>
          <w:sz w:val="13"/>
          <w:szCs w:val="13"/>
          <w:color w:val="auto"/>
        </w:rPr>
        <w:t xml:space="preserve"> below, Tenant acknowledges that neither Landlord nor any agent of Landlord has made any representation or warranty with respect to the condition of the 01 Premises with respect to the suitability of the same for the conduct of Tenant’s business. Tenant acknowledges that it is generally familiar with the condition of the 01 Premises and, notwithstanding anything contained in the Amended Lease to the contrary, agrees to take the same in its condition “as is” as of the applicable delivery date, except that Landlord shall (a) remove all existing furniture from the 01 Premises and (b) perform the 01 Premises Landlord Improvements set forth on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attached hereto in accordance with this Amendment. Tenant’s taking possession of the 01 Premises, except as otherwise agreed to in writing by Landlord and Tenant, shall conclusively establish that the same were at such time in good, sanitary and satisfactory condition and repair. Notwithstanding the foregoing, Landlord shall endeavor to minimize the odor of hydraulic fluid in or around the elevators located nearest to the 01 Premises to a level consistent with those found in connection with the operation of a typical hydraulic elevator, as of the 01 Premises Commencement Date.</w:t>
      </w:r>
    </w:p>
    <w:p>
      <w:pPr>
        <w:spacing w:after="0" w:line="183" w:lineRule="exact"/>
        <w:rPr>
          <w:rFonts w:ascii="Arial" w:cs="Arial" w:eastAsia="Arial" w:hAnsi="Arial"/>
          <w:sz w:val="13"/>
          <w:szCs w:val="13"/>
          <w:color w:val="auto"/>
        </w:rPr>
      </w:pPr>
    </w:p>
    <w:p>
      <w:pPr>
        <w:ind w:left="360" w:hanging="133"/>
        <w:spacing w:after="0"/>
        <w:tabs>
          <w:tab w:leader="none" w:pos="360" w:val="left"/>
        </w:tabs>
        <w:numPr>
          <w:ilvl w:val="0"/>
          <w:numId w:val="24"/>
        </w:numPr>
        <w:rPr>
          <w:rFonts w:ascii="Arial" w:cs="Arial" w:eastAsia="Arial" w:hAnsi="Arial"/>
          <w:sz w:val="14"/>
          <w:szCs w:val="14"/>
          <w:color w:val="auto"/>
        </w:rPr>
      </w:pPr>
      <w:r>
        <w:rPr>
          <w:rFonts w:ascii="Arial" w:cs="Arial" w:eastAsia="Arial" w:hAnsi="Arial"/>
          <w:sz w:val="14"/>
          <w:szCs w:val="14"/>
          <w:u w:val="single" w:color="auto"/>
          <w:color w:val="auto"/>
        </w:rPr>
        <w:t>Improvements</w:t>
      </w:r>
      <w:r>
        <w:rPr>
          <w:rFonts w:ascii="Arial" w:cs="Arial" w:eastAsia="Arial" w:hAnsi="Arial"/>
          <w:sz w:val="14"/>
          <w:szCs w:val="14"/>
          <w:color w:val="auto"/>
        </w:rPr>
        <w:t>.</w:t>
      </w:r>
    </w:p>
    <w:p>
      <w:pPr>
        <w:spacing w:after="0" w:line="233" w:lineRule="exact"/>
        <w:rPr>
          <w:rFonts w:ascii="Arial" w:cs="Arial" w:eastAsia="Arial" w:hAnsi="Arial"/>
          <w:sz w:val="14"/>
          <w:szCs w:val="14"/>
          <w:color w:val="auto"/>
        </w:rPr>
      </w:pPr>
    </w:p>
    <w:p>
      <w:pPr>
        <w:jc w:val="both"/>
        <w:ind w:firstLine="501"/>
        <w:spacing w:after="0" w:line="265" w:lineRule="auto"/>
        <w:tabs>
          <w:tab w:leader="none" w:pos="687" w:val="left"/>
        </w:tabs>
        <w:numPr>
          <w:ilvl w:val="2"/>
          <w:numId w:val="24"/>
        </w:numPr>
        <w:rPr>
          <w:rFonts w:ascii="Arial" w:cs="Arial" w:eastAsia="Arial" w:hAnsi="Arial"/>
          <w:sz w:val="14"/>
          <w:szCs w:val="14"/>
          <w:color w:val="auto"/>
        </w:rPr>
      </w:pPr>
      <w:r>
        <w:rPr>
          <w:rFonts w:ascii="Arial" w:cs="Arial" w:eastAsia="Arial" w:hAnsi="Arial"/>
          <w:sz w:val="14"/>
          <w:szCs w:val="14"/>
          <w:color w:val="auto"/>
        </w:rPr>
        <w:t xml:space="preserve">Landlord shall perform the improvements set forth on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attached hereto and Tenant shall perform the improvements set forth on </w:t>
      </w:r>
      <w:r>
        <w:rPr>
          <w:rFonts w:ascii="Arial" w:cs="Arial" w:eastAsia="Arial" w:hAnsi="Arial"/>
          <w:sz w:val="14"/>
          <w:szCs w:val="14"/>
          <w:u w:val="single" w:color="auto"/>
          <w:color w:val="auto"/>
        </w:rPr>
        <w:t>Exhibit C</w:t>
      </w:r>
      <w:r>
        <w:rPr>
          <w:rFonts w:ascii="Arial" w:cs="Arial" w:eastAsia="Arial" w:hAnsi="Arial"/>
          <w:sz w:val="14"/>
          <w:szCs w:val="14"/>
          <w:color w:val="auto"/>
        </w:rPr>
        <w:t xml:space="preserve"> attached hereto at Landlord’s sole cost and expense (collectively, the “</w:t>
      </w:r>
      <w:r>
        <w:rPr>
          <w:rFonts w:ascii="Arial" w:cs="Arial" w:eastAsia="Arial" w:hAnsi="Arial"/>
          <w:sz w:val="14"/>
          <w:szCs w:val="14"/>
          <w:u w:val="single" w:color="auto"/>
          <w:color w:val="auto"/>
        </w:rPr>
        <w:t>01 Premises Landlord Improvements</w:t>
      </w:r>
      <w:r>
        <w:rPr>
          <w:rFonts w:ascii="Arial" w:cs="Arial" w:eastAsia="Arial" w:hAnsi="Arial"/>
          <w:sz w:val="14"/>
          <w:szCs w:val="14"/>
          <w:color w:val="auto"/>
        </w:rPr>
        <w:t xml:space="preserve">”). If Landlord has not substantially completed the portion of the 01 Premises Landlord Improvements depicted on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by April 1, 2012, then the 01 Premises Rent Commencement Date (as defined below) shall be extended by one (1) day for every day after April 1, 2012, that Landlord has not substantially completed the portion of the 01 Premises Landlord Improvements depicted on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except to the extent that the delay was caused by Tenant or its agents, employees or contractors, or by Governmental Authorities. If Landlord and Tenant cannot agree on whether Landlord has substantially completed the portion of 01 Premises Landlord Improvements depicted on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or the items listed on the Punchlist generated by the parties pursuant to the protocol set forth under </w:t>
      </w:r>
      <w:r>
        <w:rPr>
          <w:rFonts w:ascii="Arial" w:cs="Arial" w:eastAsia="Arial" w:hAnsi="Arial"/>
          <w:sz w:val="14"/>
          <w:szCs w:val="14"/>
          <w:u w:val="single" w:color="auto"/>
          <w:color w:val="auto"/>
        </w:rPr>
        <w:t>Section 4.3</w:t>
      </w:r>
      <w:r>
        <w:rPr>
          <w:rFonts w:ascii="Arial" w:cs="Arial" w:eastAsia="Arial" w:hAnsi="Arial"/>
          <w:sz w:val="14"/>
          <w:szCs w:val="14"/>
          <w:color w:val="auto"/>
        </w:rPr>
        <w:t xml:space="preserve"> of the Lease, then the written determination of the Neutral Architect shall govern, whose determination shall be final and binding upon the parties. For purposes of this Amendment, “</w:t>
      </w:r>
      <w:r>
        <w:rPr>
          <w:rFonts w:ascii="Arial" w:cs="Arial" w:eastAsia="Arial" w:hAnsi="Arial"/>
          <w:sz w:val="14"/>
          <w:szCs w:val="14"/>
          <w:u w:val="single" w:color="auto"/>
          <w:color w:val="auto"/>
        </w:rPr>
        <w:t>substantially completed</w:t>
      </w:r>
      <w:r>
        <w:rPr>
          <w:rFonts w:ascii="Arial" w:cs="Arial" w:eastAsia="Arial" w:hAnsi="Arial"/>
          <w:sz w:val="14"/>
          <w:szCs w:val="14"/>
          <w:color w:val="auto"/>
        </w:rPr>
        <w:t xml:space="preserve">” means that Landlord has completed all of the 01 Premises Landlord Improvements depicted on </w:t>
      </w:r>
      <w:r>
        <w:rPr>
          <w:rFonts w:ascii="Arial" w:cs="Arial" w:eastAsia="Arial" w:hAnsi="Arial"/>
          <w:sz w:val="14"/>
          <w:szCs w:val="14"/>
          <w:u w:val="single" w:color="auto"/>
          <w:color w:val="auto"/>
        </w:rPr>
        <w:t>Exhibit</w:t>
      </w:r>
      <w:r>
        <w:rPr>
          <w:rFonts w:ascii="Arial" w:cs="Arial" w:eastAsia="Arial" w:hAnsi="Arial"/>
          <w:sz w:val="14"/>
          <w:szCs w:val="14"/>
          <w:color w:val="auto"/>
        </w:rPr>
        <w:t xml:space="preserve"> </w:t>
      </w:r>
      <w:r>
        <w:rPr>
          <w:rFonts w:ascii="Arial" w:cs="Arial" w:eastAsia="Arial" w:hAnsi="Arial"/>
          <w:sz w:val="14"/>
          <w:szCs w:val="14"/>
          <w:u w:val="single" w:color="auto"/>
          <w:color w:val="auto"/>
        </w:rPr>
        <w:t>B</w:t>
      </w:r>
      <w:r>
        <w:rPr>
          <w:rFonts w:ascii="Arial" w:cs="Arial" w:eastAsia="Arial" w:hAnsi="Arial"/>
          <w:sz w:val="14"/>
          <w:szCs w:val="14"/>
          <w:color w:val="auto"/>
        </w:rPr>
        <w:t xml:space="preserve">, except for minor and insubstantial details of construction that do not, except in a de minimis manner, interfere with Tenant’s performance of improvements to the Premises in accordance with this </w:t>
      </w:r>
      <w:r>
        <w:rPr>
          <w:rFonts w:ascii="Arial" w:cs="Arial" w:eastAsia="Arial" w:hAnsi="Arial"/>
          <w:sz w:val="14"/>
          <w:szCs w:val="14"/>
          <w:u w:val="single" w:color="auto"/>
          <w:color w:val="auto"/>
        </w:rPr>
        <w:t>Section 6</w:t>
      </w:r>
      <w:r>
        <w:rPr>
          <w:rFonts w:ascii="Arial" w:cs="Arial" w:eastAsia="Arial" w:hAnsi="Arial"/>
          <w:sz w:val="14"/>
          <w:szCs w:val="14"/>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89" w:name="page90"/>
    <w:bookmarkEnd w:id="89"/>
    <w:p>
      <w:pPr>
        <w:jc w:val="both"/>
        <w:ind w:firstLine="501"/>
        <w:spacing w:after="0" w:line="290" w:lineRule="auto"/>
        <w:tabs>
          <w:tab w:leader="none" w:pos="696" w:val="left"/>
        </w:tabs>
        <w:numPr>
          <w:ilvl w:val="2"/>
          <w:numId w:val="25"/>
        </w:numPr>
        <w:rPr>
          <w:rFonts w:ascii="Arial" w:cs="Arial" w:eastAsia="Arial" w:hAnsi="Arial"/>
          <w:sz w:val="13"/>
          <w:szCs w:val="13"/>
          <w:color w:val="auto"/>
        </w:rPr>
      </w:pPr>
      <w:r>
        <w:rPr>
          <w:rFonts w:ascii="Arial" w:cs="Arial" w:eastAsia="Arial" w:hAnsi="Arial"/>
          <w:sz w:val="13"/>
          <w:szCs w:val="13"/>
          <w:color w:val="auto"/>
        </w:rPr>
        <w:t>Landlord shall make available to Tenant a tenant improvement allowance of Five Hundred Ninety-Nine Thousand Three Hundred Ten Dollars ($599,310) (based on Fifteen Dollars ($15) per rentable square foot of the 01 Premises) (the “</w:t>
      </w:r>
      <w:r>
        <w:rPr>
          <w:rFonts w:ascii="Arial" w:cs="Arial" w:eastAsia="Arial" w:hAnsi="Arial"/>
          <w:sz w:val="13"/>
          <w:szCs w:val="13"/>
          <w:u w:val="single" w:color="auto"/>
          <w:color w:val="auto"/>
        </w:rPr>
        <w:t>01 Premises Allowance</w:t>
      </w:r>
      <w:r>
        <w:rPr>
          <w:rFonts w:ascii="Arial" w:cs="Arial" w:eastAsia="Arial" w:hAnsi="Arial"/>
          <w:sz w:val="13"/>
          <w:szCs w:val="13"/>
          <w:color w:val="auto"/>
        </w:rPr>
        <w:t>”) for Tenant’s performance of its improvements (the “</w:t>
      </w:r>
      <w:r>
        <w:rPr>
          <w:rFonts w:ascii="Arial" w:cs="Arial" w:eastAsia="Arial" w:hAnsi="Arial"/>
          <w:sz w:val="13"/>
          <w:szCs w:val="13"/>
          <w:u w:val="single" w:color="auto"/>
          <w:color w:val="auto"/>
        </w:rPr>
        <w:t>01 Premises Tenant Work</w:t>
      </w:r>
      <w:r>
        <w:rPr>
          <w:rFonts w:ascii="Arial" w:cs="Arial" w:eastAsia="Arial" w:hAnsi="Arial"/>
          <w:sz w:val="13"/>
          <w:szCs w:val="13"/>
          <w:color w:val="auto"/>
        </w:rPr>
        <w:t>”). In addition to the 01 Premises Allowance, Landlord shall also pay to Tenant an amount equal to the actual costs (the “</w:t>
      </w:r>
      <w:r>
        <w:rPr>
          <w:rFonts w:ascii="Arial" w:cs="Arial" w:eastAsia="Arial" w:hAnsi="Arial"/>
          <w:sz w:val="13"/>
          <w:szCs w:val="13"/>
          <w:u w:val="single" w:color="auto"/>
          <w:color w:val="auto"/>
        </w:rPr>
        <w:t>Landlord Costs</w:t>
      </w:r>
      <w:r>
        <w:rPr>
          <w:rFonts w:ascii="Arial" w:cs="Arial" w:eastAsia="Arial" w:hAnsi="Arial"/>
          <w:sz w:val="13"/>
          <w:szCs w:val="13"/>
          <w:color w:val="auto"/>
        </w:rPr>
        <w:t xml:space="preserve">”) incurred by Tenant for performing the portion of the 01 Premises Landlord Improvements set forth on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attached hereto. The 01 Premises Allowance and the Landlord Costs shall be disbursed in the same manner as the Base TI Allowance under the applicable provisions of </w:t>
      </w:r>
      <w:r>
        <w:rPr>
          <w:rFonts w:ascii="Arial" w:cs="Arial" w:eastAsia="Arial" w:hAnsi="Arial"/>
          <w:sz w:val="13"/>
          <w:szCs w:val="13"/>
          <w:u w:val="single" w:color="auto"/>
          <w:color w:val="auto"/>
        </w:rPr>
        <w:t>Article 5</w:t>
      </w:r>
      <w:r>
        <w:rPr>
          <w:rFonts w:ascii="Arial" w:cs="Arial" w:eastAsia="Arial" w:hAnsi="Arial"/>
          <w:sz w:val="13"/>
          <w:szCs w:val="13"/>
          <w:color w:val="auto"/>
        </w:rPr>
        <w:t xml:space="preserve"> of the Lease, including the Disbursement Conditions, in order to finance the aforesaid improvements to the 01 Premises. Tenant shall be responsible for performing and completing the 01 Premises Tenant Work and the 01 Premises Landlord Improvements set forth on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attached hereto. Further, Tenant acknowledges and agrees that the scope of the 01 Premises Tenant Work shall be submitted, approved and constructed in accordance with the Work Letter attached as </w:t>
      </w:r>
      <w:r>
        <w:rPr>
          <w:rFonts w:ascii="Arial" w:cs="Arial" w:eastAsia="Arial" w:hAnsi="Arial"/>
          <w:sz w:val="13"/>
          <w:szCs w:val="13"/>
          <w:u w:val="single" w:color="auto"/>
          <w:color w:val="auto"/>
        </w:rPr>
        <w:t>Exhibit G</w:t>
      </w:r>
      <w:r>
        <w:rPr>
          <w:rFonts w:ascii="Arial" w:cs="Arial" w:eastAsia="Arial" w:hAnsi="Arial"/>
          <w:sz w:val="13"/>
          <w:szCs w:val="13"/>
          <w:color w:val="auto"/>
        </w:rPr>
        <w:t xml:space="preserve"> to the Lease and consistent with the provisions of the Amended Lease and the Permitted Use.</w:t>
      </w:r>
    </w:p>
    <w:p>
      <w:pPr>
        <w:spacing w:after="0" w:line="183" w:lineRule="exact"/>
        <w:rPr>
          <w:rFonts w:ascii="Arial" w:cs="Arial" w:eastAsia="Arial" w:hAnsi="Arial"/>
          <w:sz w:val="13"/>
          <w:szCs w:val="13"/>
          <w:color w:val="auto"/>
        </w:rPr>
      </w:pPr>
    </w:p>
    <w:p>
      <w:pPr>
        <w:jc w:val="both"/>
        <w:ind w:firstLine="501"/>
        <w:spacing w:after="0" w:line="269" w:lineRule="auto"/>
        <w:tabs>
          <w:tab w:leader="none" w:pos="687" w:val="left"/>
        </w:tabs>
        <w:numPr>
          <w:ilvl w:val="2"/>
          <w:numId w:val="25"/>
        </w:numPr>
        <w:rPr>
          <w:rFonts w:ascii="Arial" w:cs="Arial" w:eastAsia="Arial" w:hAnsi="Arial"/>
          <w:sz w:val="14"/>
          <w:szCs w:val="14"/>
          <w:color w:val="auto"/>
        </w:rPr>
      </w:pPr>
      <w:r>
        <w:rPr>
          <w:rFonts w:ascii="Arial" w:cs="Arial" w:eastAsia="Arial" w:hAnsi="Arial"/>
          <w:sz w:val="14"/>
          <w:szCs w:val="14"/>
          <w:color w:val="auto"/>
        </w:rPr>
        <w:t xml:space="preserve">In addition to the 01 Premises Allowance and the Landlord Costs referred to in </w:t>
      </w:r>
      <w:r>
        <w:rPr>
          <w:rFonts w:ascii="Arial" w:cs="Arial" w:eastAsia="Arial" w:hAnsi="Arial"/>
          <w:sz w:val="14"/>
          <w:szCs w:val="14"/>
          <w:u w:val="single" w:color="auto"/>
          <w:color w:val="auto"/>
        </w:rPr>
        <w:t>Section 6(b)</w:t>
      </w:r>
      <w:r>
        <w:rPr>
          <w:rFonts w:ascii="Arial" w:cs="Arial" w:eastAsia="Arial" w:hAnsi="Arial"/>
          <w:sz w:val="14"/>
          <w:szCs w:val="14"/>
          <w:color w:val="auto"/>
        </w:rPr>
        <w:t xml:space="preserve"> above, Landlord shall also make available to Tenant an additional allowance (the “</w:t>
      </w:r>
      <w:r>
        <w:rPr>
          <w:rFonts w:ascii="Arial" w:cs="Arial" w:eastAsia="Arial" w:hAnsi="Arial"/>
          <w:sz w:val="14"/>
          <w:szCs w:val="14"/>
          <w:u w:val="single" w:color="auto"/>
          <w:color w:val="auto"/>
        </w:rPr>
        <w:t>Additional</w:t>
      </w:r>
      <w:r>
        <w:rPr>
          <w:rFonts w:ascii="Arial" w:cs="Arial" w:eastAsia="Arial" w:hAnsi="Arial"/>
          <w:sz w:val="14"/>
          <w:szCs w:val="14"/>
          <w:color w:val="auto"/>
        </w:rPr>
        <w:t xml:space="preserve"> </w:t>
      </w:r>
      <w:r>
        <w:rPr>
          <w:rFonts w:ascii="Arial" w:cs="Arial" w:eastAsia="Arial" w:hAnsi="Arial"/>
          <w:sz w:val="14"/>
          <w:szCs w:val="14"/>
          <w:u w:val="single" w:color="auto"/>
          <w:color w:val="auto"/>
        </w:rPr>
        <w:t>Allowance</w:t>
      </w:r>
      <w:r>
        <w:rPr>
          <w:rFonts w:ascii="Arial" w:cs="Arial" w:eastAsia="Arial" w:hAnsi="Arial"/>
          <w:sz w:val="14"/>
          <w:szCs w:val="14"/>
          <w:color w:val="auto"/>
        </w:rPr>
        <w:t xml:space="preserve">”) of Three Hundred Fifty Thousand Dollars ($350,000) to pay for costs incurred by Tenant in excess of the 01 Premises Allowance in performing the 01 Premises Tenant Work, or any other Improvements elected to be performed by Tenant throughout the Term of the Lease to other areas of the Premises, all to be disbursed in the same manner as provided under </w:t>
      </w:r>
      <w:r>
        <w:rPr>
          <w:rFonts w:ascii="Arial" w:cs="Arial" w:eastAsia="Arial" w:hAnsi="Arial"/>
          <w:sz w:val="14"/>
          <w:szCs w:val="14"/>
          <w:u w:val="single" w:color="auto"/>
          <w:color w:val="auto"/>
        </w:rPr>
        <w:t>Article 5</w:t>
      </w:r>
      <w:r>
        <w:rPr>
          <w:rFonts w:ascii="Arial" w:cs="Arial" w:eastAsia="Arial" w:hAnsi="Arial"/>
          <w:sz w:val="14"/>
          <w:szCs w:val="14"/>
          <w:color w:val="auto"/>
        </w:rPr>
        <w:t xml:space="preserve"> of the Lease, including the Disbursement Conditions; and to be submitted, approved and constructed in accordance with the Work Letter attached as </w:t>
      </w:r>
      <w:r>
        <w:rPr>
          <w:rFonts w:ascii="Arial" w:cs="Arial" w:eastAsia="Arial" w:hAnsi="Arial"/>
          <w:sz w:val="14"/>
          <w:szCs w:val="14"/>
          <w:u w:val="single" w:color="auto"/>
          <w:color w:val="auto"/>
        </w:rPr>
        <w:t>Exhibit G</w:t>
      </w:r>
      <w:r>
        <w:rPr>
          <w:rFonts w:ascii="Arial" w:cs="Arial" w:eastAsia="Arial" w:hAnsi="Arial"/>
          <w:sz w:val="14"/>
          <w:szCs w:val="14"/>
          <w:color w:val="auto"/>
        </w:rPr>
        <w:t xml:space="preserve"> to the Lease and consistent with the provisions of the Amended Lease and the Permitted Use.</w:t>
      </w:r>
    </w:p>
    <w:p>
      <w:pPr>
        <w:spacing w:after="0" w:line="194" w:lineRule="exact"/>
        <w:rPr>
          <w:rFonts w:ascii="Arial" w:cs="Arial" w:eastAsia="Arial" w:hAnsi="Arial"/>
          <w:sz w:val="14"/>
          <w:szCs w:val="14"/>
          <w:color w:val="auto"/>
        </w:rPr>
      </w:pPr>
    </w:p>
    <w:p>
      <w:pPr>
        <w:jc w:val="both"/>
        <w:ind w:firstLine="490"/>
        <w:spacing w:after="0" w:line="298" w:lineRule="auto"/>
        <w:tabs>
          <w:tab w:leader="none" w:pos="685" w:val="left"/>
        </w:tabs>
        <w:numPr>
          <w:ilvl w:val="1"/>
          <w:numId w:val="26"/>
        </w:numPr>
        <w:rPr>
          <w:rFonts w:ascii="Arial" w:cs="Arial" w:eastAsia="Arial" w:hAnsi="Arial"/>
          <w:sz w:val="13"/>
          <w:szCs w:val="13"/>
          <w:color w:val="auto"/>
        </w:rPr>
      </w:pPr>
      <w:r>
        <w:rPr>
          <w:rFonts w:ascii="Arial" w:cs="Arial" w:eastAsia="Arial" w:hAnsi="Arial"/>
          <w:sz w:val="13"/>
          <w:szCs w:val="13"/>
          <w:color w:val="auto"/>
        </w:rPr>
        <w:t xml:space="preserve">Tenant shall pay Landlord a construction oversight fee of two and one-half percent (2.5%) of the total cost of the 01 Premises Tenant Work or other improvements performed using the 01 Premises Allowance or the Additional Allowance, which construction oversight fee may be paid out of the 01 Premises Allowance or the Additional Allowance;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however, that Tenant shall not be required to pay such construction oversight fee for the portion of the 01 Premises Landlord Improvements depicted on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attached hereto and performed by Tenant; and </w:t>
      </w:r>
      <w:r>
        <w:rPr>
          <w:rFonts w:ascii="Arial" w:cs="Arial" w:eastAsia="Arial" w:hAnsi="Arial"/>
          <w:sz w:val="13"/>
          <w:szCs w:val="13"/>
          <w:u w:val="single" w:color="auto"/>
          <w:color w:val="auto"/>
        </w:rPr>
        <w:t>provided</w:t>
      </w:r>
      <w:r>
        <w:rPr>
          <w:rFonts w:ascii="Arial" w:cs="Arial" w:eastAsia="Arial" w:hAnsi="Arial"/>
          <w:sz w:val="13"/>
          <w:szCs w:val="13"/>
          <w:color w:val="auto"/>
        </w:rPr>
        <w:t>, further, that Tenant shall not be required to pay such construction oversight fee with respect to any portion of the Additional Allowance that is used to construct 01 Premises Tenant Work in the 01 Premises.</w:t>
      </w:r>
    </w:p>
    <w:p>
      <w:pPr>
        <w:spacing w:after="0" w:line="178" w:lineRule="exact"/>
        <w:rPr>
          <w:rFonts w:ascii="Arial" w:cs="Arial" w:eastAsia="Arial" w:hAnsi="Arial"/>
          <w:sz w:val="13"/>
          <w:szCs w:val="13"/>
          <w:color w:val="auto"/>
        </w:rPr>
      </w:pPr>
    </w:p>
    <w:p>
      <w:pPr>
        <w:jc w:val="both"/>
        <w:ind w:firstLine="304"/>
        <w:spacing w:after="0" w:line="269" w:lineRule="auto"/>
        <w:tabs>
          <w:tab w:leader="none" w:pos="450" w:val="left"/>
        </w:tabs>
        <w:numPr>
          <w:ilvl w:val="0"/>
          <w:numId w:val="27"/>
        </w:numPr>
        <w:rPr>
          <w:rFonts w:ascii="Arial" w:cs="Arial" w:eastAsia="Arial" w:hAnsi="Arial"/>
          <w:sz w:val="14"/>
          <w:szCs w:val="14"/>
          <w:color w:val="auto"/>
        </w:rPr>
      </w:pPr>
      <w:r>
        <w:rPr>
          <w:rFonts w:ascii="Arial" w:cs="Arial" w:eastAsia="Arial" w:hAnsi="Arial"/>
          <w:sz w:val="14"/>
          <w:szCs w:val="14"/>
          <w:u w:val="single" w:color="auto"/>
          <w:color w:val="auto"/>
        </w:rPr>
        <w:t>Early Access</w:t>
      </w:r>
      <w:r>
        <w:rPr>
          <w:rFonts w:ascii="Arial" w:cs="Arial" w:eastAsia="Arial" w:hAnsi="Arial"/>
          <w:sz w:val="14"/>
          <w:szCs w:val="14"/>
          <w:color w:val="auto"/>
        </w:rPr>
        <w:t xml:space="preserve">. Landlord shall grant Tenant access to the 01 Premises within five (5) business days after Vacating Tenant’s surrender of the 01 Premises in order for Tenant to commence construction of the 01 Premises Landlord Improvements set forth on </w:t>
      </w:r>
      <w:r>
        <w:rPr>
          <w:rFonts w:ascii="Arial" w:cs="Arial" w:eastAsia="Arial" w:hAnsi="Arial"/>
          <w:sz w:val="14"/>
          <w:szCs w:val="14"/>
          <w:u w:val="single" w:color="auto"/>
          <w:color w:val="auto"/>
        </w:rPr>
        <w:t>Exhibit C</w:t>
      </w:r>
      <w:r>
        <w:rPr>
          <w:rFonts w:ascii="Arial" w:cs="Arial" w:eastAsia="Arial" w:hAnsi="Arial"/>
          <w:sz w:val="14"/>
          <w:szCs w:val="14"/>
          <w:color w:val="auto"/>
        </w:rPr>
        <w:t xml:space="preserve"> attached hereto and the 01 Premises Tenant Work. Landlord and Tenant shall reasonably cooperate with each other so as not to impede the other’s work on the 01 Premises Landlord Improvements or 01 Premises Tenant Work, as applicable. In the event that Landlord does not permit Tenant such early access by January 15, 2012, the 01 Premises Rent Commencement Date (as defined below) shall be extended by two (2) days for every one (1) day of such delay, except to the extent that the delay was caused by Tenant or its agents, employees or contractors, or by delay caused by Governmental Authorities.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90" w:name="page91"/>
    <w:bookmarkEnd w:id="90"/>
    <w:p>
      <w:pPr>
        <w:jc w:val="both"/>
        <w:ind w:firstLine="227"/>
        <w:spacing w:after="0" w:line="308" w:lineRule="auto"/>
        <w:tabs>
          <w:tab w:leader="none" w:pos="362" w:val="left"/>
        </w:tabs>
        <w:numPr>
          <w:ilvl w:val="0"/>
          <w:numId w:val="28"/>
        </w:numPr>
        <w:rPr>
          <w:rFonts w:ascii="Arial" w:cs="Arial" w:eastAsia="Arial" w:hAnsi="Arial"/>
          <w:sz w:val="13"/>
          <w:szCs w:val="13"/>
          <w:color w:val="auto"/>
        </w:rPr>
      </w:pPr>
      <w:r>
        <w:rPr>
          <w:rFonts w:ascii="Arial" w:cs="Arial" w:eastAsia="Arial" w:hAnsi="Arial"/>
          <w:sz w:val="13"/>
          <w:szCs w:val="13"/>
          <w:u w:val="single" w:color="auto"/>
          <w:color w:val="auto"/>
        </w:rPr>
        <w:t>Basic Annual Rent</w:t>
      </w:r>
      <w:r>
        <w:rPr>
          <w:rFonts w:ascii="Arial" w:cs="Arial" w:eastAsia="Arial" w:hAnsi="Arial"/>
          <w:sz w:val="13"/>
          <w:szCs w:val="13"/>
          <w:color w:val="auto"/>
        </w:rPr>
        <w:t>. Commencing as of the date that is twelve (12) months after the 01 Premises Commencement Date (the “</w:t>
      </w:r>
      <w:r>
        <w:rPr>
          <w:rFonts w:ascii="Arial" w:cs="Arial" w:eastAsia="Arial" w:hAnsi="Arial"/>
          <w:sz w:val="13"/>
          <w:szCs w:val="13"/>
          <w:u w:val="single" w:color="auto"/>
          <w:color w:val="auto"/>
        </w:rPr>
        <w:t>01 Premises Rent Commencement Date</w:t>
      </w:r>
      <w:r>
        <w:rPr>
          <w:rFonts w:ascii="Arial" w:cs="Arial" w:eastAsia="Arial" w:hAnsi="Arial"/>
          <w:sz w:val="13"/>
          <w:szCs w:val="13"/>
          <w:color w:val="auto"/>
        </w:rPr>
        <w:t xml:space="preserve">”) and continuing through the Term, but subject to the provisions of </w:t>
      </w:r>
      <w:r>
        <w:rPr>
          <w:rFonts w:ascii="Arial" w:cs="Arial" w:eastAsia="Arial" w:hAnsi="Arial"/>
          <w:sz w:val="13"/>
          <w:szCs w:val="13"/>
          <w:u w:val="single" w:color="auto"/>
          <w:color w:val="auto"/>
        </w:rPr>
        <w:t>Section 3</w:t>
      </w:r>
      <w:r>
        <w:rPr>
          <w:rFonts w:ascii="Arial" w:cs="Arial" w:eastAsia="Arial" w:hAnsi="Arial"/>
          <w:sz w:val="13"/>
          <w:szCs w:val="13"/>
          <w:color w:val="auto"/>
        </w:rPr>
        <w:t xml:space="preserve"> hereof, Tenant shall pay to Landlord Basic Annual Rent for the 01 Premises at an initial rate equal to Twenty-Four and 50/100 Dollars ($24.50) per rentable square foot of the 01 Premises per year in accordance with the terms for payment of Basic Annual Rent set forth in the Lease. Basic Annual Rent for the 01 Premises shall increase annually every July 1</w:t>
      </w:r>
      <w:r>
        <w:rPr>
          <w:rFonts w:ascii="Arial" w:cs="Arial" w:eastAsia="Arial" w:hAnsi="Arial"/>
          <w:sz w:val="17"/>
          <w:szCs w:val="17"/>
          <w:color w:val="auto"/>
          <w:vertAlign w:val="superscript"/>
        </w:rPr>
        <w:t>st</w:t>
      </w:r>
      <w:r>
        <w:rPr>
          <w:rFonts w:ascii="Arial" w:cs="Arial" w:eastAsia="Arial" w:hAnsi="Arial"/>
          <w:sz w:val="13"/>
          <w:szCs w:val="13"/>
          <w:color w:val="auto"/>
        </w:rPr>
        <w:t xml:space="preserve"> by two and one-half percent (2.5%) of the then-current applicable Basic Annual Rent for the 01 Premises, commencing as of July 1, 2013.</w:t>
      </w:r>
    </w:p>
    <w:p>
      <w:pPr>
        <w:spacing w:after="0" w:line="95" w:lineRule="exact"/>
        <w:rPr>
          <w:rFonts w:ascii="Arial" w:cs="Arial" w:eastAsia="Arial" w:hAnsi="Arial"/>
          <w:sz w:val="13"/>
          <w:szCs w:val="13"/>
          <w:color w:val="auto"/>
        </w:rPr>
      </w:pPr>
    </w:p>
    <w:p>
      <w:pPr>
        <w:ind w:left="360" w:hanging="133"/>
        <w:spacing w:after="0"/>
        <w:tabs>
          <w:tab w:leader="none" w:pos="360" w:val="left"/>
        </w:tabs>
        <w:numPr>
          <w:ilvl w:val="0"/>
          <w:numId w:val="28"/>
        </w:numPr>
        <w:rPr>
          <w:rFonts w:ascii="Arial" w:cs="Arial" w:eastAsia="Arial" w:hAnsi="Arial"/>
          <w:sz w:val="14"/>
          <w:szCs w:val="14"/>
          <w:color w:val="auto"/>
        </w:rPr>
      </w:pPr>
      <w:r>
        <w:rPr>
          <w:rFonts w:ascii="Arial" w:cs="Arial" w:eastAsia="Arial" w:hAnsi="Arial"/>
          <w:sz w:val="14"/>
          <w:szCs w:val="14"/>
          <w:u w:val="single" w:color="auto"/>
          <w:color w:val="auto"/>
        </w:rPr>
        <w:t>Operating Expenses, Utilities and Basic Electric</w:t>
      </w:r>
      <w:r>
        <w:rPr>
          <w:rFonts w:ascii="Arial" w:cs="Arial" w:eastAsia="Arial" w:hAnsi="Arial"/>
          <w:sz w:val="14"/>
          <w:szCs w:val="14"/>
          <w:color w:val="auto"/>
        </w:rPr>
        <w:t>.</w:t>
      </w:r>
    </w:p>
    <w:p>
      <w:pPr>
        <w:spacing w:after="0" w:line="233" w:lineRule="exact"/>
        <w:rPr>
          <w:rFonts w:ascii="Arial" w:cs="Arial" w:eastAsia="Arial" w:hAnsi="Arial"/>
          <w:sz w:val="14"/>
          <w:szCs w:val="14"/>
          <w:color w:val="auto"/>
        </w:rPr>
      </w:pPr>
    </w:p>
    <w:p>
      <w:pPr>
        <w:jc w:val="both"/>
        <w:ind w:firstLine="490"/>
        <w:spacing w:after="0" w:line="276" w:lineRule="auto"/>
        <w:tabs>
          <w:tab w:leader="none" w:pos="676" w:val="left"/>
        </w:tabs>
        <w:numPr>
          <w:ilvl w:val="3"/>
          <w:numId w:val="28"/>
        </w:numPr>
        <w:rPr>
          <w:rFonts w:ascii="Arial" w:cs="Arial" w:eastAsia="Arial" w:hAnsi="Arial"/>
          <w:sz w:val="14"/>
          <w:szCs w:val="14"/>
          <w:color w:val="auto"/>
        </w:rPr>
      </w:pPr>
      <w:r>
        <w:rPr>
          <w:rFonts w:ascii="Arial" w:cs="Arial" w:eastAsia="Arial" w:hAnsi="Arial"/>
          <w:sz w:val="14"/>
          <w:szCs w:val="14"/>
          <w:color w:val="auto"/>
        </w:rPr>
        <w:t>In addition to Basic Annual Rent, commencing on the 01 Premises Commencement Date and continuing each month of the Term, Tenant shall also pay to Landlord, with respect to the 01 Premises, (i) Tenant’s Pro-Rata Share of Operating Expenses that exceeds a calendar 2012 base year (grossed up to ninety-five percent (95%) occupancy) and (ii) Basic Electric Charges, all as set forth in the Lease.</w:t>
      </w:r>
    </w:p>
    <w:p>
      <w:pPr>
        <w:spacing w:after="0" w:line="190" w:lineRule="exact"/>
        <w:rPr>
          <w:rFonts w:ascii="Arial" w:cs="Arial" w:eastAsia="Arial" w:hAnsi="Arial"/>
          <w:sz w:val="14"/>
          <w:szCs w:val="14"/>
          <w:color w:val="auto"/>
        </w:rPr>
      </w:pPr>
    </w:p>
    <w:p>
      <w:pPr>
        <w:jc w:val="both"/>
        <w:ind w:firstLine="479"/>
        <w:spacing w:after="0" w:line="276" w:lineRule="auto"/>
        <w:tabs>
          <w:tab w:leader="none" w:pos="674" w:val="left"/>
        </w:tabs>
        <w:numPr>
          <w:ilvl w:val="3"/>
          <w:numId w:val="28"/>
        </w:numPr>
        <w:rPr>
          <w:rFonts w:ascii="Arial" w:cs="Arial" w:eastAsia="Arial" w:hAnsi="Arial"/>
          <w:sz w:val="14"/>
          <w:szCs w:val="14"/>
          <w:color w:val="auto"/>
        </w:rPr>
      </w:pPr>
      <w:r>
        <w:rPr>
          <w:rFonts w:ascii="Arial" w:cs="Arial" w:eastAsia="Arial" w:hAnsi="Arial"/>
          <w:sz w:val="14"/>
          <w:szCs w:val="14"/>
          <w:color w:val="auto"/>
        </w:rPr>
        <w:t xml:space="preserve">In the event that the Building or Project is less than fully occupied, Tenant acknowledges that Landlord may gross up Operating Expenses to ninety-five percent (95%) of the total rentable area of the Building or Project (as applicable). Tenant shall pay Tenant’s proportionate share of the amount computed in accordance with the previous sentence, subject to adjustment as reasonably determined by Landlord; </w:t>
      </w:r>
      <w:r>
        <w:rPr>
          <w:rFonts w:ascii="Arial" w:cs="Arial" w:eastAsia="Arial" w:hAnsi="Arial"/>
          <w:sz w:val="14"/>
          <w:szCs w:val="14"/>
          <w:u w:val="single" w:color="auto"/>
          <w:color w:val="auto"/>
        </w:rPr>
        <w:t>provided</w:t>
      </w:r>
      <w:r>
        <w:rPr>
          <w:rFonts w:ascii="Arial" w:cs="Arial" w:eastAsia="Arial" w:hAnsi="Arial"/>
          <w:sz w:val="14"/>
          <w:szCs w:val="14"/>
          <w:color w:val="auto"/>
        </w:rPr>
        <w:t>, however, that Landlord shall not recover more than one hundred percent (100%) of Operating Expenses.</w:t>
      </w:r>
    </w:p>
    <w:p>
      <w:pPr>
        <w:spacing w:after="0" w:line="190" w:lineRule="exact"/>
        <w:rPr>
          <w:rFonts w:ascii="Arial" w:cs="Arial" w:eastAsia="Arial" w:hAnsi="Arial"/>
          <w:sz w:val="14"/>
          <w:szCs w:val="14"/>
          <w:color w:val="auto"/>
        </w:rPr>
      </w:pPr>
    </w:p>
    <w:p>
      <w:pPr>
        <w:ind w:firstLine="238"/>
        <w:spacing w:after="0" w:line="291" w:lineRule="auto"/>
        <w:tabs>
          <w:tab w:leader="none" w:pos="444" w:val="left"/>
        </w:tabs>
        <w:numPr>
          <w:ilvl w:val="1"/>
          <w:numId w:val="28"/>
        </w:numPr>
        <w:rPr>
          <w:rFonts w:ascii="Arial" w:cs="Arial" w:eastAsia="Arial" w:hAnsi="Arial"/>
          <w:sz w:val="14"/>
          <w:szCs w:val="14"/>
          <w:color w:val="auto"/>
        </w:rPr>
      </w:pPr>
      <w:r>
        <w:rPr>
          <w:rFonts w:ascii="Arial" w:cs="Arial" w:eastAsia="Arial" w:hAnsi="Arial"/>
          <w:sz w:val="14"/>
          <w:szCs w:val="14"/>
          <w:u w:val="single" w:color="auto"/>
          <w:color w:val="auto"/>
        </w:rPr>
        <w:t>Audits</w:t>
      </w:r>
      <w:r>
        <w:rPr>
          <w:rFonts w:ascii="Arial" w:cs="Arial" w:eastAsia="Arial" w:hAnsi="Arial"/>
          <w:sz w:val="14"/>
          <w:szCs w:val="14"/>
          <w:color w:val="auto"/>
        </w:rPr>
        <w:t>. Landlord and Tenant agree that Tenant’s audits with respect to Landlord’s annual operating statements for calendar years 2008 and 2009 are now complete and that no further amounts shall be charged or credited to Tenant based on such statements or audits.</w:t>
      </w:r>
    </w:p>
    <w:p>
      <w:pPr>
        <w:spacing w:after="0" w:line="180" w:lineRule="exact"/>
        <w:rPr>
          <w:rFonts w:ascii="Arial" w:cs="Arial" w:eastAsia="Arial" w:hAnsi="Arial"/>
          <w:sz w:val="14"/>
          <w:szCs w:val="14"/>
          <w:color w:val="auto"/>
        </w:rPr>
      </w:pPr>
    </w:p>
    <w:p>
      <w:pPr>
        <w:ind w:firstLine="260"/>
        <w:spacing w:after="0" w:line="291" w:lineRule="auto"/>
        <w:tabs>
          <w:tab w:leader="none" w:pos="461" w:val="left"/>
        </w:tabs>
        <w:numPr>
          <w:ilvl w:val="2"/>
          <w:numId w:val="28"/>
        </w:numPr>
        <w:rPr>
          <w:rFonts w:ascii="Arial" w:cs="Arial" w:eastAsia="Arial" w:hAnsi="Arial"/>
          <w:sz w:val="14"/>
          <w:szCs w:val="14"/>
          <w:color w:val="auto"/>
        </w:rPr>
      </w:pPr>
      <w:r>
        <w:rPr>
          <w:rFonts w:ascii="Arial" w:cs="Arial" w:eastAsia="Arial" w:hAnsi="Arial"/>
          <w:sz w:val="14"/>
          <w:szCs w:val="14"/>
          <w:u w:val="single" w:color="auto"/>
          <w:color w:val="auto"/>
        </w:rPr>
        <w:t>Parking</w:t>
      </w:r>
      <w:r>
        <w:rPr>
          <w:rFonts w:ascii="Arial" w:cs="Arial" w:eastAsia="Arial" w:hAnsi="Arial"/>
          <w:sz w:val="14"/>
          <w:szCs w:val="14"/>
          <w:color w:val="auto"/>
        </w:rPr>
        <w:t>. The parties acknowledge that, in accordance with the Amended Lease, Tenant shall be entitled to its pro rata share of unreserved parking spaces with respect to each portion of the Premises leased to Tenant.</w:t>
      </w:r>
    </w:p>
    <w:p>
      <w:pPr>
        <w:spacing w:after="0" w:line="180" w:lineRule="exact"/>
        <w:rPr>
          <w:rFonts w:ascii="Arial" w:cs="Arial" w:eastAsia="Arial" w:hAnsi="Arial"/>
          <w:sz w:val="14"/>
          <w:szCs w:val="14"/>
          <w:color w:val="auto"/>
        </w:rPr>
      </w:pPr>
    </w:p>
    <w:p>
      <w:pPr>
        <w:jc w:val="both"/>
        <w:ind w:firstLine="260"/>
        <w:spacing w:after="0" w:line="271" w:lineRule="auto"/>
        <w:tabs>
          <w:tab w:leader="none" w:pos="466" w:val="left"/>
        </w:tabs>
        <w:numPr>
          <w:ilvl w:val="2"/>
          <w:numId w:val="28"/>
        </w:numPr>
        <w:rPr>
          <w:rFonts w:ascii="Arial" w:cs="Arial" w:eastAsia="Arial" w:hAnsi="Arial"/>
          <w:sz w:val="14"/>
          <w:szCs w:val="14"/>
          <w:color w:val="auto"/>
        </w:rPr>
      </w:pPr>
      <w:r>
        <w:rPr>
          <w:rFonts w:ascii="Arial" w:cs="Arial" w:eastAsia="Arial" w:hAnsi="Arial"/>
          <w:sz w:val="14"/>
          <w:szCs w:val="14"/>
          <w:u w:val="single" w:color="auto"/>
          <w:color w:val="auto"/>
        </w:rPr>
        <w:t>Broker</w:t>
      </w:r>
      <w:r>
        <w:rPr>
          <w:rFonts w:ascii="Arial" w:cs="Arial" w:eastAsia="Arial" w:hAnsi="Arial"/>
          <w:sz w:val="14"/>
          <w:szCs w:val="14"/>
          <w:color w:val="auto"/>
        </w:rPr>
        <w:t>. Tenant represents and warrants that it has not dealt with any broker or agent in the negotiation for or the obtaining of this Amendment, other than Studley (“</w:t>
      </w:r>
      <w:r>
        <w:rPr>
          <w:rFonts w:ascii="Arial" w:cs="Arial" w:eastAsia="Arial" w:hAnsi="Arial"/>
          <w:sz w:val="14"/>
          <w:szCs w:val="14"/>
          <w:u w:val="single" w:color="auto"/>
          <w:color w:val="auto"/>
        </w:rPr>
        <w:t>Broker</w:t>
      </w:r>
      <w:r>
        <w:rPr>
          <w:rFonts w:ascii="Arial" w:cs="Arial" w:eastAsia="Arial" w:hAnsi="Arial"/>
          <w:sz w:val="14"/>
          <w:szCs w:val="14"/>
          <w:color w:val="auto"/>
        </w:rPr>
        <w:t>”), and agrees to indemnify, defend and hold Landlord harmless from any and all cost or liability for compensation claimed by any such broker or agent, other than Broker, employed or engaged by it or claiming to have been employed or engaged by it. Broker is entitled to a leasing commission in connection with the making of this Amendment, and Landlord shall pay such commission to Broker pursuant to a separate agreement between Landlord and Broker.</w:t>
      </w:r>
    </w:p>
    <w:p>
      <w:pPr>
        <w:spacing w:after="0" w:line="194" w:lineRule="exact"/>
        <w:rPr>
          <w:sz w:val="20"/>
          <w:szCs w:val="20"/>
          <w:color w:val="auto"/>
        </w:rPr>
      </w:pPr>
    </w:p>
    <w:p>
      <w:pPr>
        <w:ind w:firstLine="238"/>
        <w:spacing w:after="0" w:line="291" w:lineRule="auto"/>
        <w:tabs>
          <w:tab w:leader="none" w:pos="444" w:val="left"/>
        </w:tabs>
        <w:numPr>
          <w:ilvl w:val="0"/>
          <w:numId w:val="29"/>
        </w:numPr>
        <w:rPr>
          <w:rFonts w:ascii="Arial" w:cs="Arial" w:eastAsia="Arial" w:hAnsi="Arial"/>
          <w:sz w:val="14"/>
          <w:szCs w:val="14"/>
          <w:color w:val="auto"/>
        </w:rPr>
      </w:pPr>
      <w:r>
        <w:rPr>
          <w:rFonts w:ascii="Arial" w:cs="Arial" w:eastAsia="Arial" w:hAnsi="Arial"/>
          <w:sz w:val="14"/>
          <w:szCs w:val="14"/>
          <w:u w:val="single" w:color="auto"/>
          <w:color w:val="auto"/>
        </w:rPr>
        <w:t>No Default</w:t>
      </w:r>
      <w:r>
        <w:rPr>
          <w:rFonts w:ascii="Arial" w:cs="Arial" w:eastAsia="Arial" w:hAnsi="Arial"/>
          <w:sz w:val="14"/>
          <w:szCs w:val="14"/>
          <w:color w:val="auto"/>
        </w:rPr>
        <w:t>. Tenant represents, warrants and covenants that, to the best of Tenant’s knowledge, Landlord and Tenant are not in default of any of their respective obligations under the Lease and no event has occurred that, with the passage of time or the giving of notice (or both) would constitute a default by either Landlord or Tenant thereunder.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91" w:name="page92"/>
    <w:bookmarkEnd w:id="91"/>
    <w:p>
      <w:pPr>
        <w:jc w:val="both"/>
        <w:ind w:firstLine="227"/>
        <w:spacing w:after="0" w:line="269" w:lineRule="auto"/>
        <w:tabs>
          <w:tab w:leader="none" w:pos="433" w:val="left"/>
        </w:tabs>
        <w:numPr>
          <w:ilvl w:val="0"/>
          <w:numId w:val="30"/>
        </w:numPr>
        <w:rPr>
          <w:rFonts w:ascii="Arial" w:cs="Arial" w:eastAsia="Arial" w:hAnsi="Arial"/>
          <w:sz w:val="14"/>
          <w:szCs w:val="14"/>
          <w:color w:val="auto"/>
        </w:rPr>
      </w:pPr>
      <w:r>
        <w:rPr>
          <w:rFonts w:ascii="Arial" w:cs="Arial" w:eastAsia="Arial" w:hAnsi="Arial"/>
          <w:sz w:val="14"/>
          <w:szCs w:val="14"/>
          <w:u w:val="single" w:color="auto"/>
          <w:color w:val="auto"/>
        </w:rPr>
        <w:t>Effect of Amendment</w:t>
      </w:r>
      <w:r>
        <w:rPr>
          <w:rFonts w:ascii="Arial" w:cs="Arial" w:eastAsia="Arial" w:hAnsi="Arial"/>
          <w:sz w:val="14"/>
          <w:szCs w:val="14"/>
          <w:color w:val="auto"/>
        </w:rPr>
        <w:t>. Except as modified by this Amendment, the Lease and all the covenants, agreements, terms, provisions and conditions thereof shall remain in full force and effect and are hereby ratified and affirmed. The covenants, agreements, terms, provisions and conditions contained in this Amendment shall bind and inure to the benefit of the parties hereto and their respective successors and, except as otherwise provided in the Lease, their respective assigns. In the event of any conflict between the terms contained in this Amendment and the Lease, the terms herein contained shall supersede and control the obligations and liabilities of the parties. From and after the date hereof, the term “Lease” as used in the Lease shall mean the Lease, as modified by this Amendment.</w:t>
      </w:r>
    </w:p>
    <w:p>
      <w:pPr>
        <w:spacing w:after="0" w:line="194" w:lineRule="exact"/>
        <w:rPr>
          <w:rFonts w:ascii="Arial" w:cs="Arial" w:eastAsia="Arial" w:hAnsi="Arial"/>
          <w:sz w:val="14"/>
          <w:szCs w:val="14"/>
          <w:color w:val="auto"/>
        </w:rPr>
      </w:pPr>
    </w:p>
    <w:p>
      <w:pPr>
        <w:jc w:val="both"/>
        <w:ind w:firstLine="227"/>
        <w:spacing w:after="0" w:line="271" w:lineRule="auto"/>
        <w:tabs>
          <w:tab w:leader="none" w:pos="433" w:val="left"/>
        </w:tabs>
        <w:numPr>
          <w:ilvl w:val="0"/>
          <w:numId w:val="30"/>
        </w:numPr>
        <w:rPr>
          <w:rFonts w:ascii="Arial" w:cs="Arial" w:eastAsia="Arial" w:hAnsi="Arial"/>
          <w:sz w:val="14"/>
          <w:szCs w:val="14"/>
          <w:color w:val="auto"/>
        </w:rPr>
      </w:pPr>
      <w:r>
        <w:rPr>
          <w:rFonts w:ascii="Arial" w:cs="Arial" w:eastAsia="Arial" w:hAnsi="Arial"/>
          <w:sz w:val="14"/>
          <w:szCs w:val="14"/>
          <w:u w:val="single" w:color="auto"/>
          <w:color w:val="auto"/>
        </w:rPr>
        <w:t>Miscellaneous</w:t>
      </w:r>
      <w:r>
        <w:rPr>
          <w:rFonts w:ascii="Arial" w:cs="Arial" w:eastAsia="Arial" w:hAnsi="Arial"/>
          <w:sz w:val="14"/>
          <w:szCs w:val="14"/>
          <w:color w:val="auto"/>
        </w:rPr>
        <w:t>. This Amendment becomes effective only upon execution and delivery hereof by Landlord and Tenant. The captions of the paragraphs and subparagraphs in this Amendment are inserted and included solely for convenience and shall not be considered or given any effect in construing the provisions hereof. All exhibits hereto are incorporated herein by reference. Submission of this instrument for examination or signature by Tenant does not constitute a reservation of or option for a lease, and shall not be effective as a lease, lease amendment or otherwise until execution by and delivery to both Landlord and Tenant.</w:t>
      </w:r>
    </w:p>
    <w:p>
      <w:pPr>
        <w:spacing w:after="0" w:line="194" w:lineRule="exact"/>
        <w:rPr>
          <w:rFonts w:ascii="Arial" w:cs="Arial" w:eastAsia="Arial" w:hAnsi="Arial"/>
          <w:sz w:val="14"/>
          <w:szCs w:val="14"/>
          <w:color w:val="auto"/>
        </w:rPr>
      </w:pPr>
    </w:p>
    <w:p>
      <w:pPr>
        <w:ind w:left="440" w:hanging="213"/>
        <w:spacing w:after="0"/>
        <w:tabs>
          <w:tab w:leader="none" w:pos="440" w:val="left"/>
        </w:tabs>
        <w:numPr>
          <w:ilvl w:val="0"/>
          <w:numId w:val="30"/>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Amendment may be executed in one or more counterparts, each of which, when taken together, shall constitute one and the same document.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[REMAINDER OF THIS PAGE INTENTIONALLY LEFT BLANK]</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92" w:name="page93"/>
    <w:bookmarkEnd w:id="92"/>
    <w:p>
      <w:pPr>
        <w:ind w:firstLine="219"/>
        <w:spacing w:after="0" w:line="291" w:lineRule="auto"/>
        <w:rPr>
          <w:sz w:val="20"/>
          <w:szCs w:val="20"/>
          <w:color w:val="auto"/>
        </w:rPr>
      </w:pPr>
      <w:r>
        <w:rPr>
          <w:rFonts w:ascii="Arial" w:cs="Arial" w:eastAsia="Arial" w:hAnsi="Arial"/>
          <w:sz w:val="14"/>
          <w:szCs w:val="14"/>
          <w:color w:val="auto"/>
        </w:rPr>
        <w:t>IN WITNESS WHEREOF, Landlord and Tenant have hereunto set their hands as of the date and year first above written, and acknowledge that they possess the requisite authority to enter into this transaction and to execute this Amendment.</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LANDLORD</w:t>
      </w:r>
      <w:r>
        <w:rPr>
          <w:rFonts w:ascii="Arial" w:cs="Arial" w:eastAsia="Arial" w:hAnsi="Arial"/>
          <w:sz w:val="14"/>
          <w:szCs w:val="14"/>
          <w:b w:val="1"/>
          <w:bCs w:val="1"/>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BMR-LANDMARK AT EASTVIEW LLC,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 Delaware limited liability company</w:t>
      </w:r>
    </w:p>
    <w:p>
      <w:pPr>
        <w:spacing w:after="0" w:line="393"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color w:val="auto"/>
        </w:rPr>
        <w:t>By:</w:t>
        <w:tab/>
        <w:t>/s/ John Bonanno</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Name: John Bonanno</w:t>
      </w:r>
    </w:p>
    <w:p>
      <w:pPr>
        <w:spacing w:after="0" w:line="36"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2"/>
          <w:szCs w:val="12"/>
          <w:color w:val="auto"/>
        </w:rPr>
        <w:t>Senior Vice President, Leasing and Development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TENANT</w:t>
      </w:r>
      <w:r>
        <w:rPr>
          <w:rFonts w:ascii="Arial" w:cs="Arial" w:eastAsia="Arial" w:hAnsi="Arial"/>
          <w:sz w:val="14"/>
          <w:szCs w:val="14"/>
          <w:b w:val="1"/>
          <w:bCs w:val="1"/>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REGENERON PHARMACEUTICALS, INC.,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 New York corporation</w:t>
      </w:r>
    </w:p>
    <w:p>
      <w:pPr>
        <w:spacing w:after="0" w:line="393"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color w:val="auto"/>
        </w:rPr>
        <w:t>By:</w:t>
        <w:tab/>
        <w:t>/s/ Joseph J. LaRosa</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Name: Joseph J. LaRosa</w:t>
      </w:r>
    </w:p>
    <w:p>
      <w:pPr>
        <w:spacing w:after="0" w:line="36"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2"/>
          <w:szCs w:val="12"/>
          <w:color w:val="auto"/>
        </w:rPr>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291705" cy="196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93" w:name="page94"/>
    <w:bookmarkEnd w:id="93"/>
    <w:p>
      <w:pPr>
        <w:jc w:val="center"/>
        <w:spacing w:after="0"/>
        <w:rPr>
          <w:sz w:val="20"/>
          <w:szCs w:val="20"/>
          <w:color w:val="auto"/>
        </w:rPr>
      </w:pPr>
      <w:r>
        <w:rPr>
          <w:rFonts w:ascii="Arial" w:cs="Arial" w:eastAsia="Arial" w:hAnsi="Arial"/>
          <w:sz w:val="14"/>
          <w:szCs w:val="14"/>
          <w:b w:val="1"/>
          <w:bCs w:val="1"/>
          <w:color w:val="auto"/>
        </w:rPr>
        <w:t>EXHIBIT A</w:t>
      </w:r>
    </w:p>
    <w:p>
      <w:pPr>
        <w:spacing w:after="0" w:line="212" w:lineRule="exact"/>
        <w:rPr>
          <w:sz w:val="20"/>
          <w:szCs w:val="20"/>
          <w:color w:val="auto"/>
        </w:rPr>
      </w:pPr>
    </w:p>
    <w:p>
      <w:pPr>
        <w:ind w:left="4240" w:right="4059" w:hanging="180"/>
        <w:spacing w:after="0" w:line="601" w:lineRule="auto"/>
        <w:tabs>
          <w:tab w:leader="none" w:pos="4246" w:val="left"/>
        </w:tabs>
        <w:numPr>
          <w:ilvl w:val="0"/>
          <w:numId w:val="31"/>
        </w:numPr>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t xml:space="preserve">PREMISES </w:t>
      </w:r>
      <w:r>
        <w:rPr>
          <w:rFonts w:ascii="Arial" w:cs="Arial" w:eastAsia="Arial" w:hAnsi="Arial"/>
          <w:sz w:val="13"/>
          <w:szCs w:val="13"/>
          <w:color w:val="auto"/>
        </w:rPr>
        <w:t>[IMAGE]</w:t>
      </w:r>
    </w:p>
    <w:p>
      <w:pPr>
        <w:spacing w:after="0" w:line="1" w:lineRule="exact"/>
        <w:rPr>
          <w:rFonts w:ascii="Arial" w:cs="Arial" w:eastAsia="Arial" w:hAnsi="Arial"/>
          <w:sz w:val="13"/>
          <w:szCs w:val="13"/>
          <w:b w:val="1"/>
          <w:bCs w:val="1"/>
          <w:u w:val="single" w:color="auto"/>
          <w:color w:val="auto"/>
        </w:rPr>
      </w:pPr>
    </w:p>
    <w:p>
      <w:pPr>
        <w:ind w:left="4400"/>
        <w:spacing w:after="0"/>
        <w:rPr>
          <w:rFonts w:ascii="Arial" w:cs="Arial" w:eastAsia="Arial" w:hAnsi="Arial"/>
          <w:sz w:val="13"/>
          <w:szCs w:val="13"/>
          <w:b w:val="1"/>
          <w:bCs w:val="1"/>
          <w:u w:val="single" w:color="auto"/>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192405</wp:posOffset>
            </wp:positionV>
            <wp:extent cx="7291705" cy="196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9019"/>
          </w:cols>
          <w:pgMar w:left="1440" w:top="523" w:right="1440" w:bottom="1440" w:gutter="0" w:footer="0" w:header="0"/>
        </w:sectPr>
      </w:pPr>
    </w:p>
    <w:bookmarkStart w:id="94" w:name="page95"/>
    <w:bookmarkEnd w:id="94"/>
    <w:p>
      <w:pPr>
        <w:jc w:val="center"/>
        <w:spacing w:after="0"/>
        <w:rPr>
          <w:sz w:val="20"/>
          <w:szCs w:val="20"/>
          <w:color w:val="auto"/>
        </w:rPr>
      </w:pPr>
      <w:r>
        <w:rPr>
          <w:rFonts w:ascii="Arial" w:cs="Arial" w:eastAsia="Arial" w:hAnsi="Arial"/>
          <w:sz w:val="14"/>
          <w:szCs w:val="14"/>
          <w:b w:val="1"/>
          <w:bCs w:val="1"/>
          <w:color w:val="auto"/>
        </w:rPr>
        <w:t>EXHIBIT B</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01 PREMISES LANDLORD IMPROVEMENTS TO BE PERFORMED BY LANDLORD AT ITS COST</w:t>
      </w:r>
    </w:p>
    <w:p>
      <w:pPr>
        <w:spacing w:after="0" w:line="216"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Landlord will develop engineered design documents ready for permit for all the 01 Premises Landlord Improvements described below, which drawings and specifications shall meet the requirements of the New York State building codes:</w:t>
      </w:r>
    </w:p>
    <w:p>
      <w:pPr>
        <w:spacing w:after="0" w:line="180" w:lineRule="exact"/>
        <w:rPr>
          <w:sz w:val="20"/>
          <w:szCs w:val="20"/>
          <w:color w:val="auto"/>
        </w:rPr>
      </w:pPr>
    </w:p>
    <w:p>
      <w:pPr>
        <w:jc w:val="both"/>
        <w:ind w:firstLine="238"/>
        <w:spacing w:after="0" w:line="271" w:lineRule="auto"/>
        <w:tabs>
          <w:tab w:leader="none" w:pos="381" w:val="left"/>
        </w:tabs>
        <w:numPr>
          <w:ilvl w:val="1"/>
          <w:numId w:val="32"/>
        </w:numPr>
        <w:rPr>
          <w:rFonts w:ascii="Arial" w:cs="Arial" w:eastAsia="Arial" w:hAnsi="Arial"/>
          <w:sz w:val="14"/>
          <w:szCs w:val="14"/>
          <w:color w:val="auto"/>
        </w:rPr>
      </w:pPr>
      <w:r>
        <w:rPr>
          <w:rFonts w:ascii="Arial" w:cs="Arial" w:eastAsia="Arial" w:hAnsi="Arial"/>
          <w:sz w:val="14"/>
          <w:szCs w:val="14"/>
          <w:color w:val="auto"/>
        </w:rPr>
        <w:t>Landlord has recently upgraded portions of building management system to a system made by Johnson Controls International (“</w:t>
      </w:r>
      <w:r>
        <w:rPr>
          <w:rFonts w:ascii="Arial" w:cs="Arial" w:eastAsia="Arial" w:hAnsi="Arial"/>
          <w:sz w:val="14"/>
          <w:szCs w:val="14"/>
          <w:u w:val="single" w:color="auto"/>
          <w:color w:val="auto"/>
        </w:rPr>
        <w:t>JCI System</w:t>
      </w:r>
      <w:r>
        <w:rPr>
          <w:rFonts w:ascii="Arial" w:cs="Arial" w:eastAsia="Arial" w:hAnsi="Arial"/>
          <w:sz w:val="14"/>
          <w:szCs w:val="14"/>
          <w:color w:val="auto"/>
        </w:rPr>
        <w:t>”); however, Landlord shall decommission any of the old existing base building management system and provide additional controls modifications and upgrades as required for the entire system to perform variable air volume operation with the JCI System controlling the air handling units and all variable air volume boxes. Landlord shall also provide Tenant viewable access to all equipment on the building management system serving its space and full control and access to all equipment on the building management system serving solely its space.</w:t>
      </w:r>
    </w:p>
    <w:p>
      <w:pPr>
        <w:spacing w:after="0" w:line="194" w:lineRule="exact"/>
        <w:rPr>
          <w:rFonts w:ascii="Arial" w:cs="Arial" w:eastAsia="Arial" w:hAnsi="Arial"/>
          <w:sz w:val="14"/>
          <w:szCs w:val="14"/>
          <w:color w:val="auto"/>
        </w:rPr>
      </w:pPr>
    </w:p>
    <w:p>
      <w:pPr>
        <w:ind w:left="380" w:hanging="153"/>
        <w:spacing w:after="0"/>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All existing supply fans shall have variable-frequency drives that will be used to modulate supply fan speed.</w:t>
      </w:r>
    </w:p>
    <w:p>
      <w:pPr>
        <w:spacing w:after="0" w:line="233" w:lineRule="exact"/>
        <w:rPr>
          <w:rFonts w:ascii="Arial" w:cs="Arial" w:eastAsia="Arial" w:hAnsi="Arial"/>
          <w:sz w:val="14"/>
          <w:szCs w:val="14"/>
          <w:color w:val="auto"/>
        </w:rPr>
      </w:pPr>
    </w:p>
    <w:p>
      <w:pPr>
        <w:ind w:firstLine="249"/>
        <w:spacing w:after="0" w:line="291" w:lineRule="auto"/>
        <w:tabs>
          <w:tab w:leader="none" w:pos="392" w:val="left"/>
        </w:tabs>
        <w:numPr>
          <w:ilvl w:val="2"/>
          <w:numId w:val="33"/>
        </w:numPr>
        <w:rPr>
          <w:rFonts w:ascii="Arial" w:cs="Arial" w:eastAsia="Arial" w:hAnsi="Arial"/>
          <w:sz w:val="14"/>
          <w:szCs w:val="14"/>
          <w:color w:val="auto"/>
        </w:rPr>
      </w:pPr>
      <w:r>
        <w:rPr>
          <w:rFonts w:ascii="Arial" w:cs="Arial" w:eastAsia="Arial" w:hAnsi="Arial"/>
          <w:sz w:val="14"/>
          <w:szCs w:val="14"/>
          <w:color w:val="auto"/>
        </w:rPr>
        <w:t>New variable-frequency drives will be provided for each return fan, and controlled to interlock with the matched supply fan. Final balancing of variable-frequency drives to align with tenant’s variable air volume system on the floor shall be performed by tenant upon completion of tenant improvements.</w:t>
      </w:r>
    </w:p>
    <w:p>
      <w:pPr>
        <w:spacing w:after="0" w:line="180" w:lineRule="exact"/>
        <w:rPr>
          <w:sz w:val="20"/>
          <w:szCs w:val="20"/>
          <w:color w:val="auto"/>
        </w:rPr>
      </w:pPr>
    </w:p>
    <w:p>
      <w:pPr>
        <w:ind w:left="380" w:hanging="153"/>
        <w:spacing w:after="0"/>
        <w:tabs>
          <w:tab w:leader="none" w:pos="3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Provide and install any sensors required to facilitate variable air volume supply air operation and control of the new return fan variable-frequency drives of the 01 Premises.</w:t>
      </w:r>
    </w:p>
    <w:p>
      <w:pPr>
        <w:spacing w:after="0" w:line="233" w:lineRule="exact"/>
        <w:rPr>
          <w:rFonts w:ascii="Arial" w:cs="Arial" w:eastAsia="Arial" w:hAnsi="Arial"/>
          <w:sz w:val="14"/>
          <w:szCs w:val="14"/>
          <w:color w:val="auto"/>
        </w:rPr>
      </w:pPr>
    </w:p>
    <w:p>
      <w:pPr>
        <w:ind w:firstLine="260"/>
        <w:spacing w:after="0" w:line="291" w:lineRule="auto"/>
        <w:tabs>
          <w:tab w:leader="none" w:pos="403" w:val="left"/>
        </w:tabs>
        <w:numPr>
          <w:ilvl w:val="2"/>
          <w:numId w:val="34"/>
        </w:numPr>
        <w:rPr>
          <w:rFonts w:ascii="Arial" w:cs="Arial" w:eastAsia="Arial" w:hAnsi="Arial"/>
          <w:sz w:val="14"/>
          <w:szCs w:val="14"/>
          <w:color w:val="auto"/>
        </w:rPr>
      </w:pPr>
      <w:r>
        <w:rPr>
          <w:rFonts w:ascii="Arial" w:cs="Arial" w:eastAsia="Arial" w:hAnsi="Arial"/>
          <w:sz w:val="14"/>
          <w:szCs w:val="14"/>
          <w:color w:val="auto"/>
        </w:rPr>
        <w:t>Design and install any additional controls required to keep the existing constant volume systems operating at constant air volume to serve the other spaces served by the air handling units as required (i.e., duct dampers, airflow sensors, etc.).</w:t>
      </w:r>
    </w:p>
    <w:p>
      <w:pPr>
        <w:spacing w:after="0" w:line="180" w:lineRule="exact"/>
        <w:rPr>
          <w:rFonts w:ascii="Arial" w:cs="Arial" w:eastAsia="Arial" w:hAnsi="Arial"/>
          <w:sz w:val="14"/>
          <w:szCs w:val="14"/>
          <w:color w:val="auto"/>
        </w:rPr>
      </w:pPr>
    </w:p>
    <w:p>
      <w:pPr>
        <w:ind w:firstLine="249"/>
        <w:spacing w:after="0" w:line="291" w:lineRule="auto"/>
        <w:tabs>
          <w:tab w:leader="none" w:pos="392" w:val="left"/>
        </w:tabs>
        <w:numPr>
          <w:ilvl w:val="1"/>
          <w:numId w:val="34"/>
        </w:numPr>
        <w:rPr>
          <w:rFonts w:ascii="Arial" w:cs="Arial" w:eastAsia="Arial" w:hAnsi="Arial"/>
          <w:sz w:val="14"/>
          <w:szCs w:val="14"/>
          <w:color w:val="auto"/>
        </w:rPr>
      </w:pPr>
      <w:r>
        <w:rPr>
          <w:rFonts w:ascii="Arial" w:cs="Arial" w:eastAsia="Arial" w:hAnsi="Arial"/>
          <w:sz w:val="14"/>
          <w:szCs w:val="14"/>
          <w:color w:val="auto"/>
        </w:rPr>
        <w:t>Landlord shall provide a minimum of 50,000 cubic feet per minute of HVAC capacity with adequate static pressure (1.5 cubic feet per minute per usable square foot) from air handlers that are new or recently refurbished.</w:t>
      </w:r>
    </w:p>
    <w:p>
      <w:pPr>
        <w:spacing w:after="0" w:line="180" w:lineRule="exact"/>
        <w:rPr>
          <w:rFonts w:ascii="Arial" w:cs="Arial" w:eastAsia="Arial" w:hAnsi="Arial"/>
          <w:sz w:val="14"/>
          <w:szCs w:val="14"/>
          <w:color w:val="auto"/>
        </w:rPr>
      </w:pPr>
    </w:p>
    <w:p>
      <w:pPr>
        <w:jc w:val="both"/>
        <w:ind w:firstLine="249"/>
        <w:spacing w:after="0" w:line="276" w:lineRule="auto"/>
        <w:tabs>
          <w:tab w:leader="none" w:pos="392" w:val="left"/>
        </w:tabs>
        <w:numPr>
          <w:ilvl w:val="1"/>
          <w:numId w:val="34"/>
        </w:numPr>
        <w:rPr>
          <w:rFonts w:ascii="Arial" w:cs="Arial" w:eastAsia="Arial" w:hAnsi="Arial"/>
          <w:sz w:val="14"/>
          <w:szCs w:val="14"/>
          <w:color w:val="auto"/>
        </w:rPr>
      </w:pPr>
      <w:r>
        <w:rPr>
          <w:rFonts w:ascii="Arial" w:cs="Arial" w:eastAsia="Arial" w:hAnsi="Arial"/>
          <w:sz w:val="14"/>
          <w:szCs w:val="14"/>
          <w:color w:val="auto"/>
        </w:rPr>
        <w:t>If Landlord’s air handling unit south 2 (“</w:t>
      </w:r>
      <w:r>
        <w:rPr>
          <w:rFonts w:ascii="Arial" w:cs="Arial" w:eastAsia="Arial" w:hAnsi="Arial"/>
          <w:sz w:val="14"/>
          <w:szCs w:val="14"/>
          <w:u w:val="single" w:color="auto"/>
          <w:color w:val="auto"/>
        </w:rPr>
        <w:t>AHS-2</w:t>
      </w:r>
      <w:r>
        <w:rPr>
          <w:rFonts w:ascii="Arial" w:cs="Arial" w:eastAsia="Arial" w:hAnsi="Arial"/>
          <w:sz w:val="14"/>
          <w:szCs w:val="14"/>
          <w:color w:val="auto"/>
        </w:rPr>
        <w:t>”) is one of the air handlers used to supply the dedicated 50,000 cubic feet per minute to the 01 Premises, AHS-2 shall be new or refurbished as necessary. Refurbishment would include new coils, control valves and coil trim, drain pans and condensate piping, and filter racks. The unit casing will be scraped and painted with epoxy paint, and any severe damage would be repaired with supplemental sheet metal. The entire case will be lined with perforated double wall acoustical lining.</w:t>
      </w:r>
    </w:p>
    <w:p>
      <w:pPr>
        <w:spacing w:after="0" w:line="168" w:lineRule="exact"/>
        <w:rPr>
          <w:rFonts w:ascii="Arial" w:cs="Arial" w:eastAsia="Arial" w:hAnsi="Arial"/>
          <w:sz w:val="14"/>
          <w:szCs w:val="14"/>
          <w:color w:val="auto"/>
        </w:rPr>
      </w:pPr>
    </w:p>
    <w:p>
      <w:pPr>
        <w:ind w:left="740" w:hanging="293"/>
        <w:spacing w:after="0"/>
        <w:tabs>
          <w:tab w:leader="none" w:pos="740" w:val="left"/>
        </w:tabs>
        <w:numPr>
          <w:ilvl w:val="3"/>
          <w:numId w:val="34"/>
        </w:numPr>
        <w:rPr>
          <w:rFonts w:ascii="Arial" w:cs="Arial" w:eastAsia="Arial" w:hAnsi="Arial"/>
          <w:sz w:val="14"/>
          <w:szCs w:val="14"/>
          <w:color w:val="auto"/>
        </w:rPr>
      </w:pPr>
      <w:r>
        <w:rPr>
          <w:rFonts w:ascii="Arial" w:cs="Arial" w:eastAsia="Arial" w:hAnsi="Arial"/>
          <w:sz w:val="14"/>
          <w:szCs w:val="14"/>
          <w:color w:val="auto"/>
        </w:rPr>
        <w:t>Heating, cooling and airflow capacity of the refurbished AHS-2 unit shall be equal to or more than 1.5 cubic feet per minute per rentable square foot.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95" w:name="page96"/>
    <w:bookmarkEnd w:id="95"/>
    <w:p>
      <w:pPr>
        <w:ind w:left="740" w:hanging="293"/>
        <w:spacing w:after="0"/>
        <w:tabs>
          <w:tab w:leader="none" w:pos="740" w:val="left"/>
        </w:tabs>
        <w:numPr>
          <w:ilvl w:val="2"/>
          <w:numId w:val="35"/>
        </w:numPr>
        <w:rPr>
          <w:rFonts w:ascii="Arial" w:cs="Arial" w:eastAsia="Arial" w:hAnsi="Arial"/>
          <w:sz w:val="14"/>
          <w:szCs w:val="14"/>
          <w:color w:val="auto"/>
        </w:rPr>
      </w:pPr>
      <w:r>
        <w:rPr>
          <w:rFonts w:ascii="Arial" w:cs="Arial" w:eastAsia="Arial" w:hAnsi="Arial"/>
          <w:sz w:val="14"/>
          <w:szCs w:val="14"/>
          <w:color w:val="auto"/>
        </w:rPr>
        <w:t>The existing supply fan wheel on AHS-2 will be removed and inspected and replaced if necessary.</w:t>
      </w:r>
    </w:p>
    <w:p>
      <w:pPr>
        <w:spacing w:after="0" w:line="233" w:lineRule="exact"/>
        <w:rPr>
          <w:rFonts w:ascii="Arial" w:cs="Arial" w:eastAsia="Arial" w:hAnsi="Arial"/>
          <w:sz w:val="14"/>
          <w:szCs w:val="14"/>
          <w:color w:val="auto"/>
        </w:rPr>
      </w:pPr>
    </w:p>
    <w:p>
      <w:pPr>
        <w:ind w:left="740" w:hanging="293"/>
        <w:spacing w:after="0" w:line="291" w:lineRule="auto"/>
        <w:tabs>
          <w:tab w:leader="none" w:pos="740" w:val="left"/>
        </w:tabs>
        <w:numPr>
          <w:ilvl w:val="2"/>
          <w:numId w:val="35"/>
        </w:numPr>
        <w:rPr>
          <w:rFonts w:ascii="Arial" w:cs="Arial" w:eastAsia="Arial" w:hAnsi="Arial"/>
          <w:sz w:val="14"/>
          <w:szCs w:val="14"/>
          <w:color w:val="auto"/>
        </w:rPr>
      </w:pPr>
      <w:r>
        <w:rPr>
          <w:rFonts w:ascii="Arial" w:cs="Arial" w:eastAsia="Arial" w:hAnsi="Arial"/>
          <w:sz w:val="14"/>
          <w:szCs w:val="14"/>
          <w:color w:val="auto"/>
        </w:rPr>
        <w:t>The supply fan motor on AHS-2 will be tested and replaced if necessary. Replacement of the unit would provide a unit of the same size and cubic feet per minute capacity as the existing, with all new components.</w:t>
      </w:r>
    </w:p>
    <w:p>
      <w:pPr>
        <w:spacing w:after="0" w:line="180" w:lineRule="exact"/>
        <w:rPr>
          <w:rFonts w:ascii="Arial" w:cs="Arial" w:eastAsia="Arial" w:hAnsi="Arial"/>
          <w:sz w:val="14"/>
          <w:szCs w:val="14"/>
          <w:color w:val="auto"/>
        </w:rPr>
      </w:pPr>
    </w:p>
    <w:p>
      <w:pPr>
        <w:ind w:left="360" w:hanging="133"/>
        <w:spacing w:after="0"/>
        <w:tabs>
          <w:tab w:leader="none" w:pos="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Landlord will provide a base building domestic hot water service to the 01 Premises.</w:t>
      </w:r>
    </w:p>
    <w:p>
      <w:pPr>
        <w:spacing w:after="0" w:line="233" w:lineRule="exact"/>
        <w:rPr>
          <w:rFonts w:ascii="Arial" w:cs="Arial" w:eastAsia="Arial" w:hAnsi="Arial"/>
          <w:sz w:val="14"/>
          <w:szCs w:val="14"/>
          <w:color w:val="auto"/>
        </w:rPr>
      </w:pPr>
    </w:p>
    <w:p>
      <w:pPr>
        <w:ind w:left="360" w:hanging="133"/>
        <w:spacing w:after="0"/>
        <w:tabs>
          <w:tab w:leader="none" w:pos="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Landlord shall remove existing duct mounted humidifiers and reheat coils in the penthouse portion of the 01 Premises.</w:t>
      </w:r>
    </w:p>
    <w:p>
      <w:pPr>
        <w:spacing w:after="0" w:line="233" w:lineRule="exact"/>
        <w:rPr>
          <w:rFonts w:ascii="Arial" w:cs="Arial" w:eastAsia="Arial" w:hAnsi="Arial"/>
          <w:sz w:val="14"/>
          <w:szCs w:val="14"/>
          <w:color w:val="auto"/>
        </w:rPr>
      </w:pPr>
    </w:p>
    <w:p>
      <w:pPr>
        <w:ind w:left="440" w:hanging="213"/>
        <w:spacing w:after="0"/>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Reheat coils serving other portions of the Premises shall remain in place.</w:t>
      </w:r>
    </w:p>
    <w:p>
      <w:pPr>
        <w:spacing w:after="0" w:line="233" w:lineRule="exact"/>
        <w:rPr>
          <w:rFonts w:ascii="Arial" w:cs="Arial" w:eastAsia="Arial" w:hAnsi="Arial"/>
          <w:sz w:val="14"/>
          <w:szCs w:val="14"/>
          <w:color w:val="auto"/>
        </w:rPr>
      </w:pPr>
    </w:p>
    <w:p>
      <w:pPr>
        <w:ind w:left="440" w:hanging="213"/>
        <w:spacing w:after="0"/>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Landlord shall identify a location from which Tenant shall extend electric service to the 01 Premises. The power made available shall be sufficient to support new renovation.</w:t>
      </w:r>
    </w:p>
    <w:p>
      <w:pPr>
        <w:spacing w:after="0" w:line="233" w:lineRule="exact"/>
        <w:rPr>
          <w:rFonts w:ascii="Arial" w:cs="Arial" w:eastAsia="Arial" w:hAnsi="Arial"/>
          <w:sz w:val="14"/>
          <w:szCs w:val="14"/>
          <w:color w:val="auto"/>
        </w:rPr>
      </w:pPr>
    </w:p>
    <w:p>
      <w:pPr>
        <w:ind w:firstLine="238"/>
        <w:spacing w:after="0" w:line="291" w:lineRule="auto"/>
        <w:tabs>
          <w:tab w:leader="none" w:pos="444" w:val="left"/>
        </w:tabs>
        <w:numPr>
          <w:ilvl w:val="1"/>
          <w:numId w:val="36"/>
        </w:numPr>
        <w:rPr>
          <w:rFonts w:ascii="Arial" w:cs="Arial" w:eastAsia="Arial" w:hAnsi="Arial"/>
          <w:sz w:val="14"/>
          <w:szCs w:val="14"/>
          <w:color w:val="auto"/>
        </w:rPr>
      </w:pPr>
      <w:r>
        <w:rPr>
          <w:rFonts w:ascii="Arial" w:cs="Arial" w:eastAsia="Arial" w:hAnsi="Arial"/>
          <w:sz w:val="14"/>
          <w:szCs w:val="14"/>
          <w:color w:val="auto"/>
        </w:rPr>
        <w:t>The electric service shall be metered by the base building management system. Electric meters will be used to separate the power usage dedicated to the 01 Premises only and shall be installed by Landlord.</w:t>
      </w:r>
    </w:p>
    <w:p>
      <w:pPr>
        <w:spacing w:after="0" w:line="180" w:lineRule="exact"/>
        <w:rPr>
          <w:sz w:val="20"/>
          <w:szCs w:val="20"/>
          <w:color w:val="auto"/>
        </w:rPr>
      </w:pPr>
    </w:p>
    <w:p>
      <w:pPr>
        <w:ind w:left="440" w:hanging="213"/>
        <w:spacing w:after="0"/>
        <w:tabs>
          <w:tab w:leader="none" w:pos="4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existing medium pressure duct loop serving the 01 Premises shall be in good working condition.</w:t>
      </w:r>
    </w:p>
    <w:p>
      <w:pPr>
        <w:spacing w:after="0" w:line="233" w:lineRule="exact"/>
        <w:rPr>
          <w:rFonts w:ascii="Arial" w:cs="Arial" w:eastAsia="Arial" w:hAnsi="Arial"/>
          <w:sz w:val="14"/>
          <w:szCs w:val="14"/>
          <w:color w:val="auto"/>
        </w:rPr>
      </w:pPr>
    </w:p>
    <w:p>
      <w:pPr>
        <w:ind w:firstLine="260"/>
        <w:spacing w:after="0" w:line="291" w:lineRule="auto"/>
        <w:tabs>
          <w:tab w:leader="none" w:pos="466" w:val="left"/>
        </w:tabs>
        <w:numPr>
          <w:ilvl w:val="1"/>
          <w:numId w:val="37"/>
        </w:numPr>
        <w:rPr>
          <w:rFonts w:ascii="Arial" w:cs="Arial" w:eastAsia="Arial" w:hAnsi="Arial"/>
          <w:sz w:val="14"/>
          <w:szCs w:val="14"/>
          <w:color w:val="auto"/>
        </w:rPr>
      </w:pPr>
      <w:r>
        <w:rPr>
          <w:rFonts w:ascii="Arial" w:cs="Arial" w:eastAsia="Arial" w:hAnsi="Arial"/>
          <w:sz w:val="14"/>
          <w:szCs w:val="14"/>
          <w:color w:val="auto"/>
        </w:rPr>
        <w:t>Ductwork serving the perimeter up-blast grilles from the catwalk level will be abandoned, the plenums removed and the floor penetrations filled with fire rated construction meeting all code requirements.</w:t>
      </w:r>
    </w:p>
    <w:p>
      <w:pPr>
        <w:spacing w:after="0" w:line="180" w:lineRule="exact"/>
        <w:rPr>
          <w:rFonts w:ascii="Arial" w:cs="Arial" w:eastAsia="Arial" w:hAnsi="Arial"/>
          <w:sz w:val="14"/>
          <w:szCs w:val="14"/>
          <w:color w:val="auto"/>
        </w:rPr>
      </w:pPr>
    </w:p>
    <w:p>
      <w:pPr>
        <w:ind w:firstLine="304"/>
        <w:spacing w:after="0" w:line="291" w:lineRule="auto"/>
        <w:tabs>
          <w:tab w:leader="none" w:pos="521" w:val="left"/>
        </w:tabs>
        <w:numPr>
          <w:ilvl w:val="2"/>
          <w:numId w:val="37"/>
        </w:numPr>
        <w:rPr>
          <w:rFonts w:ascii="Arial" w:cs="Arial" w:eastAsia="Arial" w:hAnsi="Arial"/>
          <w:sz w:val="14"/>
          <w:szCs w:val="14"/>
          <w:color w:val="auto"/>
        </w:rPr>
      </w:pPr>
      <w:r>
        <w:rPr>
          <w:rFonts w:ascii="Arial" w:cs="Arial" w:eastAsia="Arial" w:hAnsi="Arial"/>
          <w:sz w:val="14"/>
          <w:szCs w:val="14"/>
          <w:color w:val="auto"/>
        </w:rPr>
        <w:t>Landlord shall fill the floor air distribution holes with an acceptable floor fill material and detail, and modify the existing conditions to adequately close and fire rate all perimeter slab penetrations including maintaining the asbestos management program for asbestos containing material located on the floor below.</w:t>
      </w:r>
    </w:p>
    <w:p>
      <w:pPr>
        <w:spacing w:after="0" w:line="180" w:lineRule="exact"/>
        <w:rPr>
          <w:sz w:val="20"/>
          <w:szCs w:val="20"/>
          <w:color w:val="auto"/>
        </w:rPr>
      </w:pPr>
    </w:p>
    <w:p>
      <w:pPr>
        <w:ind w:left="440" w:hanging="213"/>
        <w:spacing w:after="0"/>
        <w:tabs>
          <w:tab w:leader="none" w:pos="4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Abandon existing below floor air distribution and infill existing slab penetrations with fire rating assembly.</w:t>
      </w:r>
    </w:p>
    <w:p>
      <w:pPr>
        <w:spacing w:after="0" w:line="233" w:lineRule="exact"/>
        <w:rPr>
          <w:rFonts w:ascii="Arial" w:cs="Arial" w:eastAsia="Arial" w:hAnsi="Arial"/>
          <w:sz w:val="14"/>
          <w:szCs w:val="14"/>
          <w:color w:val="auto"/>
        </w:rPr>
      </w:pPr>
    </w:p>
    <w:p>
      <w:pPr>
        <w:ind w:firstLine="260"/>
        <w:spacing w:after="0" w:line="291" w:lineRule="auto"/>
        <w:tabs>
          <w:tab w:leader="none" w:pos="466" w:val="left"/>
        </w:tabs>
        <w:numPr>
          <w:ilvl w:val="1"/>
          <w:numId w:val="38"/>
        </w:numPr>
        <w:rPr>
          <w:rFonts w:ascii="Arial" w:cs="Arial" w:eastAsia="Arial" w:hAnsi="Arial"/>
          <w:sz w:val="14"/>
          <w:szCs w:val="14"/>
          <w:color w:val="auto"/>
        </w:rPr>
      </w:pPr>
      <w:r>
        <w:rPr>
          <w:rFonts w:ascii="Arial" w:cs="Arial" w:eastAsia="Arial" w:hAnsi="Arial"/>
          <w:sz w:val="14"/>
          <w:szCs w:val="14"/>
          <w:color w:val="auto"/>
        </w:rPr>
        <w:t>Landlord will provide baseline balancing report and final balancing report upon completion of the 01 Premises Landlord Improvements detailing the heating, cooling and airflow capacity of each unit and forward the information to Tenant for Tenant’s use.</w:t>
      </w:r>
    </w:p>
    <w:p>
      <w:pPr>
        <w:spacing w:after="0" w:line="180" w:lineRule="exact"/>
        <w:rPr>
          <w:sz w:val="20"/>
          <w:szCs w:val="20"/>
          <w:color w:val="auto"/>
        </w:rPr>
      </w:pPr>
    </w:p>
    <w:p>
      <w:pPr>
        <w:ind w:left="440" w:hanging="213"/>
        <w:spacing w:after="0"/>
        <w:tabs>
          <w:tab w:leader="none" w:pos="4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One (1) air handling unit located on the catwalk level also serves the 01 Premises and shall remain: air handling unit 2B-5 provides air to the south exposure underfloor perimeter grilles.</w:t>
      </w:r>
    </w:p>
    <w:p>
      <w:pPr>
        <w:spacing w:after="0" w:line="245" w:lineRule="exact"/>
        <w:rPr>
          <w:rFonts w:ascii="Arial" w:cs="Arial" w:eastAsia="Arial" w:hAnsi="Arial"/>
          <w:sz w:val="13"/>
          <w:szCs w:val="13"/>
          <w:color w:val="auto"/>
        </w:rPr>
      </w:pPr>
    </w:p>
    <w:p>
      <w:pPr>
        <w:ind w:left="440" w:hanging="213"/>
        <w:spacing w:after="0"/>
        <w:tabs>
          <w:tab w:leader="none" w:pos="4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Remove all existing humidifiers and reheat coils at the penthouse level for air handling units serving the 01 Premises.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7" w:right="219" w:bottom="1440" w:gutter="0" w:footer="0" w:header="0"/>
        </w:sectPr>
      </w:pPr>
    </w:p>
    <w:bookmarkStart w:id="96" w:name="page97"/>
    <w:bookmarkEnd w:id="96"/>
    <w:p>
      <w:pPr>
        <w:ind w:left="440" w:hanging="213"/>
        <w:spacing w:after="0"/>
        <w:tabs>
          <w:tab w:leader="none" w:pos="4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Provide new steam-to-hot water converters and infrastructure to provide hot water heating capacity for fit out of 1st and 2nd floors as required.</w:t>
      </w:r>
    </w:p>
    <w:p>
      <w:pPr>
        <w:spacing w:after="0" w:line="233" w:lineRule="exact"/>
        <w:rPr>
          <w:rFonts w:ascii="Arial" w:cs="Arial" w:eastAsia="Arial" w:hAnsi="Arial"/>
          <w:sz w:val="14"/>
          <w:szCs w:val="14"/>
          <w:color w:val="auto"/>
        </w:rPr>
      </w:pPr>
    </w:p>
    <w:p>
      <w:pPr>
        <w:ind w:left="440" w:hanging="213"/>
        <w:spacing w:after="0"/>
        <w:tabs>
          <w:tab w:leader="none" w:pos="4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Provide airflow measuring station and automated damper to serve constant volume spaces to remain (areas outside project scope).</w:t>
      </w:r>
    </w:p>
    <w:p>
      <w:pPr>
        <w:spacing w:after="0" w:line="233" w:lineRule="exact"/>
        <w:rPr>
          <w:rFonts w:ascii="Arial" w:cs="Arial" w:eastAsia="Arial" w:hAnsi="Arial"/>
          <w:sz w:val="14"/>
          <w:szCs w:val="14"/>
          <w:color w:val="auto"/>
        </w:rPr>
      </w:pPr>
    </w:p>
    <w:p>
      <w:pPr>
        <w:ind w:left="440" w:hanging="213"/>
        <w:spacing w:after="0"/>
        <w:tabs>
          <w:tab w:leader="none" w:pos="4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Provide new return fan variable-frequency drives for all three (3) existing air handling units.</w:t>
      </w:r>
    </w:p>
    <w:p>
      <w:pPr>
        <w:spacing w:after="0" w:line="233" w:lineRule="exact"/>
        <w:rPr>
          <w:rFonts w:ascii="Arial" w:cs="Arial" w:eastAsia="Arial" w:hAnsi="Arial"/>
          <w:sz w:val="14"/>
          <w:szCs w:val="14"/>
          <w:color w:val="auto"/>
        </w:rPr>
      </w:pPr>
    </w:p>
    <w:p>
      <w:pPr>
        <w:ind w:left="440" w:hanging="213"/>
        <w:spacing w:after="0"/>
        <w:tabs>
          <w:tab w:leader="none" w:pos="4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Modify air handling unit programming for all three (3) units to allow for variable speed operation and return fan tracking.</w:t>
      </w:r>
    </w:p>
    <w:p>
      <w:pPr>
        <w:spacing w:after="0" w:line="233" w:lineRule="exact"/>
        <w:rPr>
          <w:rFonts w:ascii="Arial" w:cs="Arial" w:eastAsia="Arial" w:hAnsi="Arial"/>
          <w:sz w:val="14"/>
          <w:szCs w:val="14"/>
          <w:color w:val="auto"/>
        </w:rPr>
      </w:pPr>
    </w:p>
    <w:p>
      <w:pPr>
        <w:ind w:left="440" w:hanging="213"/>
        <w:spacing w:after="0"/>
        <w:tabs>
          <w:tab w:leader="none" w:pos="4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Landlord shall ensure existing return air intakes located at building core are free and clear to support use of ceiling plenum as a return air plenum.</w:t>
      </w:r>
    </w:p>
    <w:p>
      <w:pPr>
        <w:spacing w:after="0" w:line="233" w:lineRule="exact"/>
        <w:rPr>
          <w:rFonts w:ascii="Arial" w:cs="Arial" w:eastAsia="Arial" w:hAnsi="Arial"/>
          <w:sz w:val="14"/>
          <w:szCs w:val="14"/>
          <w:color w:val="auto"/>
        </w:rPr>
      </w:pPr>
    </w:p>
    <w:p>
      <w:pPr>
        <w:ind w:left="440" w:hanging="213"/>
        <w:spacing w:after="0"/>
        <w:tabs>
          <w:tab w:leader="none" w:pos="4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Fintube radiant control to be integrated into overhead ventilation control zone (variable air volume box).</w:t>
      </w:r>
    </w:p>
    <w:p>
      <w:pPr>
        <w:spacing w:after="0" w:line="233" w:lineRule="exact"/>
        <w:rPr>
          <w:rFonts w:ascii="Arial" w:cs="Arial" w:eastAsia="Arial" w:hAnsi="Arial"/>
          <w:sz w:val="14"/>
          <w:szCs w:val="14"/>
          <w:color w:val="auto"/>
        </w:rPr>
      </w:pPr>
    </w:p>
    <w:p>
      <w:pPr>
        <w:ind w:firstLine="227"/>
        <w:spacing w:after="0" w:line="291" w:lineRule="auto"/>
        <w:tabs>
          <w:tab w:leader="none" w:pos="433" w:val="left"/>
        </w:tabs>
        <w:numPr>
          <w:ilvl w:val="0"/>
          <w:numId w:val="40"/>
        </w:numPr>
        <w:rPr>
          <w:rFonts w:ascii="Arial" w:cs="Arial" w:eastAsia="Arial" w:hAnsi="Arial"/>
          <w:sz w:val="14"/>
          <w:szCs w:val="14"/>
          <w:color w:val="auto"/>
        </w:rPr>
      </w:pPr>
      <w:r>
        <w:rPr>
          <w:rFonts w:ascii="Arial" w:cs="Arial" w:eastAsia="Arial" w:hAnsi="Arial"/>
          <w:sz w:val="14"/>
          <w:szCs w:val="14"/>
          <w:color w:val="auto"/>
        </w:rPr>
        <w:t>Landlord shall provide 2-1/2” chilled water risers with valved and capped outlets for Tenant point of connection beyond demising wall. Tenant shall review Landlord’s infrastructure changes to ensure that they meet Tenant’s requirements. If supplemental air conditioning systems are required, they shall be provided by Tenant.</w:t>
      </w:r>
    </w:p>
    <w:p>
      <w:pPr>
        <w:spacing w:after="0" w:line="180" w:lineRule="exact"/>
        <w:rPr>
          <w:rFonts w:ascii="Arial" w:cs="Arial" w:eastAsia="Arial" w:hAnsi="Arial"/>
          <w:sz w:val="14"/>
          <w:szCs w:val="14"/>
          <w:color w:val="auto"/>
        </w:rPr>
      </w:pPr>
    </w:p>
    <w:p>
      <w:pPr>
        <w:ind w:left="440" w:hanging="213"/>
        <w:spacing w:after="0"/>
        <w:tabs>
          <w:tab w:leader="none" w:pos="4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Landlord will provide or modify the hot water riser to extend down from the heat exchanger(s) in the penthouse to heat the space via perimeter fintube from the building hot water system.</w:t>
      </w:r>
    </w:p>
    <w:p>
      <w:pPr>
        <w:spacing w:after="0" w:line="245" w:lineRule="exact"/>
        <w:rPr>
          <w:rFonts w:ascii="Arial" w:cs="Arial" w:eastAsia="Arial" w:hAnsi="Arial"/>
          <w:sz w:val="13"/>
          <w:szCs w:val="13"/>
          <w:color w:val="auto"/>
        </w:rPr>
      </w:pPr>
    </w:p>
    <w:p>
      <w:pPr>
        <w:jc w:val="both"/>
        <w:ind w:firstLine="249"/>
        <w:spacing w:after="0" w:line="276" w:lineRule="auto"/>
        <w:tabs>
          <w:tab w:leader="none" w:pos="455" w:val="left"/>
        </w:tabs>
        <w:numPr>
          <w:ilvl w:val="1"/>
          <w:numId w:val="40"/>
        </w:numPr>
        <w:rPr>
          <w:rFonts w:ascii="Arial" w:cs="Arial" w:eastAsia="Arial" w:hAnsi="Arial"/>
          <w:sz w:val="14"/>
          <w:szCs w:val="14"/>
          <w:color w:val="auto"/>
        </w:rPr>
      </w:pPr>
      <w:r>
        <w:rPr>
          <w:rFonts w:ascii="Arial" w:cs="Arial" w:eastAsia="Arial" w:hAnsi="Arial"/>
          <w:sz w:val="14"/>
          <w:szCs w:val="14"/>
          <w:color w:val="auto"/>
        </w:rPr>
        <w:t>Landlord shall design, permit and construct fire sprinkler service from the street or building to the 01 Level Premises. The main line shall be capped at the 01 Level Premises and be sized to accommodate ordinary fire hazard as required by the City of Greenburgh for office tenant improvements. Landlord will include the main line distribution to the 01 Level Premises, a control system and valves.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97" w:name="page98"/>
    <w:bookmarkEnd w:id="97"/>
    <w:p>
      <w:pPr>
        <w:jc w:val="center"/>
        <w:spacing w:after="0"/>
        <w:rPr>
          <w:sz w:val="20"/>
          <w:szCs w:val="20"/>
          <w:color w:val="auto"/>
        </w:rPr>
      </w:pPr>
      <w:r>
        <w:rPr>
          <w:rFonts w:ascii="Arial" w:cs="Arial" w:eastAsia="Arial" w:hAnsi="Arial"/>
          <w:sz w:val="14"/>
          <w:szCs w:val="14"/>
          <w:b w:val="1"/>
          <w:bCs w:val="1"/>
          <w:color w:val="auto"/>
        </w:rPr>
        <w:t>EXHIBIT 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01 PREMISES LANDLORD IMPROVEMENTS TO BE PERFORMED BY TENANT AT LANDLORD’S COST</w:t>
      </w:r>
    </w:p>
    <w:p>
      <w:pPr>
        <w:spacing w:after="0" w:line="238" w:lineRule="exact"/>
        <w:rPr>
          <w:sz w:val="20"/>
          <w:szCs w:val="20"/>
          <w:color w:val="auto"/>
        </w:rPr>
      </w:pPr>
    </w:p>
    <w:p>
      <w:pPr>
        <w:jc w:val="both"/>
        <w:ind w:left="-20" w:firstLine="227"/>
        <w:spacing w:after="0" w:line="307" w:lineRule="auto"/>
        <w:tabs>
          <w:tab w:leader="none" w:pos="342" w:val="left"/>
        </w:tabs>
        <w:numPr>
          <w:ilvl w:val="0"/>
          <w:numId w:val="41"/>
        </w:numPr>
        <w:rPr>
          <w:rFonts w:ascii="Arial" w:cs="Arial" w:eastAsia="Arial" w:hAnsi="Arial"/>
          <w:sz w:val="13"/>
          <w:szCs w:val="13"/>
          <w:color w:val="auto"/>
        </w:rPr>
      </w:pPr>
      <w:r>
        <w:rPr>
          <w:rFonts w:ascii="Arial" w:cs="Arial" w:eastAsia="Arial" w:hAnsi="Arial"/>
          <w:sz w:val="13"/>
          <w:szCs w:val="13"/>
          <w:color w:val="auto"/>
        </w:rPr>
        <w:t>Purchase and install variable air volume boxes at a quantity of (1) every 1200 usable square feet (which equals 25 variable air volume boxes for the floor zones) plus 2 variable air volume boxes for conference rooms, 1 variable air volume box for the intermediate distribution frame, and 1 pantry variable air volume box, for a total of 29 variable air volume boxes. Variable air volume boxes over this quantity shall be provided by Tenant. The cost to provide and install the 29 variable air volume boxes will be determined by separate costs when bidding the construction work.</w:t>
      </w:r>
    </w:p>
    <w:p>
      <w:pPr>
        <w:spacing w:after="0" w:line="172" w:lineRule="exact"/>
        <w:rPr>
          <w:rFonts w:ascii="Arial" w:cs="Arial" w:eastAsia="Arial" w:hAnsi="Arial"/>
          <w:sz w:val="13"/>
          <w:szCs w:val="13"/>
          <w:color w:val="auto"/>
        </w:rPr>
      </w:pPr>
    </w:p>
    <w:p>
      <w:pPr>
        <w:ind w:left="340" w:hanging="133"/>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Tenant shall install a hot water loop to be used for the fintubes and fintube elements to heat the 01 Premises with perimeter hot water fintube.</w:t>
      </w:r>
    </w:p>
    <w:p>
      <w:pPr>
        <w:spacing w:after="0" w:line="233" w:lineRule="exact"/>
        <w:rPr>
          <w:rFonts w:ascii="Arial" w:cs="Arial" w:eastAsia="Arial" w:hAnsi="Arial"/>
          <w:sz w:val="14"/>
          <w:szCs w:val="14"/>
          <w:color w:val="auto"/>
        </w:rPr>
      </w:pPr>
    </w:p>
    <w:p>
      <w:pPr>
        <w:ind w:left="340" w:hanging="133"/>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All control valves shall be tied into the building management system and integrated into the variable air volume box controls by Tenant.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192405</wp:posOffset>
            </wp:positionV>
            <wp:extent cx="7291705" cy="196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40"/>
          </w:cols>
          <w:pgMar w:left="240" w:top="523" w:right="219" w:bottom="1440" w:gutter="0" w:footer="0" w:header="0"/>
        </w:sectPr>
      </w:pPr>
    </w:p>
    <w:bookmarkStart w:id="98" w:name="page99"/>
    <w:bookmarkEnd w:id="98"/>
    <w:p>
      <w:pPr>
        <w:jc w:val="center"/>
        <w:spacing w:after="0"/>
        <w:rPr>
          <w:sz w:val="20"/>
          <w:szCs w:val="20"/>
          <w:color w:val="auto"/>
        </w:rPr>
      </w:pPr>
      <w:r>
        <w:rPr>
          <w:rFonts w:ascii="Arial" w:cs="Arial" w:eastAsia="Arial" w:hAnsi="Arial"/>
          <w:sz w:val="14"/>
          <w:szCs w:val="14"/>
          <w:b w:val="1"/>
          <w:bCs w:val="1"/>
          <w:color w:val="auto"/>
        </w:rPr>
        <w:t>EXHIBIT 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ACKNOWLEDGEMENT OF TERM COMMENCEMENT DATE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AND TERM EXPIRATION DATE</w:t>
      </w:r>
    </w:p>
    <w:p>
      <w:pPr>
        <w:spacing w:after="0" w:line="206"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THIS ACKNOWLEDGEMENT OF TERM COMMENCEMENT DATE AND TERM EXPIRATION DATE is entered into as of September 1, 2011, with reference to that certain Lease dated as of December 21, 2006 (the “</w:t>
      </w:r>
      <w:r>
        <w:rPr>
          <w:rFonts w:ascii="Arial" w:cs="Arial" w:eastAsia="Arial" w:hAnsi="Arial"/>
          <w:sz w:val="13"/>
          <w:szCs w:val="13"/>
          <w:u w:val="single" w:color="auto"/>
          <w:color w:val="auto"/>
        </w:rPr>
        <w:t>Original Lease</w:t>
      </w:r>
      <w:r>
        <w:rPr>
          <w:rFonts w:ascii="Arial" w:cs="Arial" w:eastAsia="Arial" w:hAnsi="Arial"/>
          <w:sz w:val="13"/>
          <w:szCs w:val="13"/>
          <w:color w:val="auto"/>
        </w:rPr>
        <w:t>”), as amended by that certain First Amendment to Lease dated as of October 24, 2007 (the “</w:t>
      </w:r>
      <w:r>
        <w:rPr>
          <w:rFonts w:ascii="Arial" w:cs="Arial" w:eastAsia="Arial" w:hAnsi="Arial"/>
          <w:sz w:val="13"/>
          <w:szCs w:val="13"/>
          <w:u w:val="single" w:color="auto"/>
          <w:color w:val="auto"/>
        </w:rPr>
        <w:t>First Amendment</w:t>
      </w:r>
      <w:r>
        <w:rPr>
          <w:rFonts w:ascii="Arial" w:cs="Arial" w:eastAsia="Arial" w:hAnsi="Arial"/>
          <w:sz w:val="13"/>
          <w:szCs w:val="13"/>
          <w:color w:val="auto"/>
        </w:rPr>
        <w:t>”), that certain Second Amendment to Lease dated as of September 30, 2008 (the “</w:t>
      </w:r>
      <w:r>
        <w:rPr>
          <w:rFonts w:ascii="Arial" w:cs="Arial" w:eastAsia="Arial" w:hAnsi="Arial"/>
          <w:sz w:val="13"/>
          <w:szCs w:val="13"/>
          <w:u w:val="single" w:color="auto"/>
          <w:color w:val="auto"/>
        </w:rPr>
        <w:t>Second Amendment</w:t>
      </w:r>
      <w:r>
        <w:rPr>
          <w:rFonts w:ascii="Arial" w:cs="Arial" w:eastAsia="Arial" w:hAnsi="Arial"/>
          <w:sz w:val="13"/>
          <w:szCs w:val="13"/>
          <w:color w:val="auto"/>
        </w:rPr>
        <w:t>”), that certain Third Amendment to Lease dated as of April 29, 2009 (the “</w:t>
      </w:r>
      <w:r>
        <w:rPr>
          <w:rFonts w:ascii="Arial" w:cs="Arial" w:eastAsia="Arial" w:hAnsi="Arial"/>
          <w:sz w:val="13"/>
          <w:szCs w:val="13"/>
          <w:u w:val="single" w:color="auto"/>
          <w:color w:val="auto"/>
        </w:rPr>
        <w:t>Third Amendment</w:t>
      </w:r>
      <w:r>
        <w:rPr>
          <w:rFonts w:ascii="Arial" w:cs="Arial" w:eastAsia="Arial" w:hAnsi="Arial"/>
          <w:sz w:val="13"/>
          <w:szCs w:val="13"/>
          <w:color w:val="auto"/>
        </w:rPr>
        <w:t>”), that certain Fourth Amendment to Lease dated as of December 3, 2009 (the “</w:t>
      </w:r>
      <w:r>
        <w:rPr>
          <w:rFonts w:ascii="Arial" w:cs="Arial" w:eastAsia="Arial" w:hAnsi="Arial"/>
          <w:sz w:val="13"/>
          <w:szCs w:val="13"/>
          <w:u w:val="single" w:color="auto"/>
          <w:color w:val="auto"/>
        </w:rPr>
        <w:t>Fourth Amendment</w:t>
      </w:r>
      <w:r>
        <w:rPr>
          <w:rFonts w:ascii="Arial" w:cs="Arial" w:eastAsia="Arial" w:hAnsi="Arial"/>
          <w:sz w:val="13"/>
          <w:szCs w:val="13"/>
          <w:color w:val="auto"/>
        </w:rPr>
        <w:t>”), that certain Fifth Amendment to Lease dated as of February 11, 2010 (the “</w:t>
      </w:r>
      <w:r>
        <w:rPr>
          <w:rFonts w:ascii="Arial" w:cs="Arial" w:eastAsia="Arial" w:hAnsi="Arial"/>
          <w:sz w:val="13"/>
          <w:szCs w:val="13"/>
          <w:u w:val="single" w:color="auto"/>
          <w:color w:val="auto"/>
        </w:rPr>
        <w:t>Fifth Amendment</w:t>
      </w:r>
      <w:r>
        <w:rPr>
          <w:rFonts w:ascii="Arial" w:cs="Arial" w:eastAsia="Arial" w:hAnsi="Arial"/>
          <w:sz w:val="13"/>
          <w:szCs w:val="13"/>
          <w:color w:val="auto"/>
        </w:rPr>
        <w:t>”), that certain Sixth Amendment to Lease dated as of June 4, 2010 (the “</w:t>
      </w:r>
      <w:r>
        <w:rPr>
          <w:rFonts w:ascii="Arial" w:cs="Arial" w:eastAsia="Arial" w:hAnsi="Arial"/>
          <w:sz w:val="13"/>
          <w:szCs w:val="13"/>
          <w:u w:val="single" w:color="auto"/>
          <w:color w:val="auto"/>
        </w:rPr>
        <w:t>Sixth Amendment</w:t>
      </w:r>
      <w:r>
        <w:rPr>
          <w:rFonts w:ascii="Arial" w:cs="Arial" w:eastAsia="Arial" w:hAnsi="Arial"/>
          <w:sz w:val="13"/>
          <w:szCs w:val="13"/>
          <w:color w:val="auto"/>
        </w:rPr>
        <w:t>”), that certain Seventh Amendment to Lease dated as of December 22, 2010 (the “</w:t>
      </w:r>
      <w:r>
        <w:rPr>
          <w:rFonts w:ascii="Arial" w:cs="Arial" w:eastAsia="Arial" w:hAnsi="Arial"/>
          <w:sz w:val="13"/>
          <w:szCs w:val="13"/>
          <w:u w:val="single" w:color="auto"/>
          <w:color w:val="auto"/>
        </w:rPr>
        <w:t>Seventh Amendment</w:t>
      </w:r>
      <w:r>
        <w:rPr>
          <w:rFonts w:ascii="Arial" w:cs="Arial" w:eastAsia="Arial" w:hAnsi="Arial"/>
          <w:sz w:val="13"/>
          <w:szCs w:val="13"/>
          <w:color w:val="auto"/>
        </w:rPr>
        <w:t>”), that certain Eighth Amendment to Lease dated as of August 1, 2011 (the “</w:t>
      </w:r>
      <w:r>
        <w:rPr>
          <w:rFonts w:ascii="Arial" w:cs="Arial" w:eastAsia="Arial" w:hAnsi="Arial"/>
          <w:sz w:val="13"/>
          <w:szCs w:val="13"/>
          <w:u w:val="single" w:color="auto"/>
          <w:color w:val="auto"/>
        </w:rPr>
        <w:t>Eighth Amendment</w:t>
      </w:r>
      <w:r>
        <w:rPr>
          <w:rFonts w:ascii="Arial" w:cs="Arial" w:eastAsia="Arial" w:hAnsi="Arial"/>
          <w:sz w:val="13"/>
          <w:szCs w:val="13"/>
          <w:color w:val="auto"/>
        </w:rPr>
        <w:t>”) and that certain Ninth Amendment to Lease dated as of September 29, 2012 (the “</w:t>
      </w:r>
      <w:r>
        <w:rPr>
          <w:rFonts w:ascii="Arial" w:cs="Arial" w:eastAsia="Arial" w:hAnsi="Arial"/>
          <w:sz w:val="13"/>
          <w:szCs w:val="13"/>
          <w:u w:val="single" w:color="auto"/>
          <w:color w:val="auto"/>
        </w:rPr>
        <w:t>Ninth Amendment</w:t>
      </w:r>
      <w:r>
        <w:rPr>
          <w:rFonts w:ascii="Arial" w:cs="Arial" w:eastAsia="Arial" w:hAnsi="Arial"/>
          <w:sz w:val="13"/>
          <w:szCs w:val="13"/>
          <w:color w:val="auto"/>
        </w:rPr>
        <w:t>” and, collectively with the Original Lease and the First Amendment, Second Amendment, Third Amendment, Fourth Amendment, Fifth Amendment, Sixth Amendment and Seventh Amendment, and as the same may have been further amended, supplemented or otherwise modified from time to time, the “</w:t>
      </w:r>
      <w:r>
        <w:rPr>
          <w:rFonts w:ascii="Arial" w:cs="Arial" w:eastAsia="Arial" w:hAnsi="Arial"/>
          <w:sz w:val="13"/>
          <w:szCs w:val="13"/>
          <w:u w:val="single" w:color="auto"/>
          <w:color w:val="auto"/>
        </w:rPr>
        <w:t>Amended Lease</w:t>
      </w:r>
      <w:r>
        <w:rPr>
          <w:rFonts w:ascii="Arial" w:cs="Arial" w:eastAsia="Arial" w:hAnsi="Arial"/>
          <w:sz w:val="13"/>
          <w:szCs w:val="13"/>
          <w:color w:val="auto"/>
        </w:rPr>
        <w:t>”), by REGENERON PHARMACEUTICALS, INC., a New York corporation (“</w:t>
      </w:r>
      <w:r>
        <w:rPr>
          <w:rFonts w:ascii="Arial" w:cs="Arial" w:eastAsia="Arial" w:hAnsi="Arial"/>
          <w:sz w:val="13"/>
          <w:szCs w:val="13"/>
          <w:u w:val="single" w:color="auto"/>
          <w:color w:val="auto"/>
        </w:rPr>
        <w:t>Tenant</w:t>
      </w:r>
      <w:r>
        <w:rPr>
          <w:rFonts w:ascii="Arial" w:cs="Arial" w:eastAsia="Arial" w:hAnsi="Arial"/>
          <w:sz w:val="13"/>
          <w:szCs w:val="13"/>
          <w:color w:val="auto"/>
        </w:rPr>
        <w:t>”), in favor of BMR-LANDMARK AT EASTVIEW LLC, a Delaware limited liability company (“</w:t>
      </w:r>
      <w:r>
        <w:rPr>
          <w:rFonts w:ascii="Arial" w:cs="Arial" w:eastAsia="Arial" w:hAnsi="Arial"/>
          <w:sz w:val="13"/>
          <w:szCs w:val="13"/>
          <w:u w:val="single" w:color="auto"/>
          <w:color w:val="auto"/>
        </w:rPr>
        <w:t>Landlord</w:t>
      </w:r>
      <w:r>
        <w:rPr>
          <w:rFonts w:ascii="Arial" w:cs="Arial" w:eastAsia="Arial" w:hAnsi="Arial"/>
          <w:sz w:val="13"/>
          <w:szCs w:val="13"/>
          <w:color w:val="auto"/>
        </w:rPr>
        <w:t>”). All capitalized terms used herein without definition shall have the meanings ascribed to them in the Amended Lease.</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Tenant hereby confirms the following:</w:t>
      </w:r>
    </w:p>
    <w:p>
      <w:pPr>
        <w:spacing w:after="0" w:line="234" w:lineRule="exact"/>
        <w:rPr>
          <w:sz w:val="20"/>
          <w:szCs w:val="20"/>
          <w:color w:val="auto"/>
        </w:rPr>
      </w:pPr>
    </w:p>
    <w:p>
      <w:pPr>
        <w:ind w:left="360" w:hanging="133"/>
        <w:spacing w:after="0"/>
        <w:tabs>
          <w:tab w:leader="none" w:pos="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Tenant accepted possession of the 01 Premises on [_______], 20[__].</w:t>
      </w:r>
    </w:p>
    <w:p>
      <w:pPr>
        <w:spacing w:after="0" w:line="233" w:lineRule="exact"/>
        <w:rPr>
          <w:rFonts w:ascii="Arial" w:cs="Arial" w:eastAsia="Arial" w:hAnsi="Arial"/>
          <w:sz w:val="14"/>
          <w:szCs w:val="14"/>
          <w:color w:val="auto"/>
        </w:rPr>
      </w:pPr>
    </w:p>
    <w:p>
      <w:pPr>
        <w:ind w:left="360" w:hanging="133"/>
        <w:spacing w:after="0"/>
        <w:tabs>
          <w:tab w:leader="none" w:pos="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01 Premises are in good order, condition and repair.</w:t>
      </w:r>
    </w:p>
    <w:p>
      <w:pPr>
        <w:spacing w:after="0" w:line="233" w:lineRule="exact"/>
        <w:rPr>
          <w:rFonts w:ascii="Arial" w:cs="Arial" w:eastAsia="Arial" w:hAnsi="Arial"/>
          <w:sz w:val="14"/>
          <w:szCs w:val="14"/>
          <w:color w:val="auto"/>
        </w:rPr>
      </w:pPr>
    </w:p>
    <w:p>
      <w:pPr>
        <w:ind w:left="360" w:hanging="133"/>
        <w:spacing w:after="0"/>
        <w:tabs>
          <w:tab w:leader="none" w:pos="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01 Premises Landlord Improvements are Substantially Complete.</w:t>
      </w:r>
    </w:p>
    <w:p>
      <w:pPr>
        <w:spacing w:after="0" w:line="233" w:lineRule="exact"/>
        <w:rPr>
          <w:rFonts w:ascii="Arial" w:cs="Arial" w:eastAsia="Arial" w:hAnsi="Arial"/>
          <w:sz w:val="14"/>
          <w:szCs w:val="14"/>
          <w:color w:val="auto"/>
        </w:rPr>
      </w:pPr>
    </w:p>
    <w:p>
      <w:pPr>
        <w:ind w:firstLine="293"/>
        <w:spacing w:after="0" w:line="291" w:lineRule="auto"/>
        <w:tabs>
          <w:tab w:leader="none" w:pos="439" w:val="left"/>
        </w:tabs>
        <w:numPr>
          <w:ilvl w:val="2"/>
          <w:numId w:val="42"/>
        </w:numPr>
        <w:rPr>
          <w:rFonts w:ascii="Arial" w:cs="Arial" w:eastAsia="Arial" w:hAnsi="Arial"/>
          <w:sz w:val="14"/>
          <w:szCs w:val="14"/>
          <w:color w:val="auto"/>
        </w:rPr>
      </w:pPr>
      <w:r>
        <w:rPr>
          <w:rFonts w:ascii="Arial" w:cs="Arial" w:eastAsia="Arial" w:hAnsi="Arial"/>
          <w:sz w:val="14"/>
          <w:szCs w:val="14"/>
          <w:color w:val="auto"/>
        </w:rPr>
        <w:t>All conditions of the Amended Lease with respect to the 01 Premises to be performed by Landlord as a condition to the full effectiveness of the Amended Lease have been satisfied, and Landlord has fulfilled all of its duties in the nature of inducements offered to Tenant to lease the 01 Premises.</w:t>
      </w:r>
    </w:p>
    <w:p>
      <w:pPr>
        <w:spacing w:after="0" w:line="180" w:lineRule="exact"/>
        <w:rPr>
          <w:rFonts w:ascii="Arial" w:cs="Arial" w:eastAsia="Arial" w:hAnsi="Arial"/>
          <w:sz w:val="14"/>
          <w:szCs w:val="14"/>
          <w:color w:val="auto"/>
        </w:rPr>
      </w:pPr>
    </w:p>
    <w:p>
      <w:pPr>
        <w:ind w:firstLine="249"/>
        <w:spacing w:after="0" w:line="291" w:lineRule="auto"/>
        <w:tabs>
          <w:tab w:leader="none" w:pos="384" w:val="left"/>
        </w:tabs>
        <w:numPr>
          <w:ilvl w:val="1"/>
          <w:numId w:val="42"/>
        </w:numPr>
        <w:rPr>
          <w:rFonts w:ascii="Arial" w:cs="Arial" w:eastAsia="Arial" w:hAnsi="Arial"/>
          <w:sz w:val="14"/>
          <w:szCs w:val="14"/>
          <w:color w:val="auto"/>
        </w:rPr>
      </w:pPr>
      <w:r>
        <w:rPr>
          <w:rFonts w:ascii="Arial" w:cs="Arial" w:eastAsia="Arial" w:hAnsi="Arial"/>
          <w:sz w:val="14"/>
          <w:szCs w:val="14"/>
          <w:color w:val="auto"/>
        </w:rPr>
        <w:t xml:space="preserve">In accordance with the provisions of </w:t>
      </w: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of the Ninth Amendment to the Amended Lease, the 01 Premises Commencement Date is [_______], 20[__], and, unless the Amended Lease is terminated prior to the Term Expiration Date pursuant to its terms, the Term Expiration Date shall be [_______], 20[__].</w:t>
      </w:r>
    </w:p>
    <w:p>
      <w:pPr>
        <w:spacing w:after="0" w:line="180" w:lineRule="exact"/>
        <w:rPr>
          <w:sz w:val="20"/>
          <w:szCs w:val="20"/>
          <w:color w:val="auto"/>
        </w:rPr>
      </w:pPr>
    </w:p>
    <w:p>
      <w:pPr>
        <w:ind w:left="5620" w:right="5620" w:hanging="5393"/>
        <w:spacing w:after="0" w:line="649" w:lineRule="auto"/>
        <w:tabs>
          <w:tab w:leader="none" w:pos="367" w:val="left"/>
        </w:tabs>
        <w:numPr>
          <w:ilvl w:val="0"/>
          <w:numId w:val="43"/>
        </w:numPr>
        <w:rPr>
          <w:rFonts w:ascii="Arial" w:cs="Arial" w:eastAsia="Arial" w:hAnsi="Arial"/>
          <w:sz w:val="13"/>
          <w:szCs w:val="13"/>
          <w:color w:val="auto"/>
        </w:rPr>
      </w:pPr>
      <w:r>
        <w:rPr>
          <w:rFonts w:ascii="Arial" w:cs="Arial" w:eastAsia="Arial" w:hAnsi="Arial"/>
          <w:sz w:val="13"/>
          <w:szCs w:val="13"/>
          <w:color w:val="auto"/>
        </w:rPr>
        <w:t>Tenant commenced occupancy of the 01 Premises for the Permitted Use on [_______], 20[__].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91705" cy="196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99" w:name="page100"/>
    <w:bookmarkEnd w:id="99"/>
    <w:p>
      <w:pPr>
        <w:ind w:left="-20" w:firstLine="260"/>
        <w:spacing w:after="0" w:line="291" w:lineRule="auto"/>
        <w:tabs>
          <w:tab w:leader="none" w:pos="375" w:val="left"/>
        </w:tabs>
        <w:numPr>
          <w:ilvl w:val="1"/>
          <w:numId w:val="44"/>
        </w:numPr>
        <w:rPr>
          <w:rFonts w:ascii="Arial" w:cs="Arial" w:eastAsia="Arial" w:hAnsi="Arial"/>
          <w:sz w:val="14"/>
          <w:szCs w:val="14"/>
          <w:color w:val="auto"/>
        </w:rPr>
      </w:pPr>
      <w:r>
        <w:rPr>
          <w:rFonts w:ascii="Arial" w:cs="Arial" w:eastAsia="Arial" w:hAnsi="Arial"/>
          <w:sz w:val="14"/>
          <w:szCs w:val="14"/>
          <w:color w:val="auto"/>
        </w:rPr>
        <w:t>The obligation to pay Rent is presently in effect and all Rent obligations on the part of Tenant under the Amended Lease with respect to the 01 Premises commenced to accrue on [_______], 20[__], with Basic Annual Rent for the 01 Premises payable on the dates and in amounts set forth in the Ninth Amendment.</w:t>
      </w:r>
    </w:p>
    <w:p>
      <w:pPr>
        <w:spacing w:after="0" w:line="180" w:lineRule="exact"/>
        <w:rPr>
          <w:rFonts w:ascii="Arial" w:cs="Arial" w:eastAsia="Arial" w:hAnsi="Arial"/>
          <w:sz w:val="14"/>
          <w:szCs w:val="14"/>
          <w:color w:val="auto"/>
        </w:rPr>
      </w:pPr>
    </w:p>
    <w:p>
      <w:pPr>
        <w:ind w:left="340" w:hanging="133"/>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Amended Lease is in full force and effect, and the same represents the entire agreement between Landlord and Tenant concerning the Premises[, except [_______]].</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[REMAINDER OF THIS PAGE INTENTIONALLY LEFT BLANK]</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192405</wp:posOffset>
            </wp:positionV>
            <wp:extent cx="7291705" cy="196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40"/>
          </w:cols>
          <w:pgMar w:left="240" w:top="549" w:right="219" w:bottom="1440" w:gutter="0" w:footer="0" w:header="0"/>
        </w:sectPr>
      </w:pPr>
    </w:p>
    <w:bookmarkStart w:id="100" w:name="page101"/>
    <w:bookmarkEnd w:id="100"/>
    <w:p>
      <w:pPr>
        <w:ind w:left="220"/>
        <w:spacing w:after="0"/>
        <w:rPr>
          <w:sz w:val="20"/>
          <w:szCs w:val="20"/>
          <w:color w:val="auto"/>
        </w:rPr>
      </w:pPr>
      <w:r>
        <w:rPr>
          <w:rFonts w:ascii="Arial" w:cs="Arial" w:eastAsia="Arial" w:hAnsi="Arial"/>
          <w:sz w:val="13"/>
          <w:szCs w:val="13"/>
          <w:color w:val="auto"/>
        </w:rPr>
        <w:t>IN WITNESS WHEREOF, Tenant has executed this Acknowledgment of Term Commencement Date and Term Expiration Date as of the date first written above.</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TENANT:</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REGENERON PHARMACEUTICALS, INC.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 New York Corporation</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23"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0239"/>
          </w:cols>
          <w:pgMar w:left="220" w:top="549" w:right="1440" w:bottom="1440" w:gutter="0" w:footer="0" w:header="0"/>
        </w:sectPr>
      </w:pPr>
    </w:p>
    <w:bookmarkStart w:id="101" w:name="page102"/>
    <w:bookmarkEnd w:id="101"/>
    <w:p>
      <w:pPr>
        <w:jc w:val="right"/>
        <w:spacing w:after="0"/>
        <w:rPr>
          <w:sz w:val="20"/>
          <w:szCs w:val="20"/>
          <w:color w:val="auto"/>
        </w:rPr>
      </w:pPr>
      <w:r>
        <w:rPr>
          <w:rFonts w:ascii="Arial" w:cs="Arial" w:eastAsia="Arial" w:hAnsi="Arial"/>
          <w:sz w:val="14"/>
          <w:szCs w:val="14"/>
          <w:color w:val="auto"/>
        </w:rPr>
        <w:t>Exhibit 31.1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CEO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Rule 13a-14(a) under the Securities Exchange Act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1934, 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I, Leonard S. Schleifer, certify that:</w:t>
      </w:r>
    </w:p>
    <w:p>
      <w:pPr>
        <w:spacing w:after="0" w:line="212"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Regeneron Pharmaceuticals, Inc.;</w:t>
      </w:r>
    </w:p>
    <w:p>
      <w:pPr>
        <w:spacing w:after="0" w:line="211" w:lineRule="exact"/>
        <w:rPr>
          <w:rFonts w:ascii="Arial" w:cs="Arial" w:eastAsia="Arial" w:hAnsi="Arial"/>
          <w:sz w:val="14"/>
          <w:szCs w:val="14"/>
          <w:color w:val="auto"/>
        </w:rPr>
      </w:pPr>
    </w:p>
    <w:p>
      <w:pPr>
        <w:ind w:left="340" w:right="160" w:hanging="332"/>
        <w:spacing w:after="0" w:line="29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Arial" w:cs="Arial" w:eastAsia="Arial" w:hAnsi="Arial"/>
          <w:sz w:val="14"/>
          <w:szCs w:val="14"/>
          <w:color w:val="auto"/>
        </w:rPr>
      </w:pPr>
    </w:p>
    <w:p>
      <w:pPr>
        <w:ind w:left="340" w:right="220" w:hanging="332"/>
        <w:spacing w:after="0" w:line="29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4"/>
          <w:szCs w:val="14"/>
          <w:color w:val="auto"/>
        </w:rPr>
      </w:pPr>
    </w:p>
    <w:p>
      <w:pPr>
        <w:ind w:left="340" w:right="60" w:hanging="332"/>
        <w:spacing w:after="0" w:line="29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8" w:lineRule="exact"/>
        <w:rPr>
          <w:rFonts w:ascii="Arial" w:cs="Arial" w:eastAsia="Arial" w:hAnsi="Arial"/>
          <w:sz w:val="14"/>
          <w:szCs w:val="14"/>
          <w:color w:val="auto"/>
        </w:rPr>
      </w:pPr>
    </w:p>
    <w:p>
      <w:pPr>
        <w:ind w:left="880" w:right="140" w:hanging="324"/>
        <w:spacing w:after="0" w:line="380" w:lineRule="auto"/>
        <w:tabs>
          <w:tab w:leader="none" w:pos="880" w:val="left"/>
        </w:tabs>
        <w:numPr>
          <w:ilvl w:val="1"/>
          <w:numId w:val="4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2"/>
          <w:szCs w:val="12"/>
          <w:color w:val="auto"/>
        </w:rPr>
      </w:pPr>
    </w:p>
    <w:p>
      <w:pPr>
        <w:ind w:left="880" w:right="220" w:hanging="324"/>
        <w:spacing w:after="0" w:line="380" w:lineRule="auto"/>
        <w:tabs>
          <w:tab w:leader="none" w:pos="880" w:val="left"/>
        </w:tabs>
        <w:numPr>
          <w:ilvl w:val="1"/>
          <w:numId w:val="4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2"/>
          <w:szCs w:val="12"/>
          <w:color w:val="auto"/>
        </w:rPr>
      </w:pPr>
    </w:p>
    <w:p>
      <w:pPr>
        <w:ind w:left="880" w:right="400" w:hanging="324"/>
        <w:spacing w:after="0" w:line="291" w:lineRule="auto"/>
        <w:tabs>
          <w:tab w:leader="none" w:pos="880" w:val="left"/>
        </w:tabs>
        <w:numPr>
          <w:ilvl w:val="1"/>
          <w:numId w:val="4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4"/>
          <w:szCs w:val="14"/>
          <w:color w:val="auto"/>
        </w:rPr>
      </w:pPr>
    </w:p>
    <w:p>
      <w:pPr>
        <w:ind w:left="880" w:right="40" w:hanging="324"/>
        <w:spacing w:after="0" w:line="332" w:lineRule="auto"/>
        <w:tabs>
          <w:tab w:leader="none" w:pos="880" w:val="left"/>
        </w:tabs>
        <w:numPr>
          <w:ilvl w:val="1"/>
          <w:numId w:val="4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3"/>
          <w:szCs w:val="13"/>
          <w:color w:val="auto"/>
        </w:rPr>
      </w:pPr>
    </w:p>
    <w:p>
      <w:pPr>
        <w:ind w:left="340" w:hanging="332"/>
        <w:spacing w:after="0" w:line="29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4"/>
          <w:szCs w:val="14"/>
          <w:color w:val="auto"/>
        </w:rPr>
      </w:pPr>
    </w:p>
    <w:p>
      <w:pPr>
        <w:ind w:left="880" w:right="80" w:hanging="324"/>
        <w:spacing w:after="0" w:line="291" w:lineRule="auto"/>
        <w:tabs>
          <w:tab w:leader="none" w:pos="880" w:val="left"/>
        </w:tabs>
        <w:numPr>
          <w:ilvl w:val="1"/>
          <w:numId w:val="4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4"/>
          <w:szCs w:val="14"/>
          <w:color w:val="auto"/>
        </w:rPr>
      </w:pPr>
    </w:p>
    <w:p>
      <w:pPr>
        <w:ind w:left="880" w:hanging="324"/>
        <w:spacing w:after="0"/>
        <w:tabs>
          <w:tab w:leader="none" w:pos="880" w:val="left"/>
        </w:tabs>
        <w:numPr>
          <w:ilvl w:val="1"/>
          <w:numId w:val="4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45" w:lineRule="exact"/>
        <w:rPr>
          <w:sz w:val="20"/>
          <w:szCs w:val="20"/>
          <w:color w:val="auto"/>
        </w:rPr>
      </w:pPr>
    </w:p>
    <w:p>
      <w:pPr>
        <w:spacing w:after="0"/>
        <w:tabs>
          <w:tab w:leader="none" w:pos="5640" w:val="left"/>
        </w:tabs>
        <w:rPr>
          <w:sz w:val="20"/>
          <w:szCs w:val="20"/>
          <w:color w:val="auto"/>
        </w:rPr>
      </w:pPr>
      <w:r>
        <w:rPr>
          <w:rFonts w:ascii="Arial" w:cs="Arial" w:eastAsia="Arial" w:hAnsi="Arial"/>
          <w:sz w:val="14"/>
          <w:szCs w:val="14"/>
          <w:color w:val="auto"/>
        </w:rPr>
        <w:t>Date: October 27, 2011</w:t>
      </w:r>
      <w:r>
        <w:rPr>
          <w:sz w:val="20"/>
          <w:szCs w:val="20"/>
          <w:color w:val="auto"/>
        </w:rPr>
        <w:tab/>
      </w:r>
      <w:r>
        <w:rPr>
          <w:rFonts w:ascii="Arial" w:cs="Arial" w:eastAsia="Arial" w:hAnsi="Arial"/>
          <w:sz w:val="14"/>
          <w:szCs w:val="14"/>
          <w:u w:val="single" w:color="auto"/>
          <w:color w:val="auto"/>
        </w:rPr>
        <w:t>/s/ L</w:t>
      </w:r>
      <w:r>
        <w:rPr>
          <w:rFonts w:ascii="Arial" w:cs="Arial" w:eastAsia="Arial" w:hAnsi="Arial"/>
          <w:sz w:val="10"/>
          <w:szCs w:val="10"/>
          <w:u w:val="single" w:color="auto"/>
          <w:color w:val="auto"/>
        </w:rPr>
        <w:t>EONARD</w:t>
      </w:r>
      <w:r>
        <w:rPr>
          <w:rFonts w:ascii="Arial" w:cs="Arial" w:eastAsia="Arial" w:hAnsi="Arial"/>
          <w:sz w:val="14"/>
          <w:szCs w:val="14"/>
          <w:u w:val="single" w:color="auto"/>
          <w:color w:val="auto"/>
        </w:rPr>
        <w:t xml:space="preserve"> S. S</w:t>
      </w:r>
      <w:r>
        <w:rPr>
          <w:rFonts w:ascii="Arial" w:cs="Arial" w:eastAsia="Arial" w:hAnsi="Arial"/>
          <w:sz w:val="10"/>
          <w:szCs w:val="10"/>
          <w:u w:val="single" w:color="auto"/>
          <w:color w:val="auto"/>
        </w:rPr>
        <w:t>CHLEIFER</w:t>
      </w:r>
    </w:p>
    <w:p>
      <w:pPr>
        <w:spacing w:after="0" w:line="47"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Leonard S. Schleifer, M.D., Ph.D.</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291705" cy="196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329" w:right="2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4"/>
          <w:szCs w:val="14"/>
          <w:color w:val="auto"/>
        </w:rPr>
        <w:t>Exhibit 31.2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CFO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Rule 13a-14(a) under the Securities Exchange Act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1934, 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I, Murray A. Goldberg, certify that:</w:t>
      </w:r>
    </w:p>
    <w:p>
      <w:pPr>
        <w:spacing w:after="0" w:line="212"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Regeneron Pharmaceuticals, Inc.;</w:t>
      </w:r>
    </w:p>
    <w:p>
      <w:pPr>
        <w:spacing w:after="0" w:line="211" w:lineRule="exact"/>
        <w:rPr>
          <w:rFonts w:ascii="Arial" w:cs="Arial" w:eastAsia="Arial" w:hAnsi="Arial"/>
          <w:sz w:val="14"/>
          <w:szCs w:val="14"/>
          <w:color w:val="auto"/>
        </w:rPr>
      </w:pPr>
    </w:p>
    <w:p>
      <w:pPr>
        <w:ind w:left="340" w:right="160" w:hanging="332"/>
        <w:spacing w:after="0" w:line="291"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Arial" w:cs="Arial" w:eastAsia="Arial" w:hAnsi="Arial"/>
          <w:sz w:val="14"/>
          <w:szCs w:val="14"/>
          <w:color w:val="auto"/>
        </w:rPr>
      </w:pPr>
    </w:p>
    <w:p>
      <w:pPr>
        <w:ind w:left="340" w:right="220" w:hanging="332"/>
        <w:spacing w:after="0" w:line="291"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4"/>
          <w:szCs w:val="14"/>
          <w:color w:val="auto"/>
        </w:rPr>
      </w:pPr>
    </w:p>
    <w:p>
      <w:pPr>
        <w:ind w:left="340" w:right="60" w:hanging="332"/>
        <w:spacing w:after="0" w:line="291"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8" w:lineRule="exact"/>
        <w:rPr>
          <w:rFonts w:ascii="Arial" w:cs="Arial" w:eastAsia="Arial" w:hAnsi="Arial"/>
          <w:sz w:val="14"/>
          <w:szCs w:val="14"/>
          <w:color w:val="auto"/>
        </w:rPr>
      </w:pPr>
    </w:p>
    <w:p>
      <w:pPr>
        <w:ind w:left="880" w:right="140" w:hanging="324"/>
        <w:spacing w:after="0" w:line="380" w:lineRule="auto"/>
        <w:tabs>
          <w:tab w:leader="none" w:pos="880" w:val="left"/>
        </w:tabs>
        <w:numPr>
          <w:ilvl w:val="1"/>
          <w:numId w:val="4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2"/>
          <w:szCs w:val="12"/>
          <w:color w:val="auto"/>
        </w:rPr>
      </w:pPr>
    </w:p>
    <w:p>
      <w:pPr>
        <w:ind w:left="880" w:right="220" w:hanging="324"/>
        <w:spacing w:after="0" w:line="380" w:lineRule="auto"/>
        <w:tabs>
          <w:tab w:leader="none" w:pos="880" w:val="left"/>
        </w:tabs>
        <w:numPr>
          <w:ilvl w:val="1"/>
          <w:numId w:val="4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2"/>
          <w:szCs w:val="12"/>
          <w:color w:val="auto"/>
        </w:rPr>
      </w:pPr>
    </w:p>
    <w:p>
      <w:pPr>
        <w:ind w:left="880" w:right="400" w:hanging="324"/>
        <w:spacing w:after="0" w:line="291" w:lineRule="auto"/>
        <w:tabs>
          <w:tab w:leader="none" w:pos="880" w:val="left"/>
        </w:tabs>
        <w:numPr>
          <w:ilvl w:val="1"/>
          <w:numId w:val="4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4"/>
          <w:szCs w:val="14"/>
          <w:color w:val="auto"/>
        </w:rPr>
      </w:pPr>
    </w:p>
    <w:p>
      <w:pPr>
        <w:ind w:left="880" w:right="40" w:hanging="324"/>
        <w:spacing w:after="0" w:line="332" w:lineRule="auto"/>
        <w:tabs>
          <w:tab w:leader="none" w:pos="880" w:val="left"/>
        </w:tabs>
        <w:numPr>
          <w:ilvl w:val="1"/>
          <w:numId w:val="4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3"/>
          <w:szCs w:val="13"/>
          <w:color w:val="auto"/>
        </w:rPr>
      </w:pPr>
    </w:p>
    <w:p>
      <w:pPr>
        <w:ind w:left="340" w:hanging="332"/>
        <w:spacing w:after="0" w:line="291"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4"/>
          <w:szCs w:val="14"/>
          <w:color w:val="auto"/>
        </w:rPr>
      </w:pPr>
    </w:p>
    <w:p>
      <w:pPr>
        <w:ind w:left="880" w:right="80" w:hanging="324"/>
        <w:spacing w:after="0" w:line="291" w:lineRule="auto"/>
        <w:tabs>
          <w:tab w:leader="none" w:pos="880" w:val="left"/>
        </w:tabs>
        <w:numPr>
          <w:ilvl w:val="1"/>
          <w:numId w:val="4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4"/>
          <w:szCs w:val="14"/>
          <w:color w:val="auto"/>
        </w:rPr>
      </w:pPr>
    </w:p>
    <w:p>
      <w:pPr>
        <w:ind w:left="880" w:hanging="324"/>
        <w:spacing w:after="0"/>
        <w:tabs>
          <w:tab w:leader="none" w:pos="880" w:val="left"/>
        </w:tabs>
        <w:numPr>
          <w:ilvl w:val="1"/>
          <w:numId w:val="4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45" w:lineRule="exact"/>
        <w:rPr>
          <w:sz w:val="20"/>
          <w:szCs w:val="20"/>
          <w:color w:val="auto"/>
        </w:rPr>
      </w:pPr>
    </w:p>
    <w:p>
      <w:pPr>
        <w:spacing w:after="0"/>
        <w:tabs>
          <w:tab w:leader="none" w:pos="5640" w:val="left"/>
        </w:tabs>
        <w:rPr>
          <w:sz w:val="20"/>
          <w:szCs w:val="20"/>
          <w:color w:val="auto"/>
        </w:rPr>
      </w:pPr>
      <w:r>
        <w:rPr>
          <w:rFonts w:ascii="Arial" w:cs="Arial" w:eastAsia="Arial" w:hAnsi="Arial"/>
          <w:sz w:val="14"/>
          <w:szCs w:val="14"/>
          <w:color w:val="auto"/>
        </w:rPr>
        <w:t>Date: October 27, 2011</w:t>
      </w:r>
      <w:r>
        <w:rPr>
          <w:sz w:val="20"/>
          <w:szCs w:val="20"/>
          <w:color w:val="auto"/>
        </w:rPr>
        <w:tab/>
      </w:r>
      <w:r>
        <w:rPr>
          <w:rFonts w:ascii="Arial" w:cs="Arial" w:eastAsia="Arial" w:hAnsi="Arial"/>
          <w:sz w:val="14"/>
          <w:szCs w:val="14"/>
          <w:u w:val="single" w:color="auto"/>
          <w:color w:val="auto"/>
        </w:rPr>
        <w:t>/s/ M</w:t>
      </w:r>
      <w:r>
        <w:rPr>
          <w:rFonts w:ascii="Arial" w:cs="Arial" w:eastAsia="Arial" w:hAnsi="Arial"/>
          <w:sz w:val="10"/>
          <w:szCs w:val="10"/>
          <w:u w:val="single" w:color="auto"/>
          <w:color w:val="auto"/>
        </w:rPr>
        <w:t>URRAY</w:t>
      </w:r>
      <w:r>
        <w:rPr>
          <w:rFonts w:ascii="Arial" w:cs="Arial" w:eastAsia="Arial" w:hAnsi="Arial"/>
          <w:sz w:val="14"/>
          <w:szCs w:val="14"/>
          <w:u w:val="single" w:color="auto"/>
          <w:color w:val="auto"/>
        </w:rPr>
        <w:t xml:space="preserve"> A. G</w:t>
      </w:r>
      <w:r>
        <w:rPr>
          <w:rFonts w:ascii="Arial" w:cs="Arial" w:eastAsia="Arial" w:hAnsi="Arial"/>
          <w:sz w:val="10"/>
          <w:szCs w:val="10"/>
          <w:u w:val="single" w:color="auto"/>
          <w:color w:val="auto"/>
        </w:rPr>
        <w:t>OLDBERG</w:t>
      </w:r>
    </w:p>
    <w:p>
      <w:pPr>
        <w:spacing w:after="0" w:line="47"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Murray A. Goldberg</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Senior Vice President, Finance &amp; Administration,</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Chief Financial Officer, Treasurer, and</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291705" cy="196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330" w:right="2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4"/>
          <w:szCs w:val="14"/>
          <w:color w:val="auto"/>
        </w:rPr>
        <w:t>Exhibit 32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CEO and CFO Pursuant to</w:t>
      </w:r>
    </w:p>
    <w:p>
      <w:pPr>
        <w:spacing w:after="0" w:line="24"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18 U.S.C. Section 1350,</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14"/>
          <w:szCs w:val="14"/>
          <w:b w:val="1"/>
          <w:bCs w:val="1"/>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206" w:lineRule="exact"/>
        <w:rPr>
          <w:sz w:val="20"/>
          <w:szCs w:val="20"/>
          <w:color w:val="auto"/>
        </w:rPr>
      </w:pPr>
    </w:p>
    <w:p>
      <w:pPr>
        <w:ind w:right="280"/>
        <w:spacing w:after="0" w:line="307" w:lineRule="auto"/>
        <w:rPr>
          <w:sz w:val="20"/>
          <w:szCs w:val="20"/>
          <w:color w:val="auto"/>
        </w:rPr>
      </w:pPr>
      <w:r>
        <w:rPr>
          <w:rFonts w:ascii="Arial" w:cs="Arial" w:eastAsia="Arial" w:hAnsi="Arial"/>
          <w:sz w:val="13"/>
          <w:szCs w:val="13"/>
          <w:color w:val="auto"/>
        </w:rPr>
        <w:t>In connection with the Quarterly Report of Regeneron Pharmaceuticals, Inc. (the "Company") on Form 10-Q for the quarterly period ended September 30, 2011 as filed with the Securities and Exchange Commission on the date hereof (the "Report"), Leonard S. Schleifer, M.D., Ph.D., as Chief Executive Officer of the Company, and Murray A. Goldberg, as Chief Financial Officer of the Company, each hereby certifies, pursuant to 18 U.S.C. § 1350, as adopted pursuant to § 906 of the Sarbanes-Oxley Act of 2002, to the best of his knowledge, that:</w:t>
      </w:r>
    </w:p>
    <w:p>
      <w:pPr>
        <w:spacing w:after="0" w:line="172" w:lineRule="exact"/>
        <w:rPr>
          <w:sz w:val="20"/>
          <w:szCs w:val="20"/>
          <w:color w:val="auto"/>
        </w:rPr>
      </w:pPr>
    </w:p>
    <w:p>
      <w:pPr>
        <w:ind w:left="420" w:hanging="193"/>
        <w:spacing w:after="0"/>
        <w:tabs>
          <w:tab w:leader="none" w:pos="4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233" w:lineRule="exact"/>
        <w:rPr>
          <w:rFonts w:ascii="Arial" w:cs="Arial" w:eastAsia="Arial" w:hAnsi="Arial"/>
          <w:sz w:val="14"/>
          <w:szCs w:val="14"/>
          <w:color w:val="auto"/>
        </w:rPr>
      </w:pPr>
    </w:p>
    <w:p>
      <w:pPr>
        <w:ind w:left="420" w:hanging="201"/>
        <w:spacing w:after="0"/>
        <w:tabs>
          <w:tab w:leader="none" w:pos="4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/s/ L</w:t>
      </w:r>
      <w:r>
        <w:rPr>
          <w:rFonts w:ascii="Arial" w:cs="Arial" w:eastAsia="Arial" w:hAnsi="Arial"/>
          <w:sz w:val="10"/>
          <w:szCs w:val="10"/>
          <w:color w:val="auto"/>
        </w:rPr>
        <w:t>EONARD</w:t>
      </w:r>
      <w:r>
        <w:rPr>
          <w:rFonts w:ascii="Arial" w:cs="Arial" w:eastAsia="Arial" w:hAnsi="Arial"/>
          <w:sz w:val="14"/>
          <w:szCs w:val="14"/>
          <w:color w:val="auto"/>
        </w:rPr>
        <w:t xml:space="preserve"> S. S</w:t>
      </w:r>
      <w:r>
        <w:rPr>
          <w:rFonts w:ascii="Arial" w:cs="Arial" w:eastAsia="Arial" w:hAnsi="Arial"/>
          <w:sz w:val="10"/>
          <w:szCs w:val="10"/>
          <w:color w:val="auto"/>
        </w:rPr>
        <w:t>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63601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636010" cy="698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Leonard S. Schleifer, M.D., Ph.D.</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October 27, 2011</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/s/ M</w:t>
      </w:r>
      <w:r>
        <w:rPr>
          <w:rFonts w:ascii="Arial" w:cs="Arial" w:eastAsia="Arial" w:hAnsi="Arial"/>
          <w:sz w:val="10"/>
          <w:szCs w:val="10"/>
          <w:color w:val="auto"/>
        </w:rPr>
        <w:t>URRAY</w:t>
      </w:r>
      <w:r>
        <w:rPr>
          <w:rFonts w:ascii="Arial" w:cs="Arial" w:eastAsia="Arial" w:hAnsi="Arial"/>
          <w:sz w:val="14"/>
          <w:szCs w:val="14"/>
          <w:color w:val="auto"/>
        </w:rPr>
        <w:t xml:space="preserve"> A. G</w:t>
      </w:r>
      <w:r>
        <w:rPr>
          <w:rFonts w:ascii="Arial" w:cs="Arial" w:eastAsia="Arial" w:hAnsi="Arial"/>
          <w:sz w:val="10"/>
          <w:szCs w:val="10"/>
          <w:color w:val="auto"/>
        </w:rPr>
        <w:t>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63601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636010" cy="698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Murray A. Goldberg</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Chief Financial Officer</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October 27,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291705" cy="196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sectPr>
      <w:pgSz w:w="11900" w:h="16838" w:orient="portrait"/>
      <w:cols w:equalWidth="0" w:num="1">
        <w:col w:w="11460"/>
      </w:cols>
      <w:pgMar w:left="220" w:top="33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upperLetter"/>
      <w:start w:val="24"/>
    </w:lvl>
  </w:abstractNum>
  <w:abstractNum w:abstractNumId="1">
    <w:nsid w:val="79838CB2"/>
    <w:multiLevelType w:val="hybridMultilevel"/>
    <w:lvl w:ilvl="0">
      <w:lvlJc w:val="left"/>
      <w:lvlText w:val="(%1)"/>
      <w:numFmt w:val="decimal"/>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
    <w:nsid w:val="189A769B"/>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5">
    <w:nsid w:val="54E49EB4"/>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Letter"/>
      <w:start w:val="2"/>
    </w:lvl>
  </w:abstractNum>
  <w:abstractNum w:abstractNumId="6">
    <w:nsid w:val="71F32454"/>
    <w:multiLevelType w:val="hybridMultilevel"/>
    <w:lvl w:ilvl="0">
      <w:lvlJc w:val="left"/>
      <w:lvlText w:val="(%1)"/>
      <w:numFmt w:val="upperLetter"/>
      <w:start w:val="3"/>
    </w:lvl>
    <w:lvl w:ilvl="1">
      <w:lvlJc w:val="left"/>
      <w:lvlText w:val="%2."/>
      <w:numFmt w:val="decimal"/>
      <w:start w:val="3"/>
    </w:lvl>
    <w:lvl w:ilvl="2">
      <w:lvlJc w:val="left"/>
      <w:lvlText w:val="%3."/>
      <w:numFmt w:val="decimal"/>
      <w:start w:val="3"/>
    </w:lvl>
    <w:lvl w:ilvl="3">
      <w:lvlJc w:val="left"/>
      <w:lvlText w:val="(%4)"/>
      <w:numFmt w:val="lowerLetter"/>
      <w:start w:val="1"/>
    </w:lvl>
    <w:lvl w:ilvl="4">
      <w:lvlJc w:val="left"/>
      <w:lvlText w:val="%5"/>
      <w:numFmt w:val="lowerLetter"/>
      <w:start w:val="1"/>
    </w:lvl>
  </w:abstractNum>
  <w:abstractNum w:abstractNumId="7">
    <w:nsid w:val="2CA8861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8">
    <w:nsid w:val="836C40E"/>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4"/>
    </w:lvl>
  </w:abstractNum>
  <w:abstractNum w:abstractNumId="9">
    <w:nsid w:val="2901D82"/>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0">
    <w:nsid w:val="3A95F874"/>
    <w:multiLevelType w:val="hybridMultilevel"/>
    <w:lvl w:ilvl="0">
      <w:lvlJc w:val="left"/>
      <w:lvlText w:val="%1."/>
      <w:numFmt w:val="decimal"/>
      <w:start w:val="44"/>
    </w:lvl>
  </w:abstractNum>
  <w:abstractNum w:abstractNumId="11">
    <w:nsid w:val="8138641"/>
    <w:multiLevelType w:val="hybridMultilevel"/>
    <w:lvl w:ilvl="0">
      <w:lvlJc w:val="left"/>
      <w:lvlText w:val="%1."/>
      <w:numFmt w:val="decimal"/>
      <w:start w:val="7"/>
    </w:lvl>
    <w:lvl w:ilvl="1">
      <w:lvlJc w:val="left"/>
      <w:lvlText w:val="%2."/>
      <w:numFmt w:val="decimal"/>
      <w:start w:val="8"/>
    </w:lvl>
    <w:lvl w:ilvl="2">
      <w:lvlJc w:val="left"/>
      <w:lvlText w:val="%3."/>
      <w:numFmt w:val="decimal"/>
      <w:start w:val="8"/>
    </w:lvl>
  </w:abstractNum>
  <w:abstractNum w:abstractNumId="12">
    <w:nsid w:val="1E7FF521"/>
    <w:multiLevelType w:val="hybridMultilevel"/>
    <w:lvl w:ilvl="0">
      <w:lvlJc w:val="left"/>
      <w:lvlText w:val="%1."/>
      <w:numFmt w:val="decimal"/>
      <w:start w:val="10"/>
    </w:lvl>
  </w:abstractNum>
  <w:abstractNum w:abstractNumId="13">
    <w:nsid w:val="7C3DBD3D"/>
    <w:multiLevelType w:val="hybridMultilevel"/>
    <w:lvl w:ilvl="0">
      <w:lvlJc w:val="left"/>
      <w:lvlText w:val="%1."/>
      <w:numFmt w:val="decimal"/>
      <w:start w:val="12"/>
    </w:lvl>
    <w:lvl w:ilvl="1">
      <w:lvlJc w:val="left"/>
      <w:lvlText w:val="%2."/>
      <w:numFmt w:val="decimal"/>
      <w:start w:val="13"/>
    </w:lvl>
  </w:abstractNum>
  <w:abstractNum w:abstractNumId="14">
    <w:nsid w:val="737B8DDC"/>
    <w:multiLevelType w:val="hybridMultilevel"/>
    <w:lvl w:ilvl="0">
      <w:lvlJc w:val="left"/>
      <w:lvlText w:val="%1."/>
      <w:numFmt w:val="decimal"/>
      <w:start w:val="14"/>
    </w:lvl>
  </w:abstractNum>
  <w:abstractNum w:abstractNumId="15">
    <w:nsid w:val="6CEAF08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6">
    <w:nsid w:val="22221A70"/>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abstractNum>
  <w:abstractNum w:abstractNumId="17">
    <w:nsid w:val="4516DDE9"/>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1"/>
    </w:lvl>
    <w:lvl w:ilvl="1">
      <w:lvlJc w:val="left"/>
      <w:lvlText w:val="%2."/>
      <w:numFmt w:val="decimal"/>
      <w:start w:val="2"/>
    </w:lvl>
  </w:abstractNum>
  <w:abstractNum w:abstractNumId="20">
    <w:nsid w:val="419AC241"/>
    <w:multiLevelType w:val="hybridMultilevel"/>
    <w:lvl w:ilvl="0">
      <w:lvlJc w:val="left"/>
      <w:lvlText w:val="%1."/>
      <w:numFmt w:val="decimal"/>
      <w:start w:val="3"/>
    </w:lvl>
    <w:lvl w:ilvl="1">
      <w:lvlJc w:val="left"/>
      <w:lvlText w:val="%2"/>
      <w:numFmt w:val="decimal"/>
      <w:start w:val="1"/>
    </w:lvl>
  </w:abstractNum>
  <w:abstractNum w:abstractNumId="21">
    <w:nsid w:val="5577F8E1"/>
    <w:multiLevelType w:val="hybridMultilevel"/>
    <w:lvl w:ilvl="0">
      <w:lvlJc w:val="left"/>
      <w:lvlText w:val="%1."/>
      <w:numFmt w:val="decimal"/>
      <w:start w:val="44"/>
    </w:lvl>
  </w:abstractNum>
  <w:abstractNum w:abstractNumId="22">
    <w:nsid w:val="440BADFC"/>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23">
    <w:nsid w:val="5072367"/>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abstractNum>
  <w:abstractNum w:abstractNumId="24">
    <w:nsid w:val="3804823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5">
    <w:nsid w:val="77465F01"/>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6">
    <w:nsid w:val="7724C67E"/>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27">
    <w:nsid w:val="5C482A97"/>
    <w:multiLevelType w:val="hybridMultilevel"/>
    <w:lvl w:ilvl="0">
      <w:lvlJc w:val="left"/>
      <w:lvlText w:val="%1."/>
      <w:numFmt w:val="decimal"/>
      <w:start w:val="8"/>
    </w:lvl>
    <w:lvl w:ilvl="1">
      <w:lvlJc w:val="left"/>
      <w:lvlText w:val="%2."/>
      <w:numFmt w:val="decimal"/>
      <w:start w:val="9"/>
    </w:lvl>
    <w:lvl w:ilvl="2">
      <w:lvlJc w:val="left"/>
      <w:lvlText w:val="%3."/>
      <w:numFmt w:val="decimal"/>
      <w:start w:val="11"/>
    </w:lvl>
    <w:lvl w:ilvl="3">
      <w:lvlJc w:val="left"/>
      <w:lvlText w:val="(%4)"/>
      <w:numFmt w:val="lowerLetter"/>
      <w:start w:val="1"/>
    </w:lvl>
  </w:abstractNum>
  <w:abstractNum w:abstractNumId="28">
    <w:nsid w:val="2463B9EA"/>
    <w:multiLevelType w:val="hybridMultilevel"/>
    <w:lvl w:ilvl="0">
      <w:lvlJc w:val="left"/>
      <w:lvlText w:val="%1."/>
      <w:numFmt w:val="decimal"/>
      <w:start w:val="13"/>
    </w:lvl>
  </w:abstractNum>
  <w:abstractNum w:abstractNumId="29">
    <w:nsid w:val="5E884ADC"/>
    <w:multiLevelType w:val="hybridMultilevel"/>
    <w:lvl w:ilvl="0">
      <w:lvlJc w:val="left"/>
      <w:lvlText w:val="%1."/>
      <w:numFmt w:val="decimal"/>
      <w:start w:val="14"/>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2">
    <w:nsid w:val="580BD78F"/>
    <w:multiLevelType w:val="hybridMultilevel"/>
    <w:lvl w:ilvl="0">
      <w:lvlJc w:val="left"/>
      <w:lvlText w:val="%1."/>
      <w:numFmt w:val="decimal"/>
      <w:start w:val="2"/>
    </w:lvl>
    <w:lvl w:ilvl="1">
      <w:lvlJc w:val="left"/>
      <w:lvlText w:val="%2"/>
      <w:numFmt w:val="decimal"/>
      <w:start w:val="1"/>
    </w:lvl>
    <w:lvl w:ilvl="2">
      <w:lvlJc w:val="left"/>
      <w:lvlText w:val="%3."/>
      <w:numFmt w:val="decimal"/>
      <w:start w:val="3"/>
    </w:lvl>
  </w:abstractNum>
  <w:abstractNum w:abstractNumId="33">
    <w:nsid w:val="153EA438"/>
    <w:multiLevelType w:val="hybridMultilevel"/>
    <w:lvl w:ilvl="0">
      <w:lvlJc w:val="left"/>
      <w:lvlText w:val="%1."/>
      <w:numFmt w:val="decimal"/>
      <w:start w:val="4"/>
    </w:lvl>
    <w:lvl w:ilvl="1">
      <w:lvlJc w:val="left"/>
      <w:lvlText w:val="%2."/>
      <w:numFmt w:val="decimal"/>
      <w:start w:val="5"/>
    </w:lvl>
    <w:lvl w:ilvl="2">
      <w:lvlJc w:val="left"/>
      <w:lvlText w:val="%3."/>
      <w:numFmt w:val="decimal"/>
      <w:start w:val="5"/>
    </w:lvl>
    <w:lvl w:ilvl="3">
      <w:lvlJc w:val="left"/>
      <w:lvlText w:val="%4."/>
      <w:numFmt w:val="lowerLetter"/>
      <w:start w:val="1"/>
    </w:lvl>
  </w:abstractNum>
  <w:abstractNum w:abstractNumId="34">
    <w:nsid w:val="3855585C"/>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35">
    <w:nsid w:val="70A64E2A"/>
    <w:multiLevelType w:val="hybridMultilevel"/>
    <w:lvl w:ilvl="0">
      <w:lvlJc w:val="left"/>
      <w:lvlText w:val="%1."/>
      <w:numFmt w:val="decimal"/>
      <w:start w:val="8"/>
    </w:lvl>
    <w:lvl w:ilvl="1">
      <w:lvlJc w:val="left"/>
      <w:lvlText w:val="%2."/>
      <w:numFmt w:val="decimal"/>
      <w:start w:val="12"/>
    </w:lvl>
    <w:lvl w:ilvl="2">
      <w:lvlJc w:val="left"/>
      <w:lvlText w:val="%3"/>
      <w:numFmt w:val="lowerLetter"/>
      <w:start w:val="1"/>
    </w:lvl>
  </w:abstractNum>
  <w:abstractNum w:abstractNumId="36">
    <w:nsid w:val="6A2342EC"/>
    <w:multiLevelType w:val="hybridMultilevel"/>
    <w:lvl w:ilvl="0">
      <w:lvlJc w:val="left"/>
      <w:lvlText w:val="%1."/>
      <w:numFmt w:val="decimal"/>
      <w:start w:val="13"/>
    </w:lvl>
    <w:lvl w:ilvl="1">
      <w:lvlJc w:val="left"/>
      <w:lvlText w:val="%2."/>
      <w:numFmt w:val="decimal"/>
      <w:start w:val="14"/>
    </w:lvl>
    <w:lvl w:ilvl="2">
      <w:lvlJc w:val="left"/>
      <w:lvlText w:val="%3."/>
      <w:numFmt w:val="decimal"/>
      <w:start w:val="15"/>
    </w:lvl>
  </w:abstractNum>
  <w:abstractNum w:abstractNumId="37">
    <w:nsid w:val="2A487CB0"/>
    <w:multiLevelType w:val="hybridMultilevel"/>
    <w:lvl w:ilvl="0">
      <w:lvlJc w:val="left"/>
      <w:lvlText w:val="%1."/>
      <w:numFmt w:val="decimal"/>
      <w:start w:val="16"/>
    </w:lvl>
    <w:lvl w:ilvl="1">
      <w:lvlJc w:val="left"/>
      <w:lvlText w:val="%2."/>
      <w:numFmt w:val="decimal"/>
      <w:start w:val="17"/>
    </w:lvl>
  </w:abstractNum>
  <w:abstractNum w:abstractNumId="38">
    <w:nsid w:val="1D4ED43B"/>
    <w:multiLevelType w:val="hybridMultilevel"/>
    <w:lvl w:ilvl="0">
      <w:lvlJc w:val="left"/>
      <w:lvlText w:val="%1."/>
      <w:numFmt w:val="decimal"/>
      <w:start w:val="18"/>
    </w:lvl>
  </w:abstractNum>
  <w:abstractNum w:abstractNumId="39">
    <w:nsid w:val="725A06FB"/>
    <w:multiLevelType w:val="hybridMultilevel"/>
    <w:lvl w:ilvl="0">
      <w:lvlJc w:val="left"/>
      <w:lvlText w:val="%1."/>
      <w:numFmt w:val="decimal"/>
      <w:start w:val="20"/>
    </w:lvl>
    <w:lvl w:ilvl="1">
      <w:lvlJc w:val="left"/>
      <w:lvlText w:val="%2."/>
      <w:numFmt w:val="decimal"/>
      <w:start w:val="28"/>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1"/>
    </w:lvl>
    <w:lvl w:ilvl="1">
      <w:lvlJc w:val="left"/>
      <w:lvlText w:val="%2."/>
      <w:numFmt w:val="decimal"/>
      <w:start w:val="4"/>
    </w:lvl>
    <w:lvl w:ilvl="2">
      <w:lvlJc w:val="left"/>
      <w:lvlText w:val="%3."/>
      <w:numFmt w:val="decimal"/>
      <w:start w:val="4"/>
    </w:lvl>
  </w:abstractNum>
  <w:abstractNum w:abstractNumId="42">
    <w:nsid w:val="7A6D8D3C"/>
    <w:multiLevelType w:val="hybridMultilevel"/>
    <w:lvl w:ilvl="0">
      <w:lvlJc w:val="left"/>
      <w:lvlText w:val="%1."/>
      <w:numFmt w:val="decimal"/>
      <w:start w:val="6"/>
    </w:lvl>
  </w:abstractNum>
  <w:abstractNum w:abstractNumId="43">
    <w:nsid w:val="4B588F54"/>
    <w:multiLevelType w:val="hybridMultilevel"/>
    <w:lvl w:ilvl="0">
      <w:lvlJc w:val="left"/>
      <w:lvlText w:val="%1"/>
      <w:numFmt w:val="decimal"/>
      <w:start w:val="1"/>
    </w:lvl>
    <w:lvl w:ilvl="1">
      <w:lvlJc w:val="left"/>
      <w:lvlText w:val="%2."/>
      <w:numFmt w:val="decimal"/>
      <w:start w:val="7"/>
    </w:lvl>
  </w:abstractNum>
  <w:abstractNum w:abstractNumId="44">
    <w:nsid w:val="542289EC"/>
    <w:multiLevelType w:val="hybridMultilevel"/>
    <w:lvl w:ilvl="0">
      <w:lvlJc w:val="left"/>
      <w:lvlText w:val="%1."/>
      <w:numFmt w:val="decimal"/>
      <w:start w:val="8"/>
    </w:lvl>
    <w:lvl w:ilvl="1">
      <w:lvlJc w:val="left"/>
      <w:lvlText w:val="%2"/>
      <w:numFmt w:val="decimal"/>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2019-12-10T10:27:02Z</dcterms:created>
  <dcterms:modified xsi:type="dcterms:W3CDTF">2019-12-10T10:27:02Z</dcterms:modified>
</cp:coreProperties>
</file>