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16, 2020 (June 12, 2020)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558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13-3444607</w:t>
            </w:r>
          </w:p>
        </w:tc>
      </w:tr>
      <w:tr>
        <w:trPr>
          <w:trHeight w:val="148"/>
        </w:trPr>
        <w:tc>
          <w:tcPr>
            <w:tcW w:w="5580" w:type="dxa"/>
            <w:vAlign w:val="bottom"/>
          </w:tcPr>
          <w:p>
            <w:pPr>
              <w:jc w:val="center"/>
              <w:ind w:right="146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68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580" w:type="dxa"/>
            <w:vAlign w:val="bottom"/>
          </w:tcPr>
          <w:p>
            <w:pPr>
              <w:jc w:val="center"/>
              <w:ind w:right="1461"/>
              <w:spacing w:after="0"/>
              <w:rPr>
                <w:sz w:val="20"/>
                <w:szCs w:val="20"/>
                <w:color w:val="auto"/>
              </w:rPr>
            </w:pPr>
            <w:r>
              <w:rPr>
                <w:rFonts w:ascii="Arial" w:cs="Arial" w:eastAsia="Arial" w:hAnsi="Arial"/>
                <w:sz w:val="14"/>
                <w:szCs w:val="14"/>
                <w:b w:val="1"/>
                <w:bCs w:val="1"/>
                <w:color w:val="auto"/>
                <w:w w:val="98"/>
              </w:rPr>
              <w:t>File Number)</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6"/>
              </w:rPr>
              <w:t>Identification No.)</w:t>
            </w:r>
          </w:p>
        </w:tc>
      </w:tr>
      <w:tr>
        <w:trPr>
          <w:trHeight w:val="610"/>
        </w:trPr>
        <w:tc>
          <w:tcPr>
            <w:tcW w:w="5580" w:type="dxa"/>
            <w:vAlign w:val="bottom"/>
          </w:tcPr>
          <w:p>
            <w:pPr>
              <w:jc w:val="center"/>
              <w:ind w:right="146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5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5"/>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ind w:left="1000" w:right="8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described in Item 5.07 below, at the 2020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on June 12, 2020 (the “</w:t>
      </w:r>
      <w:r>
        <w:rPr>
          <w:rFonts w:ascii="Arial" w:cs="Arial" w:eastAsia="Arial" w:hAnsi="Arial"/>
          <w:sz w:val="18"/>
          <w:szCs w:val="18"/>
          <w:u w:val="single" w:color="auto"/>
          <w:color w:val="auto"/>
        </w:rPr>
        <w:t>Annual Meeting</w:t>
      </w:r>
      <w:r>
        <w:rPr>
          <w:rFonts w:ascii="Arial" w:cs="Arial" w:eastAsia="Arial" w:hAnsi="Arial"/>
          <w:sz w:val="18"/>
          <w:szCs w:val="18"/>
          <w:color w:val="auto"/>
        </w:rPr>
        <w:t>”), the Company’s shareholders approved the Second Amended and Restated Regeneron Pharmaceuticals, Inc. 2014 Long-Term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The Plan was previously adopted by Regeneron’s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on April 3, 2020 based upon the recommendation of the Compensation Committee of the Board.</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 description of the material terms of the Plan is set forth on pages 99 – 106 of the Company’s Definitive Proxy Statement on Schedule 14A filed with the Securities and Exchange Commission on April 24, 2020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and is incorporated herein by reference. The description of the Plan is qualified in its entirety by reference to the full text of the Plan, a copy of which is filed as Exhibit 10.1 to this Current Report on Form 8-K and is incorporated herein by reference.</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Regeneron’s shareholders voted on the matters set forth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nominees for Class II directors were elected to serve until the 2023 Annual Meeting of Shareholders and until their successors are duly elected and qualified based upon the following votes: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Broker Non-</w:t>
            </w: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160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w:t>
            </w: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Against</w:t>
            </w:r>
          </w:p>
        </w:tc>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Abstain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Votes</w:t>
            </w:r>
          </w:p>
        </w:tc>
      </w:tr>
      <w:tr>
        <w:trPr>
          <w:trHeight w:val="210"/>
        </w:trPr>
        <w:tc>
          <w:tcPr>
            <w:tcW w:w="49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Joseph L. Goldstein, M.D.</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110,706,608</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7"/>
              </w:rPr>
              <w:t>5,757,444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36,518</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5,469,768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ind w:left="100"/>
              <w:spacing w:after="0"/>
              <w:rPr>
                <w:sz w:val="20"/>
                <w:szCs w:val="20"/>
                <w:color w:val="auto"/>
              </w:rPr>
            </w:pPr>
            <w:r>
              <w:rPr>
                <w:rFonts w:ascii="Arial" w:cs="Arial" w:eastAsia="Arial" w:hAnsi="Arial"/>
                <w:sz w:val="18"/>
                <w:szCs w:val="18"/>
                <w:color w:val="auto"/>
              </w:rPr>
              <w:t>Christine A. Poon</w:t>
            </w: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106,538,194</w:t>
            </w:r>
          </w:p>
        </w:tc>
        <w:tc>
          <w:tcPr>
            <w:tcW w:w="1560" w:type="dxa"/>
            <w:vAlign w:val="bottom"/>
            <w:gridSpan w:val="2"/>
          </w:tcPr>
          <w:p>
            <w:pPr>
              <w:ind w:left="500"/>
              <w:spacing w:after="0"/>
              <w:rPr>
                <w:sz w:val="20"/>
                <w:szCs w:val="20"/>
                <w:color w:val="auto"/>
              </w:rPr>
            </w:pPr>
            <w:r>
              <w:rPr>
                <w:rFonts w:ascii="Arial" w:cs="Arial" w:eastAsia="Arial" w:hAnsi="Arial"/>
                <w:sz w:val="18"/>
                <w:szCs w:val="18"/>
                <w:color w:val="auto"/>
              </w:rPr>
              <w:t>9,930,934</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31,442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5,469,768</w:t>
            </w:r>
          </w:p>
        </w:tc>
      </w:tr>
      <w:tr>
        <w:trPr>
          <w:trHeight w:val="216"/>
        </w:trPr>
        <w:tc>
          <w:tcPr>
            <w:tcW w:w="5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 Roy Vagelos, M.D.</w:t>
            </w: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114,557,027</w:t>
            </w:r>
          </w:p>
        </w:tc>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1,914,286</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29,257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5,469,768</w:t>
            </w:r>
          </w:p>
        </w:tc>
      </w:tr>
      <w:tr>
        <w:trPr>
          <w:trHeight w:val="230"/>
        </w:trPr>
        <w:tc>
          <w:tcPr>
            <w:tcW w:w="5200" w:type="dxa"/>
            <w:vAlign w:val="bottom"/>
            <w:gridSpan w:val="2"/>
          </w:tcPr>
          <w:p>
            <w:pPr>
              <w:ind w:left="100"/>
              <w:spacing w:after="0"/>
              <w:rPr>
                <w:sz w:val="20"/>
                <w:szCs w:val="20"/>
                <w:color w:val="auto"/>
              </w:rPr>
            </w:pPr>
            <w:r>
              <w:rPr>
                <w:rFonts w:ascii="Arial" w:cs="Arial" w:eastAsia="Arial" w:hAnsi="Arial"/>
                <w:sz w:val="18"/>
                <w:szCs w:val="18"/>
                <w:color w:val="auto"/>
              </w:rPr>
              <w:t>Huda Y. Zoghbi, M.D.</w:t>
            </w:r>
          </w:p>
        </w:tc>
        <w:tc>
          <w:tcPr>
            <w:tcW w:w="1600" w:type="dxa"/>
            <w:vAlign w:val="bottom"/>
            <w:gridSpan w:val="2"/>
          </w:tcPr>
          <w:p>
            <w:pPr>
              <w:ind w:left="360"/>
              <w:spacing w:after="0"/>
              <w:rPr>
                <w:sz w:val="20"/>
                <w:szCs w:val="20"/>
                <w:color w:val="auto"/>
              </w:rPr>
            </w:pPr>
            <w:r>
              <w:rPr>
                <w:rFonts w:ascii="Arial" w:cs="Arial" w:eastAsia="Arial" w:hAnsi="Arial"/>
                <w:sz w:val="18"/>
                <w:szCs w:val="18"/>
                <w:color w:val="auto"/>
              </w:rPr>
              <w:t>111,334,839</w:t>
            </w:r>
          </w:p>
        </w:tc>
        <w:tc>
          <w:tcPr>
            <w:tcW w:w="1560" w:type="dxa"/>
            <w:vAlign w:val="bottom"/>
            <w:gridSpan w:val="2"/>
          </w:tcPr>
          <w:p>
            <w:pPr>
              <w:ind w:left="500"/>
              <w:spacing w:after="0"/>
              <w:rPr>
                <w:sz w:val="20"/>
                <w:szCs w:val="20"/>
                <w:color w:val="auto"/>
              </w:rPr>
            </w:pPr>
            <w:r>
              <w:rPr>
                <w:rFonts w:ascii="Arial" w:cs="Arial" w:eastAsia="Arial" w:hAnsi="Arial"/>
                <w:sz w:val="18"/>
                <w:szCs w:val="18"/>
                <w:color w:val="auto"/>
              </w:rPr>
              <w:t>5,129,482</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36,249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5,469,768</w:t>
            </w:r>
          </w:p>
        </w:tc>
      </w:tr>
    </w:tbl>
    <w:p>
      <w:pPr>
        <w:spacing w:after="0" w:line="18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nominee for a Class III director was elected to serve until the 2021 Annual Meeting of Shareholders and until his successor is duly elected and qualified based upon the following votes: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Broker Non-</w:t>
            </w:r>
          </w:p>
        </w:tc>
      </w:t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1600" w:type="dxa"/>
            <w:vAlign w:val="bottom"/>
            <w:gridSpan w:val="2"/>
          </w:tcPr>
          <w:p>
            <w:pPr>
              <w:ind w:left="480"/>
              <w:spacing w:after="0"/>
              <w:rPr>
                <w:sz w:val="20"/>
                <w:szCs w:val="20"/>
                <w:color w:val="auto"/>
              </w:rPr>
            </w:pPr>
            <w:r>
              <w:rPr>
                <w:rFonts w:ascii="Arial" w:cs="Arial" w:eastAsia="Arial" w:hAnsi="Arial"/>
                <w:sz w:val="18"/>
                <w:szCs w:val="18"/>
                <w:b w:val="1"/>
                <w:bCs w:val="1"/>
                <w:color w:val="auto"/>
              </w:rPr>
              <w:t>For</w:t>
            </w: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Against</w:t>
            </w:r>
          </w:p>
        </w:tc>
        <w:tc>
          <w:tcPr>
            <w:tcW w:w="1540" w:type="dxa"/>
            <w:vAlign w:val="bottom"/>
            <w:gridSpan w:val="2"/>
          </w:tcPr>
          <w:p>
            <w:pPr>
              <w:ind w:left="300"/>
              <w:spacing w:after="0"/>
              <w:rPr>
                <w:sz w:val="20"/>
                <w:szCs w:val="20"/>
                <w:color w:val="auto"/>
              </w:rPr>
            </w:pPr>
            <w:r>
              <w:rPr>
                <w:rFonts w:ascii="Arial" w:cs="Arial" w:eastAsia="Arial" w:hAnsi="Arial"/>
                <w:sz w:val="18"/>
                <w:szCs w:val="18"/>
                <w:b w:val="1"/>
                <w:bCs w:val="1"/>
                <w:color w:val="auto"/>
              </w:rPr>
              <w:t>Abstain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1"/>
              </w:rPr>
              <w:t>Votes</w:t>
            </w:r>
          </w:p>
        </w:tc>
      </w:tr>
      <w:tr>
        <w:trPr>
          <w:trHeight w:val="210"/>
        </w:trPr>
        <w:tc>
          <w:tcPr>
            <w:tcW w:w="49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 Anthony Coles, M.D.</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115,885,996</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544,086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70,488</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5,469,768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2020 was approved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119,959,637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240" w:type="dxa"/>
            <w:vAlign w:val="bottom"/>
          </w:tcPr>
          <w:p>
            <w:pPr>
              <w:ind w:left="100"/>
              <w:spacing w:after="0"/>
              <w:rPr>
                <w:sz w:val="20"/>
                <w:szCs w:val="20"/>
                <w:color w:val="auto"/>
              </w:rPr>
            </w:pPr>
            <w:r>
              <w:rPr>
                <w:rFonts w:ascii="Arial" w:cs="Arial" w:eastAsia="Arial" w:hAnsi="Arial"/>
                <w:sz w:val="18"/>
                <w:szCs w:val="18"/>
                <w:color w:val="auto"/>
              </w:rPr>
              <w:t>Against:</w:t>
            </w:r>
          </w:p>
        </w:tc>
        <w:tc>
          <w:tcPr>
            <w:tcW w:w="3500" w:type="dxa"/>
            <w:vAlign w:val="bottom"/>
          </w:tcPr>
          <w:p>
            <w:pPr>
              <w:jc w:val="right"/>
              <w:spacing w:after="0"/>
              <w:rPr>
                <w:sz w:val="20"/>
                <w:szCs w:val="20"/>
                <w:color w:val="auto"/>
              </w:rPr>
            </w:pPr>
            <w:r>
              <w:rPr>
                <w:rFonts w:ascii="Arial" w:cs="Arial" w:eastAsia="Arial" w:hAnsi="Arial"/>
                <w:sz w:val="18"/>
                <w:szCs w:val="18"/>
                <w:color w:val="auto"/>
              </w:rPr>
              <w:t>1,963,153</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Abstain:</w:t>
            </w:r>
          </w:p>
        </w:tc>
        <w:tc>
          <w:tcPr>
            <w:tcW w:w="3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47,548</w:t>
            </w:r>
          </w:p>
        </w:tc>
        <w:tc>
          <w:tcPr>
            <w:tcW w:w="2240" w:type="dxa"/>
            <w:vAlign w:val="bottom"/>
          </w:tcPr>
          <w:p>
            <w:pPr>
              <w:spacing w:after="0"/>
              <w:rPr>
                <w:sz w:val="18"/>
                <w:szCs w:val="18"/>
                <w:color w:val="auto"/>
              </w:rPr>
            </w:pPr>
          </w:p>
        </w:tc>
      </w:tr>
      <w:tr>
        <w:trPr>
          <w:trHeight w:val="675"/>
        </w:trPr>
        <w:tc>
          <w:tcPr>
            <w:tcW w:w="2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Proposal 3 – Approval of Second Amended and Restated Regeneron Pharmaceuticals, Inc. 2014 Long-Term Incentive Plan</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The proposal to approve the Plan was approved based upon the following votes:</w:t>
            </w:r>
          </w:p>
        </w:tc>
        <w:tc>
          <w:tcPr>
            <w:tcW w:w="1880" w:type="dxa"/>
            <w:vAlign w:val="bottom"/>
          </w:tcPr>
          <w:p>
            <w:pPr>
              <w:spacing w:after="0"/>
              <w:rPr>
                <w:sz w:val="20"/>
                <w:szCs w:val="20"/>
                <w:color w:val="auto"/>
              </w:rPr>
            </w:pPr>
          </w:p>
        </w:tc>
      </w:tr>
      <w:tr>
        <w:trPr>
          <w:trHeight w:val="216"/>
        </w:trPr>
        <w:tc>
          <w:tcPr>
            <w:tcW w:w="19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85,583,885</w:t>
            </w:r>
          </w:p>
        </w:tc>
      </w:tr>
      <w:tr>
        <w:trPr>
          <w:trHeight w:val="216"/>
        </w:trPr>
        <w:tc>
          <w:tcPr>
            <w:tcW w:w="192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Against:</w:t>
            </w:r>
          </w:p>
        </w:tc>
        <w:tc>
          <w:tcPr>
            <w:tcW w:w="1880" w:type="dxa"/>
            <w:vAlign w:val="bottom"/>
          </w:tcPr>
          <w:p>
            <w:pPr>
              <w:jc w:val="right"/>
              <w:spacing w:after="0"/>
              <w:rPr>
                <w:sz w:val="20"/>
                <w:szCs w:val="20"/>
                <w:color w:val="auto"/>
              </w:rPr>
            </w:pPr>
            <w:r>
              <w:rPr>
                <w:rFonts w:ascii="Arial" w:cs="Arial" w:eastAsia="Arial" w:hAnsi="Arial"/>
                <w:sz w:val="18"/>
                <w:szCs w:val="18"/>
                <w:color w:val="auto"/>
              </w:rPr>
              <w:t>30,831,453</w:t>
            </w:r>
          </w:p>
        </w:tc>
      </w:tr>
      <w:tr>
        <w:trPr>
          <w:trHeight w:val="216"/>
        </w:trPr>
        <w:tc>
          <w:tcPr>
            <w:tcW w:w="192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Abstain: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85,232</w:t>
            </w:r>
          </w:p>
        </w:tc>
      </w:tr>
      <w:tr>
        <w:trPr>
          <w:trHeight w:val="230"/>
        </w:trPr>
        <w:tc>
          <w:tcPr>
            <w:tcW w:w="1920" w:type="dxa"/>
            <w:vAlign w:val="bottom"/>
          </w:tcPr>
          <w:p>
            <w:pPr>
              <w:spacing w:after="0"/>
              <w:rPr>
                <w:sz w:val="20"/>
                <w:szCs w:val="20"/>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Broker Non-Votes:</w:t>
            </w:r>
          </w:p>
        </w:tc>
        <w:tc>
          <w:tcPr>
            <w:tcW w:w="1880" w:type="dxa"/>
            <w:vAlign w:val="bottom"/>
          </w:tcPr>
          <w:p>
            <w:pPr>
              <w:jc w:val="right"/>
              <w:spacing w:after="0"/>
              <w:rPr>
                <w:sz w:val="20"/>
                <w:szCs w:val="20"/>
                <w:color w:val="auto"/>
              </w:rPr>
            </w:pPr>
            <w:r>
              <w:rPr>
                <w:rFonts w:ascii="Arial" w:cs="Arial" w:eastAsia="Arial" w:hAnsi="Arial"/>
                <w:sz w:val="18"/>
                <w:szCs w:val="18"/>
                <w:color w:val="auto"/>
              </w:rPr>
              <w:t>5,469,768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 Advisory Vote on Executive Compensation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resolution to approve, on an advisory basis, the compensation of the Company’s named executive officers as disclosed in the Proxy Statement was approved based upon the following votes: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81,690,302</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Against:</w:t>
            </w:r>
          </w:p>
        </w:tc>
        <w:tc>
          <w:tcPr>
            <w:tcW w:w="3080" w:type="dxa"/>
            <w:vAlign w:val="bottom"/>
          </w:tcPr>
          <w:p>
            <w:pPr>
              <w:jc w:val="right"/>
              <w:spacing w:after="0"/>
              <w:rPr>
                <w:sz w:val="20"/>
                <w:szCs w:val="20"/>
                <w:color w:val="auto"/>
              </w:rPr>
            </w:pPr>
            <w:r>
              <w:rPr>
                <w:rFonts w:ascii="Arial" w:cs="Arial" w:eastAsia="Arial" w:hAnsi="Arial"/>
                <w:sz w:val="18"/>
                <w:szCs w:val="18"/>
                <w:color w:val="auto"/>
              </w:rPr>
              <w:t>34,709,497</w:t>
            </w:r>
          </w:p>
        </w:tc>
        <w:tc>
          <w:tcPr>
            <w:tcW w:w="22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Abstain:</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100,771</w:t>
            </w:r>
          </w:p>
        </w:tc>
        <w:tc>
          <w:tcPr>
            <w:tcW w:w="22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Broker Non-Votes:</w:t>
            </w:r>
          </w:p>
        </w:tc>
        <w:tc>
          <w:tcPr>
            <w:tcW w:w="3080" w:type="dxa"/>
            <w:vAlign w:val="bottom"/>
          </w:tcPr>
          <w:p>
            <w:pPr>
              <w:jc w:val="right"/>
              <w:spacing w:after="0"/>
              <w:rPr>
                <w:sz w:val="20"/>
                <w:szCs w:val="20"/>
                <w:color w:val="auto"/>
              </w:rPr>
            </w:pPr>
            <w:r>
              <w:rPr>
                <w:rFonts w:ascii="Arial" w:cs="Arial" w:eastAsia="Arial" w:hAnsi="Arial"/>
                <w:sz w:val="18"/>
                <w:szCs w:val="18"/>
                <w:color w:val="auto"/>
              </w:rPr>
              <w:t>5,469,768</w:t>
            </w:r>
          </w:p>
        </w:tc>
        <w:tc>
          <w:tcPr>
            <w:tcW w:w="2240" w:type="dxa"/>
            <w:vAlign w:val="bottom"/>
          </w:tcPr>
          <w:p>
            <w:pPr>
              <w:spacing w:after="0"/>
              <w:rPr>
                <w:sz w:val="20"/>
                <w:szCs w:val="20"/>
                <w:color w:val="auto"/>
              </w:rPr>
            </w:pPr>
          </w:p>
        </w:tc>
      </w:tr>
      <w:tr>
        <w:trPr>
          <w:trHeight w:val="661"/>
        </w:trPr>
        <w:tc>
          <w:tcPr>
            <w:tcW w:w="22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23"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hyperlink r:id="rId14">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14">
        <w:r>
          <w:rPr>
            <w:rFonts w:ascii="Arial" w:cs="Arial" w:eastAsia="Arial" w:hAnsi="Arial"/>
            <w:sz w:val="16"/>
            <w:szCs w:val="16"/>
            <w:u w:val="single" w:color="auto"/>
            <w:color w:val="0000EE"/>
          </w:rPr>
          <w:t>Second Amended and Restated Regeneron Pharmaceuticals, Inc. 2014 Long-Term Incentive Plan (Incorporated by reference from the Form S-</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8 for the Registrant, filed June 16, 2020)</w:t>
        </w:r>
      </w:hyperlink>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www.sec.gov/Archives/edgar/data/872589/000110465920073764/tm2022552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2020-06-16T15:34:26Z</dcterms:created>
  <dcterms:modified xsi:type="dcterms:W3CDTF">2020-06-16T15:34:26Z</dcterms:modified>
</cp:coreProperties>
</file>