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January 3, 2012 (December 31,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19685</wp:posOffset>
            </wp:positionV>
            <wp:extent cx="65176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23495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pacing w:after="0" w:line="273"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060" w:type="dxa"/>
            <w:vAlign w:val="bottom"/>
            <w:tcBorders>
              <w:bottom w:val="single" w:sz="8" w:color="auto"/>
            </w:tcBorders>
          </w:tcPr>
          <w:p>
            <w:pPr>
              <w:jc w:val="center"/>
              <w:ind w:left="432"/>
              <w:spacing w:after="0"/>
              <w:rPr>
                <w:sz w:val="20"/>
                <w:szCs w:val="20"/>
                <w:color w:val="auto"/>
              </w:rPr>
            </w:pPr>
            <w:r>
              <w:rPr>
                <w:rFonts w:ascii="Arial" w:cs="Arial" w:eastAsia="Arial" w:hAnsi="Arial"/>
                <w:sz w:val="18"/>
                <w:szCs w:val="18"/>
                <w:b w:val="1"/>
                <w:bCs w:val="1"/>
                <w:color w:val="auto"/>
                <w:w w:val="90"/>
              </w:rPr>
              <w:t>New York</w:t>
            </w:r>
          </w:p>
        </w:tc>
        <w:tc>
          <w:tcPr>
            <w:tcW w:w="500" w:type="dxa"/>
            <w:vAlign w:val="bottom"/>
            <w:tcBorders>
              <w:bottom w:val="single" w:sz="8" w:color="auto"/>
            </w:tcBorders>
            <w:gridSpan w:val="2"/>
          </w:tcPr>
          <w:p>
            <w:pPr>
              <w:spacing w:after="0"/>
              <w:rPr>
                <w:sz w:val="20"/>
                <w:szCs w:val="20"/>
                <w:color w:val="auto"/>
              </w:rPr>
            </w:pPr>
          </w:p>
        </w:tc>
        <w:tc>
          <w:tcPr>
            <w:tcW w:w="320" w:type="dxa"/>
            <w:vAlign w:val="bottom"/>
            <w:gridSpan w:val="2"/>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000-19034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tcPr>
          <w:p>
            <w:pPr>
              <w:jc w:val="right"/>
              <w:ind w:right="1272"/>
              <w:spacing w:after="0"/>
              <w:rPr>
                <w:sz w:val="20"/>
                <w:szCs w:val="20"/>
                <w:color w:val="auto"/>
              </w:rPr>
            </w:pPr>
            <w:r>
              <w:rPr>
                <w:rFonts w:ascii="Arial" w:cs="Arial" w:eastAsia="Arial" w:hAnsi="Arial"/>
                <w:sz w:val="18"/>
                <w:szCs w:val="18"/>
                <w:b w:val="1"/>
                <w:bCs w:val="1"/>
                <w:color w:val="auto"/>
              </w:rPr>
              <w:t>13-3444607</w:t>
            </w:r>
          </w:p>
        </w:tc>
      </w:tr>
      <w:tr>
        <w:trPr>
          <w:trHeight w:val="228"/>
        </w:trPr>
        <w:tc>
          <w:tcPr>
            <w:tcW w:w="3060" w:type="dxa"/>
            <w:vAlign w:val="bottom"/>
          </w:tcPr>
          <w:p>
            <w:pPr>
              <w:jc w:val="center"/>
              <w:ind w:left="412"/>
              <w:spacing w:after="0"/>
              <w:rPr>
                <w:sz w:val="20"/>
                <w:szCs w:val="20"/>
                <w:color w:val="auto"/>
              </w:rPr>
            </w:pPr>
            <w:r>
              <w:rPr>
                <w:rFonts w:ascii="Arial" w:cs="Arial" w:eastAsia="Arial" w:hAnsi="Arial"/>
                <w:sz w:val="18"/>
                <w:szCs w:val="18"/>
                <w:color w:val="auto"/>
                <w:w w:val="90"/>
              </w:rPr>
              <w:t>(State or other jurisdiction of</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60" w:type="dxa"/>
            <w:vAlign w:val="bottom"/>
            <w:gridSpan w:val="4"/>
          </w:tcPr>
          <w:p>
            <w:pPr>
              <w:jc w:val="center"/>
              <w:ind w:right="620"/>
              <w:spacing w:after="0"/>
              <w:rPr>
                <w:sz w:val="20"/>
                <w:szCs w:val="20"/>
                <w:color w:val="auto"/>
              </w:rPr>
            </w:pPr>
            <w:r>
              <w:rPr>
                <w:rFonts w:ascii="Arial" w:cs="Arial" w:eastAsia="Arial" w:hAnsi="Arial"/>
                <w:sz w:val="18"/>
                <w:szCs w:val="18"/>
                <w:color w:val="auto"/>
                <w:w w:val="92"/>
              </w:rPr>
              <w:t>(Commission File No.)</w:t>
            </w:r>
          </w:p>
        </w:tc>
        <w:tc>
          <w:tcPr>
            <w:tcW w:w="3280" w:type="dxa"/>
            <w:vAlign w:val="bottom"/>
          </w:tcPr>
          <w:p>
            <w:pPr>
              <w:jc w:val="center"/>
              <w:ind w:right="212"/>
              <w:spacing w:after="0"/>
              <w:rPr>
                <w:sz w:val="20"/>
                <w:szCs w:val="20"/>
                <w:color w:val="auto"/>
              </w:rPr>
            </w:pPr>
            <w:r>
              <w:rPr>
                <w:rFonts w:ascii="Arial" w:cs="Arial" w:eastAsia="Arial" w:hAnsi="Arial"/>
                <w:sz w:val="18"/>
                <w:szCs w:val="18"/>
                <w:color w:val="auto"/>
                <w:w w:val="92"/>
              </w:rPr>
              <w:t>(IRS Employer Identification No.)</w:t>
            </w:r>
          </w:p>
        </w:tc>
      </w:tr>
      <w:tr>
        <w:trPr>
          <w:trHeight w:val="243"/>
        </w:trPr>
        <w:tc>
          <w:tcPr>
            <w:tcW w:w="3060" w:type="dxa"/>
            <w:vAlign w:val="bottom"/>
          </w:tcPr>
          <w:p>
            <w:pPr>
              <w:jc w:val="center"/>
              <w:ind w:left="432"/>
              <w:spacing w:after="0"/>
              <w:rPr>
                <w:sz w:val="20"/>
                <w:szCs w:val="20"/>
                <w:color w:val="auto"/>
              </w:rPr>
            </w:pPr>
            <w:r>
              <w:rPr>
                <w:rFonts w:ascii="Arial" w:cs="Arial" w:eastAsia="Arial" w:hAnsi="Arial"/>
                <w:sz w:val="18"/>
                <w:szCs w:val="18"/>
                <w:color w:val="auto"/>
                <w:w w:val="91"/>
              </w:rPr>
              <w:t>Incorporation)</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80" w:type="dxa"/>
            <w:vAlign w:val="bottom"/>
          </w:tcPr>
          <w:p>
            <w:pPr>
              <w:spacing w:after="0"/>
              <w:rPr>
                <w:sz w:val="21"/>
                <w:szCs w:val="21"/>
                <w:color w:val="auto"/>
              </w:rPr>
            </w:pPr>
          </w:p>
        </w:tc>
      </w:tr>
      <w:tr>
        <w:trPr>
          <w:trHeight w:val="495"/>
        </w:trPr>
        <w:tc>
          <w:tcPr>
            <w:tcW w:w="3060" w:type="dxa"/>
            <w:vAlign w:val="bottom"/>
          </w:tcPr>
          <w:p>
            <w:pPr>
              <w:spacing w:after="0"/>
              <w:rPr>
                <w:sz w:val="24"/>
                <w:szCs w:val="24"/>
                <w:color w:val="auto"/>
              </w:rPr>
            </w:pPr>
          </w:p>
        </w:tc>
        <w:tc>
          <w:tcPr>
            <w:tcW w:w="5080" w:type="dxa"/>
            <w:vAlign w:val="bottom"/>
            <w:gridSpan w:val="8"/>
          </w:tcPr>
          <w:p>
            <w:pPr>
              <w:jc w:val="center"/>
              <w:ind w:left="132"/>
              <w:spacing w:after="0"/>
              <w:rPr>
                <w:sz w:val="20"/>
                <w:szCs w:val="20"/>
                <w:color w:val="auto"/>
              </w:rPr>
            </w:pPr>
            <w:r>
              <w:rPr>
                <w:rFonts w:ascii="Arial" w:cs="Arial" w:eastAsia="Arial" w:hAnsi="Arial"/>
                <w:sz w:val="18"/>
                <w:szCs w:val="18"/>
                <w:b w:val="1"/>
                <w:bCs w:val="1"/>
                <w:color w:val="auto"/>
                <w:w w:val="90"/>
              </w:rPr>
              <w:t>777 Old Saw Mill River Road, Tarrytown, New York 10591-6707</w:t>
            </w:r>
          </w:p>
        </w:tc>
        <w:tc>
          <w:tcPr>
            <w:tcW w:w="3280" w:type="dxa"/>
            <w:vAlign w:val="bottom"/>
          </w:tcPr>
          <w:p>
            <w:pPr>
              <w:spacing w:after="0"/>
              <w:rPr>
                <w:sz w:val="24"/>
                <w:szCs w:val="24"/>
                <w:color w:val="auto"/>
              </w:rPr>
            </w:pPr>
          </w:p>
        </w:tc>
      </w:tr>
      <w:tr>
        <w:trPr>
          <w:trHeight w:val="228"/>
        </w:trPr>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580" w:type="dxa"/>
            <w:vAlign w:val="bottom"/>
            <w:tcBorders>
              <w:top w:val="single" w:sz="8" w:color="auto"/>
            </w:tcBorders>
            <w:gridSpan w:val="6"/>
          </w:tcPr>
          <w:p>
            <w:pPr>
              <w:jc w:val="center"/>
              <w:ind w:right="280"/>
              <w:spacing w:after="0"/>
              <w:rPr>
                <w:sz w:val="20"/>
                <w:szCs w:val="20"/>
                <w:color w:val="auto"/>
              </w:rPr>
            </w:pPr>
            <w:r>
              <w:rPr>
                <w:rFonts w:ascii="Arial" w:cs="Arial" w:eastAsia="Arial" w:hAnsi="Arial"/>
                <w:sz w:val="18"/>
                <w:szCs w:val="18"/>
                <w:color w:val="auto"/>
                <w:w w:val="90"/>
              </w:rPr>
              <w:t>(Address of principal executive offices, including zip code)</w:t>
            </w:r>
          </w:p>
        </w:tc>
        <w:tc>
          <w:tcPr>
            <w:tcW w:w="3280" w:type="dxa"/>
            <w:vAlign w:val="bottom"/>
          </w:tcPr>
          <w:p>
            <w:pPr>
              <w:spacing w:after="0"/>
              <w:rPr>
                <w:sz w:val="19"/>
                <w:szCs w:val="19"/>
                <w:color w:val="auto"/>
              </w:rPr>
            </w:pPr>
          </w:p>
        </w:tc>
      </w:tr>
      <w:tr>
        <w:trPr>
          <w:trHeight w:val="495"/>
        </w:trPr>
        <w:tc>
          <w:tcPr>
            <w:tcW w:w="3060" w:type="dxa"/>
            <w:vAlign w:val="bottom"/>
          </w:tcPr>
          <w:p>
            <w:pPr>
              <w:spacing w:after="0"/>
              <w:rPr>
                <w:sz w:val="24"/>
                <w:szCs w:val="24"/>
                <w:color w:val="auto"/>
              </w:rPr>
            </w:pPr>
          </w:p>
        </w:tc>
        <w:tc>
          <w:tcPr>
            <w:tcW w:w="800" w:type="dxa"/>
            <w:vAlign w:val="bottom"/>
            <w:gridSpan w:val="3"/>
          </w:tcPr>
          <w:p>
            <w:pPr>
              <w:spacing w:after="0"/>
              <w:rPr>
                <w:sz w:val="24"/>
                <w:szCs w:val="24"/>
                <w:color w:val="auto"/>
              </w:rPr>
            </w:pPr>
          </w:p>
        </w:tc>
        <w:tc>
          <w:tcPr>
            <w:tcW w:w="36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9"/>
              </w:rPr>
              <w:t>(914) 347-7000</w:t>
            </w:r>
          </w:p>
        </w:tc>
        <w:tc>
          <w:tcPr>
            <w:tcW w:w="6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28"/>
        </w:trPr>
        <w:tc>
          <w:tcPr>
            <w:tcW w:w="3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80" w:type="dxa"/>
            <w:vAlign w:val="bottom"/>
            <w:gridSpan w:val="5"/>
          </w:tcPr>
          <w:p>
            <w:pPr>
              <w:jc w:val="center"/>
              <w:ind w:right="580"/>
              <w:spacing w:after="0"/>
              <w:rPr>
                <w:sz w:val="20"/>
                <w:szCs w:val="20"/>
                <w:color w:val="auto"/>
              </w:rPr>
            </w:pPr>
            <w:r>
              <w:rPr>
                <w:rFonts w:ascii="Arial" w:cs="Arial" w:eastAsia="Arial" w:hAnsi="Arial"/>
                <w:sz w:val="18"/>
                <w:szCs w:val="18"/>
                <w:color w:val="auto"/>
                <w:w w:val="87"/>
              </w:rPr>
              <w:t>(Registrant's telephone number, including area code)</w:t>
            </w:r>
          </w:p>
        </w:tc>
        <w:tc>
          <w:tcPr>
            <w:tcW w:w="3280" w:type="dxa"/>
            <w:vAlign w:val="bottom"/>
          </w:tcPr>
          <w:p>
            <w:pPr>
              <w:spacing w:after="0"/>
              <w:rPr>
                <w:sz w:val="19"/>
                <w:szCs w:val="19"/>
                <w:color w:val="auto"/>
              </w:rPr>
            </w:pPr>
          </w:p>
        </w:tc>
      </w:tr>
    </w:tbl>
    <w:p>
      <w:pPr>
        <w:spacing w:after="0" w:line="200" w:lineRule="exact"/>
        <w:rPr>
          <w:sz w:val="24"/>
          <w:szCs w:val="24"/>
          <w:color w:val="auto"/>
        </w:rPr>
      </w:pPr>
    </w:p>
    <w:p>
      <w:pPr>
        <w:spacing w:after="0" w:line="266" w:lineRule="exact"/>
        <w:rPr>
          <w:sz w:val="24"/>
          <w:szCs w:val="24"/>
          <w:color w:val="auto"/>
        </w:rPr>
      </w:pPr>
    </w:p>
    <w:p>
      <w:pPr>
        <w:ind w:right="4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9" w:lineRule="exact"/>
        <w:rPr>
          <w:sz w:val="24"/>
          <w:szCs w:val="24"/>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79"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380" w:hanging="372"/>
        <w:spacing w:after="0"/>
        <w:tabs>
          <w:tab w:leader="none" w:pos="3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3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On December 31, 2011, Regeneron Pharmaceuticals, Inc. (the “Company”) entered into a non-exclusive license and partial settlement agreement (the “Agreement”) with Genentech, Inc. (“Genentech”) that covers making, using, and selling EYLEA™ (aflibercept) Injection for intravitreal injection in the United States for the prevention and treatment of human eye diseases and disorders. Under the Agreement, the Company received a non-exclusive license to certain patents relating to VEGF receptor proteins, known as the Davis-Smyth patents, and certain other technology patents owned or co-owned by Genentech. The Davis-Smyth patents are the subject of patent litigation between the Company and Genentech now pending in the United States District Court for the Southern District of New York. The Agreement does not cover any non-US patent rights or non-US patent disputes, and does not cover any use of aflibercept other than for prevention and treatment of human eye diseases and disorders. Patent litigation is continuing with respect to matters not covered by the Agreement. The Agreement provides for the Company to make payments to Genentech based on U.S. sales of EYLEA through May 7, 2016, the date the Davis-Smyth patents expire. The Company will make a lump-sum payment of $60 million once cumulative U.S. sales of EYLEA reach $400 million. The Company will also pay royalties of 4.75% on cumulative U.S. sales of EYLEA between $400 million and $3 billion and 5.5% on any cumulative U.S. sales of EYLEA over $3 billion.</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 copy of a press release issued by the Company on January 3, 2012 entitled “Regeneron Announces Settlement of Patent Litigation with Genentech for U.S.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Ophthalmic Sales of EYLEA™ (aflibercept) Injection</w:t>
      </w:r>
      <w:r>
        <w:rPr>
          <w:rFonts w:ascii="Arial" w:cs="Arial" w:eastAsia="Arial" w:hAnsi="Arial"/>
          <w:sz w:val="16"/>
          <w:szCs w:val="16"/>
          <w:b w:val="1"/>
          <w:bCs w:val="1"/>
          <w:color w:val="auto"/>
        </w:rPr>
        <w:t>”</w:t>
      </w:r>
      <w:r>
        <w:rPr>
          <w:rFonts w:ascii="Arial" w:cs="Arial" w:eastAsia="Arial" w:hAnsi="Arial"/>
          <w:sz w:val="16"/>
          <w:szCs w:val="16"/>
          <w:color w:val="auto"/>
        </w:rPr>
        <w:t xml:space="preserve"> is attached to this Current Report on Form 8-K as Exhibit 99.1 and is incorporated herein by reference.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2" w:lineRule="exact"/>
        <w:rPr>
          <w:sz w:val="20"/>
          <w:szCs w:val="20"/>
          <w:color w:val="auto"/>
        </w:rPr>
      </w:pPr>
    </w:p>
    <w:p>
      <w:pPr>
        <w:ind w:left="1200" w:hanging="1188"/>
        <w:spacing w:after="0" w:line="299" w:lineRule="auto"/>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issued by the Company on January 3, 2012 entitled “Regeneron Announces Settlement of Patent Litigation with Genentech for U.S. Ophthalmic Sales of EYLEA™ (aflibercept) Injection</w:t>
      </w: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198755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9" w:lineRule="exact"/>
        <w:rPr>
          <w:sz w:val="20"/>
          <w:szCs w:val="20"/>
          <w:color w:val="auto"/>
        </w:rPr>
      </w:pPr>
    </w:p>
    <w:p>
      <w:pPr>
        <w:spacing w:after="0"/>
        <w:tabs>
          <w:tab w:leader="none" w:pos="5100" w:val="left"/>
        </w:tabs>
        <w:rPr>
          <w:sz w:val="20"/>
          <w:szCs w:val="20"/>
          <w:color w:val="auto"/>
        </w:rPr>
      </w:pPr>
      <w:r>
        <w:rPr>
          <w:rFonts w:ascii="Arial" w:cs="Arial" w:eastAsia="Arial" w:hAnsi="Arial"/>
          <w:sz w:val="18"/>
          <w:szCs w:val="18"/>
          <w:color w:val="auto"/>
        </w:rPr>
        <w:t>Date: January 3, 2012</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By: /s/ Joseph J. LaRosa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19685</wp:posOffset>
            </wp:positionV>
            <wp:extent cx="37820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Name: Joseph J. LaRosa</w:t>
      </w:r>
    </w:p>
    <w:p>
      <w:pPr>
        <w:spacing w:after="0" w:line="3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Title: Senior Vice President, General Counsel and</w:t>
      </w:r>
    </w:p>
    <w:p>
      <w:pPr>
        <w:spacing w:after="0" w:line="36"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590"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960" w:type="dxa"/>
            <w:vAlign w:val="bottom"/>
          </w:tcPr>
          <w:p>
            <w:pPr>
              <w:ind w:left="3780"/>
              <w:spacing w:after="0"/>
              <w:rPr>
                <w:sz w:val="20"/>
                <w:szCs w:val="20"/>
                <w:color w:val="auto"/>
              </w:rPr>
            </w:pPr>
            <w:r>
              <w:rPr>
                <w:rFonts w:ascii="Arial" w:cs="Arial" w:eastAsia="Arial" w:hAnsi="Arial"/>
                <w:sz w:val="18"/>
                <w:szCs w:val="18"/>
                <w:color w:val="auto"/>
              </w:rPr>
              <w:t>Exhibit Index</w:t>
            </w:r>
          </w:p>
        </w:tc>
        <w:tc>
          <w:tcPr>
            <w:tcW w:w="20" w:type="dxa"/>
            <w:vAlign w:val="bottom"/>
          </w:tcPr>
          <w:p>
            <w:pPr>
              <w:spacing w:after="0"/>
              <w:rPr>
                <w:sz w:val="19"/>
                <w:szCs w:val="19"/>
                <w:color w:val="auto"/>
              </w:rPr>
            </w:pPr>
          </w:p>
        </w:tc>
      </w:tr>
      <w:tr>
        <w:trPr>
          <w:trHeight w:val="455"/>
        </w:trPr>
        <w:tc>
          <w:tcPr>
            <w:tcW w:w="1460" w:type="dxa"/>
            <w:vAlign w:val="bottom"/>
            <w:gridSpan w:val="2"/>
          </w:tcPr>
          <w:p>
            <w:pPr>
              <w:spacing w:after="0"/>
              <w:rPr>
                <w:sz w:val="20"/>
                <w:szCs w:val="20"/>
                <w:color w:val="auto"/>
              </w:rPr>
            </w:pPr>
            <w:r>
              <w:rPr>
                <w:rFonts w:ascii="Arial" w:cs="Arial" w:eastAsia="Arial" w:hAnsi="Arial"/>
                <w:sz w:val="18"/>
                <w:szCs w:val="18"/>
                <w:color w:val="auto"/>
              </w:rPr>
              <w:t>Number</w:t>
            </w:r>
          </w:p>
        </w:tc>
        <w:tc>
          <w:tcPr>
            <w:tcW w:w="9960" w:type="dxa"/>
            <w:vAlign w:val="bottom"/>
          </w:tcPr>
          <w:p>
            <w:pPr>
              <w:spacing w:after="0"/>
              <w:rPr>
                <w:sz w:val="20"/>
                <w:szCs w:val="20"/>
                <w:color w:val="auto"/>
              </w:rPr>
            </w:pPr>
            <w:r>
              <w:rPr>
                <w:rFonts w:ascii="Arial" w:cs="Arial" w:eastAsia="Arial" w:hAnsi="Arial"/>
                <w:sz w:val="18"/>
                <w:szCs w:val="18"/>
                <w:color w:val="auto"/>
              </w:rPr>
              <w:t>Description</w:t>
            </w:r>
          </w:p>
        </w:tc>
        <w:tc>
          <w:tcPr>
            <w:tcW w:w="20" w:type="dxa"/>
            <w:vAlign w:val="bottom"/>
          </w:tcPr>
          <w:p>
            <w:pPr>
              <w:spacing w:after="0"/>
              <w:rPr>
                <w:sz w:val="24"/>
                <w:szCs w:val="24"/>
                <w:color w:val="auto"/>
              </w:rPr>
            </w:pPr>
          </w:p>
        </w:tc>
      </w:tr>
      <w:tr>
        <w:trPr>
          <w:trHeight w:val="228"/>
        </w:trPr>
        <w:tc>
          <w:tcPr>
            <w:tcW w:w="112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99.1</w:t>
            </w:r>
          </w:p>
        </w:tc>
        <w:tc>
          <w:tcPr>
            <w:tcW w:w="340" w:type="dxa"/>
            <w:vAlign w:val="bottom"/>
            <w:tcBorders>
              <w:top w:val="single" w:sz="8" w:color="C0C0C0"/>
            </w:tcBorders>
            <w:shd w:val="clear" w:color="auto" w:fill="C0C0C0"/>
          </w:tcPr>
          <w:p>
            <w:pPr>
              <w:spacing w:after="0"/>
              <w:rPr>
                <w:sz w:val="19"/>
                <w:szCs w:val="19"/>
                <w:color w:val="auto"/>
              </w:rPr>
            </w:pPr>
          </w:p>
        </w:tc>
        <w:tc>
          <w:tcPr>
            <w:tcW w:w="996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w w:val="88"/>
              </w:rPr>
              <w:t>Press release issued by the Company on January 3, 2012 entitled “Regeneron Announces Settlement of Patent Litigation with Genentech for</w:t>
            </w:r>
          </w:p>
        </w:tc>
        <w:tc>
          <w:tcPr>
            <w:tcW w:w="20" w:type="dxa"/>
            <w:vAlign w:val="bottom"/>
          </w:tcPr>
          <w:p>
            <w:pPr>
              <w:spacing w:after="0"/>
              <w:rPr>
                <w:sz w:val="19"/>
                <w:szCs w:val="19"/>
                <w:color w:val="auto"/>
              </w:rPr>
            </w:pPr>
          </w:p>
        </w:tc>
      </w:tr>
      <w:tr>
        <w:trPr>
          <w:trHeight w:val="259"/>
        </w:trPr>
        <w:tc>
          <w:tcPr>
            <w:tcW w:w="1120" w:type="dxa"/>
            <w:vAlign w:val="bottom"/>
            <w:shd w:val="clear" w:color="auto" w:fill="C0C0C0"/>
          </w:tcPr>
          <w:p>
            <w:pPr>
              <w:spacing w:after="0"/>
              <w:rPr>
                <w:sz w:val="22"/>
                <w:szCs w:val="22"/>
                <w:color w:val="auto"/>
              </w:rPr>
            </w:pPr>
          </w:p>
        </w:tc>
        <w:tc>
          <w:tcPr>
            <w:tcW w:w="340" w:type="dxa"/>
            <w:vAlign w:val="bottom"/>
            <w:shd w:val="clear" w:color="auto" w:fill="C0C0C0"/>
          </w:tcPr>
          <w:p>
            <w:pPr>
              <w:spacing w:after="0"/>
              <w:rPr>
                <w:sz w:val="22"/>
                <w:szCs w:val="22"/>
                <w:color w:val="auto"/>
              </w:rPr>
            </w:pPr>
          </w:p>
        </w:tc>
        <w:tc>
          <w:tcPr>
            <w:tcW w:w="9960" w:type="dxa"/>
            <w:vAlign w:val="bottom"/>
            <w:shd w:val="clear" w:color="auto" w:fill="C0C0C0"/>
          </w:tcPr>
          <w:p>
            <w:pPr>
              <w:spacing w:after="0"/>
              <w:rPr>
                <w:sz w:val="20"/>
                <w:szCs w:val="20"/>
                <w:color w:val="auto"/>
              </w:rPr>
            </w:pPr>
            <w:r>
              <w:rPr>
                <w:rFonts w:ascii="Arial" w:cs="Arial" w:eastAsia="Arial" w:hAnsi="Arial"/>
                <w:sz w:val="18"/>
                <w:szCs w:val="18"/>
                <w:color w:val="auto"/>
              </w:rPr>
              <w:t>U.S. Ophthalmic Sales of EYLEA™ (aflibercept) Injection</w:t>
            </w:r>
            <w:r>
              <w:rPr>
                <w:rFonts w:ascii="Arial" w:cs="Arial" w:eastAsia="Arial" w:hAnsi="Arial"/>
                <w:sz w:val="18"/>
                <w:szCs w:val="18"/>
                <w:b w:val="1"/>
                <w:bCs w:val="1"/>
                <w:color w:val="auto"/>
              </w:rPr>
              <w:t>”</w:t>
            </w:r>
          </w:p>
        </w:tc>
        <w:tc>
          <w:tcPr>
            <w:tcW w:w="20" w:type="dxa"/>
            <w:vAlign w:val="bottom"/>
          </w:tcPr>
          <w:p>
            <w:pPr>
              <w:spacing w:after="0"/>
              <w:rPr>
                <w:sz w:val="22"/>
                <w:szCs w:val="22"/>
                <w:color w:val="auto"/>
              </w:rPr>
            </w:pPr>
          </w:p>
        </w:tc>
      </w:tr>
      <w:tr>
        <w:trPr>
          <w:trHeight w:val="361"/>
        </w:trPr>
        <w:tc>
          <w:tcPr>
            <w:tcW w:w="112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99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590"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586230" cy="291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623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For Immediate Release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560"/>
        <w:spacing w:after="0" w:line="272" w:lineRule="auto"/>
        <w:rPr>
          <w:sz w:val="20"/>
          <w:szCs w:val="20"/>
          <w:color w:val="auto"/>
        </w:rPr>
      </w:pPr>
      <w:r>
        <w:rPr>
          <w:rFonts w:ascii="Arial" w:cs="Arial" w:eastAsia="Arial" w:hAnsi="Arial"/>
          <w:sz w:val="32"/>
          <w:szCs w:val="32"/>
          <w:b w:val="1"/>
          <w:bCs w:val="1"/>
          <w:color w:val="auto"/>
        </w:rPr>
        <w:t>Regeneron Announces Settlement of Patent Litigation with Genentech for U.S. Ophthalmic Sales of EYLEA™ (aflibercept) Injection</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Tarrytown, NY (January 3, 2012) </w:t>
      </w:r>
      <w:r>
        <w:rPr>
          <w:rFonts w:ascii="Arial" w:cs="Arial" w:eastAsia="Arial" w:hAnsi="Arial"/>
          <w:sz w:val="16"/>
          <w:szCs w:val="16"/>
          <w:color w:val="auto"/>
        </w:rPr>
        <w:t>-- Regeneron Pharmaceuticals, Inc. (NASDAQ:</w:t>
      </w:r>
      <w:r>
        <w:rPr>
          <w:rFonts w:ascii="Arial" w:cs="Arial" w:eastAsia="Arial" w:hAnsi="Arial"/>
          <w:sz w:val="16"/>
          <w:szCs w:val="16"/>
          <w:b w:val="1"/>
          <w:bCs w:val="1"/>
          <w:color w:val="auto"/>
        </w:rPr>
        <w:t xml:space="preserve"> REGN</w:t>
      </w:r>
      <w:r>
        <w:rPr>
          <w:rFonts w:ascii="Arial" w:cs="Arial" w:eastAsia="Arial" w:hAnsi="Arial"/>
          <w:sz w:val="16"/>
          <w:szCs w:val="16"/>
          <w:color w:val="auto"/>
        </w:rPr>
        <w:t>) today announced that the Company has entered into a non-exclusive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license and partial settlement agreement (Agreement) with Genentech, Inc., a member of the Roche Group (SIX: RO, ROG; OTCQX: RHHBY) relating to U.S.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ophthalmic sales of EYLEA™ (aflibercept) Injection.</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Regeneron received a non-exclusive license to certain patents relating to VEGF receptor proteins, known as the Davis-Smyth patents, and other technology patents. The Davis-Smyth patents are the subject of patent litigation between Regeneron and Genentech now pending in the United States District Court, Southern District of New York. Patent litigation is continuing with respect to matters not covered by the Agreement.</w:t>
      </w:r>
    </w:p>
    <w:p>
      <w:pPr>
        <w:spacing w:after="0" w:line="194"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Under the terms of the Agreement, Regeneron will make payments to Genentech based on U.S. sales of EYLEA through May 7, 2016. Regeneron will pay $60 million upon cumulative U.S. sales of EYLEA reaching $400 million. Regeneron will also pay royalties of 4.75% on cumulative U.S sales of EYLEA between $400 million and $3 billion and 5.5% on any cumulative U.S sales of EYLEA over $3 billion.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jc w:val="both"/>
        <w:ind w:right="160"/>
        <w:spacing w:after="0" w:line="256" w:lineRule="auto"/>
        <w:rPr>
          <w:sz w:val="20"/>
          <w:szCs w:val="20"/>
          <w:color w:val="auto"/>
        </w:rPr>
      </w:pPr>
      <w:r>
        <w:rPr>
          <w:rFonts w:ascii="Arial" w:cs="Arial" w:eastAsia="Arial" w:hAnsi="Arial"/>
          <w:sz w:val="15"/>
          <w:szCs w:val="15"/>
          <w:color w:val="auto"/>
        </w:rPr>
        <w:t>Regeneron is a fully integrated biopharmaceutical company that discovers, invents, develops, manufactures, and commercializes medicines for the treatment of serious medical conditions. Regeneron markets two products, ARCALYST</w:t>
      </w:r>
      <w:r>
        <w:rPr>
          <w:rFonts w:ascii="Arial" w:cs="Arial" w:eastAsia="Arial" w:hAnsi="Arial"/>
          <w:sz w:val="24"/>
          <w:szCs w:val="24"/>
          <w:color w:val="auto"/>
          <w:vertAlign w:val="superscript"/>
        </w:rPr>
        <w:t>®</w:t>
      </w:r>
      <w:r>
        <w:rPr>
          <w:rFonts w:ascii="Arial" w:cs="Arial" w:eastAsia="Arial" w:hAnsi="Arial"/>
          <w:sz w:val="15"/>
          <w:szCs w:val="15"/>
          <w:color w:val="auto"/>
        </w:rPr>
        <w:t xml:space="preserve"> (rilonacept) Injection For Subcutaneous Use and EYLEA™ (aflibercept) Injection.</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Regeneron also has completed several Phase 3 studies and is conducting an additional Phase 3 clinical trial for the product candidate ZALTRAP</w:t>
      </w:r>
      <w:r>
        <w:rPr>
          <w:rFonts w:ascii="Arial" w:cs="Arial" w:eastAsia="Arial" w:hAnsi="Arial"/>
          <w:sz w:val="26"/>
          <w:szCs w:val="26"/>
          <w:color w:val="auto"/>
          <w:vertAlign w:val="superscript"/>
        </w:rPr>
        <w:t>®</w:t>
      </w:r>
      <w:r>
        <w:rPr>
          <w:rFonts w:ascii="Arial" w:cs="Arial" w:eastAsia="Arial" w:hAnsi="Arial"/>
          <w:sz w:val="16"/>
          <w:szCs w:val="16"/>
          <w:color w:val="auto"/>
        </w:rPr>
        <w:t xml:space="preserve"> (aflibercept) Concentrate for Intravenous Infusion. Additional therapeutic candidates developed from proprietary Regeneron technologies for creating fully human monoclonal antibodies are in earlier stage development programs in rheumatoid arthritis and other inflammatory conditions, pain, cholesterol reduction, allergic and immune conditions, and cancer. Additional information about Regeneron and recent news releases are available on the Regeneron web site at www.regeneron.com.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Regeneron Forward-Looking Statement</w:t>
      </w:r>
    </w:p>
    <w:p>
      <w:pPr>
        <w:spacing w:after="0" w:line="21"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This news release includes forward-looking statements that involve risks and uncertainties relating to future events and the future performance of Regeneron, and actual events or results may differ materially from these forward-looking statements. These statements concern, and these risks and uncertainties include, among others, the nature, timing, and possible success and therapeutic applications of EYLEA and Regeneron’s product candidates and research and clinical programs now underway or planned, the likelihood and timing of possible regulatory approval and commercial launch of Regeneron’s late-stage product candidates, determinations by regulatory and administrative governmental authorities which may delay or restrict Regeneron’s ability to continue to develop or commercialize EYLEA and other products and drug candidates, competing drugs that may be superior to EYLEA and Regeneron’s products and drug candidates, uncertainty of market acceptance of EYLEA and Regeneron’s products and drug candidates, the possibility of EYLEA sales meeting or exceeding any of the cumulative U.S. sales targets triggering payments to Genentech described in this news release, unanticipated expenses, the availability and cost of capital, the costs of developing, producing, and selling products, the potential for any license or collaboration agreement, including Regeneron’s agreements with Sanofi and Bayer HealthCare, to be canceled or terminated without any product success, and risks associated with third party intellectual property and pending or future litigation relating thereto. A more complete description of these and other material risks can be found in Regeneron's filings with the United States Securities and Exchange Commission, including its Form 10-K for the year ended December 31, 2010 and Form 10-Q for the quarter ended September 30, 2011. Regeneron does not undertake any obligation to update publicly any forward-looking statement, whether as a result of new information, future events, or otherwise, unless required by law.</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40" w:type="dxa"/>
            <w:vAlign w:val="bottom"/>
          </w:tcPr>
          <w:p>
            <w:pPr>
              <w:spacing w:after="0"/>
              <w:rPr>
                <w:sz w:val="20"/>
                <w:szCs w:val="20"/>
                <w:color w:val="auto"/>
              </w:rPr>
            </w:pPr>
            <w:r>
              <w:rPr>
                <w:rFonts w:ascii="Arial" w:cs="Arial" w:eastAsia="Arial" w:hAnsi="Arial"/>
                <w:sz w:val="18"/>
                <w:szCs w:val="18"/>
                <w:b w:val="1"/>
                <w:bCs w:val="1"/>
                <w:color w:val="auto"/>
              </w:rPr>
              <w:t>Contact Information:</w:t>
            </w:r>
          </w:p>
        </w:tc>
        <w:tc>
          <w:tcPr>
            <w:tcW w:w="7400" w:type="dxa"/>
            <w:vAlign w:val="bottom"/>
          </w:tcPr>
          <w:p>
            <w:pPr>
              <w:spacing w:after="0"/>
              <w:rPr>
                <w:sz w:val="19"/>
                <w:szCs w:val="19"/>
                <w:color w:val="auto"/>
              </w:rPr>
            </w:pPr>
          </w:p>
        </w:tc>
      </w:tr>
      <w:tr>
        <w:trPr>
          <w:trHeight w:val="446"/>
        </w:trPr>
        <w:tc>
          <w:tcPr>
            <w:tcW w:w="4040" w:type="dxa"/>
            <w:vAlign w:val="bottom"/>
          </w:tcPr>
          <w:p>
            <w:pPr>
              <w:spacing w:after="0"/>
              <w:rPr>
                <w:sz w:val="20"/>
                <w:szCs w:val="20"/>
                <w:color w:val="auto"/>
              </w:rPr>
            </w:pPr>
            <w:r>
              <w:rPr>
                <w:rFonts w:ascii="Arial" w:cs="Arial" w:eastAsia="Arial" w:hAnsi="Arial"/>
                <w:sz w:val="18"/>
                <w:szCs w:val="18"/>
                <w:color w:val="auto"/>
              </w:rPr>
              <w:t>Michael Aberman, M.D.</w:t>
            </w:r>
          </w:p>
        </w:tc>
        <w:tc>
          <w:tcPr>
            <w:tcW w:w="7400" w:type="dxa"/>
            <w:vAlign w:val="bottom"/>
          </w:tcPr>
          <w:p>
            <w:pPr>
              <w:ind w:left="1620"/>
              <w:spacing w:after="0"/>
              <w:rPr>
                <w:sz w:val="20"/>
                <w:szCs w:val="20"/>
                <w:color w:val="auto"/>
              </w:rPr>
            </w:pPr>
            <w:r>
              <w:rPr>
                <w:rFonts w:ascii="Arial" w:cs="Arial" w:eastAsia="Arial" w:hAnsi="Arial"/>
                <w:sz w:val="18"/>
                <w:szCs w:val="18"/>
                <w:color w:val="auto"/>
              </w:rPr>
              <w:t>Peter Dworkin</w:t>
            </w: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Investor Relations</w:t>
            </w:r>
          </w:p>
        </w:tc>
        <w:tc>
          <w:tcPr>
            <w:tcW w:w="7400" w:type="dxa"/>
            <w:vAlign w:val="bottom"/>
          </w:tcPr>
          <w:p>
            <w:pPr>
              <w:ind w:left="1620"/>
              <w:spacing w:after="0"/>
              <w:rPr>
                <w:sz w:val="20"/>
                <w:szCs w:val="20"/>
                <w:color w:val="auto"/>
              </w:rPr>
            </w:pPr>
            <w:r>
              <w:rPr>
                <w:rFonts w:ascii="Arial" w:cs="Arial" w:eastAsia="Arial" w:hAnsi="Arial"/>
                <w:sz w:val="18"/>
                <w:szCs w:val="18"/>
                <w:color w:val="auto"/>
              </w:rPr>
              <w:t>Corporate Communications</w:t>
            </w: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914.847.7799</w:t>
            </w:r>
          </w:p>
        </w:tc>
        <w:tc>
          <w:tcPr>
            <w:tcW w:w="7400" w:type="dxa"/>
            <w:vAlign w:val="bottom"/>
          </w:tcPr>
          <w:p>
            <w:pPr>
              <w:ind w:left="1620"/>
              <w:spacing w:after="0"/>
              <w:rPr>
                <w:sz w:val="20"/>
                <w:szCs w:val="20"/>
                <w:color w:val="auto"/>
              </w:rPr>
            </w:pPr>
            <w:r>
              <w:rPr>
                <w:rFonts w:ascii="Arial" w:cs="Arial" w:eastAsia="Arial" w:hAnsi="Arial"/>
                <w:sz w:val="18"/>
                <w:szCs w:val="18"/>
                <w:color w:val="auto"/>
              </w:rPr>
              <w:t>914.847.7640</w:t>
            </w:r>
          </w:p>
        </w:tc>
      </w:tr>
      <w:tr>
        <w:trPr>
          <w:trHeight w:val="243"/>
        </w:trPr>
        <w:tc>
          <w:tcPr>
            <w:tcW w:w="4040" w:type="dxa"/>
            <w:vAlign w:val="bottom"/>
          </w:tcPr>
          <w:p>
            <w:pPr>
              <w:spacing w:after="0"/>
              <w:rPr>
                <w:sz w:val="20"/>
                <w:szCs w:val="20"/>
                <w:color w:val="auto"/>
              </w:rPr>
            </w:pPr>
            <w:r>
              <w:rPr>
                <w:rFonts w:ascii="Arial" w:cs="Arial" w:eastAsia="Arial" w:hAnsi="Arial"/>
                <w:sz w:val="18"/>
                <w:szCs w:val="18"/>
                <w:color w:val="auto"/>
              </w:rPr>
              <w:t>michael.aberman@regeneron.com</w:t>
            </w:r>
          </w:p>
        </w:tc>
        <w:tc>
          <w:tcPr>
            <w:tcW w:w="7400" w:type="dxa"/>
            <w:vAlign w:val="bottom"/>
          </w:tcPr>
          <w:p>
            <w:pPr>
              <w:ind w:left="1620"/>
              <w:spacing w:after="0"/>
              <w:rPr>
                <w:sz w:val="20"/>
                <w:szCs w:val="20"/>
                <w:color w:val="auto"/>
              </w:rPr>
            </w:pPr>
            <w:r>
              <w:rPr>
                <w:rFonts w:ascii="Arial" w:cs="Arial" w:eastAsia="Arial" w:hAnsi="Arial"/>
                <w:sz w:val="18"/>
                <w:szCs w:val="18"/>
                <w:color w:val="auto"/>
              </w:rPr>
              <w:t>peter.dworkin@regeneron.com</w:t>
            </w:r>
          </w:p>
        </w:tc>
      </w:tr>
      <w:tr>
        <w:trPr>
          <w:trHeight w:val="377"/>
        </w:trPr>
        <w:tc>
          <w:tcPr>
            <w:tcW w:w="4040" w:type="dxa"/>
            <w:vAlign w:val="bottom"/>
            <w:tcBorders>
              <w:bottom w:val="single" w:sz="8" w:color="808080"/>
            </w:tcBorders>
          </w:tcPr>
          <w:p>
            <w:pPr>
              <w:spacing w:after="0"/>
              <w:rPr>
                <w:sz w:val="24"/>
                <w:szCs w:val="24"/>
                <w:color w:val="auto"/>
              </w:rPr>
            </w:pPr>
          </w:p>
        </w:tc>
        <w:tc>
          <w:tcPr>
            <w:tcW w:w="7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58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2019-12-09T09:33:30Z</dcterms:created>
  <dcterms:modified xsi:type="dcterms:W3CDTF">2019-12-09T09:33:30Z</dcterms:modified>
</cp:coreProperties>
</file>