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7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3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9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4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231F20"/>
        </w:rPr>
        <w:t>Pursuant to Section 13 or 15(d) of The Securities Exchange Act of 1934</w:t>
      </w:r>
    </w:p>
    <w:p>
      <w:pPr>
        <w:spacing w:after="0" w:line="2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February 4, 2025 (February 4, 2025)</w:t>
      </w:r>
    </w:p>
    <w:p>
      <w:pPr>
        <w:spacing w:after="0" w:line="29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6"/>
          <w:szCs w:val="36"/>
          <w:b w:val="1"/>
          <w:bCs w:val="1"/>
          <w:color w:val="auto"/>
        </w:rPr>
        <w:t>REGENERON PHARMACEUTICALS, INC.</w:t>
      </w:r>
    </w:p>
    <w:p>
      <w:pPr>
        <w:spacing w:after="0" w:line="9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92" w:lineRule="exact"/>
        <w:rPr>
          <w:sz w:val="24"/>
          <w:szCs w:val="24"/>
          <w:color w:val="auto"/>
        </w:rPr>
      </w:pPr>
    </w:p>
    <w:tbl>
      <w:tblPr>
        <w:tblLayout w:type="fixed"/>
        <w:tblInd w:w="1000" w:type="dxa"/>
        <w:tblCellMar>
          <w:top w:w="0" w:type="dxa"/>
          <w:left w:w="0" w:type="dxa"/>
          <w:bottom w:w="0" w:type="dxa"/>
          <w:right w:w="0" w:type="dxa"/>
        </w:tblCellMar>
      </w:tblPr>
      <w:tr>
        <w:trPr>
          <w:trHeight w:val="252"/>
        </w:trPr>
        <w:tc>
          <w:tcPr>
            <w:tcW w:w="3160" w:type="dxa"/>
            <w:vAlign w:val="bottom"/>
          </w:tcPr>
          <w:p>
            <w:pPr>
              <w:jc w:val="center"/>
              <w:ind w:right="559"/>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3000" w:type="dxa"/>
            <w:vAlign w:val="bottom"/>
          </w:tcPr>
          <w:p>
            <w:pPr>
              <w:jc w:val="right"/>
              <w:ind w:right="1079"/>
              <w:spacing w:after="0"/>
              <w:rPr>
                <w:sz w:val="20"/>
                <w:szCs w:val="20"/>
                <w:color w:val="auto"/>
              </w:rPr>
            </w:pPr>
            <w:r>
              <w:rPr>
                <w:rFonts w:ascii="Times New Roman" w:cs="Times New Roman" w:eastAsia="Times New Roman" w:hAnsi="Times New Roman"/>
                <w:sz w:val="18"/>
                <w:szCs w:val="18"/>
                <w:b w:val="1"/>
                <w:bCs w:val="1"/>
                <w:color w:val="auto"/>
              </w:rPr>
              <w:t>000-19034</w:t>
            </w:r>
          </w:p>
        </w:tc>
        <w:tc>
          <w:tcPr>
            <w:tcW w:w="2860" w:type="dxa"/>
            <w:vAlign w:val="bottom"/>
          </w:tcPr>
          <w:p>
            <w:pPr>
              <w:jc w:val="right"/>
              <w:ind w:right="519"/>
              <w:spacing w:after="0"/>
              <w:rPr>
                <w:sz w:val="20"/>
                <w:szCs w:val="20"/>
                <w:color w:val="auto"/>
              </w:rPr>
            </w:pPr>
            <w:r>
              <w:rPr>
                <w:rFonts w:ascii="Times New Roman" w:cs="Times New Roman" w:eastAsia="Times New Roman" w:hAnsi="Times New Roman"/>
                <w:sz w:val="18"/>
                <w:szCs w:val="18"/>
                <w:b w:val="1"/>
                <w:bCs w:val="1"/>
                <w:color w:val="auto"/>
              </w:rPr>
              <w:t>13-3444607</w:t>
            </w:r>
          </w:p>
        </w:tc>
      </w:tr>
      <w:tr>
        <w:trPr>
          <w:trHeight w:val="206"/>
        </w:trPr>
        <w:tc>
          <w:tcPr>
            <w:tcW w:w="3160" w:type="dxa"/>
            <w:vAlign w:val="bottom"/>
          </w:tcPr>
          <w:p>
            <w:pPr>
              <w:jc w:val="center"/>
              <w:ind w:right="559"/>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3000" w:type="dxa"/>
            <w:vAlign w:val="bottom"/>
          </w:tcPr>
          <w:p>
            <w:pPr>
              <w:jc w:val="center"/>
              <w:ind w:right="19"/>
              <w:spacing w:after="0"/>
              <w:rPr>
                <w:sz w:val="20"/>
                <w:szCs w:val="20"/>
                <w:color w:val="auto"/>
              </w:rPr>
            </w:pPr>
            <w:r>
              <w:rPr>
                <w:rFonts w:ascii="Times New Roman" w:cs="Times New Roman" w:eastAsia="Times New Roman" w:hAnsi="Times New Roman"/>
                <w:sz w:val="14"/>
                <w:szCs w:val="14"/>
                <w:color w:val="auto"/>
              </w:rPr>
              <w:t>(Commission File Number)</w:t>
            </w:r>
          </w:p>
        </w:tc>
        <w:tc>
          <w:tcPr>
            <w:tcW w:w="2860" w:type="dxa"/>
            <w:vAlign w:val="bottom"/>
          </w:tcPr>
          <w:p>
            <w:pPr>
              <w:jc w:val="center"/>
              <w:ind w:left="699"/>
              <w:spacing w:after="0"/>
              <w:rPr>
                <w:sz w:val="20"/>
                <w:szCs w:val="20"/>
                <w:color w:val="auto"/>
              </w:rPr>
            </w:pPr>
            <w:r>
              <w:rPr>
                <w:rFonts w:ascii="Times New Roman" w:cs="Times New Roman" w:eastAsia="Times New Roman" w:hAnsi="Times New Roman"/>
                <w:sz w:val="14"/>
                <w:szCs w:val="14"/>
                <w:color w:val="auto"/>
              </w:rPr>
              <w:t>(I.R.S. Employer Identification No.)</w:t>
            </w:r>
          </w:p>
        </w:tc>
      </w:tr>
    </w:tbl>
    <w:p>
      <w:pPr>
        <w:spacing w:after="0" w:line="15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777 Old Saw Mill River Road, Tarrytown, New York 10591-6707</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39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(914) 847-7000</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00" w:lineRule="exact"/>
        <w:rPr>
          <w:sz w:val="24"/>
          <w:szCs w:val="24"/>
          <w:color w:val="auto"/>
        </w:rPr>
      </w:pPr>
    </w:p>
    <w:p>
      <w:pPr>
        <w:spacing w:after="0" w:line="26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26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1"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2880" w:type="dxa"/>
            <w:vAlign w:val="bottom"/>
            <w:gridSpan w:val="2"/>
          </w:tcPr>
          <w:p>
            <w:pPr>
              <w:jc w:val="center"/>
              <w:ind w:right="1580"/>
              <w:spacing w:after="0"/>
              <w:rPr>
                <w:sz w:val="20"/>
                <w:szCs w:val="20"/>
                <w:color w:val="auto"/>
              </w:rPr>
            </w:pPr>
            <w:r>
              <w:rPr>
                <w:rFonts w:ascii="Times New Roman" w:cs="Times New Roman" w:eastAsia="Times New Roman" w:hAnsi="Times New Roman"/>
                <w:sz w:val="18"/>
                <w:szCs w:val="18"/>
                <w:i w:val="1"/>
                <w:iCs w:val="1"/>
                <w:color w:val="auto"/>
                <w:w w:val="99"/>
              </w:rPr>
              <w:t>Title of each class</w:t>
            </w:r>
          </w:p>
        </w:tc>
        <w:tc>
          <w:tcPr>
            <w:tcW w:w="312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i w:val="1"/>
                <w:iCs w:val="1"/>
                <w:color w:val="auto"/>
                <w:w w:val="99"/>
              </w:rPr>
              <w:t>Trading Symbol(s)</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50"/>
        </w:trPr>
        <w:tc>
          <w:tcPr>
            <w:tcW w:w="386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Common Stock - par value $.001 per share</w:t>
            </w:r>
          </w:p>
        </w:tc>
        <w:tc>
          <w:tcPr>
            <w:tcW w:w="580" w:type="dxa"/>
            <w:vAlign w:val="bottom"/>
          </w:tcPr>
          <w:p>
            <w:pPr>
              <w:spacing w:after="0"/>
              <w:rPr>
                <w:sz w:val="21"/>
                <w:szCs w:val="21"/>
                <w:color w:val="auto"/>
              </w:rPr>
            </w:pPr>
          </w:p>
        </w:tc>
        <w:tc>
          <w:tcPr>
            <w:tcW w:w="254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9"/>
              </w:rPr>
              <w:t>REGN</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306"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9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1144270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53" w:right="49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ind w:right="180" w:firstLine="243"/>
        <w:spacing w:after="0" w:line="266" w:lineRule="auto"/>
        <w:rPr>
          <w:sz w:val="20"/>
          <w:szCs w:val="20"/>
          <w:color w:val="auto"/>
        </w:rPr>
      </w:pPr>
      <w:r>
        <w:rPr>
          <w:rFonts w:ascii="Times New Roman" w:cs="Times New Roman" w:eastAsia="Times New Roman" w:hAnsi="Times New Roman"/>
          <w:sz w:val="18"/>
          <w:szCs w:val="18"/>
          <w:color w:val="auto"/>
        </w:rPr>
        <w:t>On February 4, 2025, Regeneron Pharmaceuticals, Inc. ("</w:t>
      </w:r>
      <w:r>
        <w:rPr>
          <w:rFonts w:ascii="Times New Roman" w:cs="Times New Roman" w:eastAsia="Times New Roman" w:hAnsi="Times New Roman"/>
          <w:sz w:val="18"/>
          <w:szCs w:val="18"/>
          <w:u w:val="single" w:color="auto"/>
          <w:color w:val="auto"/>
        </w:rPr>
        <w:t>Regeneron</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a press release announcing its financial and operating results for the quarter and year ended December 31, 2024. A copy of the press release is being furnished to the Securities and Exchange Commission as Exhibit 99.1 to this Current Report on Form 8-K and is incorporated by reference to this Item 2.02.</w:t>
      </w:r>
    </w:p>
    <w:p>
      <w:pPr>
        <w:spacing w:after="0" w:line="203" w:lineRule="exact"/>
        <w:rPr>
          <w:sz w:val="20"/>
          <w:szCs w:val="20"/>
          <w:color w:val="auto"/>
        </w:rPr>
      </w:pPr>
    </w:p>
    <w:p>
      <w:pPr>
        <w:ind w:right="600" w:firstLine="243"/>
        <w:spacing w:after="0" w:line="266" w:lineRule="auto"/>
        <w:rPr>
          <w:sz w:val="20"/>
          <w:szCs w:val="20"/>
          <w:color w:val="auto"/>
        </w:rPr>
      </w:pPr>
      <w:r>
        <w:rPr>
          <w:rFonts w:ascii="Times New Roman" w:cs="Times New Roman" w:eastAsia="Times New Roman" w:hAnsi="Times New Roman"/>
          <w:sz w:val="18"/>
          <w:szCs w:val="18"/>
          <w:color w:val="auto"/>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19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56" w:lineRule="exact"/>
        <w:rPr>
          <w:sz w:val="20"/>
          <w:szCs w:val="20"/>
          <w:color w:val="auto"/>
        </w:rPr>
      </w:pPr>
    </w:p>
    <w:p>
      <w:pPr>
        <w:ind w:firstLine="243"/>
        <w:spacing w:after="0" w:line="261" w:lineRule="auto"/>
        <w:rPr>
          <w:sz w:val="20"/>
          <w:szCs w:val="20"/>
          <w:color w:val="auto"/>
        </w:rPr>
      </w:pPr>
      <w:r>
        <w:rPr>
          <w:rFonts w:ascii="Times New Roman" w:cs="Times New Roman" w:eastAsia="Times New Roman" w:hAnsi="Times New Roman"/>
          <w:sz w:val="18"/>
          <w:szCs w:val="18"/>
          <w:color w:val="auto"/>
        </w:rPr>
        <w:t>On February 4, 2025, the Company announced that Regeneron's board of directors initiated a quarterly cash dividend program and declared a cash dividend of $0.88 per share on the Company's common stock, par value $0.001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Class A stock, par value $0.001 per share ("</w:t>
      </w:r>
      <w:r>
        <w:rPr>
          <w:rFonts w:ascii="Times New Roman" w:cs="Times New Roman" w:eastAsia="Times New Roman" w:hAnsi="Times New Roman"/>
          <w:sz w:val="18"/>
          <w:szCs w:val="18"/>
          <w:u w:val="single" w:color="auto"/>
          <w:color w:val="auto"/>
        </w:rPr>
        <w:t>Class A Stock</w:t>
      </w:r>
      <w:r>
        <w:rPr>
          <w:rFonts w:ascii="Times New Roman" w:cs="Times New Roman" w:eastAsia="Times New Roman" w:hAnsi="Times New Roman"/>
          <w:sz w:val="18"/>
          <w:szCs w:val="18"/>
          <w:color w:val="auto"/>
        </w:rPr>
        <w:t>" and, together with the Common Stock, "</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The cash dividend will be payable on March 20, 2025 to shareholders of record of the Capital Stock as of the close of business on February 20, 2025.</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On February 4, 2025, the Company also announced an additional $3.0 billion share repurchase program.</w:t>
      </w:r>
    </w:p>
    <w:p>
      <w:pPr>
        <w:spacing w:after="0" w:line="24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FF"/>
        </w:rPr>
        <w:t>Press Release, dated February 4, 2025, Reporting Fourth Quarter and Full Year 2024 Financial and Operating Results.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2" w:name="page3"/>
    <w:bookmarkEnd w:id="2"/>
    <w:p>
      <w:pPr>
        <w:jc w:val="center"/>
        <w:ind w:right="-719"/>
        <w:spacing w:after="0"/>
        <w:rPr>
          <w:sz w:val="20"/>
          <w:szCs w:val="20"/>
          <w:color w:val="auto"/>
        </w:rPr>
      </w:pPr>
      <w:r>
        <w:rPr>
          <w:rFonts w:ascii="Times New Roman" w:cs="Times New Roman" w:eastAsia="Times New Roman" w:hAnsi="Times New Roman"/>
          <w:sz w:val="18"/>
          <w:szCs w:val="18"/>
          <w:color w:val="auto"/>
        </w:rPr>
        <w:t>SIGNATURES</w:t>
      </w:r>
    </w:p>
    <w:p>
      <w:pPr>
        <w:spacing w:after="0" w:line="252"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6" w:lineRule="exact"/>
        <w:rPr>
          <w:sz w:val="20"/>
          <w:szCs w:val="20"/>
          <w:color w:val="auto"/>
        </w:rPr>
      </w:pPr>
    </w:p>
    <w:tbl>
      <w:tblPr>
        <w:tblLayout w:type="fixed"/>
        <w:tblInd w:w="2520" w:type="dxa"/>
        <w:tblCellMar>
          <w:top w:w="0" w:type="dxa"/>
          <w:left w:w="0" w:type="dxa"/>
          <w:bottom w:w="0" w:type="dxa"/>
          <w:right w:w="0" w:type="dxa"/>
        </w:tblCellMar>
      </w:tblPr>
      <w:tr>
        <w:trPr>
          <w:trHeight w:val="234"/>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4, 2025</w:t>
            </w:r>
          </w:p>
        </w:tc>
        <w:tc>
          <w:tcPr>
            <w:tcW w:w="5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REGENERON PHARMACEUTICALS, INC.</w:t>
            </w:r>
          </w:p>
        </w:tc>
      </w:tr>
      <w:tr>
        <w:trPr>
          <w:trHeight w:val="499"/>
        </w:trPr>
        <w:tc>
          <w:tcPr>
            <w:tcW w:w="2020" w:type="dxa"/>
            <w:vAlign w:val="bottom"/>
          </w:tcPr>
          <w:p>
            <w:pPr>
              <w:spacing w:after="0"/>
              <w:rPr>
                <w:sz w:val="24"/>
                <w:szCs w:val="24"/>
                <w:color w:val="auto"/>
              </w:rPr>
            </w:pPr>
          </w:p>
        </w:tc>
        <w:tc>
          <w:tcPr>
            <w:tcW w:w="1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J. LaRosa</w:t>
            </w:r>
          </w:p>
        </w:tc>
      </w:tr>
      <w:tr>
        <w:trPr>
          <w:trHeight w:val="218"/>
        </w:trPr>
        <w:tc>
          <w:tcPr>
            <w:tcW w:w="2020" w:type="dxa"/>
            <w:vAlign w:val="bottom"/>
          </w:tcPr>
          <w:p>
            <w:pPr>
              <w:spacing w:after="0"/>
              <w:rPr>
                <w:sz w:val="18"/>
                <w:szCs w:val="18"/>
                <w:color w:val="auto"/>
              </w:rPr>
            </w:pPr>
          </w:p>
        </w:tc>
        <w:tc>
          <w:tcPr>
            <w:tcW w:w="1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Joseph J. LaRosa</w:t>
            </w:r>
          </w:p>
        </w:tc>
      </w:tr>
      <w:tr>
        <w:trPr>
          <w:trHeight w:val="234"/>
        </w:trPr>
        <w:tc>
          <w:tcPr>
            <w:tcW w:w="2020" w:type="dxa"/>
            <w:vAlign w:val="bottom"/>
          </w:tcPr>
          <w:p>
            <w:pPr>
              <w:spacing w:after="0"/>
              <w:rPr>
                <w:sz w:val="20"/>
                <w:szCs w:val="20"/>
                <w:color w:val="auto"/>
              </w:rPr>
            </w:pPr>
          </w:p>
        </w:tc>
        <w:tc>
          <w:tcPr>
            <w:tcW w:w="1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bl>
    <w:p>
      <w:pPr>
        <w:sectPr>
          <w:pgSz w:w="11900" w:h="16838" w:orient="portrait"/>
          <w:cols w:equalWidth="0" w:num="1">
            <w:col w:w="10520"/>
          </w:cols>
          <w:pgMar w:left="320" w:top="891" w:right="10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303020" cy="205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020" cy="20574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both"/>
        <w:ind w:right="20"/>
        <w:spacing w:after="0" w:line="270" w:lineRule="auto"/>
        <w:rPr>
          <w:sz w:val="20"/>
          <w:szCs w:val="20"/>
          <w:color w:val="auto"/>
        </w:rPr>
      </w:pPr>
      <w:r>
        <w:rPr>
          <w:rFonts w:ascii="Arial" w:cs="Arial" w:eastAsia="Arial" w:hAnsi="Arial"/>
          <w:sz w:val="29"/>
          <w:szCs w:val="29"/>
          <w:b w:val="1"/>
          <w:bCs w:val="1"/>
          <w:color w:val="0F4DBC"/>
        </w:rPr>
        <w:t>Regeneron Reports Fourth Quarter and Full Year 2024 Financial and Operating Results; Initiates Quarterly Dividend and Increases Total Share Repurchase Capacity to ~$4.5 Billion</w:t>
      </w:r>
    </w:p>
    <w:p>
      <w:pPr>
        <w:spacing w:after="0" w:line="70" w:lineRule="exact"/>
        <w:rPr>
          <w:sz w:val="20"/>
          <w:szCs w:val="20"/>
          <w:color w:val="auto"/>
        </w:rPr>
      </w:pPr>
    </w:p>
    <w:p>
      <w:pPr>
        <w:ind w:left="320" w:hanging="312"/>
        <w:spacing w:after="0"/>
        <w:tabs>
          <w:tab w:leader="none" w:pos="32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Fourth quarter 2024 revenues increased 10% to $3.79 billion versus fourth quarter 2023</w:t>
      </w:r>
    </w:p>
    <w:p>
      <w:pPr>
        <w:spacing w:after="0" w:line="23" w:lineRule="exact"/>
        <w:rPr>
          <w:rFonts w:ascii="Arial" w:cs="Arial" w:eastAsia="Arial" w:hAnsi="Arial"/>
          <w:sz w:val="22"/>
          <w:szCs w:val="22"/>
          <w:i w:val="1"/>
          <w:iCs w:val="1"/>
          <w:color w:val="auto"/>
        </w:rPr>
      </w:pPr>
    </w:p>
    <w:p>
      <w:pPr>
        <w:ind w:left="340" w:right="800" w:hanging="332"/>
        <w:spacing w:after="0" w:line="249"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Full year 2024 revenues increased 8% to $14.20 billion versus 2023; excluding Ronapreve</w:t>
      </w:r>
      <w:r>
        <w:rPr>
          <w:rFonts w:ascii="Arial" w:cs="Arial" w:eastAsia="Arial" w:hAnsi="Arial"/>
          <w:sz w:val="11"/>
          <w:szCs w:val="11"/>
          <w:i w:val="1"/>
          <w:iCs w:val="1"/>
          <w:color w:val="auto"/>
        </w:rPr>
        <w:t>TM(a)(b)</w:t>
      </w:r>
      <w:r>
        <w:rPr>
          <w:rFonts w:ascii="Arial" w:cs="Arial" w:eastAsia="Arial" w:hAnsi="Arial"/>
          <w:sz w:val="22"/>
          <w:szCs w:val="22"/>
          <w:i w:val="1"/>
          <w:iCs w:val="1"/>
          <w:color w:val="auto"/>
        </w:rPr>
        <w:t>, revenues increased 10%</w:t>
      </w:r>
    </w:p>
    <w:p>
      <w:pPr>
        <w:spacing w:after="0" w:line="1" w:lineRule="exact"/>
        <w:rPr>
          <w:rFonts w:ascii="Arial" w:cs="Arial" w:eastAsia="Arial" w:hAnsi="Arial"/>
          <w:sz w:val="22"/>
          <w:szCs w:val="22"/>
          <w:i w:val="1"/>
          <w:iCs w:val="1"/>
          <w:color w:val="auto"/>
        </w:rPr>
      </w:pPr>
    </w:p>
    <w:p>
      <w:pPr>
        <w:ind w:left="340" w:right="200" w:hanging="332"/>
        <w:spacing w:after="0" w:line="243"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Fourth quarter 2024 Dupixent</w:t>
      </w:r>
      <w:r>
        <w:rPr>
          <w:rFonts w:ascii="Arial" w:cs="Arial" w:eastAsia="Arial" w:hAnsi="Arial"/>
          <w:sz w:val="11"/>
          <w:szCs w:val="11"/>
          <w:i w:val="1"/>
          <w:iCs w:val="1"/>
          <w:color w:val="auto"/>
        </w:rPr>
        <w:t>®</w:t>
      </w:r>
      <w:r>
        <w:rPr>
          <w:rFonts w:ascii="Arial" w:cs="Arial" w:eastAsia="Arial" w:hAnsi="Arial"/>
          <w:sz w:val="22"/>
          <w:szCs w:val="22"/>
          <w:i w:val="1"/>
          <w:iCs w:val="1"/>
          <w:color w:val="auto"/>
        </w:rPr>
        <w:t xml:space="preserve"> global net sales (recorded by Sanofi) increased 15% to $3.70 billion versus fourth quarter 2023; full year 2024 Dupixent global net sales increased 22% to $14.15 billion versus 2023</w:t>
      </w:r>
    </w:p>
    <w:p>
      <w:pPr>
        <w:ind w:left="340" w:right="520" w:hanging="332"/>
        <w:spacing w:after="0" w:line="247"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Fourth quarter 2024 U.S. net sales for EYLEA HD</w:t>
      </w:r>
      <w:r>
        <w:rPr>
          <w:rFonts w:ascii="Arial" w:cs="Arial" w:eastAsia="Arial" w:hAnsi="Arial"/>
          <w:sz w:val="11"/>
          <w:szCs w:val="11"/>
          <w:i w:val="1"/>
          <w:iCs w:val="1"/>
          <w:color w:val="auto"/>
        </w:rPr>
        <w:t>®</w:t>
      </w:r>
      <w:r>
        <w:rPr>
          <w:rFonts w:ascii="Arial" w:cs="Arial" w:eastAsia="Arial" w:hAnsi="Arial"/>
          <w:sz w:val="22"/>
          <w:szCs w:val="22"/>
          <w:i w:val="1"/>
          <w:iCs w:val="1"/>
          <w:color w:val="auto"/>
        </w:rPr>
        <w:t xml:space="preserve"> and EYLEA</w:t>
      </w:r>
      <w:r>
        <w:rPr>
          <w:rFonts w:ascii="Arial" w:cs="Arial" w:eastAsia="Arial" w:hAnsi="Arial"/>
          <w:sz w:val="11"/>
          <w:szCs w:val="11"/>
          <w:i w:val="1"/>
          <w:iCs w:val="1"/>
          <w:color w:val="auto"/>
        </w:rPr>
        <w:t>®</w:t>
      </w:r>
      <w:r>
        <w:rPr>
          <w:rFonts w:ascii="Arial" w:cs="Arial" w:eastAsia="Arial" w:hAnsi="Arial"/>
          <w:sz w:val="22"/>
          <w:szCs w:val="22"/>
          <w:i w:val="1"/>
          <w:iCs w:val="1"/>
          <w:color w:val="auto"/>
        </w:rPr>
        <w:t xml:space="preserve"> increased 2% versus fourth quarter 2023 to $1.50 billion, including $305 million from EYLEA HD; full year 2024 U.S. net sales for EYLEA HD and EYLEA increased 1% versus 2023 to $5.97 billion versus 2023, including $1.20 billion from EYLEA HD</w:t>
      </w:r>
    </w:p>
    <w:p>
      <w:pPr>
        <w:spacing w:after="0" w:line="1" w:lineRule="exact"/>
        <w:rPr>
          <w:rFonts w:ascii="Arial" w:cs="Arial" w:eastAsia="Arial" w:hAnsi="Arial"/>
          <w:sz w:val="22"/>
          <w:szCs w:val="22"/>
          <w:i w:val="1"/>
          <w:iCs w:val="1"/>
          <w:color w:val="auto"/>
        </w:rPr>
      </w:pPr>
    </w:p>
    <w:p>
      <w:pPr>
        <w:ind w:left="340" w:right="200" w:hanging="332"/>
        <w:spacing w:after="0" w:line="243"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Fourth quarter 2024 Libtayo</w:t>
      </w:r>
      <w:r>
        <w:rPr>
          <w:rFonts w:ascii="Arial" w:cs="Arial" w:eastAsia="Arial" w:hAnsi="Arial"/>
          <w:sz w:val="11"/>
          <w:szCs w:val="11"/>
          <w:i w:val="1"/>
          <w:iCs w:val="1"/>
          <w:color w:val="auto"/>
        </w:rPr>
        <w:t>®</w:t>
      </w:r>
      <w:r>
        <w:rPr>
          <w:rFonts w:ascii="Arial" w:cs="Arial" w:eastAsia="Arial" w:hAnsi="Arial"/>
          <w:sz w:val="22"/>
          <w:szCs w:val="22"/>
          <w:i w:val="1"/>
          <w:iCs w:val="1"/>
          <w:color w:val="auto"/>
        </w:rPr>
        <w:t xml:space="preserve"> global net sales increased 50% to $367 million versus fourth quarter 2023; full year 2024 Libtayo global net sales increased 40% to $1.22 billion versus 2023</w:t>
      </w:r>
    </w:p>
    <w:p>
      <w:pPr>
        <w:ind w:left="340" w:right="560" w:hanging="332"/>
        <w:spacing w:after="0" w:line="243"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Fourth quarter 2024 GAAP diluted EPS of $8.06 and non-GAAP diluted EPS</w:t>
      </w:r>
      <w:r>
        <w:rPr>
          <w:rFonts w:ascii="Arial" w:cs="Arial" w:eastAsia="Arial" w:hAnsi="Arial"/>
          <w:sz w:val="11"/>
          <w:szCs w:val="11"/>
          <w:i w:val="1"/>
          <w:iCs w:val="1"/>
          <w:color w:val="auto"/>
        </w:rPr>
        <w:t>(a)</w:t>
      </w:r>
      <w:r>
        <w:rPr>
          <w:rFonts w:ascii="Arial" w:cs="Arial" w:eastAsia="Arial" w:hAnsi="Arial"/>
          <w:sz w:val="22"/>
          <w:szCs w:val="22"/>
          <w:i w:val="1"/>
          <w:iCs w:val="1"/>
          <w:color w:val="auto"/>
        </w:rPr>
        <w:t xml:space="preserve"> of $12.07; fourth quarter 2024 includes unfavorable $0.11 impact from acquired IPR&amp;D charge</w:t>
      </w:r>
    </w:p>
    <w:p>
      <w:pPr>
        <w:ind w:left="340" w:right="440" w:hanging="332"/>
        <w:spacing w:after="0" w:line="249"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Initiation of quarterly cash dividend program, $0.88 dividend declared; additional $3.0 billion share repurchase program authorized, bringing current repurchase capacity to ~$4.5 billion</w:t>
      </w:r>
    </w:p>
    <w:p>
      <w:pPr>
        <w:spacing w:after="0" w:line="1" w:lineRule="exact"/>
        <w:rPr>
          <w:rFonts w:ascii="Arial" w:cs="Arial" w:eastAsia="Arial" w:hAnsi="Arial"/>
          <w:sz w:val="22"/>
          <w:szCs w:val="22"/>
          <w:i w:val="1"/>
          <w:iCs w:val="1"/>
          <w:color w:val="auto"/>
        </w:rPr>
      </w:pPr>
    </w:p>
    <w:p>
      <w:pPr>
        <w:ind w:left="340" w:right="680" w:hanging="332"/>
        <w:spacing w:after="0" w:line="243"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Regulatory applications submitted to FDA for EYLEA HD pre-filled syringe, Dupixent in bullous pemphigoid, odronextamab in follicular lymphoma, and linvoseltamab in multiple myeloma</w:t>
      </w:r>
    </w:p>
    <w:p>
      <w:pPr>
        <w:ind w:left="340" w:right="180" w:hanging="332"/>
        <w:spacing w:after="0" w:line="253"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Positive Phase 3 results reported for EYLEA HD in retinal vein occlusion (RVO) and Libtayo in high-risk adjuvant cutaneous squamous cell carcinoma (CSCC)</w:t>
      </w:r>
    </w:p>
    <w:p>
      <w:pPr>
        <w:spacing w:after="0" w:line="187" w:lineRule="exact"/>
        <w:rPr>
          <w:sz w:val="20"/>
          <w:szCs w:val="20"/>
          <w:color w:val="auto"/>
        </w:rPr>
      </w:pPr>
    </w:p>
    <w:p>
      <w:pPr>
        <w:ind w:right="180"/>
        <w:spacing w:after="0" w:line="274" w:lineRule="auto"/>
        <w:rPr>
          <w:sz w:val="20"/>
          <w:szCs w:val="20"/>
          <w:color w:val="auto"/>
        </w:rPr>
      </w:pPr>
      <w:r>
        <w:rPr>
          <w:rFonts w:ascii="Arial" w:cs="Arial" w:eastAsia="Arial" w:hAnsi="Arial"/>
          <w:sz w:val="22"/>
          <w:szCs w:val="22"/>
          <w:b w:val="1"/>
          <w:bCs w:val="1"/>
          <w:color w:val="auto"/>
        </w:rPr>
        <w:t xml:space="preserve">Tarrytown, New York (February 4, 2025) -- </w:t>
      </w:r>
      <w:r>
        <w:rPr>
          <w:rFonts w:ascii="Arial" w:cs="Arial" w:eastAsia="Arial" w:hAnsi="Arial"/>
          <w:sz w:val="22"/>
          <w:szCs w:val="22"/>
          <w:color w:val="auto"/>
        </w:rPr>
        <w:t>Regeneron Pharmaceuticals, Inc. (NASDAQ:</w:t>
      </w:r>
      <w:r>
        <w:rPr>
          <w:rFonts w:ascii="Arial" w:cs="Arial" w:eastAsia="Arial" w:hAnsi="Arial"/>
          <w:sz w:val="22"/>
          <w:szCs w:val="22"/>
          <w:b w:val="1"/>
          <w:bCs w:val="1"/>
          <w:color w:val="auto"/>
        </w:rPr>
        <w:t xml:space="preserve"> REGN</w:t>
      </w:r>
      <w:r>
        <w:rPr>
          <w:rFonts w:ascii="Arial" w:cs="Arial" w:eastAsia="Arial" w:hAnsi="Arial"/>
          <w:sz w:val="22"/>
          <w:szCs w:val="22"/>
          <w:color w:val="auto"/>
        </w:rPr>
        <w:t>) today announced</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results for the fourth quarter and full year 2024 and provided a business update.</w:t>
      </w:r>
    </w:p>
    <w:p>
      <w:pPr>
        <w:spacing w:after="0" w:line="72"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"Regeneron's financial and commercial strength allows for continued investment in our industry-leading R&amp;D pipeline, while simultaneously returning capital to our shareholders through our newly initiated dividend program and increased share repurchase capacity," said Leonard S. Schleifer, M.D., Ph.D., Board co-Chair, President and Chief Executive Officer of Regeneron. "In 2025, we will continue to focus on our four blockbuster medicines as we progress our approximately 40 investigational candidates covering dozens of disease states with expansive market potential."</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90"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i w:val="1"/>
          <w:iCs w:val="1"/>
          <w:color w:val="auto"/>
        </w:rPr>
        <w:t>Financial Highlights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3040" w:type="dxa"/>
            <w:vAlign w:val="bottom"/>
          </w:tcPr>
          <w:p>
            <w:pPr>
              <w:ind w:left="20"/>
              <w:spacing w:after="0"/>
              <w:rPr>
                <w:sz w:val="20"/>
                <w:szCs w:val="20"/>
                <w:color w:val="auto"/>
              </w:rPr>
            </w:pPr>
            <w:r>
              <w:rPr>
                <w:rFonts w:ascii="Arial" w:cs="Arial" w:eastAsia="Arial" w:hAnsi="Arial"/>
                <w:sz w:val="14"/>
                <w:szCs w:val="14"/>
                <w:i w:val="1"/>
                <w:iCs w:val="1"/>
                <w:color w:val="auto"/>
              </w:rPr>
              <w:t>($ in millions, except per share data)</w:t>
            </w:r>
          </w:p>
        </w:tc>
        <w:tc>
          <w:tcPr>
            <w:tcW w:w="160" w:type="dxa"/>
            <w:vAlign w:val="bottom"/>
          </w:tcPr>
          <w:p>
            <w:pPr>
              <w:spacing w:after="0"/>
              <w:rPr>
                <w:sz w:val="23"/>
                <w:szCs w:val="23"/>
                <w:color w:val="auto"/>
              </w:rPr>
            </w:pPr>
          </w:p>
        </w:tc>
        <w:tc>
          <w:tcPr>
            <w:tcW w:w="1120" w:type="dxa"/>
            <w:vAlign w:val="bottom"/>
            <w:gridSpan w:val="2"/>
          </w:tcPr>
          <w:p>
            <w:pPr>
              <w:ind w:left="40"/>
              <w:spacing w:after="0"/>
              <w:rPr>
                <w:sz w:val="20"/>
                <w:szCs w:val="20"/>
                <w:color w:val="auto"/>
              </w:rPr>
            </w:pPr>
            <w:r>
              <w:rPr>
                <w:rFonts w:ascii="Arial" w:cs="Arial" w:eastAsia="Arial" w:hAnsi="Arial"/>
                <w:sz w:val="20"/>
                <w:szCs w:val="20"/>
                <w:b w:val="1"/>
                <w:bCs w:val="1"/>
                <w:color w:val="auto"/>
              </w:rPr>
              <w:t>Q4 2024</w:t>
            </w:r>
          </w:p>
        </w:tc>
        <w:tc>
          <w:tcPr>
            <w:tcW w:w="160" w:type="dxa"/>
            <w:vAlign w:val="bottom"/>
          </w:tcPr>
          <w:p>
            <w:pPr>
              <w:spacing w:after="0"/>
              <w:rPr>
                <w:sz w:val="23"/>
                <w:szCs w:val="23"/>
                <w:color w:val="auto"/>
              </w:rPr>
            </w:pPr>
          </w:p>
        </w:tc>
        <w:tc>
          <w:tcPr>
            <w:tcW w:w="1120" w:type="dxa"/>
            <w:vAlign w:val="bottom"/>
            <w:gridSpan w:val="2"/>
          </w:tcPr>
          <w:p>
            <w:pPr>
              <w:ind w:left="40"/>
              <w:spacing w:after="0"/>
              <w:rPr>
                <w:sz w:val="20"/>
                <w:szCs w:val="20"/>
                <w:color w:val="auto"/>
              </w:rPr>
            </w:pPr>
            <w:r>
              <w:rPr>
                <w:rFonts w:ascii="Arial" w:cs="Arial" w:eastAsia="Arial" w:hAnsi="Arial"/>
                <w:sz w:val="20"/>
                <w:szCs w:val="20"/>
                <w:b w:val="1"/>
                <w:bCs w:val="1"/>
                <w:color w:val="auto"/>
              </w:rPr>
              <w:t>Q4 2023</w:t>
            </w:r>
          </w:p>
        </w:tc>
        <w:tc>
          <w:tcPr>
            <w:tcW w:w="1580" w:type="dxa"/>
            <w:vAlign w:val="bottom"/>
            <w:gridSpan w:val="2"/>
          </w:tcPr>
          <w:p>
            <w:pPr>
              <w:ind w:left="260"/>
              <w:spacing w:after="0"/>
              <w:rPr>
                <w:sz w:val="20"/>
                <w:szCs w:val="20"/>
                <w:color w:val="auto"/>
              </w:rPr>
            </w:pPr>
            <w:r>
              <w:rPr>
                <w:rFonts w:ascii="Arial" w:cs="Arial" w:eastAsia="Arial" w:hAnsi="Arial"/>
                <w:sz w:val="20"/>
                <w:szCs w:val="20"/>
                <w:b w:val="1"/>
                <w:bCs w:val="1"/>
                <w:color w:val="auto"/>
              </w:rPr>
              <w:t>% Change</w:t>
            </w:r>
          </w:p>
        </w:tc>
        <w:tc>
          <w:tcPr>
            <w:tcW w:w="180" w:type="dxa"/>
            <w:vAlign w:val="bottom"/>
          </w:tcPr>
          <w:p>
            <w:pPr>
              <w:spacing w:after="0"/>
              <w:rPr>
                <w:sz w:val="23"/>
                <w:szCs w:val="23"/>
                <w:color w:val="auto"/>
              </w:rPr>
            </w:pPr>
          </w:p>
        </w:tc>
        <w:tc>
          <w:tcPr>
            <w:tcW w:w="1120" w:type="dxa"/>
            <w:vAlign w:val="bottom"/>
            <w:gridSpan w:val="2"/>
          </w:tcPr>
          <w:p>
            <w:pPr>
              <w:ind w:left="40"/>
              <w:spacing w:after="0"/>
              <w:rPr>
                <w:sz w:val="20"/>
                <w:szCs w:val="20"/>
                <w:color w:val="auto"/>
              </w:rPr>
            </w:pPr>
            <w:r>
              <w:rPr>
                <w:rFonts w:ascii="Arial" w:cs="Arial" w:eastAsia="Arial" w:hAnsi="Arial"/>
                <w:sz w:val="20"/>
                <w:szCs w:val="20"/>
                <w:b w:val="1"/>
                <w:bCs w:val="1"/>
                <w:color w:val="auto"/>
              </w:rPr>
              <w:t>FY 2024</w:t>
            </w:r>
          </w:p>
        </w:tc>
        <w:tc>
          <w:tcPr>
            <w:tcW w:w="160" w:type="dxa"/>
            <w:vAlign w:val="bottom"/>
          </w:tcPr>
          <w:p>
            <w:pPr>
              <w:spacing w:after="0"/>
              <w:rPr>
                <w:sz w:val="23"/>
                <w:szCs w:val="23"/>
                <w:color w:val="auto"/>
              </w:rPr>
            </w:pPr>
          </w:p>
        </w:tc>
        <w:tc>
          <w:tcPr>
            <w:tcW w:w="1120" w:type="dxa"/>
            <w:vAlign w:val="bottom"/>
            <w:gridSpan w:val="2"/>
          </w:tcPr>
          <w:p>
            <w:pPr>
              <w:ind w:left="60"/>
              <w:spacing w:after="0"/>
              <w:rPr>
                <w:sz w:val="20"/>
                <w:szCs w:val="20"/>
                <w:color w:val="auto"/>
              </w:rPr>
            </w:pPr>
            <w:r>
              <w:rPr>
                <w:rFonts w:ascii="Arial" w:cs="Arial" w:eastAsia="Arial" w:hAnsi="Arial"/>
                <w:sz w:val="20"/>
                <w:szCs w:val="20"/>
                <w:b w:val="1"/>
                <w:bCs w:val="1"/>
                <w:color w:val="auto"/>
              </w:rPr>
              <w:t>FY 2023</w:t>
            </w:r>
          </w:p>
        </w:tc>
        <w:tc>
          <w:tcPr>
            <w:tcW w:w="1480" w:type="dxa"/>
            <w:vAlign w:val="bottom"/>
          </w:tcPr>
          <w:p>
            <w:pPr>
              <w:jc w:val="right"/>
              <w:ind w:right="161"/>
              <w:spacing w:after="0"/>
              <w:rPr>
                <w:sz w:val="20"/>
                <w:szCs w:val="20"/>
                <w:color w:val="auto"/>
              </w:rPr>
            </w:pPr>
            <w:r>
              <w:rPr>
                <w:rFonts w:ascii="Arial" w:cs="Arial" w:eastAsia="Arial" w:hAnsi="Arial"/>
                <w:sz w:val="20"/>
                <w:szCs w:val="20"/>
                <w:b w:val="1"/>
                <w:bCs w:val="1"/>
                <w:color w:val="auto"/>
              </w:rPr>
              <w:t>% Change</w:t>
            </w:r>
          </w:p>
        </w:tc>
        <w:tc>
          <w:tcPr>
            <w:tcW w:w="0" w:type="dxa"/>
            <w:vAlign w:val="bottom"/>
          </w:tcPr>
          <w:p>
            <w:pPr>
              <w:spacing w:after="0"/>
              <w:rPr>
                <w:sz w:val="1"/>
                <w:szCs w:val="1"/>
                <w:color w:val="auto"/>
              </w:rPr>
            </w:pPr>
          </w:p>
        </w:tc>
      </w:tr>
      <w:tr>
        <w:trPr>
          <w:trHeight w:val="250"/>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3,789</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3,434</w:t>
            </w:r>
          </w:p>
        </w:tc>
        <w:tc>
          <w:tcPr>
            <w:tcW w:w="10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10 %</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14,202</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13,117</w:t>
            </w:r>
          </w:p>
        </w:tc>
        <w:tc>
          <w:tcPr>
            <w:tcW w:w="8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8 %</w:t>
            </w:r>
          </w:p>
        </w:tc>
        <w:tc>
          <w:tcPr>
            <w:tcW w:w="0" w:type="dxa"/>
            <w:vAlign w:val="bottom"/>
          </w:tcPr>
          <w:p>
            <w:pPr>
              <w:spacing w:after="0"/>
              <w:rPr>
                <w:sz w:val="1"/>
                <w:szCs w:val="1"/>
                <w:color w:val="auto"/>
              </w:rPr>
            </w:pPr>
          </w:p>
        </w:tc>
      </w:tr>
      <w:tr>
        <w:trPr>
          <w:trHeight w:val="257"/>
        </w:trPr>
        <w:tc>
          <w:tcPr>
            <w:tcW w:w="3040" w:type="dxa"/>
            <w:vAlign w:val="bottom"/>
          </w:tcPr>
          <w:p>
            <w:pPr>
              <w:ind w:left="20"/>
              <w:spacing w:after="0"/>
              <w:rPr>
                <w:sz w:val="20"/>
                <w:szCs w:val="20"/>
                <w:color w:val="auto"/>
              </w:rPr>
            </w:pPr>
            <w:r>
              <w:rPr>
                <w:rFonts w:ascii="Arial" w:cs="Arial" w:eastAsia="Arial" w:hAnsi="Arial"/>
                <w:sz w:val="20"/>
                <w:szCs w:val="20"/>
                <w:color w:val="auto"/>
              </w:rPr>
              <w:t>GAAP net income</w:t>
            </w: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918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1,160</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(21 %)</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4,413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3,954</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12 %</w:t>
            </w:r>
          </w:p>
        </w:tc>
        <w:tc>
          <w:tcPr>
            <w:tcW w:w="0" w:type="dxa"/>
            <w:vAlign w:val="bottom"/>
          </w:tcPr>
          <w:p>
            <w:pPr>
              <w:spacing w:after="0"/>
              <w:rPr>
                <w:sz w:val="1"/>
                <w:szCs w:val="1"/>
                <w:color w:val="auto"/>
              </w:rPr>
            </w:pPr>
          </w:p>
        </w:tc>
      </w:tr>
      <w:tr>
        <w:trPr>
          <w:trHeight w:val="189"/>
        </w:trPr>
        <w:tc>
          <w:tcPr>
            <w:tcW w:w="304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GAAP net income per share -</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8.06</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10.19</w:t>
            </w:r>
          </w:p>
        </w:tc>
        <w:tc>
          <w:tcPr>
            <w:tcW w:w="10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(21 %)</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38.34</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34.77</w:t>
            </w:r>
          </w:p>
        </w:tc>
        <w:tc>
          <w:tcPr>
            <w:tcW w:w="8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10 %</w:t>
            </w:r>
          </w:p>
        </w:tc>
        <w:tc>
          <w:tcPr>
            <w:tcW w:w="0" w:type="dxa"/>
            <w:vAlign w:val="bottom"/>
          </w:tcPr>
          <w:p>
            <w:pPr>
              <w:spacing w:after="0"/>
              <w:rPr>
                <w:sz w:val="1"/>
                <w:szCs w:val="1"/>
                <w:color w:val="auto"/>
              </w:rPr>
            </w:pPr>
          </w:p>
        </w:tc>
      </w:tr>
      <w:tr>
        <w:trPr>
          <w:trHeight w:val="256"/>
        </w:trPr>
        <w:tc>
          <w:tcPr>
            <w:tcW w:w="3040" w:type="dxa"/>
            <w:vAlign w:val="bottom"/>
            <w:shd w:val="clear" w:color="auto" w:fill="CCEEFF"/>
          </w:tcPr>
          <w:p>
            <w:pPr>
              <w:ind w:left="180"/>
              <w:spacing w:after="0"/>
              <w:rPr>
                <w:sz w:val="20"/>
                <w:szCs w:val="20"/>
                <w:color w:val="auto"/>
              </w:rPr>
            </w:pPr>
            <w:r>
              <w:rPr>
                <w:rFonts w:ascii="Arial" w:cs="Arial" w:eastAsia="Arial" w:hAnsi="Arial"/>
                <w:sz w:val="20"/>
                <w:szCs w:val="20"/>
                <w:color w:val="auto"/>
              </w:rPr>
              <w:t>diluted</w:t>
            </w:r>
          </w:p>
        </w:tc>
        <w:tc>
          <w:tcPr>
            <w:tcW w:w="160" w:type="dxa"/>
            <w:vAlign w:val="bottom"/>
            <w:vMerge w:val="continue"/>
            <w:shd w:val="clear" w:color="auto" w:fill="CCEEFF"/>
          </w:tcPr>
          <w:p>
            <w:pPr>
              <w:spacing w:after="0"/>
              <w:rPr>
                <w:sz w:val="22"/>
                <w:szCs w:val="22"/>
                <w:color w:val="auto"/>
              </w:rPr>
            </w:pPr>
          </w:p>
        </w:tc>
        <w:tc>
          <w:tcPr>
            <w:tcW w:w="102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vMerge w:val="continue"/>
            <w:shd w:val="clear" w:color="auto" w:fill="CCEEFF"/>
          </w:tcPr>
          <w:p>
            <w:pPr>
              <w:spacing w:after="0"/>
              <w:rPr>
                <w:sz w:val="22"/>
                <w:szCs w:val="22"/>
                <w:color w:val="auto"/>
              </w:rPr>
            </w:pPr>
          </w:p>
        </w:tc>
        <w:tc>
          <w:tcPr>
            <w:tcW w:w="102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vMerge w:val="continue"/>
            <w:shd w:val="clear" w:color="auto" w:fill="CCEEFF"/>
          </w:tcPr>
          <w:p>
            <w:pPr>
              <w:spacing w:after="0"/>
              <w:rPr>
                <w:sz w:val="22"/>
                <w:szCs w:val="22"/>
                <w:color w:val="auto"/>
              </w:rPr>
            </w:pPr>
          </w:p>
        </w:tc>
        <w:tc>
          <w:tcPr>
            <w:tcW w:w="102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vMerge w:val="continue"/>
            <w:shd w:val="clear" w:color="auto" w:fill="CCEEFF"/>
          </w:tcPr>
          <w:p>
            <w:pPr>
              <w:spacing w:after="0"/>
              <w:rPr>
                <w:sz w:val="22"/>
                <w:szCs w:val="22"/>
                <w:color w:val="auto"/>
              </w:rPr>
            </w:pPr>
          </w:p>
        </w:tc>
        <w:tc>
          <w:tcPr>
            <w:tcW w:w="104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8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040" w:type="dxa"/>
            <w:vAlign w:val="bottom"/>
          </w:tcPr>
          <w:p>
            <w:pPr>
              <w:ind w:left="20"/>
              <w:spacing w:after="0" w:line="257" w:lineRule="exact"/>
              <w:rPr>
                <w:sz w:val="20"/>
                <w:szCs w:val="20"/>
                <w:color w:val="auto"/>
              </w:rPr>
            </w:pPr>
            <w:r>
              <w:rPr>
                <w:rFonts w:ascii="Arial" w:cs="Arial" w:eastAsia="Arial" w:hAnsi="Arial"/>
                <w:sz w:val="20"/>
                <w:szCs w:val="20"/>
                <w:color w:val="auto"/>
              </w:rPr>
              <w:t>Non-GAAP net income</w:t>
            </w:r>
            <w:r>
              <w:rPr>
                <w:rFonts w:ascii="Arial" w:cs="Arial" w:eastAsia="Arial" w:hAnsi="Arial"/>
                <w:sz w:val="25"/>
                <w:szCs w:val="25"/>
                <w:color w:val="auto"/>
                <w:vertAlign w:val="superscript"/>
              </w:rPr>
              <w:t>(a)</w:t>
            </w: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1,390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1,366</w:t>
            </w:r>
          </w:p>
        </w:tc>
        <w:tc>
          <w:tcPr>
            <w:tcW w:w="100" w:type="dxa"/>
            <w:vAlign w:val="bottom"/>
          </w:tcPr>
          <w:p>
            <w:pPr>
              <w:spacing w:after="0"/>
              <w:rPr>
                <w:sz w:val="22"/>
                <w:szCs w:val="22"/>
                <w:color w:val="auto"/>
              </w:rPr>
            </w:pP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2 %</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5,319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5,045</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5 %</w:t>
            </w:r>
          </w:p>
        </w:tc>
        <w:tc>
          <w:tcPr>
            <w:tcW w:w="0" w:type="dxa"/>
            <w:vAlign w:val="bottom"/>
          </w:tcPr>
          <w:p>
            <w:pPr>
              <w:spacing w:after="0"/>
              <w:rPr>
                <w:sz w:val="1"/>
                <w:szCs w:val="1"/>
                <w:color w:val="auto"/>
              </w:rPr>
            </w:pPr>
          </w:p>
        </w:tc>
      </w:tr>
      <w:tr>
        <w:trPr>
          <w:trHeight w:val="189"/>
        </w:trPr>
        <w:tc>
          <w:tcPr>
            <w:tcW w:w="304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Non-GAAP net income per share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12.07</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11.86</w:t>
            </w:r>
          </w:p>
        </w:tc>
        <w:tc>
          <w:tcPr>
            <w:tcW w:w="10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2 %</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45.62</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43.79</w:t>
            </w:r>
          </w:p>
        </w:tc>
        <w:tc>
          <w:tcPr>
            <w:tcW w:w="8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4 %</w:t>
            </w:r>
          </w:p>
        </w:tc>
        <w:tc>
          <w:tcPr>
            <w:tcW w:w="0" w:type="dxa"/>
            <w:vAlign w:val="bottom"/>
          </w:tcPr>
          <w:p>
            <w:pPr>
              <w:spacing w:after="0"/>
              <w:rPr>
                <w:sz w:val="1"/>
                <w:szCs w:val="1"/>
                <w:color w:val="auto"/>
              </w:rPr>
            </w:pPr>
          </w:p>
        </w:tc>
      </w:tr>
      <w:tr>
        <w:trPr>
          <w:trHeight w:val="257"/>
        </w:trPr>
        <w:tc>
          <w:tcPr>
            <w:tcW w:w="3040" w:type="dxa"/>
            <w:vAlign w:val="bottom"/>
            <w:shd w:val="clear" w:color="auto" w:fill="CCEEFF"/>
          </w:tcPr>
          <w:p>
            <w:pPr>
              <w:ind w:left="180"/>
              <w:spacing w:after="0" w:line="257" w:lineRule="exact"/>
              <w:rPr>
                <w:sz w:val="20"/>
                <w:szCs w:val="20"/>
                <w:color w:val="auto"/>
              </w:rPr>
            </w:pPr>
            <w:r>
              <w:rPr>
                <w:rFonts w:ascii="Arial" w:cs="Arial" w:eastAsia="Arial" w:hAnsi="Arial"/>
                <w:sz w:val="20"/>
                <w:szCs w:val="20"/>
                <w:color w:val="auto"/>
              </w:rPr>
              <w:t>- diluted</w:t>
            </w:r>
            <w:r>
              <w:rPr>
                <w:rFonts w:ascii="Arial" w:cs="Arial" w:eastAsia="Arial" w:hAnsi="Arial"/>
                <w:sz w:val="25"/>
                <w:szCs w:val="25"/>
                <w:color w:val="auto"/>
                <w:vertAlign w:val="superscript"/>
              </w:rPr>
              <w:t>(a)</w:t>
            </w:r>
          </w:p>
        </w:tc>
        <w:tc>
          <w:tcPr>
            <w:tcW w:w="160" w:type="dxa"/>
            <w:vAlign w:val="bottom"/>
            <w:vMerge w:val="continue"/>
            <w:shd w:val="clear" w:color="auto" w:fill="CCEEFF"/>
          </w:tcPr>
          <w:p>
            <w:pPr>
              <w:spacing w:after="0"/>
              <w:rPr>
                <w:sz w:val="22"/>
                <w:szCs w:val="22"/>
                <w:color w:val="auto"/>
              </w:rPr>
            </w:pPr>
          </w:p>
        </w:tc>
        <w:tc>
          <w:tcPr>
            <w:tcW w:w="102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vMerge w:val="continue"/>
            <w:shd w:val="clear" w:color="auto" w:fill="CCEEFF"/>
          </w:tcPr>
          <w:p>
            <w:pPr>
              <w:spacing w:after="0"/>
              <w:rPr>
                <w:sz w:val="22"/>
                <w:szCs w:val="22"/>
                <w:color w:val="auto"/>
              </w:rPr>
            </w:pPr>
          </w:p>
        </w:tc>
        <w:tc>
          <w:tcPr>
            <w:tcW w:w="102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vMerge w:val="continue"/>
            <w:shd w:val="clear" w:color="auto" w:fill="CCEEFF"/>
          </w:tcPr>
          <w:p>
            <w:pPr>
              <w:spacing w:after="0"/>
              <w:rPr>
                <w:sz w:val="22"/>
                <w:szCs w:val="22"/>
                <w:color w:val="auto"/>
              </w:rPr>
            </w:pPr>
          </w:p>
        </w:tc>
        <w:tc>
          <w:tcPr>
            <w:tcW w:w="102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vMerge w:val="continue"/>
            <w:shd w:val="clear" w:color="auto" w:fill="CCEEFF"/>
          </w:tcPr>
          <w:p>
            <w:pPr>
              <w:spacing w:after="0"/>
              <w:rPr>
                <w:sz w:val="22"/>
                <w:szCs w:val="22"/>
                <w:color w:val="auto"/>
              </w:rPr>
            </w:pPr>
          </w:p>
        </w:tc>
        <w:tc>
          <w:tcPr>
            <w:tcW w:w="104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8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"2024 was another year of top- and bottom-line growth for Regeneron. This strong financial performance, coupled with the strength of our balance sheet, allows us to initiate a quarterly cash dividend program as well as increase our current share repurchase capacity to approximately $4.5 billion," said Christopher Fenimore, Executive Vice President, Finance and Chief Financial Officer of Regeneron.</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Business Highlights</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Key Pipeline Progress</w:t>
      </w:r>
    </w:p>
    <w:p>
      <w:pPr>
        <w:spacing w:after="0" w:line="26" w:lineRule="exact"/>
        <w:rPr>
          <w:sz w:val="20"/>
          <w:szCs w:val="20"/>
          <w:color w:val="auto"/>
        </w:rPr>
      </w:pPr>
    </w:p>
    <w:p>
      <w:pPr>
        <w:ind w:right="780"/>
        <w:spacing w:after="0" w:line="276" w:lineRule="auto"/>
        <w:rPr>
          <w:sz w:val="20"/>
          <w:szCs w:val="20"/>
          <w:color w:val="auto"/>
        </w:rPr>
      </w:pPr>
      <w:r>
        <w:rPr>
          <w:rFonts w:ascii="Arial" w:cs="Arial" w:eastAsia="Arial" w:hAnsi="Arial"/>
          <w:sz w:val="21"/>
          <w:szCs w:val="21"/>
          <w:color w:val="auto"/>
        </w:rPr>
        <w:t>Regeneron has approximately 40 product candidates in clinical development, including a number of marketed products for which it is investigating additional indications. Updates from the clinical pipeline include:</w:t>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EYLEA HD</w:t>
      </w:r>
      <w:r>
        <w:rPr>
          <w:rFonts w:ascii="Arial" w:cs="Arial" w:eastAsia="Arial" w:hAnsi="Arial"/>
          <w:sz w:val="22"/>
          <w:szCs w:val="22"/>
          <w:color w:val="auto"/>
        </w:rPr>
        <w:t xml:space="preserve"> (aflibercept) 8 mg</w:t>
      </w:r>
    </w:p>
    <w:p>
      <w:pPr>
        <w:spacing w:after="0" w:line="24" w:lineRule="exact"/>
        <w:rPr>
          <w:sz w:val="20"/>
          <w:szCs w:val="20"/>
          <w:color w:val="auto"/>
        </w:rPr>
      </w:pPr>
    </w:p>
    <w:p>
      <w:pPr>
        <w:ind w:left="340" w:right="120" w:hanging="332"/>
        <w:spacing w:after="0" w:line="257" w:lineRule="auto"/>
        <w:tabs>
          <w:tab w:leader="none" w:pos="335" w:val="left"/>
        </w:tabs>
        <w:numPr>
          <w:ilvl w:val="0"/>
          <w:numId w:val="3"/>
        </w:numPr>
        <w:rPr>
          <w:rFonts w:ascii="Arial" w:cs="Arial" w:eastAsia="Arial" w:hAnsi="Arial"/>
          <w:sz w:val="21"/>
          <w:szCs w:val="21"/>
          <w:color w:val="auto"/>
        </w:rPr>
      </w:pPr>
      <w:r>
        <w:rPr>
          <w:rFonts w:ascii="Arial" w:cs="Arial" w:eastAsia="Arial" w:hAnsi="Arial"/>
          <w:sz w:val="21"/>
          <w:szCs w:val="21"/>
          <w:color w:val="auto"/>
        </w:rPr>
        <w:t>The Company announced that the primary endpoint was met in the Phase 3 QUASAR trial investigating EYLEA HD for the treatment of patients with macular edema following RVO, including those with central, branch, and hemiretinal vein occlusions. In the trial, patients treated with EYLEA HD every 8 weeks (after initial monthly doses) experienced non-inferior vision gains compared to those treated with the approved monthly dosing regimen of EYLEA, the current standard of care. The Company plans to submit a supplemental Biologics License Application (sBLA) to the U.S. Food and Drug Administration (FDA) in the first quarter of 2025.</w:t>
      </w:r>
    </w:p>
    <w:p>
      <w:pPr>
        <w:ind w:left="340" w:right="140" w:hanging="332"/>
        <w:spacing w:after="0" w:line="266" w:lineRule="auto"/>
        <w:tabs>
          <w:tab w:leader="none" w:pos="335" w:val="left"/>
        </w:tabs>
        <w:numPr>
          <w:ilvl w:val="0"/>
          <w:numId w:val="3"/>
        </w:numPr>
        <w:rPr>
          <w:rFonts w:ascii="Arial" w:cs="Arial" w:eastAsia="Arial" w:hAnsi="Arial"/>
          <w:sz w:val="22"/>
          <w:szCs w:val="22"/>
          <w:color w:val="auto"/>
        </w:rPr>
      </w:pPr>
      <w:r>
        <w:rPr>
          <w:rFonts w:ascii="Arial" w:cs="Arial" w:eastAsia="Arial" w:hAnsi="Arial"/>
          <w:sz w:val="22"/>
          <w:szCs w:val="22"/>
          <w:color w:val="auto"/>
        </w:rPr>
        <w:t>A regulatory application for a pre-filled syringe was submitted to the FDA, with an FDA decision expected by mid-2025.</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Dupixent</w:t>
      </w:r>
      <w:r>
        <w:rPr>
          <w:rFonts w:ascii="Arial" w:cs="Arial" w:eastAsia="Arial" w:hAnsi="Arial"/>
          <w:sz w:val="22"/>
          <w:szCs w:val="22"/>
          <w:color w:val="auto"/>
        </w:rPr>
        <w:t xml:space="preserve"> (dupilumab)</w:t>
      </w:r>
    </w:p>
    <w:p>
      <w:pPr>
        <w:spacing w:after="0" w:line="24" w:lineRule="exact"/>
        <w:rPr>
          <w:sz w:val="20"/>
          <w:szCs w:val="20"/>
          <w:color w:val="auto"/>
        </w:rPr>
      </w:pPr>
    </w:p>
    <w:p>
      <w:pPr>
        <w:jc w:val="both"/>
        <w:ind w:left="340" w:right="180" w:hanging="332"/>
        <w:spacing w:after="0" w:line="254" w:lineRule="auto"/>
        <w:tabs>
          <w:tab w:leader="none" w:pos="335" w:val="left"/>
        </w:tabs>
        <w:numPr>
          <w:ilvl w:val="0"/>
          <w:numId w:val="4"/>
        </w:numPr>
        <w:rPr>
          <w:rFonts w:ascii="Arial" w:cs="Arial" w:eastAsia="Arial" w:hAnsi="Arial"/>
          <w:sz w:val="21"/>
          <w:szCs w:val="21"/>
          <w:color w:val="auto"/>
        </w:rPr>
      </w:pPr>
      <w:r>
        <w:rPr>
          <w:rFonts w:ascii="Arial" w:cs="Arial" w:eastAsia="Arial" w:hAnsi="Arial"/>
          <w:sz w:val="21"/>
          <w:szCs w:val="21"/>
          <w:color w:val="auto"/>
        </w:rPr>
        <w:t>In November 2024, the European Commission (EC) approved Dupixent to treat eosinophilic esophagitis (EoE) in children aged 1 to 11 years, making Dupixent the first and only medicine indicated to treat these young patients.</w:t>
      </w:r>
    </w:p>
    <w:p>
      <w:pPr>
        <w:spacing w:after="0" w:line="1" w:lineRule="exact"/>
        <w:rPr>
          <w:rFonts w:ascii="Arial" w:cs="Arial" w:eastAsia="Arial" w:hAnsi="Arial"/>
          <w:sz w:val="21"/>
          <w:szCs w:val="21"/>
          <w:color w:val="auto"/>
        </w:rPr>
      </w:pPr>
    </w:p>
    <w:p>
      <w:pPr>
        <w:ind w:left="340" w:right="240" w:hanging="332"/>
        <w:spacing w:after="0" w:line="245" w:lineRule="auto"/>
        <w:tabs>
          <w:tab w:leader="none" w:pos="335"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FDA accepted for review the resubmission of an sBLA for Dupixent to treat adults and adolescents aged 12 years and older with chronic spontaneous urticaria (CSU) whose disease is not adequately controlled with H1 antihistamine treatment, with a target action date of April 18, 2025.</w:t>
      </w:r>
    </w:p>
    <w:p>
      <w:pPr>
        <w:spacing w:after="0" w:line="1" w:lineRule="exact"/>
        <w:rPr>
          <w:rFonts w:ascii="Arial" w:cs="Arial" w:eastAsia="Arial" w:hAnsi="Arial"/>
          <w:sz w:val="22"/>
          <w:szCs w:val="22"/>
          <w:color w:val="auto"/>
        </w:rPr>
      </w:pPr>
    </w:p>
    <w:p>
      <w:pPr>
        <w:ind w:left="320" w:hanging="312"/>
        <w:spacing w:after="0"/>
        <w:tabs>
          <w:tab w:leader="none" w:pos="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An sBLA for Dupixent in bullous pemphigoid was submitted to the FDA.</w:t>
      </w:r>
    </w:p>
    <w:p>
      <w:pPr>
        <w:spacing w:after="0" w:line="10" w:lineRule="exact"/>
        <w:rPr>
          <w:rFonts w:ascii="Arial" w:cs="Arial" w:eastAsia="Arial" w:hAnsi="Arial"/>
          <w:sz w:val="22"/>
          <w:szCs w:val="22"/>
          <w:color w:val="auto"/>
        </w:rPr>
      </w:pPr>
    </w:p>
    <w:p>
      <w:pPr>
        <w:ind w:left="320" w:hanging="312"/>
        <w:spacing w:after="0"/>
        <w:tabs>
          <w:tab w:leader="none" w:pos="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A Phase 3 study in lichen simplex chronicus was initiated.</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Libtayo</w:t>
      </w:r>
      <w:r>
        <w:rPr>
          <w:rFonts w:ascii="Arial" w:cs="Arial" w:eastAsia="Arial" w:hAnsi="Arial"/>
          <w:sz w:val="22"/>
          <w:szCs w:val="22"/>
          <w:color w:val="auto"/>
        </w:rPr>
        <w:t xml:space="preserve"> (cemiplimab)</w:t>
      </w:r>
    </w:p>
    <w:p>
      <w:pPr>
        <w:spacing w:after="0" w:line="24" w:lineRule="exact"/>
        <w:rPr>
          <w:sz w:val="20"/>
          <w:szCs w:val="20"/>
          <w:color w:val="auto"/>
        </w:rPr>
      </w:pPr>
    </w:p>
    <w:p>
      <w:pPr>
        <w:ind w:left="340" w:right="340" w:hanging="332"/>
        <w:spacing w:after="0" w:line="246" w:lineRule="auto"/>
        <w:tabs>
          <w:tab w:leader="none" w:pos="335"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Company announced positive results from a Phase 3 trial of Libtayo, which demonstrated that adjuvant treatment with Libtayo was the first and only immunotherapy that led to a statistically significant and clinically meaningful improvement in the primary endpoint of disease-free survival (DFS) in patients with high-risk CSCC after surgery.</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045" w:right="339" w:bottom="1440" w:gutter="0" w:footer="0" w:header="0"/>
        </w:sectPr>
      </w:pPr>
    </w:p>
    <w:bookmarkStart w:id="5" w:name="page6"/>
    <w:bookmarkEnd w:id="5"/>
    <w:p>
      <w:pPr>
        <w:ind w:left="320" w:hanging="312"/>
        <w:spacing w:after="0"/>
        <w:tabs>
          <w:tab w:leader="none" w:pos="320" w:val="left"/>
        </w:tabs>
        <w:numPr>
          <w:ilvl w:val="0"/>
          <w:numId w:val="6"/>
        </w:numPr>
        <w:rPr>
          <w:rFonts w:ascii="Arial" w:cs="Arial" w:eastAsia="Arial" w:hAnsi="Arial"/>
          <w:sz w:val="22"/>
          <w:szCs w:val="22"/>
          <w:color w:val="auto"/>
        </w:rPr>
      </w:pPr>
      <w:r>
        <w:rPr>
          <w:rFonts w:ascii="Arial" w:cs="Arial" w:eastAsia="Arial" w:hAnsi="Arial"/>
          <w:sz w:val="22"/>
          <w:szCs w:val="22"/>
          <w:color w:val="auto"/>
        </w:rPr>
        <w:t>A Phase 3 study of Libtayo administered intralesionally in patients with early-stage CSCC was initiated.</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Hematology Programs</w:t>
      </w:r>
    </w:p>
    <w:p>
      <w:pPr>
        <w:spacing w:after="0" w:line="24" w:lineRule="exact"/>
        <w:rPr>
          <w:sz w:val="20"/>
          <w:szCs w:val="20"/>
          <w:color w:val="auto"/>
        </w:rPr>
      </w:pPr>
    </w:p>
    <w:p>
      <w:pPr>
        <w:ind w:left="340" w:right="200" w:hanging="332"/>
        <w:spacing w:after="0" w:line="245"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2"/>
          <w:szCs w:val="22"/>
          <w:color w:val="auto"/>
        </w:rPr>
        <w:t>In January 2025, the Company resubmitted to the FDA the BLA for linvoseltamab, a bispecific antibody targeting BCMA and CD3, in relapsed/refractory (R/R) multiple myeloma following resolution of third-party manufacturing issues.</w:t>
      </w:r>
    </w:p>
    <w:p>
      <w:pPr>
        <w:spacing w:after="0" w:line="1" w:lineRule="exact"/>
        <w:rPr>
          <w:rFonts w:ascii="Arial" w:cs="Arial" w:eastAsia="Arial" w:hAnsi="Arial"/>
          <w:sz w:val="22"/>
          <w:szCs w:val="22"/>
          <w:color w:val="auto"/>
        </w:rPr>
      </w:pPr>
    </w:p>
    <w:p>
      <w:pPr>
        <w:ind w:left="340" w:right="140" w:hanging="332"/>
        <w:spacing w:after="0" w:line="246"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2"/>
          <w:szCs w:val="22"/>
          <w:color w:val="auto"/>
        </w:rPr>
        <w:t>In January 2025, the Company resubmitted to the FDA the BLA for odronextamab, a bispecific antibody targeting CD20 and CD3, in R/R follicular lymphoma.</w:t>
      </w:r>
    </w:p>
    <w:p>
      <w:pPr>
        <w:ind w:left="340" w:right="140" w:hanging="332"/>
        <w:spacing w:after="0" w:line="245"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Company presented new and updated data for odronextamab spanning several B-cell non-Hodgkin lymphoma (B-NHL) subtypes across earlier lines of treatment at the 66th American Society of Hematology (ASH) Annual Meeting and Exposition.</w:t>
      </w:r>
    </w:p>
    <w:p>
      <w:pPr>
        <w:spacing w:after="0" w:line="1" w:lineRule="exact"/>
        <w:rPr>
          <w:rFonts w:ascii="Arial" w:cs="Arial" w:eastAsia="Arial" w:hAnsi="Arial"/>
          <w:sz w:val="22"/>
          <w:szCs w:val="22"/>
          <w:color w:val="auto"/>
        </w:rPr>
      </w:pPr>
    </w:p>
    <w:p>
      <w:pPr>
        <w:ind w:left="340" w:right="60" w:hanging="332"/>
        <w:spacing w:after="0" w:line="244"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Company announced positive Phase 2 results for two antibodies targeting distinct domains of Factor XI. REGN7508 (catalytic domain) is designed to maximize anticoagulant activity while minimizing bleeding risk, and REGN9933 (A2 domain) is designed to provide an additional option for patients with the highest bleeding risk who would otherwise not be candidates for currently available anticoagulants. Per the Phase 2 results, there was a robust antithrombotic effect for each antibody, and no clinically relevant bleeding was observed.</w:t>
      </w:r>
    </w:p>
    <w:p>
      <w:pPr>
        <w:spacing w:after="0" w:line="3" w:lineRule="exact"/>
        <w:rPr>
          <w:rFonts w:ascii="Arial" w:cs="Arial" w:eastAsia="Arial" w:hAnsi="Arial"/>
          <w:sz w:val="22"/>
          <w:szCs w:val="22"/>
          <w:color w:val="auto"/>
        </w:rPr>
      </w:pPr>
    </w:p>
    <w:p>
      <w:pPr>
        <w:ind w:left="340" w:hanging="332"/>
        <w:spacing w:after="0" w:line="249"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Company announced positive updated data from a Phase 3 study of pozelimab (C5 antibody), in combination with cemdisiran (siRNA therapy), against ravulizumab, a standard-of-care C5 inhibitor, in patients with paroxysmal nocturnal hemoglobinuria (PNH). The study showed that the combination treatment helped patients achieve and maintain greater disease control, compared to ravulizumab. These results were presented at the 66th ASH Annual Meeting and Exposition.</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Other Programs</w:t>
      </w:r>
    </w:p>
    <w:p>
      <w:pPr>
        <w:spacing w:after="0" w:line="24" w:lineRule="exact"/>
        <w:rPr>
          <w:sz w:val="20"/>
          <w:szCs w:val="20"/>
          <w:color w:val="auto"/>
        </w:rPr>
      </w:pPr>
    </w:p>
    <w:p>
      <w:pPr>
        <w:ind w:left="340" w:right="580" w:hanging="332"/>
        <w:spacing w:after="0" w:line="217" w:lineRule="auto"/>
        <w:tabs>
          <w:tab w:leader="none" w:pos="335"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EC approved Kevzara</w:t>
      </w:r>
      <w:r>
        <w:rPr>
          <w:rFonts w:ascii="Arial" w:cs="Arial" w:eastAsia="Arial" w:hAnsi="Arial"/>
          <w:sz w:val="28"/>
          <w:szCs w:val="28"/>
          <w:color w:val="auto"/>
          <w:vertAlign w:val="superscript"/>
        </w:rPr>
        <w:t>®</w:t>
      </w:r>
      <w:r>
        <w:rPr>
          <w:rFonts w:ascii="Arial" w:cs="Arial" w:eastAsia="Arial" w:hAnsi="Arial"/>
          <w:sz w:val="22"/>
          <w:szCs w:val="22"/>
          <w:color w:val="auto"/>
        </w:rPr>
        <w:t xml:space="preserve"> (sarilumab) for the treatment of polymyalgia rheumatica (PMR) and polyarticular juvenile idiopathic arthritis (pJIA).</w:t>
      </w:r>
    </w:p>
    <w:p>
      <w:pPr>
        <w:ind w:left="340" w:right="380" w:hanging="332"/>
        <w:spacing w:after="0" w:line="246" w:lineRule="auto"/>
        <w:tabs>
          <w:tab w:leader="none" w:pos="335" w:val="left"/>
        </w:tabs>
        <w:numPr>
          <w:ilvl w:val="0"/>
          <w:numId w:val="8"/>
        </w:numPr>
        <w:rPr>
          <w:rFonts w:ascii="Arial" w:cs="Arial" w:eastAsia="Arial" w:hAnsi="Arial"/>
          <w:sz w:val="22"/>
          <w:szCs w:val="22"/>
          <w:color w:val="auto"/>
        </w:rPr>
      </w:pPr>
      <w:r>
        <w:rPr>
          <w:rFonts w:ascii="Arial" w:cs="Arial" w:eastAsia="Arial" w:hAnsi="Arial"/>
          <w:sz w:val="22"/>
          <w:szCs w:val="22"/>
          <w:color w:val="auto"/>
        </w:rPr>
        <w:t>A Phase 3 study for mibavademab, an agonist antibody to leptin receptor (LEPR), in generalized lipodystrophy was initiated.</w:t>
      </w:r>
    </w:p>
    <w:p>
      <w:pPr>
        <w:ind w:left="340" w:right="460" w:hanging="332"/>
        <w:spacing w:after="0" w:line="243" w:lineRule="auto"/>
        <w:tabs>
          <w:tab w:leader="none" w:pos="335" w:val="left"/>
        </w:tabs>
        <w:numPr>
          <w:ilvl w:val="0"/>
          <w:numId w:val="8"/>
        </w:numPr>
        <w:rPr>
          <w:rFonts w:ascii="Arial" w:cs="Arial" w:eastAsia="Arial" w:hAnsi="Arial"/>
          <w:sz w:val="22"/>
          <w:szCs w:val="22"/>
          <w:color w:val="auto"/>
        </w:rPr>
      </w:pPr>
      <w:r>
        <w:rPr>
          <w:rFonts w:ascii="Arial" w:cs="Arial" w:eastAsia="Arial" w:hAnsi="Arial"/>
          <w:sz w:val="22"/>
          <w:szCs w:val="22"/>
          <w:color w:val="auto"/>
        </w:rPr>
        <w:t>Enrollment was completed in a Phase 2 study in obesity for trevogrumab, an antibody to myostatin (GDF8), in combination with semaglutide with and without garetosmab, an antibody to Activin A.</w:t>
      </w:r>
    </w:p>
    <w:p>
      <w:pPr>
        <w:ind w:left="340" w:right="200" w:hanging="332"/>
        <w:spacing w:after="0" w:line="249" w:lineRule="auto"/>
        <w:tabs>
          <w:tab w:leader="none" w:pos="335" w:val="left"/>
        </w:tabs>
        <w:numPr>
          <w:ilvl w:val="0"/>
          <w:numId w:val="8"/>
        </w:numPr>
        <w:rPr>
          <w:rFonts w:ascii="Arial" w:cs="Arial" w:eastAsia="Arial" w:hAnsi="Arial"/>
          <w:sz w:val="22"/>
          <w:szCs w:val="22"/>
          <w:color w:val="auto"/>
        </w:rPr>
      </w:pPr>
      <w:r>
        <w:rPr>
          <w:rFonts w:ascii="Arial" w:cs="Arial" w:eastAsia="Arial" w:hAnsi="Arial"/>
          <w:sz w:val="22"/>
          <w:szCs w:val="22"/>
          <w:color w:val="auto"/>
        </w:rPr>
        <w:t>A Phase 2 study for itepekimab, an antibody to IL-33, in chronic rhinosinusitis without nasal polyposis (CRSsNP) was initiated.</w:t>
      </w:r>
    </w:p>
    <w:p>
      <w:pPr>
        <w:spacing w:after="0" w:line="1" w:lineRule="exact"/>
        <w:rPr>
          <w:rFonts w:ascii="Arial" w:cs="Arial" w:eastAsia="Arial" w:hAnsi="Arial"/>
          <w:sz w:val="22"/>
          <w:szCs w:val="22"/>
          <w:color w:val="auto"/>
        </w:rPr>
      </w:pPr>
    </w:p>
    <w:p>
      <w:pPr>
        <w:ind w:left="340" w:right="340" w:hanging="332"/>
        <w:spacing w:after="0" w:line="243" w:lineRule="auto"/>
        <w:tabs>
          <w:tab w:leader="none" w:pos="335" w:val="left"/>
        </w:tabs>
        <w:numPr>
          <w:ilvl w:val="0"/>
          <w:numId w:val="8"/>
        </w:numPr>
        <w:rPr>
          <w:rFonts w:ascii="Arial" w:cs="Arial" w:eastAsia="Arial" w:hAnsi="Arial"/>
          <w:sz w:val="22"/>
          <w:szCs w:val="22"/>
          <w:color w:val="auto"/>
        </w:rPr>
      </w:pPr>
      <w:r>
        <w:rPr>
          <w:rFonts w:ascii="Arial" w:cs="Arial" w:eastAsia="Arial" w:hAnsi="Arial"/>
          <w:sz w:val="22"/>
          <w:szCs w:val="22"/>
          <w:color w:val="auto"/>
        </w:rPr>
        <w:t>A Phase 2 study for REGN7544, an antagonist antibody to NPR1, in postural orthostatic tachycardia syndrome (POTS) was initiated.</w:t>
      </w:r>
    </w:p>
    <w:p>
      <w:pPr>
        <w:ind w:left="340" w:right="420" w:hanging="332"/>
        <w:spacing w:after="0" w:line="253" w:lineRule="auto"/>
        <w:tabs>
          <w:tab w:leader="none" w:pos="335"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Company shared initial data from the first patient in a Phase 1 study of linvoseltamab, in combination with Dupixent, in severe food allergy at the 43rd Annual J.P. Morgan Healthcare Conference.</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Corporate and Business Development Updates</w:t>
      </w:r>
    </w:p>
    <w:p>
      <w:pPr>
        <w:spacing w:after="0" w:line="26" w:lineRule="exact"/>
        <w:rPr>
          <w:sz w:val="20"/>
          <w:szCs w:val="20"/>
          <w:color w:val="auto"/>
        </w:rPr>
      </w:pPr>
    </w:p>
    <w:p>
      <w:pPr>
        <w:ind w:left="340" w:right="20" w:hanging="332"/>
        <w:spacing w:after="0" w:line="245" w:lineRule="auto"/>
        <w:tabs>
          <w:tab w:leader="none" w:pos="335" w:val="left"/>
        </w:tabs>
        <w:numPr>
          <w:ilvl w:val="0"/>
          <w:numId w:val="9"/>
        </w:numPr>
        <w:rPr>
          <w:rFonts w:ascii="Arial" w:cs="Arial" w:eastAsia="Arial" w:hAnsi="Arial"/>
          <w:sz w:val="22"/>
          <w:szCs w:val="22"/>
          <w:color w:val="auto"/>
        </w:rPr>
      </w:pPr>
      <w:r>
        <w:rPr>
          <w:rFonts w:ascii="Arial" w:cs="Arial" w:eastAsia="Arial" w:hAnsi="Arial"/>
          <w:sz w:val="22"/>
          <w:szCs w:val="22"/>
          <w:color w:val="auto"/>
        </w:rPr>
        <w:t>In February 2025, the Company's board of directors approved the initiation of a quarterly cash dividend program and declared a cash dividend of $0.88 per share on the Company's common stock and Class A stock, payable on March 20, 2025 to shareholders of record as of February 20, 2025. The Company intends to pay a cash dividend on a quarterly basis going forward, subject to market conditions and approval by the Company's board of directors in its sole discretion.</w:t>
      </w:r>
    </w:p>
    <w:p>
      <w:pPr>
        <w:spacing w:after="0" w:line="4" w:lineRule="exact"/>
        <w:rPr>
          <w:rFonts w:ascii="Arial" w:cs="Arial" w:eastAsia="Arial" w:hAnsi="Arial"/>
          <w:sz w:val="22"/>
          <w:szCs w:val="22"/>
          <w:color w:val="auto"/>
        </w:rPr>
      </w:pPr>
    </w:p>
    <w:p>
      <w:pPr>
        <w:ind w:left="340" w:right="340" w:hanging="332"/>
        <w:spacing w:after="0" w:line="253" w:lineRule="auto"/>
        <w:tabs>
          <w:tab w:leader="none" w:pos="335" w:val="left"/>
        </w:tabs>
        <w:numPr>
          <w:ilvl w:val="0"/>
          <w:numId w:val="9"/>
        </w:numPr>
        <w:rPr>
          <w:rFonts w:ascii="Arial" w:cs="Arial" w:eastAsia="Arial" w:hAnsi="Arial"/>
          <w:sz w:val="22"/>
          <w:szCs w:val="22"/>
          <w:color w:val="auto"/>
        </w:rPr>
      </w:pPr>
      <w:r>
        <w:rPr>
          <w:rFonts w:ascii="Arial" w:cs="Arial" w:eastAsia="Arial" w:hAnsi="Arial"/>
          <w:sz w:val="22"/>
          <w:szCs w:val="22"/>
          <w:color w:val="auto"/>
        </w:rPr>
        <w:t>In February 2025, the Company's board of directors also authorized an additional $3.0 billion share repurchase program, bringing the total current capacity to approximately $4.5 billion.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896" w:right="339" w:bottom="1440" w:gutter="0" w:footer="0" w:header="0"/>
        </w:sectPr>
      </w:pPr>
    </w:p>
    <w:bookmarkStart w:id="6" w:name="page7"/>
    <w:bookmarkEnd w:id="6"/>
    <w:p>
      <w:pPr>
        <w:ind w:left="340" w:right="600"/>
        <w:spacing w:after="0" w:line="252" w:lineRule="auto"/>
        <w:rPr>
          <w:sz w:val="20"/>
          <w:szCs w:val="20"/>
          <w:color w:val="auto"/>
        </w:rPr>
      </w:pPr>
      <w:r>
        <w:rPr>
          <w:rFonts w:ascii="Arial" w:cs="Arial" w:eastAsia="Arial" w:hAnsi="Arial"/>
          <w:sz w:val="22"/>
          <w:szCs w:val="22"/>
          <w:color w:val="auto"/>
        </w:rPr>
        <w:t>Repurchases may be made from time to time at management's discretion through a variety of methods. The program has no time limit and can be discontinued at any time.</w:t>
      </w:r>
    </w:p>
    <w:p>
      <w:pPr>
        <w:spacing w:after="0" w:line="2" w:lineRule="exact"/>
        <w:rPr>
          <w:sz w:val="20"/>
          <w:szCs w:val="20"/>
          <w:color w:val="auto"/>
        </w:rPr>
      </w:pPr>
    </w:p>
    <w:p>
      <w:pPr>
        <w:ind w:left="340" w:right="140" w:hanging="332"/>
        <w:spacing w:after="0" w:line="247" w:lineRule="auto"/>
        <w:tabs>
          <w:tab w:leader="none" w:pos="335" w:val="left"/>
        </w:tabs>
        <w:numPr>
          <w:ilvl w:val="0"/>
          <w:numId w:val="10"/>
        </w:numPr>
        <w:rPr>
          <w:rFonts w:ascii="Arial" w:cs="Arial" w:eastAsia="Arial" w:hAnsi="Arial"/>
          <w:sz w:val="22"/>
          <w:szCs w:val="22"/>
          <w:color w:val="auto"/>
        </w:rPr>
      </w:pPr>
      <w:r>
        <w:rPr>
          <w:rFonts w:ascii="Arial" w:cs="Arial" w:eastAsia="Arial" w:hAnsi="Arial"/>
          <w:sz w:val="22"/>
          <w:szCs w:val="22"/>
          <w:color w:val="auto"/>
        </w:rPr>
        <w:t>In January 2025, the Company entered into an agreement with Truveta Inc. pursuant to which the Company will sequence exomes and conduct genotyping and imputation of up to ten million de-identified consented volunteers using biospecimens provided by Truveta health system members across the United States.</w:t>
      </w:r>
    </w:p>
    <w:p>
      <w:pPr>
        <w:spacing w:after="0" w:line="1" w:lineRule="exact"/>
        <w:rPr>
          <w:rFonts w:ascii="Arial" w:cs="Arial" w:eastAsia="Arial" w:hAnsi="Arial"/>
          <w:sz w:val="22"/>
          <w:szCs w:val="22"/>
          <w:color w:val="auto"/>
        </w:rPr>
      </w:pPr>
    </w:p>
    <w:p>
      <w:pPr>
        <w:ind w:left="340" w:right="280" w:hanging="332"/>
        <w:spacing w:after="0" w:line="248" w:lineRule="auto"/>
        <w:tabs>
          <w:tab w:leader="none" w:pos="335"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Company announced its inclusion on the Dow Jones Sustainability World Index (DJSI World) for the sixth consecutive year, as well as its fifth consecutive inclusion on the Dow Jones Sustainability North America Index (DJSI North America).</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Select Upcoming 2025 Milestones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3300" w:type="dxa"/>
            <w:vAlign w:val="bottom"/>
            <w:tcBorders>
              <w:bottom w:val="single" w:sz="8" w:color="auto"/>
            </w:tcBorders>
          </w:tcPr>
          <w:p>
            <w:pPr>
              <w:ind w:left="1200"/>
              <w:spacing w:after="0"/>
              <w:rPr>
                <w:sz w:val="20"/>
                <w:szCs w:val="20"/>
                <w:color w:val="auto"/>
              </w:rPr>
            </w:pPr>
            <w:r>
              <w:rPr>
                <w:rFonts w:ascii="Arial" w:cs="Arial" w:eastAsia="Arial" w:hAnsi="Arial"/>
                <w:sz w:val="20"/>
                <w:szCs w:val="20"/>
                <w:b w:val="1"/>
                <w:bCs w:val="1"/>
                <w:color w:val="auto"/>
              </w:rPr>
              <w:t>Programs</w:t>
            </w:r>
          </w:p>
        </w:tc>
        <w:tc>
          <w:tcPr>
            <w:tcW w:w="10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6060" w:type="dxa"/>
            <w:vAlign w:val="bottom"/>
            <w:tcBorders>
              <w:bottom w:val="single" w:sz="8" w:color="auto"/>
            </w:tcBorders>
          </w:tcPr>
          <w:p>
            <w:pPr>
              <w:jc w:val="right"/>
              <w:ind w:right="3081"/>
              <w:spacing w:after="0"/>
              <w:rPr>
                <w:sz w:val="20"/>
                <w:szCs w:val="20"/>
                <w:color w:val="auto"/>
              </w:rPr>
            </w:pPr>
            <w:r>
              <w:rPr>
                <w:rFonts w:ascii="Arial" w:cs="Arial" w:eastAsia="Arial" w:hAnsi="Arial"/>
                <w:sz w:val="20"/>
                <w:szCs w:val="20"/>
                <w:b w:val="1"/>
                <w:bCs w:val="1"/>
                <w:color w:val="auto"/>
              </w:rPr>
              <w:t>Milestones</w:t>
            </w:r>
          </w:p>
        </w:tc>
        <w:tc>
          <w:tcPr>
            <w:tcW w:w="0" w:type="dxa"/>
            <w:vAlign w:val="bottom"/>
          </w:tcPr>
          <w:p>
            <w:pPr>
              <w:spacing w:after="0"/>
              <w:rPr>
                <w:sz w:val="1"/>
                <w:szCs w:val="1"/>
                <w:color w:val="auto"/>
              </w:rPr>
            </w:pPr>
          </w:p>
        </w:tc>
      </w:tr>
      <w:tr>
        <w:trPr>
          <w:trHeight w:val="188"/>
        </w:trPr>
        <w:tc>
          <w:tcPr>
            <w:tcW w:w="3300" w:type="dxa"/>
            <w:vAlign w:val="bottom"/>
            <w:shd w:val="clear" w:color="auto" w:fill="CCEEFF"/>
          </w:tcPr>
          <w:p>
            <w:pPr>
              <w:ind w:left="20"/>
              <w:spacing w:after="0" w:line="188" w:lineRule="exact"/>
              <w:rPr>
                <w:sz w:val="20"/>
                <w:szCs w:val="20"/>
                <w:color w:val="auto"/>
              </w:rPr>
            </w:pPr>
            <w:r>
              <w:rPr>
                <w:rFonts w:ascii="Arial" w:cs="Arial" w:eastAsia="Arial" w:hAnsi="Arial"/>
                <w:sz w:val="20"/>
                <w:szCs w:val="20"/>
                <w:color w:val="auto"/>
              </w:rPr>
              <w:t>EYLEA HD</w:t>
            </w:r>
          </w:p>
        </w:tc>
        <w:tc>
          <w:tcPr>
            <w:tcW w:w="440" w:type="dxa"/>
            <w:vAlign w:val="bottom"/>
            <w:gridSpan w:val="2"/>
            <w:shd w:val="clear" w:color="auto" w:fill="CCEEFF"/>
          </w:tcPr>
          <w:p>
            <w:pPr>
              <w:ind w:left="360"/>
              <w:spacing w:after="0" w:line="188" w:lineRule="exact"/>
              <w:rPr>
                <w:sz w:val="20"/>
                <w:szCs w:val="20"/>
                <w:color w:val="auto"/>
              </w:rPr>
            </w:pPr>
            <w:r>
              <w:rPr>
                <w:rFonts w:ascii="Arial" w:cs="Arial" w:eastAsia="Arial" w:hAnsi="Arial"/>
                <w:sz w:val="20"/>
                <w:szCs w:val="20"/>
                <w:color w:val="auto"/>
                <w:w w:val="89"/>
              </w:rPr>
              <w:t>-</w:t>
            </w:r>
          </w:p>
        </w:tc>
        <w:tc>
          <w:tcPr>
            <w:tcW w:w="120" w:type="dxa"/>
            <w:vAlign w:val="bottom"/>
            <w:shd w:val="clear" w:color="auto" w:fill="CCEEFF"/>
          </w:tcPr>
          <w:p>
            <w:pPr>
              <w:spacing w:after="0"/>
              <w:rPr>
                <w:sz w:val="16"/>
                <w:szCs w:val="16"/>
                <w:color w:val="auto"/>
              </w:rPr>
            </w:pPr>
          </w:p>
        </w:tc>
        <w:tc>
          <w:tcPr>
            <w:tcW w:w="7360" w:type="dxa"/>
            <w:vAlign w:val="bottom"/>
            <w:gridSpan w:val="2"/>
            <w:shd w:val="clear" w:color="auto" w:fill="CCEEFF"/>
          </w:tcPr>
          <w:p>
            <w:pPr>
              <w:spacing w:after="0" w:line="188" w:lineRule="exact"/>
              <w:rPr>
                <w:sz w:val="20"/>
                <w:szCs w:val="20"/>
                <w:color w:val="auto"/>
              </w:rPr>
            </w:pPr>
            <w:r>
              <w:rPr>
                <w:rFonts w:ascii="Arial" w:cs="Arial" w:eastAsia="Arial" w:hAnsi="Arial"/>
                <w:sz w:val="20"/>
                <w:szCs w:val="20"/>
                <w:color w:val="auto"/>
                <w:shd w:val="clear" w:color="auto" w:fill="CCEEFF"/>
              </w:rPr>
              <w:t>Submit sBLA in RVO (first quarter 2025) and FDA decision on sBLA (second half</w:t>
            </w:r>
          </w:p>
        </w:tc>
        <w:tc>
          <w:tcPr>
            <w:tcW w:w="0" w:type="dxa"/>
            <w:vAlign w:val="bottom"/>
          </w:tcPr>
          <w:p>
            <w:pPr>
              <w:spacing w:after="0"/>
              <w:rPr>
                <w:sz w:val="1"/>
                <w:szCs w:val="1"/>
                <w:color w:val="auto"/>
              </w:rPr>
            </w:pPr>
          </w:p>
        </w:tc>
      </w:tr>
      <w:tr>
        <w:trPr>
          <w:trHeight w:val="238"/>
        </w:trPr>
        <w:tc>
          <w:tcPr>
            <w:tcW w:w="3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20"/>
                <w:szCs w:val="20"/>
                <w:color w:val="auto"/>
                <w:shd w:val="clear" w:color="auto" w:fill="CCEEFF"/>
              </w:rPr>
              <w:t>2025)</w:t>
            </w:r>
          </w:p>
        </w:tc>
        <w:tc>
          <w:tcPr>
            <w:tcW w:w="6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20"/>
                <w:szCs w:val="20"/>
                <w:color w:val="auto"/>
              </w:rPr>
              <w:t>-</w:t>
            </w:r>
          </w:p>
        </w:tc>
        <w:tc>
          <w:tcPr>
            <w:tcW w:w="7360" w:type="dxa"/>
            <w:vAlign w:val="bottom"/>
            <w:gridSpan w:val="2"/>
            <w:shd w:val="clear" w:color="auto" w:fill="CCEEFF"/>
          </w:tcPr>
          <w:p>
            <w:pPr>
              <w:spacing w:after="0"/>
              <w:rPr>
                <w:sz w:val="20"/>
                <w:szCs w:val="20"/>
                <w:color w:val="auto"/>
              </w:rPr>
            </w:pPr>
            <w:r>
              <w:rPr>
                <w:rFonts w:ascii="Arial" w:cs="Arial" w:eastAsia="Arial" w:hAnsi="Arial"/>
                <w:sz w:val="20"/>
                <w:szCs w:val="20"/>
                <w:color w:val="auto"/>
                <w:shd w:val="clear" w:color="auto" w:fill="CCEEFF"/>
              </w:rPr>
              <w:t>FDA decision for pre-filled syringe (mid-2025)</w:t>
            </w:r>
          </w:p>
        </w:tc>
        <w:tc>
          <w:tcPr>
            <w:tcW w:w="0" w:type="dxa"/>
            <w:vAlign w:val="bottom"/>
          </w:tcPr>
          <w:p>
            <w:pPr>
              <w:spacing w:after="0"/>
              <w:rPr>
                <w:sz w:val="1"/>
                <w:szCs w:val="1"/>
                <w:color w:val="auto"/>
              </w:rPr>
            </w:pPr>
          </w:p>
        </w:tc>
      </w:tr>
      <w:tr>
        <w:trPr>
          <w:trHeight w:val="221"/>
        </w:trPr>
        <w:tc>
          <w:tcPr>
            <w:tcW w:w="3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60"/>
              <w:spacing w:after="0" w:line="222" w:lineRule="exact"/>
              <w:rPr>
                <w:sz w:val="20"/>
                <w:szCs w:val="20"/>
                <w:color w:val="auto"/>
              </w:rPr>
            </w:pPr>
            <w:r>
              <w:rPr>
                <w:rFonts w:ascii="Arial" w:cs="Arial" w:eastAsia="Arial" w:hAnsi="Arial"/>
                <w:sz w:val="20"/>
                <w:szCs w:val="20"/>
                <w:color w:val="auto"/>
                <w:w w:val="89"/>
              </w:rPr>
              <w:t>-</w:t>
            </w:r>
          </w:p>
        </w:tc>
        <w:tc>
          <w:tcPr>
            <w:tcW w:w="120" w:type="dxa"/>
            <w:vAlign w:val="bottom"/>
            <w:shd w:val="clear" w:color="auto" w:fill="CCEEFF"/>
          </w:tcPr>
          <w:p>
            <w:pPr>
              <w:spacing w:after="0"/>
              <w:rPr>
                <w:sz w:val="19"/>
                <w:szCs w:val="19"/>
                <w:color w:val="auto"/>
              </w:rPr>
            </w:pPr>
          </w:p>
        </w:tc>
        <w:tc>
          <w:tcPr>
            <w:tcW w:w="7360" w:type="dxa"/>
            <w:vAlign w:val="bottom"/>
            <w:gridSpan w:val="2"/>
            <w:shd w:val="clear" w:color="auto" w:fill="CCEEFF"/>
          </w:tcPr>
          <w:p>
            <w:pPr>
              <w:spacing w:after="0" w:line="222" w:lineRule="exact"/>
              <w:rPr>
                <w:sz w:val="20"/>
                <w:szCs w:val="20"/>
                <w:color w:val="auto"/>
              </w:rPr>
            </w:pPr>
            <w:r>
              <w:rPr>
                <w:rFonts w:ascii="Arial" w:cs="Arial" w:eastAsia="Arial" w:hAnsi="Arial"/>
                <w:sz w:val="20"/>
                <w:szCs w:val="20"/>
                <w:color w:val="auto"/>
                <w:w w:val="99"/>
                <w:shd w:val="clear" w:color="auto" w:fill="CCEEFF"/>
              </w:rPr>
              <w:t>FDA decision on sBLA with two-year data for wet age-related macular degeneration</w:t>
            </w:r>
          </w:p>
        </w:tc>
        <w:tc>
          <w:tcPr>
            <w:tcW w:w="0" w:type="dxa"/>
            <w:vAlign w:val="bottom"/>
          </w:tcPr>
          <w:p>
            <w:pPr>
              <w:spacing w:after="0"/>
              <w:rPr>
                <w:sz w:val="1"/>
                <w:szCs w:val="1"/>
                <w:color w:val="auto"/>
              </w:rPr>
            </w:pPr>
          </w:p>
        </w:tc>
      </w:tr>
      <w:tr>
        <w:trPr>
          <w:trHeight w:val="238"/>
        </w:trPr>
        <w:tc>
          <w:tcPr>
            <w:tcW w:w="3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20"/>
                <w:szCs w:val="20"/>
                <w:color w:val="auto"/>
                <w:shd w:val="clear" w:color="auto" w:fill="CCEEFF"/>
              </w:rPr>
              <w:t>(wAMD) and diabetic macular edema (DME) (target action date of April 20, 2025)</w:t>
            </w:r>
          </w:p>
        </w:tc>
        <w:tc>
          <w:tcPr>
            <w:tcW w:w="0" w:type="dxa"/>
            <w:vAlign w:val="bottom"/>
          </w:tcPr>
          <w:p>
            <w:pPr>
              <w:spacing w:after="0"/>
              <w:rPr>
                <w:sz w:val="1"/>
                <w:szCs w:val="1"/>
                <w:color w:val="auto"/>
              </w:rPr>
            </w:pPr>
          </w:p>
        </w:tc>
      </w:tr>
      <w:tr>
        <w:trPr>
          <w:trHeight w:val="208"/>
        </w:trPr>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ind w:left="260"/>
              <w:spacing w:after="0" w:line="207" w:lineRule="exact"/>
              <w:rPr>
                <w:sz w:val="20"/>
                <w:szCs w:val="20"/>
                <w:color w:val="auto"/>
              </w:rPr>
            </w:pPr>
            <w:r>
              <w:rPr>
                <w:rFonts w:ascii="Arial" w:cs="Arial" w:eastAsia="Arial" w:hAnsi="Arial"/>
                <w:sz w:val="20"/>
                <w:szCs w:val="20"/>
                <w:color w:val="auto"/>
                <w:w w:val="89"/>
              </w:rPr>
              <w:t>-</w:t>
            </w:r>
          </w:p>
        </w:tc>
        <w:tc>
          <w:tcPr>
            <w:tcW w:w="120" w:type="dxa"/>
            <w:vAlign w:val="bottom"/>
            <w:shd w:val="clear" w:color="auto" w:fill="CCEEFF"/>
          </w:tcPr>
          <w:p>
            <w:pPr>
              <w:spacing w:after="0"/>
              <w:rPr>
                <w:sz w:val="18"/>
                <w:szCs w:val="18"/>
                <w:color w:val="auto"/>
              </w:rPr>
            </w:pPr>
          </w:p>
        </w:tc>
        <w:tc>
          <w:tcPr>
            <w:tcW w:w="7360" w:type="dxa"/>
            <w:vAlign w:val="bottom"/>
            <w:gridSpan w:val="2"/>
            <w:shd w:val="clear" w:color="auto" w:fill="CCEEFF"/>
          </w:tcPr>
          <w:p>
            <w:pPr>
              <w:spacing w:after="0" w:line="207" w:lineRule="exact"/>
              <w:rPr>
                <w:sz w:val="20"/>
                <w:szCs w:val="20"/>
                <w:color w:val="auto"/>
              </w:rPr>
            </w:pPr>
            <w:r>
              <w:rPr>
                <w:rFonts w:ascii="Arial" w:cs="Arial" w:eastAsia="Arial" w:hAnsi="Arial"/>
                <w:sz w:val="20"/>
                <w:szCs w:val="20"/>
                <w:color w:val="auto"/>
                <w:shd w:val="clear" w:color="auto" w:fill="CCEEFF"/>
              </w:rPr>
              <w:t>Submit sBLA for every 4-week dosing regimen (first quarter 2025) and FDA</w:t>
            </w:r>
          </w:p>
        </w:tc>
        <w:tc>
          <w:tcPr>
            <w:tcW w:w="0" w:type="dxa"/>
            <w:vAlign w:val="bottom"/>
          </w:tcPr>
          <w:p>
            <w:pPr>
              <w:spacing w:after="0"/>
              <w:rPr>
                <w:sz w:val="1"/>
                <w:szCs w:val="1"/>
                <w:color w:val="auto"/>
              </w:rPr>
            </w:pPr>
          </w:p>
        </w:tc>
      </w:tr>
      <w:tr>
        <w:trPr>
          <w:trHeight w:val="245"/>
        </w:trPr>
        <w:tc>
          <w:tcPr>
            <w:tcW w:w="33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3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20"/>
                <w:szCs w:val="20"/>
                <w:color w:val="auto"/>
                <w:shd w:val="clear" w:color="auto" w:fill="CCEEFF"/>
              </w:rPr>
              <w:t>decision on sBLA (second half 2025)</w:t>
            </w: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Arial" w:cs="Arial" w:eastAsia="Arial" w:hAnsi="Arial"/>
                <w:sz w:val="20"/>
                <w:szCs w:val="20"/>
                <w:color w:val="auto"/>
              </w:rPr>
              <w:t>Immunology &amp; Inflammation</w:t>
            </w:r>
          </w:p>
        </w:tc>
        <w:tc>
          <w:tcPr>
            <w:tcW w:w="440" w:type="dxa"/>
            <w:vAlign w:val="bottom"/>
            <w:gridSpan w:val="2"/>
          </w:tcPr>
          <w:p>
            <w:pPr>
              <w:ind w:left="360"/>
              <w:spacing w:after="0"/>
              <w:rPr>
                <w:sz w:val="20"/>
                <w:szCs w:val="20"/>
                <w:color w:val="auto"/>
              </w:rPr>
            </w:pPr>
            <w:r>
              <w:rPr>
                <w:rFonts w:ascii="Arial" w:cs="Arial" w:eastAsia="Arial" w:hAnsi="Arial"/>
                <w:sz w:val="20"/>
                <w:szCs w:val="20"/>
                <w:color w:val="auto"/>
                <w:w w:val="89"/>
              </w:rPr>
              <w:t>-</w:t>
            </w:r>
          </w:p>
        </w:tc>
        <w:tc>
          <w:tcPr>
            <w:tcW w:w="120" w:type="dxa"/>
            <w:vAlign w:val="bottom"/>
          </w:tcPr>
          <w:p>
            <w:pPr>
              <w:spacing w:after="0"/>
              <w:rPr>
                <w:sz w:val="19"/>
                <w:szCs w:val="19"/>
                <w:color w:val="auto"/>
              </w:rPr>
            </w:pPr>
          </w:p>
        </w:tc>
        <w:tc>
          <w:tcPr>
            <w:tcW w:w="7360" w:type="dxa"/>
            <w:vAlign w:val="bottom"/>
            <w:gridSpan w:val="2"/>
          </w:tcPr>
          <w:p>
            <w:pPr>
              <w:spacing w:after="0"/>
              <w:rPr>
                <w:sz w:val="20"/>
                <w:szCs w:val="20"/>
                <w:color w:val="auto"/>
              </w:rPr>
            </w:pPr>
            <w:r>
              <w:rPr>
                <w:rFonts w:ascii="Arial" w:cs="Arial" w:eastAsia="Arial" w:hAnsi="Arial"/>
                <w:sz w:val="20"/>
                <w:szCs w:val="20"/>
                <w:color w:val="auto"/>
              </w:rPr>
              <w:t>Report results from Phase 3 study for itepekimab (IL-33 antibody) in chronic</w:t>
            </w:r>
          </w:p>
        </w:tc>
        <w:tc>
          <w:tcPr>
            <w:tcW w:w="0" w:type="dxa"/>
            <w:vAlign w:val="bottom"/>
          </w:tcPr>
          <w:p>
            <w:pPr>
              <w:spacing w:after="0"/>
              <w:rPr>
                <w:sz w:val="1"/>
                <w:szCs w:val="1"/>
                <w:color w:val="auto"/>
              </w:rPr>
            </w:pPr>
          </w:p>
        </w:tc>
      </w:tr>
      <w:tr>
        <w:trPr>
          <w:trHeight w:val="194"/>
        </w:trPr>
        <w:tc>
          <w:tcPr>
            <w:tcW w:w="3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360" w:type="dxa"/>
            <w:vAlign w:val="bottom"/>
            <w:gridSpan w:val="2"/>
          </w:tcPr>
          <w:p>
            <w:pPr>
              <w:spacing w:after="0" w:line="194" w:lineRule="exact"/>
              <w:rPr>
                <w:sz w:val="20"/>
                <w:szCs w:val="20"/>
                <w:color w:val="auto"/>
              </w:rPr>
            </w:pPr>
            <w:r>
              <w:rPr>
                <w:rFonts w:ascii="Arial" w:cs="Arial" w:eastAsia="Arial" w:hAnsi="Arial"/>
                <w:sz w:val="20"/>
                <w:szCs w:val="20"/>
                <w:color w:val="auto"/>
                <w:w w:val="98"/>
              </w:rPr>
              <w:t>obstructive pulmonary disease (COPD) (second half 2025) and submit BLA (second</w:t>
            </w:r>
          </w:p>
        </w:tc>
        <w:tc>
          <w:tcPr>
            <w:tcW w:w="0" w:type="dxa"/>
            <w:vAlign w:val="bottom"/>
          </w:tcPr>
          <w:p>
            <w:pPr>
              <w:spacing w:after="0"/>
              <w:rPr>
                <w:sz w:val="1"/>
                <w:szCs w:val="1"/>
                <w:color w:val="auto"/>
              </w:rPr>
            </w:pPr>
          </w:p>
        </w:tc>
      </w:tr>
      <w:tr>
        <w:trPr>
          <w:trHeight w:val="261"/>
        </w:trPr>
        <w:tc>
          <w:tcPr>
            <w:tcW w:w="3300" w:type="dxa"/>
            <w:vAlign w:val="bottom"/>
          </w:tcPr>
          <w:p>
            <w:pPr>
              <w:spacing w:after="0"/>
              <w:rPr>
                <w:sz w:val="22"/>
                <w:szCs w:val="22"/>
                <w:color w:val="auto"/>
              </w:rPr>
            </w:pPr>
          </w:p>
        </w:tc>
        <w:tc>
          <w:tcPr>
            <w:tcW w:w="440" w:type="dxa"/>
            <w:vAlign w:val="bottom"/>
            <w:gridSpan w:val="2"/>
            <w:vMerge w:val="restart"/>
          </w:tcPr>
          <w:p>
            <w:pPr>
              <w:ind w:left="360"/>
              <w:spacing w:after="0"/>
              <w:rPr>
                <w:sz w:val="20"/>
                <w:szCs w:val="20"/>
                <w:color w:val="auto"/>
              </w:rPr>
            </w:pPr>
            <w:r>
              <w:rPr>
                <w:rFonts w:ascii="Arial" w:cs="Arial" w:eastAsia="Arial" w:hAnsi="Arial"/>
                <w:sz w:val="20"/>
                <w:szCs w:val="20"/>
                <w:color w:val="auto"/>
                <w:w w:val="89"/>
              </w:rPr>
              <w:t>-</w:t>
            </w:r>
          </w:p>
        </w:tc>
        <w:tc>
          <w:tcPr>
            <w:tcW w:w="120" w:type="dxa"/>
            <w:vAlign w:val="bottom"/>
          </w:tcPr>
          <w:p>
            <w:pPr>
              <w:spacing w:after="0"/>
              <w:rPr>
                <w:sz w:val="22"/>
                <w:szCs w:val="22"/>
                <w:color w:val="auto"/>
              </w:rPr>
            </w:pPr>
          </w:p>
        </w:tc>
        <w:tc>
          <w:tcPr>
            <w:tcW w:w="7360" w:type="dxa"/>
            <w:vAlign w:val="bottom"/>
            <w:gridSpan w:val="2"/>
          </w:tcPr>
          <w:p>
            <w:pPr>
              <w:spacing w:after="0"/>
              <w:rPr>
                <w:sz w:val="20"/>
                <w:szCs w:val="20"/>
                <w:color w:val="auto"/>
              </w:rPr>
            </w:pPr>
            <w:r>
              <w:rPr>
                <w:rFonts w:ascii="Arial" w:cs="Arial" w:eastAsia="Arial" w:hAnsi="Arial"/>
                <w:sz w:val="20"/>
                <w:szCs w:val="20"/>
                <w:color w:val="auto"/>
              </w:rPr>
              <w:t>half 2025)</w:t>
            </w:r>
          </w:p>
        </w:tc>
        <w:tc>
          <w:tcPr>
            <w:tcW w:w="0" w:type="dxa"/>
            <w:vAlign w:val="bottom"/>
          </w:tcPr>
          <w:p>
            <w:pPr>
              <w:spacing w:after="0"/>
              <w:rPr>
                <w:sz w:val="1"/>
                <w:szCs w:val="1"/>
                <w:color w:val="auto"/>
              </w:rPr>
            </w:pPr>
          </w:p>
        </w:tc>
      </w:tr>
      <w:tr>
        <w:trPr>
          <w:trHeight w:val="279"/>
        </w:trPr>
        <w:tc>
          <w:tcPr>
            <w:tcW w:w="3300" w:type="dxa"/>
            <w:vAlign w:val="bottom"/>
          </w:tcPr>
          <w:p>
            <w:pPr>
              <w:spacing w:after="0"/>
              <w:rPr>
                <w:sz w:val="24"/>
                <w:szCs w:val="24"/>
                <w:color w:val="auto"/>
              </w:rPr>
            </w:pPr>
          </w:p>
        </w:tc>
        <w:tc>
          <w:tcPr>
            <w:tcW w:w="4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7360" w:type="dxa"/>
            <w:vAlign w:val="bottom"/>
            <w:gridSpan w:val="2"/>
          </w:tcPr>
          <w:p>
            <w:pPr>
              <w:spacing w:after="0"/>
              <w:rPr>
                <w:sz w:val="20"/>
                <w:szCs w:val="20"/>
                <w:color w:val="auto"/>
              </w:rPr>
            </w:pPr>
            <w:r>
              <w:rPr>
                <w:rFonts w:ascii="Arial" w:cs="Arial" w:eastAsia="Arial" w:hAnsi="Arial"/>
                <w:sz w:val="20"/>
                <w:szCs w:val="20"/>
                <w:color w:val="auto"/>
              </w:rPr>
              <w:t>FDA decision on sBLA for Dupixent in CSU (target action date of April 18, 2025)</w:t>
            </w:r>
          </w:p>
        </w:tc>
        <w:tc>
          <w:tcPr>
            <w:tcW w:w="0" w:type="dxa"/>
            <w:vAlign w:val="bottom"/>
          </w:tcPr>
          <w:p>
            <w:pPr>
              <w:spacing w:after="0"/>
              <w:rPr>
                <w:sz w:val="1"/>
                <w:szCs w:val="1"/>
                <w:color w:val="auto"/>
              </w:rPr>
            </w:pPr>
          </w:p>
        </w:tc>
      </w:tr>
      <w:tr>
        <w:trPr>
          <w:trHeight w:val="238"/>
        </w:trPr>
        <w:tc>
          <w:tcPr>
            <w:tcW w:w="3300" w:type="dxa"/>
            <w:vAlign w:val="bottom"/>
          </w:tcPr>
          <w:p>
            <w:pPr>
              <w:spacing w:after="0"/>
              <w:rPr>
                <w:sz w:val="20"/>
                <w:szCs w:val="20"/>
                <w:color w:val="auto"/>
              </w:rPr>
            </w:pPr>
          </w:p>
        </w:tc>
        <w:tc>
          <w:tcPr>
            <w:tcW w:w="440" w:type="dxa"/>
            <w:vAlign w:val="bottom"/>
            <w:gridSpan w:val="2"/>
          </w:tcPr>
          <w:p>
            <w:pPr>
              <w:ind w:left="360"/>
              <w:spacing w:after="0"/>
              <w:rPr>
                <w:sz w:val="20"/>
                <w:szCs w:val="20"/>
                <w:color w:val="auto"/>
              </w:rPr>
            </w:pPr>
            <w:r>
              <w:rPr>
                <w:rFonts w:ascii="Arial" w:cs="Arial" w:eastAsia="Arial" w:hAnsi="Arial"/>
                <w:sz w:val="20"/>
                <w:szCs w:val="20"/>
                <w:color w:val="auto"/>
                <w:w w:val="89"/>
              </w:rPr>
              <w:t>-</w:t>
            </w:r>
          </w:p>
        </w:tc>
        <w:tc>
          <w:tcPr>
            <w:tcW w:w="120" w:type="dxa"/>
            <w:vAlign w:val="bottom"/>
          </w:tcPr>
          <w:p>
            <w:pPr>
              <w:spacing w:after="0"/>
              <w:rPr>
                <w:sz w:val="20"/>
                <w:szCs w:val="20"/>
                <w:color w:val="auto"/>
              </w:rPr>
            </w:pPr>
          </w:p>
        </w:tc>
        <w:tc>
          <w:tcPr>
            <w:tcW w:w="7360" w:type="dxa"/>
            <w:vAlign w:val="bottom"/>
            <w:gridSpan w:val="2"/>
          </w:tcPr>
          <w:p>
            <w:pPr>
              <w:spacing w:after="0"/>
              <w:rPr>
                <w:sz w:val="20"/>
                <w:szCs w:val="20"/>
                <w:color w:val="auto"/>
              </w:rPr>
            </w:pPr>
            <w:r>
              <w:rPr>
                <w:rFonts w:ascii="Arial" w:cs="Arial" w:eastAsia="Arial" w:hAnsi="Arial"/>
                <w:sz w:val="20"/>
                <w:szCs w:val="20"/>
                <w:color w:val="auto"/>
              </w:rPr>
              <w:t>sBLA acceptance for Dupixent in bullous pemphigoid (first half 2025) and FDA</w:t>
            </w:r>
          </w:p>
        </w:tc>
        <w:tc>
          <w:tcPr>
            <w:tcW w:w="0" w:type="dxa"/>
            <w:vAlign w:val="bottom"/>
          </w:tcPr>
          <w:p>
            <w:pPr>
              <w:spacing w:after="0"/>
              <w:rPr>
                <w:sz w:val="1"/>
                <w:szCs w:val="1"/>
                <w:color w:val="auto"/>
              </w:rPr>
            </w:pPr>
          </w:p>
        </w:tc>
      </w:tr>
      <w:tr>
        <w:trPr>
          <w:trHeight w:val="194"/>
        </w:trPr>
        <w:tc>
          <w:tcPr>
            <w:tcW w:w="3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360" w:type="dxa"/>
            <w:vAlign w:val="bottom"/>
            <w:gridSpan w:val="2"/>
          </w:tcPr>
          <w:p>
            <w:pPr>
              <w:spacing w:after="0" w:line="194" w:lineRule="exact"/>
              <w:rPr>
                <w:sz w:val="20"/>
                <w:szCs w:val="20"/>
                <w:color w:val="auto"/>
              </w:rPr>
            </w:pPr>
            <w:r>
              <w:rPr>
                <w:rFonts w:ascii="Arial" w:cs="Arial" w:eastAsia="Arial" w:hAnsi="Arial"/>
                <w:sz w:val="20"/>
                <w:szCs w:val="20"/>
                <w:color w:val="auto"/>
              </w:rPr>
              <w:t>decision on sBLA (second half 2025); regulatory submission in European Union</w:t>
            </w:r>
          </w:p>
        </w:tc>
        <w:tc>
          <w:tcPr>
            <w:tcW w:w="0" w:type="dxa"/>
            <w:vAlign w:val="bottom"/>
          </w:tcPr>
          <w:p>
            <w:pPr>
              <w:spacing w:after="0"/>
              <w:rPr>
                <w:sz w:val="1"/>
                <w:szCs w:val="1"/>
                <w:color w:val="auto"/>
              </w:rPr>
            </w:pPr>
          </w:p>
        </w:tc>
      </w:tr>
      <w:tr>
        <w:trPr>
          <w:trHeight w:val="257"/>
        </w:trPr>
        <w:tc>
          <w:tcPr>
            <w:tcW w:w="3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360" w:type="dxa"/>
            <w:vAlign w:val="bottom"/>
            <w:gridSpan w:val="2"/>
          </w:tcPr>
          <w:p>
            <w:pPr>
              <w:spacing w:after="0"/>
              <w:rPr>
                <w:sz w:val="20"/>
                <w:szCs w:val="20"/>
                <w:color w:val="auto"/>
              </w:rPr>
            </w:pPr>
            <w:r>
              <w:rPr>
                <w:rFonts w:ascii="Arial" w:cs="Arial" w:eastAsia="Arial" w:hAnsi="Arial"/>
                <w:sz w:val="20"/>
                <w:szCs w:val="20"/>
                <w:color w:val="auto"/>
              </w:rPr>
              <w:t>(EU) (first half 2025)</w:t>
            </w:r>
          </w:p>
        </w:tc>
        <w:tc>
          <w:tcPr>
            <w:tcW w:w="0" w:type="dxa"/>
            <w:vAlign w:val="bottom"/>
          </w:tcPr>
          <w:p>
            <w:pPr>
              <w:spacing w:after="0"/>
              <w:rPr>
                <w:sz w:val="1"/>
                <w:szCs w:val="1"/>
                <w:color w:val="auto"/>
              </w:rPr>
            </w:pPr>
          </w:p>
        </w:tc>
      </w:tr>
      <w:tr>
        <w:trPr>
          <w:trHeight w:val="256"/>
        </w:trPr>
        <w:tc>
          <w:tcPr>
            <w:tcW w:w="3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20" w:type="dxa"/>
            <w:vAlign w:val="bottom"/>
            <w:gridSpan w:val="4"/>
          </w:tcPr>
          <w:p>
            <w:pPr>
              <w:ind w:left="260"/>
              <w:spacing w:after="0"/>
              <w:rPr>
                <w:sz w:val="20"/>
                <w:szCs w:val="20"/>
                <w:color w:val="auto"/>
              </w:rPr>
            </w:pPr>
            <w:r>
              <w:rPr>
                <w:rFonts w:ascii="Arial" w:cs="Arial" w:eastAsia="Arial" w:hAnsi="Arial"/>
                <w:sz w:val="20"/>
                <w:szCs w:val="20"/>
                <w:color w:val="auto"/>
              </w:rPr>
              <w:t>- Initiate additional Phase 3 studies for itepekimab (IL-33 antibody) (first half 2025)</w:t>
            </w:r>
          </w:p>
        </w:tc>
        <w:tc>
          <w:tcPr>
            <w:tcW w:w="0" w:type="dxa"/>
            <w:vAlign w:val="bottom"/>
          </w:tcPr>
          <w:p>
            <w:pPr>
              <w:spacing w:after="0"/>
              <w:rPr>
                <w:sz w:val="1"/>
                <w:szCs w:val="1"/>
                <w:color w:val="auto"/>
              </w:rPr>
            </w:pPr>
          </w:p>
        </w:tc>
      </w:tr>
      <w:tr>
        <w:trPr>
          <w:trHeight w:val="238"/>
        </w:trPr>
        <w:tc>
          <w:tcPr>
            <w:tcW w:w="3300" w:type="dxa"/>
            <w:vAlign w:val="bottom"/>
          </w:tcPr>
          <w:p>
            <w:pPr>
              <w:spacing w:after="0"/>
              <w:rPr>
                <w:sz w:val="20"/>
                <w:szCs w:val="20"/>
                <w:color w:val="auto"/>
              </w:rPr>
            </w:pPr>
          </w:p>
        </w:tc>
        <w:tc>
          <w:tcPr>
            <w:tcW w:w="440" w:type="dxa"/>
            <w:vAlign w:val="bottom"/>
            <w:gridSpan w:val="2"/>
          </w:tcPr>
          <w:p>
            <w:pPr>
              <w:ind w:left="360"/>
              <w:spacing w:after="0"/>
              <w:rPr>
                <w:sz w:val="20"/>
                <w:szCs w:val="20"/>
                <w:color w:val="auto"/>
              </w:rPr>
            </w:pPr>
            <w:r>
              <w:rPr>
                <w:rFonts w:ascii="Arial" w:cs="Arial" w:eastAsia="Arial" w:hAnsi="Arial"/>
                <w:sz w:val="20"/>
                <w:szCs w:val="20"/>
                <w:color w:val="auto"/>
                <w:w w:val="89"/>
              </w:rPr>
              <w:t>-</w:t>
            </w:r>
          </w:p>
        </w:tc>
        <w:tc>
          <w:tcPr>
            <w:tcW w:w="120" w:type="dxa"/>
            <w:vAlign w:val="bottom"/>
          </w:tcPr>
          <w:p>
            <w:pPr>
              <w:spacing w:after="0"/>
              <w:rPr>
                <w:sz w:val="20"/>
                <w:szCs w:val="20"/>
                <w:color w:val="auto"/>
              </w:rPr>
            </w:pPr>
          </w:p>
        </w:tc>
        <w:tc>
          <w:tcPr>
            <w:tcW w:w="7360" w:type="dxa"/>
            <w:vAlign w:val="bottom"/>
            <w:gridSpan w:val="2"/>
          </w:tcPr>
          <w:p>
            <w:pPr>
              <w:spacing w:after="0"/>
              <w:rPr>
                <w:sz w:val="20"/>
                <w:szCs w:val="20"/>
                <w:color w:val="auto"/>
              </w:rPr>
            </w:pPr>
            <w:r>
              <w:rPr>
                <w:rFonts w:ascii="Arial" w:cs="Arial" w:eastAsia="Arial" w:hAnsi="Arial"/>
                <w:sz w:val="20"/>
                <w:szCs w:val="20"/>
                <w:color w:val="auto"/>
              </w:rPr>
              <w:t>Report additional data from Phase 1 study for linvoseltamab (BCMA and CD3</w:t>
            </w:r>
          </w:p>
        </w:tc>
        <w:tc>
          <w:tcPr>
            <w:tcW w:w="0" w:type="dxa"/>
            <w:vAlign w:val="bottom"/>
          </w:tcPr>
          <w:p>
            <w:pPr>
              <w:spacing w:after="0"/>
              <w:rPr>
                <w:sz w:val="1"/>
                <w:szCs w:val="1"/>
                <w:color w:val="auto"/>
              </w:rPr>
            </w:pPr>
          </w:p>
        </w:tc>
      </w:tr>
      <w:tr>
        <w:trPr>
          <w:trHeight w:val="257"/>
        </w:trPr>
        <w:tc>
          <w:tcPr>
            <w:tcW w:w="3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3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bispecific antibody) in combination with Dupixent in severe food allergies</w:t>
            </w:r>
          </w:p>
        </w:tc>
        <w:tc>
          <w:tcPr>
            <w:tcW w:w="0" w:type="dxa"/>
            <w:vAlign w:val="bottom"/>
          </w:tcPr>
          <w:p>
            <w:pPr>
              <w:spacing w:after="0"/>
              <w:rPr>
                <w:sz w:val="1"/>
                <w:szCs w:val="1"/>
                <w:color w:val="auto"/>
              </w:rPr>
            </w:pPr>
          </w:p>
        </w:tc>
      </w:tr>
      <w:tr>
        <w:trPr>
          <w:trHeight w:val="223"/>
        </w:trPr>
        <w:tc>
          <w:tcPr>
            <w:tcW w:w="3300" w:type="dxa"/>
            <w:vAlign w:val="bottom"/>
            <w:shd w:val="clear" w:color="auto" w:fill="CCEEFF"/>
          </w:tcPr>
          <w:p>
            <w:pPr>
              <w:ind w:left="20"/>
              <w:spacing w:after="0" w:line="223" w:lineRule="exact"/>
              <w:rPr>
                <w:sz w:val="20"/>
                <w:szCs w:val="20"/>
                <w:color w:val="auto"/>
              </w:rPr>
            </w:pPr>
            <w:r>
              <w:rPr>
                <w:rFonts w:ascii="Arial" w:cs="Arial" w:eastAsia="Arial" w:hAnsi="Arial"/>
                <w:sz w:val="20"/>
                <w:szCs w:val="20"/>
                <w:color w:val="auto"/>
              </w:rPr>
              <w:t>Solid Organ Oncology</w:t>
            </w:r>
          </w:p>
        </w:tc>
        <w:tc>
          <w:tcPr>
            <w:tcW w:w="440" w:type="dxa"/>
            <w:vAlign w:val="bottom"/>
            <w:gridSpan w:val="2"/>
            <w:shd w:val="clear" w:color="auto" w:fill="CCEEFF"/>
          </w:tcPr>
          <w:p>
            <w:pPr>
              <w:ind w:left="360"/>
              <w:spacing w:after="0" w:line="223" w:lineRule="exact"/>
              <w:rPr>
                <w:sz w:val="20"/>
                <w:szCs w:val="20"/>
                <w:color w:val="auto"/>
              </w:rPr>
            </w:pPr>
            <w:r>
              <w:rPr>
                <w:rFonts w:ascii="Arial" w:cs="Arial" w:eastAsia="Arial" w:hAnsi="Arial"/>
                <w:sz w:val="20"/>
                <w:szCs w:val="20"/>
                <w:color w:val="auto"/>
                <w:w w:val="89"/>
              </w:rPr>
              <w:t>-</w:t>
            </w:r>
          </w:p>
        </w:tc>
        <w:tc>
          <w:tcPr>
            <w:tcW w:w="120" w:type="dxa"/>
            <w:vAlign w:val="bottom"/>
            <w:shd w:val="clear" w:color="auto" w:fill="CCEEFF"/>
          </w:tcPr>
          <w:p>
            <w:pPr>
              <w:spacing w:after="0"/>
              <w:rPr>
                <w:sz w:val="19"/>
                <w:szCs w:val="19"/>
                <w:color w:val="auto"/>
              </w:rPr>
            </w:pPr>
          </w:p>
        </w:tc>
        <w:tc>
          <w:tcPr>
            <w:tcW w:w="7360" w:type="dxa"/>
            <w:vAlign w:val="bottom"/>
            <w:gridSpan w:val="2"/>
            <w:shd w:val="clear" w:color="auto" w:fill="CCEEFF"/>
          </w:tcPr>
          <w:p>
            <w:pPr>
              <w:spacing w:after="0" w:line="223" w:lineRule="exact"/>
              <w:rPr>
                <w:sz w:val="20"/>
                <w:szCs w:val="20"/>
                <w:color w:val="auto"/>
              </w:rPr>
            </w:pPr>
            <w:r>
              <w:rPr>
                <w:rFonts w:ascii="Arial" w:cs="Arial" w:eastAsia="Arial" w:hAnsi="Arial"/>
                <w:sz w:val="20"/>
                <w:szCs w:val="20"/>
                <w:color w:val="auto"/>
                <w:shd w:val="clear" w:color="auto" w:fill="CCEEFF"/>
              </w:rPr>
              <w:t>Submit sBLA for Libtayo in adjuvant CSCC (first half 2025)</w:t>
            </w:r>
          </w:p>
        </w:tc>
        <w:tc>
          <w:tcPr>
            <w:tcW w:w="0" w:type="dxa"/>
            <w:vAlign w:val="bottom"/>
          </w:tcPr>
          <w:p>
            <w:pPr>
              <w:spacing w:after="0"/>
              <w:rPr>
                <w:sz w:val="1"/>
                <w:szCs w:val="1"/>
                <w:color w:val="auto"/>
              </w:rPr>
            </w:pPr>
          </w:p>
        </w:tc>
      </w:tr>
      <w:tr>
        <w:trPr>
          <w:trHeight w:val="256"/>
        </w:trPr>
        <w:tc>
          <w:tcPr>
            <w:tcW w:w="3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ind w:left="260"/>
              <w:spacing w:after="0"/>
              <w:rPr>
                <w:sz w:val="20"/>
                <w:szCs w:val="20"/>
                <w:color w:val="auto"/>
              </w:rPr>
            </w:pPr>
            <w:r>
              <w:rPr>
                <w:rFonts w:ascii="Arial" w:cs="Arial" w:eastAsia="Arial" w:hAnsi="Arial"/>
                <w:sz w:val="20"/>
                <w:szCs w:val="20"/>
                <w:color w:val="auto"/>
                <w:w w:val="89"/>
              </w:rPr>
              <w:t>-</w:t>
            </w:r>
          </w:p>
        </w:tc>
        <w:tc>
          <w:tcPr>
            <w:tcW w:w="120" w:type="dxa"/>
            <w:vAlign w:val="bottom"/>
            <w:shd w:val="clear" w:color="auto" w:fill="CCEEFF"/>
          </w:tcPr>
          <w:p>
            <w:pPr>
              <w:spacing w:after="0"/>
              <w:rPr>
                <w:sz w:val="22"/>
                <w:szCs w:val="22"/>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20"/>
                <w:szCs w:val="20"/>
                <w:color w:val="auto"/>
                <w:shd w:val="clear" w:color="auto" w:fill="CCEEFF"/>
              </w:rPr>
              <w:t>Report results from Phase 3 study of fianlimab (LAG-3 antibody), in combination</w:t>
            </w:r>
          </w:p>
        </w:tc>
        <w:tc>
          <w:tcPr>
            <w:tcW w:w="0" w:type="dxa"/>
            <w:vAlign w:val="bottom"/>
          </w:tcPr>
          <w:p>
            <w:pPr>
              <w:spacing w:after="0"/>
              <w:rPr>
                <w:sz w:val="1"/>
                <w:szCs w:val="1"/>
                <w:color w:val="auto"/>
              </w:rPr>
            </w:pPr>
          </w:p>
        </w:tc>
      </w:tr>
      <w:tr>
        <w:trPr>
          <w:trHeight w:val="194"/>
        </w:trPr>
        <w:tc>
          <w:tcPr>
            <w:tcW w:w="3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360" w:type="dxa"/>
            <w:vAlign w:val="bottom"/>
            <w:gridSpan w:val="2"/>
            <w:shd w:val="clear" w:color="auto" w:fill="CCEEFF"/>
          </w:tcPr>
          <w:p>
            <w:pPr>
              <w:spacing w:after="0" w:line="194" w:lineRule="exact"/>
              <w:rPr>
                <w:sz w:val="20"/>
                <w:szCs w:val="20"/>
                <w:color w:val="auto"/>
              </w:rPr>
            </w:pPr>
            <w:r>
              <w:rPr>
                <w:rFonts w:ascii="Arial" w:cs="Arial" w:eastAsia="Arial" w:hAnsi="Arial"/>
                <w:sz w:val="20"/>
                <w:szCs w:val="20"/>
                <w:color w:val="auto"/>
                <w:shd w:val="clear" w:color="auto" w:fill="CCEEFF"/>
              </w:rPr>
              <w:t>with Libtayo, versus pembrolizumab in first-line metastatic melanoma (second half</w:t>
            </w:r>
          </w:p>
        </w:tc>
        <w:tc>
          <w:tcPr>
            <w:tcW w:w="0" w:type="dxa"/>
            <w:vAlign w:val="bottom"/>
          </w:tcPr>
          <w:p>
            <w:pPr>
              <w:spacing w:after="0"/>
              <w:rPr>
                <w:sz w:val="1"/>
                <w:szCs w:val="1"/>
                <w:color w:val="auto"/>
              </w:rPr>
            </w:pPr>
          </w:p>
        </w:tc>
      </w:tr>
      <w:tr>
        <w:trPr>
          <w:trHeight w:val="238"/>
        </w:trPr>
        <w:tc>
          <w:tcPr>
            <w:tcW w:w="3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vMerge w:val="restart"/>
            <w:shd w:val="clear" w:color="auto" w:fill="CCEEFF"/>
          </w:tcPr>
          <w:p>
            <w:pPr>
              <w:ind w:left="260"/>
              <w:spacing w:after="0"/>
              <w:rPr>
                <w:sz w:val="20"/>
                <w:szCs w:val="20"/>
                <w:color w:val="auto"/>
              </w:rPr>
            </w:pPr>
            <w:r>
              <w:rPr>
                <w:rFonts w:ascii="Arial" w:cs="Arial" w:eastAsia="Arial" w:hAnsi="Arial"/>
                <w:sz w:val="20"/>
                <w:szCs w:val="20"/>
                <w:color w:val="auto"/>
                <w:w w:val="89"/>
              </w:rPr>
              <w:t>-</w:t>
            </w:r>
          </w:p>
        </w:tc>
        <w:tc>
          <w:tcPr>
            <w:tcW w:w="120" w:type="dxa"/>
            <w:vAlign w:val="bottom"/>
            <w:shd w:val="clear" w:color="auto" w:fill="CCEEFF"/>
          </w:tcPr>
          <w:p>
            <w:pPr>
              <w:spacing w:after="0"/>
              <w:rPr>
                <w:sz w:val="20"/>
                <w:szCs w:val="20"/>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20"/>
                <w:szCs w:val="20"/>
                <w:color w:val="auto"/>
                <w:shd w:val="clear" w:color="auto" w:fill="CCEEFF"/>
              </w:rPr>
              <w:t>2025) and submit BLA (second half 2025)</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20"/>
                <w:szCs w:val="20"/>
                <w:color w:val="auto"/>
                <w:shd w:val="clear" w:color="auto" w:fill="CCEEFF"/>
              </w:rPr>
              <w:t>Report initial Phase 2 data for fianlimab (LAG-3 antibody) in combination with</w:t>
            </w: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20"/>
                <w:szCs w:val="20"/>
                <w:color w:val="auto"/>
                <w:shd w:val="clear" w:color="auto" w:fill="CCEEFF"/>
              </w:rPr>
              <w:t>Libtayo in first-line advanced non-small cell lung cancer (NSCLC) (first half 2025)</w:t>
            </w:r>
          </w:p>
        </w:tc>
        <w:tc>
          <w:tcPr>
            <w:tcW w:w="0" w:type="dxa"/>
            <w:vAlign w:val="bottom"/>
          </w:tcPr>
          <w:p>
            <w:pPr>
              <w:spacing w:after="0"/>
              <w:rPr>
                <w:sz w:val="1"/>
                <w:szCs w:val="1"/>
                <w:color w:val="auto"/>
              </w:rPr>
            </w:pPr>
          </w:p>
        </w:tc>
      </w:tr>
      <w:tr>
        <w:trPr>
          <w:trHeight w:val="221"/>
        </w:trPr>
        <w:tc>
          <w:tcPr>
            <w:tcW w:w="3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60"/>
              <w:spacing w:after="0" w:line="222" w:lineRule="exact"/>
              <w:rPr>
                <w:sz w:val="20"/>
                <w:szCs w:val="20"/>
                <w:color w:val="auto"/>
              </w:rPr>
            </w:pPr>
            <w:r>
              <w:rPr>
                <w:rFonts w:ascii="Arial" w:cs="Arial" w:eastAsia="Arial" w:hAnsi="Arial"/>
                <w:sz w:val="20"/>
                <w:szCs w:val="20"/>
                <w:color w:val="auto"/>
                <w:w w:val="89"/>
              </w:rPr>
              <w:t>-</w:t>
            </w:r>
          </w:p>
        </w:tc>
        <w:tc>
          <w:tcPr>
            <w:tcW w:w="120" w:type="dxa"/>
            <w:vAlign w:val="bottom"/>
            <w:shd w:val="clear" w:color="auto" w:fill="CCEEFF"/>
          </w:tcPr>
          <w:p>
            <w:pPr>
              <w:spacing w:after="0"/>
              <w:rPr>
                <w:sz w:val="19"/>
                <w:szCs w:val="19"/>
                <w:color w:val="auto"/>
              </w:rPr>
            </w:pPr>
          </w:p>
        </w:tc>
        <w:tc>
          <w:tcPr>
            <w:tcW w:w="7360" w:type="dxa"/>
            <w:vAlign w:val="bottom"/>
            <w:gridSpan w:val="2"/>
            <w:shd w:val="clear" w:color="auto" w:fill="CCEEFF"/>
          </w:tcPr>
          <w:p>
            <w:pPr>
              <w:spacing w:after="0" w:line="222" w:lineRule="exact"/>
              <w:rPr>
                <w:sz w:val="20"/>
                <w:szCs w:val="20"/>
                <w:color w:val="auto"/>
              </w:rPr>
            </w:pPr>
            <w:r>
              <w:rPr>
                <w:rFonts w:ascii="Arial" w:cs="Arial" w:eastAsia="Arial" w:hAnsi="Arial"/>
                <w:sz w:val="20"/>
                <w:szCs w:val="20"/>
                <w:color w:val="auto"/>
                <w:shd w:val="clear" w:color="auto" w:fill="CCEEFF"/>
              </w:rPr>
              <w:t>Report additional data for ubamatamab (MUC16 and CD3 bispecific antibody) in</w:t>
            </w:r>
          </w:p>
        </w:tc>
        <w:tc>
          <w:tcPr>
            <w:tcW w:w="0" w:type="dxa"/>
            <w:vAlign w:val="bottom"/>
          </w:tcPr>
          <w:p>
            <w:pPr>
              <w:spacing w:after="0"/>
              <w:rPr>
                <w:sz w:val="1"/>
                <w:szCs w:val="1"/>
                <w:color w:val="auto"/>
              </w:rPr>
            </w:pPr>
          </w:p>
        </w:tc>
      </w:tr>
      <w:tr>
        <w:trPr>
          <w:trHeight w:val="238"/>
        </w:trPr>
        <w:tc>
          <w:tcPr>
            <w:tcW w:w="3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20"/>
                <w:szCs w:val="20"/>
                <w:color w:val="auto"/>
                <w:w w:val="97"/>
                <w:shd w:val="clear" w:color="auto" w:fill="CCEEFF"/>
              </w:rPr>
              <w:t>ovarian cancer</w:t>
            </w:r>
          </w:p>
        </w:tc>
        <w:tc>
          <w:tcPr>
            <w:tcW w:w="6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3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20"/>
                <w:szCs w:val="20"/>
                <w:color w:val="auto"/>
                <w:w w:val="89"/>
              </w:rPr>
              <w:t>-</w:t>
            </w:r>
          </w:p>
        </w:tc>
        <w:tc>
          <w:tcPr>
            <w:tcW w:w="120" w:type="dxa"/>
            <w:vAlign w:val="bottom"/>
            <w:tcBorders>
              <w:bottom w:val="single" w:sz="8" w:color="CCEEFF"/>
            </w:tcBorders>
            <w:shd w:val="clear" w:color="auto" w:fill="CCEEFF"/>
          </w:tcPr>
          <w:p>
            <w:pPr>
              <w:spacing w:after="0"/>
              <w:rPr>
                <w:sz w:val="23"/>
                <w:szCs w:val="23"/>
                <w:color w:val="auto"/>
              </w:rPr>
            </w:pPr>
          </w:p>
        </w:tc>
        <w:tc>
          <w:tcPr>
            <w:tcW w:w="7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shd w:val="clear" w:color="auto" w:fill="CCEEFF"/>
              </w:rPr>
              <w:t>Report additional data from solid tumor costimulatory bispecific antibody programs</w:t>
            </w:r>
          </w:p>
        </w:tc>
        <w:tc>
          <w:tcPr>
            <w:tcW w:w="0" w:type="dxa"/>
            <w:vAlign w:val="bottom"/>
          </w:tcPr>
          <w:p>
            <w:pPr>
              <w:spacing w:after="0"/>
              <w:rPr>
                <w:sz w:val="1"/>
                <w:szCs w:val="1"/>
                <w:color w:val="auto"/>
              </w:rPr>
            </w:pPr>
          </w:p>
        </w:tc>
      </w:tr>
      <w:tr>
        <w:trPr>
          <w:trHeight w:val="223"/>
        </w:trPr>
        <w:tc>
          <w:tcPr>
            <w:tcW w:w="3300" w:type="dxa"/>
            <w:vAlign w:val="bottom"/>
            <w:tcBorders>
              <w:top w:val="single" w:sz="8" w:color="auto"/>
            </w:tcBorders>
          </w:tcPr>
          <w:p>
            <w:pPr>
              <w:ind w:left="20"/>
              <w:spacing w:after="0" w:line="223" w:lineRule="exact"/>
              <w:rPr>
                <w:sz w:val="20"/>
                <w:szCs w:val="20"/>
                <w:color w:val="auto"/>
              </w:rPr>
            </w:pPr>
            <w:r>
              <w:rPr>
                <w:rFonts w:ascii="Arial" w:cs="Arial" w:eastAsia="Arial" w:hAnsi="Arial"/>
                <w:sz w:val="20"/>
                <w:szCs w:val="20"/>
                <w:color w:val="auto"/>
              </w:rPr>
              <w:t>Hematology</w:t>
            </w:r>
          </w:p>
        </w:tc>
        <w:tc>
          <w:tcPr>
            <w:tcW w:w="440" w:type="dxa"/>
            <w:vAlign w:val="bottom"/>
            <w:tcBorders>
              <w:top w:val="single" w:sz="8" w:color="auto"/>
            </w:tcBorders>
            <w:gridSpan w:val="2"/>
          </w:tcPr>
          <w:p>
            <w:pPr>
              <w:ind w:left="360"/>
              <w:spacing w:after="0" w:line="223" w:lineRule="exact"/>
              <w:rPr>
                <w:sz w:val="20"/>
                <w:szCs w:val="20"/>
                <w:color w:val="auto"/>
              </w:rPr>
            </w:pPr>
            <w:r>
              <w:rPr>
                <w:rFonts w:ascii="Arial" w:cs="Arial" w:eastAsia="Arial" w:hAnsi="Arial"/>
                <w:sz w:val="20"/>
                <w:szCs w:val="20"/>
                <w:color w:val="auto"/>
                <w:w w:val="89"/>
              </w:rPr>
              <w:t>-</w:t>
            </w:r>
          </w:p>
        </w:tc>
        <w:tc>
          <w:tcPr>
            <w:tcW w:w="120" w:type="dxa"/>
            <w:vAlign w:val="bottom"/>
            <w:tcBorders>
              <w:top w:val="single" w:sz="8" w:color="auto"/>
            </w:tcBorders>
          </w:tcPr>
          <w:p>
            <w:pPr>
              <w:spacing w:after="0"/>
              <w:rPr>
                <w:sz w:val="19"/>
                <w:szCs w:val="19"/>
                <w:color w:val="auto"/>
              </w:rPr>
            </w:pPr>
          </w:p>
        </w:tc>
        <w:tc>
          <w:tcPr>
            <w:tcW w:w="7360" w:type="dxa"/>
            <w:vAlign w:val="bottom"/>
            <w:tcBorders>
              <w:top w:val="single" w:sz="8" w:color="auto"/>
            </w:tcBorders>
            <w:gridSpan w:val="2"/>
          </w:tcPr>
          <w:p>
            <w:pPr>
              <w:spacing w:after="0" w:line="223" w:lineRule="exact"/>
              <w:rPr>
                <w:sz w:val="20"/>
                <w:szCs w:val="20"/>
                <w:color w:val="auto"/>
              </w:rPr>
            </w:pPr>
            <w:r>
              <w:rPr>
                <w:rFonts w:ascii="Arial" w:cs="Arial" w:eastAsia="Arial" w:hAnsi="Arial"/>
                <w:sz w:val="20"/>
                <w:szCs w:val="20"/>
                <w:color w:val="auto"/>
                <w:w w:val="99"/>
              </w:rPr>
              <w:t>FDA decision on BLA for odronextamab (CD20 and CD3 bispecific antibody) in R/R</w:t>
            </w:r>
          </w:p>
        </w:tc>
        <w:tc>
          <w:tcPr>
            <w:tcW w:w="0" w:type="dxa"/>
            <w:vAlign w:val="bottom"/>
          </w:tcPr>
          <w:p>
            <w:pPr>
              <w:spacing w:after="0"/>
              <w:rPr>
                <w:sz w:val="1"/>
                <w:szCs w:val="1"/>
                <w:color w:val="auto"/>
              </w:rPr>
            </w:pPr>
          </w:p>
        </w:tc>
      </w:tr>
      <w:tr>
        <w:trPr>
          <w:trHeight w:val="248"/>
        </w:trPr>
        <w:tc>
          <w:tcPr>
            <w:tcW w:w="3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360" w:type="dxa"/>
            <w:vAlign w:val="bottom"/>
            <w:gridSpan w:val="2"/>
          </w:tcPr>
          <w:p>
            <w:pPr>
              <w:spacing w:after="0"/>
              <w:rPr>
                <w:sz w:val="20"/>
                <w:szCs w:val="20"/>
                <w:color w:val="auto"/>
              </w:rPr>
            </w:pPr>
            <w:r>
              <w:rPr>
                <w:rFonts w:ascii="Arial" w:cs="Arial" w:eastAsia="Arial" w:hAnsi="Arial"/>
                <w:sz w:val="20"/>
                <w:szCs w:val="20"/>
                <w:color w:val="auto"/>
              </w:rPr>
              <w:t>follicular lymphoma (second half 2025)</w:t>
            </w:r>
          </w:p>
        </w:tc>
        <w:tc>
          <w:tcPr>
            <w:tcW w:w="0" w:type="dxa"/>
            <w:vAlign w:val="bottom"/>
          </w:tcPr>
          <w:p>
            <w:pPr>
              <w:spacing w:after="0"/>
              <w:rPr>
                <w:sz w:val="1"/>
                <w:szCs w:val="1"/>
                <w:color w:val="auto"/>
              </w:rPr>
            </w:pPr>
          </w:p>
        </w:tc>
      </w:tr>
      <w:tr>
        <w:trPr>
          <w:trHeight w:val="203"/>
        </w:trPr>
        <w:tc>
          <w:tcPr>
            <w:tcW w:w="3300" w:type="dxa"/>
            <w:vAlign w:val="bottom"/>
          </w:tcPr>
          <w:p>
            <w:pPr>
              <w:spacing w:after="0"/>
              <w:rPr>
                <w:sz w:val="17"/>
                <w:szCs w:val="17"/>
                <w:color w:val="auto"/>
              </w:rPr>
            </w:pPr>
          </w:p>
        </w:tc>
        <w:tc>
          <w:tcPr>
            <w:tcW w:w="440" w:type="dxa"/>
            <w:vAlign w:val="bottom"/>
            <w:gridSpan w:val="2"/>
          </w:tcPr>
          <w:p>
            <w:pPr>
              <w:ind w:left="360"/>
              <w:spacing w:after="0" w:line="203" w:lineRule="exact"/>
              <w:rPr>
                <w:sz w:val="20"/>
                <w:szCs w:val="20"/>
                <w:color w:val="auto"/>
              </w:rPr>
            </w:pPr>
            <w:r>
              <w:rPr>
                <w:rFonts w:ascii="Arial" w:cs="Arial" w:eastAsia="Arial" w:hAnsi="Arial"/>
                <w:sz w:val="20"/>
                <w:szCs w:val="20"/>
                <w:color w:val="auto"/>
                <w:w w:val="89"/>
              </w:rPr>
              <w:t>-</w:t>
            </w:r>
          </w:p>
        </w:tc>
        <w:tc>
          <w:tcPr>
            <w:tcW w:w="120" w:type="dxa"/>
            <w:vAlign w:val="bottom"/>
          </w:tcPr>
          <w:p>
            <w:pPr>
              <w:spacing w:after="0"/>
              <w:rPr>
                <w:sz w:val="17"/>
                <w:szCs w:val="17"/>
                <w:color w:val="auto"/>
              </w:rPr>
            </w:pPr>
          </w:p>
        </w:tc>
        <w:tc>
          <w:tcPr>
            <w:tcW w:w="7360" w:type="dxa"/>
            <w:vAlign w:val="bottom"/>
            <w:gridSpan w:val="2"/>
          </w:tcPr>
          <w:p>
            <w:pPr>
              <w:spacing w:after="0" w:line="203" w:lineRule="exact"/>
              <w:rPr>
                <w:sz w:val="20"/>
                <w:szCs w:val="20"/>
                <w:color w:val="auto"/>
              </w:rPr>
            </w:pPr>
            <w:r>
              <w:rPr>
                <w:rFonts w:ascii="Arial" w:cs="Arial" w:eastAsia="Arial" w:hAnsi="Arial"/>
                <w:sz w:val="20"/>
                <w:szCs w:val="20"/>
                <w:color w:val="auto"/>
                <w:w w:val="99"/>
              </w:rPr>
              <w:t>FDA decision on BLA for linvoseltamab (BCMA and CD3 bispecific antibody) in R/R</w:t>
            </w: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360" w:type="dxa"/>
            <w:vAlign w:val="bottom"/>
            <w:gridSpan w:val="2"/>
          </w:tcPr>
          <w:p>
            <w:pPr>
              <w:spacing w:after="0"/>
              <w:rPr>
                <w:sz w:val="20"/>
                <w:szCs w:val="20"/>
                <w:color w:val="auto"/>
              </w:rPr>
            </w:pPr>
            <w:r>
              <w:rPr>
                <w:rFonts w:ascii="Arial" w:cs="Arial" w:eastAsia="Arial" w:hAnsi="Arial"/>
                <w:sz w:val="20"/>
                <w:szCs w:val="20"/>
                <w:color w:val="auto"/>
              </w:rPr>
              <w:t>multiple myeloma (mid-2025)</w:t>
            </w:r>
          </w:p>
        </w:tc>
        <w:tc>
          <w:tcPr>
            <w:tcW w:w="0" w:type="dxa"/>
            <w:vAlign w:val="bottom"/>
          </w:tcPr>
          <w:p>
            <w:pPr>
              <w:spacing w:after="0"/>
              <w:rPr>
                <w:sz w:val="1"/>
                <w:szCs w:val="1"/>
                <w:color w:val="auto"/>
              </w:rPr>
            </w:pPr>
          </w:p>
        </w:tc>
      </w:tr>
      <w:tr>
        <w:trPr>
          <w:trHeight w:val="263"/>
        </w:trPr>
        <w:tc>
          <w:tcPr>
            <w:tcW w:w="33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2"/>
          </w:tcPr>
          <w:p>
            <w:pPr>
              <w:ind w:left="360"/>
              <w:spacing w:after="0"/>
              <w:rPr>
                <w:sz w:val="20"/>
                <w:szCs w:val="20"/>
                <w:color w:val="auto"/>
              </w:rPr>
            </w:pPr>
            <w:r>
              <w:rPr>
                <w:rFonts w:ascii="Arial" w:cs="Arial" w:eastAsia="Arial" w:hAnsi="Arial"/>
                <w:sz w:val="20"/>
                <w:szCs w:val="20"/>
                <w:color w:val="auto"/>
                <w:w w:val="89"/>
              </w:rPr>
              <w:t>-</w:t>
            </w:r>
          </w:p>
        </w:tc>
        <w:tc>
          <w:tcPr>
            <w:tcW w:w="120" w:type="dxa"/>
            <w:vAlign w:val="bottom"/>
            <w:tcBorders>
              <w:bottom w:val="single" w:sz="8" w:color="auto"/>
            </w:tcBorders>
          </w:tcPr>
          <w:p>
            <w:pPr>
              <w:spacing w:after="0"/>
              <w:rPr>
                <w:sz w:val="22"/>
                <w:szCs w:val="22"/>
                <w:color w:val="auto"/>
              </w:rPr>
            </w:pPr>
          </w:p>
        </w:tc>
        <w:tc>
          <w:tcPr>
            <w:tcW w:w="73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Initiate Phase 3 program for Factor XI antibodies (REGN9933 and REGN7508)</w:t>
            </w:r>
          </w:p>
        </w:tc>
        <w:tc>
          <w:tcPr>
            <w:tcW w:w="0" w:type="dxa"/>
            <w:vAlign w:val="bottom"/>
          </w:tcPr>
          <w:p>
            <w:pPr>
              <w:spacing w:after="0"/>
              <w:rPr>
                <w:sz w:val="1"/>
                <w:szCs w:val="1"/>
                <w:color w:val="auto"/>
              </w:rPr>
            </w:pPr>
          </w:p>
        </w:tc>
      </w:tr>
      <w:tr>
        <w:trPr>
          <w:trHeight w:val="859"/>
        </w:trPr>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80" w:type="dxa"/>
            <w:vAlign w:val="bottom"/>
            <w:gridSpan w:val="3"/>
          </w:tcPr>
          <w:p>
            <w:pPr>
              <w:jc w:val="right"/>
              <w:ind w:right="546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1220"/>
          </w:cols>
          <w:pgMar w:left="320" w:top="896" w:right="35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300" w:type="dxa"/>
            <w:vAlign w:val="bottom"/>
            <w:tcBorders>
              <w:top w:val="single" w:sz="8" w:color="auto"/>
            </w:tcBorders>
            <w:shd w:val="clear" w:color="auto" w:fill="CCEEFF"/>
          </w:tcPr>
          <w:p>
            <w:pPr>
              <w:ind w:left="20"/>
              <w:spacing w:after="0" w:line="207" w:lineRule="exact"/>
              <w:rPr>
                <w:sz w:val="20"/>
                <w:szCs w:val="20"/>
                <w:color w:val="auto"/>
              </w:rPr>
            </w:pPr>
            <w:r>
              <w:rPr>
                <w:rFonts w:ascii="Arial" w:cs="Arial" w:eastAsia="Arial" w:hAnsi="Arial"/>
                <w:sz w:val="20"/>
                <w:szCs w:val="20"/>
                <w:color w:val="auto"/>
              </w:rPr>
              <w:t>Genetic Medicines</w:t>
            </w:r>
          </w:p>
        </w:tc>
        <w:tc>
          <w:tcPr>
            <w:tcW w:w="560" w:type="dxa"/>
            <w:vAlign w:val="bottom"/>
            <w:tcBorders>
              <w:top w:val="single" w:sz="8" w:color="auto"/>
            </w:tcBorders>
            <w:shd w:val="clear" w:color="auto" w:fill="CCEEFF"/>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6560" w:type="dxa"/>
            <w:vAlign w:val="bottom"/>
            <w:tcBorders>
              <w:top w:val="single" w:sz="8" w:color="auto"/>
            </w:tcBorders>
            <w:shd w:val="clear" w:color="auto" w:fill="CCEEFF"/>
          </w:tcPr>
          <w:p>
            <w:pPr>
              <w:spacing w:after="0" w:line="207" w:lineRule="exact"/>
              <w:rPr>
                <w:sz w:val="20"/>
                <w:szCs w:val="20"/>
                <w:color w:val="auto"/>
              </w:rPr>
            </w:pPr>
            <w:r>
              <w:rPr>
                <w:rFonts w:ascii="Arial" w:cs="Arial" w:eastAsia="Arial" w:hAnsi="Arial"/>
                <w:sz w:val="20"/>
                <w:szCs w:val="20"/>
                <w:color w:val="auto"/>
                <w:w w:val="98"/>
                <w:shd w:val="clear" w:color="auto" w:fill="CCEEFF"/>
              </w:rPr>
              <w:t>Report additional data from Phase 1/2 study for DB-OTO (AAV-based gene</w:t>
            </w:r>
          </w:p>
        </w:tc>
        <w:tc>
          <w:tcPr>
            <w:tcW w:w="800" w:type="dxa"/>
            <w:vAlign w:val="bottom"/>
            <w:tcBorders>
              <w:top w:val="single" w:sz="8" w:color="auto"/>
            </w:tcBorders>
            <w:shd w:val="clear" w:color="auto" w:fill="CCEEFF"/>
          </w:tcPr>
          <w:p>
            <w:pPr>
              <w:spacing w:after="0"/>
              <w:rPr>
                <w:sz w:val="18"/>
                <w:szCs w:val="18"/>
                <w:color w:val="auto"/>
              </w:rPr>
            </w:pPr>
          </w:p>
        </w:tc>
      </w:tr>
      <w:tr>
        <w:trPr>
          <w:trHeight w:val="197"/>
        </w:trPr>
        <w:tc>
          <w:tcPr>
            <w:tcW w:w="3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560" w:type="dxa"/>
            <w:vAlign w:val="bottom"/>
            <w:shd w:val="clear" w:color="auto" w:fill="CCEEFF"/>
          </w:tcPr>
          <w:p>
            <w:pPr>
              <w:spacing w:after="0" w:line="197" w:lineRule="exact"/>
              <w:rPr>
                <w:sz w:val="20"/>
                <w:szCs w:val="20"/>
                <w:color w:val="auto"/>
              </w:rPr>
            </w:pPr>
            <w:r>
              <w:rPr>
                <w:rFonts w:ascii="Arial" w:cs="Arial" w:eastAsia="Arial" w:hAnsi="Arial"/>
                <w:sz w:val="20"/>
                <w:szCs w:val="20"/>
                <w:color w:val="auto"/>
                <w:w w:val="99"/>
                <w:shd w:val="clear" w:color="auto" w:fill="CCEEFF"/>
              </w:rPr>
              <w:t>therapy) in patients with hearing deficit due to variants of the otoferlin gene</w:t>
            </w:r>
          </w:p>
        </w:tc>
        <w:tc>
          <w:tcPr>
            <w:tcW w:w="800" w:type="dxa"/>
            <w:vAlign w:val="bottom"/>
            <w:shd w:val="clear" w:color="auto" w:fill="CCEEFF"/>
          </w:tcPr>
          <w:p>
            <w:pPr>
              <w:ind w:left="20"/>
              <w:spacing w:after="0" w:line="197" w:lineRule="exact"/>
              <w:rPr>
                <w:sz w:val="20"/>
                <w:szCs w:val="20"/>
                <w:color w:val="auto"/>
              </w:rPr>
            </w:pPr>
            <w:r>
              <w:rPr>
                <w:rFonts w:ascii="Arial" w:cs="Arial" w:eastAsia="Arial" w:hAnsi="Arial"/>
                <w:sz w:val="20"/>
                <w:szCs w:val="20"/>
                <w:color w:val="auto"/>
                <w:shd w:val="clear" w:color="auto" w:fill="CCEEFF"/>
              </w:rPr>
              <w:t>(mid-</w:t>
            </w:r>
          </w:p>
        </w:tc>
      </w:tr>
      <w:tr>
        <w:trPr>
          <w:trHeight w:val="230"/>
        </w:trPr>
        <w:tc>
          <w:tcPr>
            <w:tcW w:w="33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20"/>
                <w:szCs w:val="20"/>
                <w:color w:val="auto"/>
                <w:shd w:val="clear" w:color="auto" w:fill="CCEEFF"/>
              </w:rPr>
              <w:t>2025)</w:t>
            </w:r>
          </w:p>
        </w:tc>
        <w:tc>
          <w:tcPr>
            <w:tcW w:w="800" w:type="dxa"/>
            <w:vAlign w:val="bottom"/>
            <w:shd w:val="clear" w:color="auto" w:fill="CCEEFF"/>
          </w:tcPr>
          <w:p>
            <w:pPr>
              <w:spacing w:after="0"/>
              <w:rPr>
                <w:sz w:val="19"/>
                <w:szCs w:val="19"/>
                <w:color w:val="auto"/>
              </w:rPr>
            </w:pPr>
          </w:p>
        </w:tc>
      </w:tr>
      <w:tr>
        <w:trPr>
          <w:trHeight w:val="221"/>
        </w:trPr>
        <w:tc>
          <w:tcPr>
            <w:tcW w:w="33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41"/>
              <w:spacing w:after="0" w:line="222" w:lineRule="exact"/>
              <w:rPr>
                <w:sz w:val="20"/>
                <w:szCs w:val="20"/>
                <w:color w:val="auto"/>
              </w:rPr>
            </w:pPr>
            <w:r>
              <w:rPr>
                <w:rFonts w:ascii="Arial" w:cs="Arial" w:eastAsia="Arial" w:hAnsi="Arial"/>
                <w:sz w:val="20"/>
                <w:szCs w:val="20"/>
                <w:color w:val="auto"/>
              </w:rPr>
              <w:t>-</w:t>
            </w:r>
          </w:p>
        </w:tc>
        <w:tc>
          <w:tcPr>
            <w:tcW w:w="7360" w:type="dxa"/>
            <w:vAlign w:val="bottom"/>
            <w:gridSpan w:val="2"/>
            <w:shd w:val="clear" w:color="auto" w:fill="CCEEFF"/>
          </w:tcPr>
          <w:p>
            <w:pPr>
              <w:spacing w:after="0" w:line="222" w:lineRule="exact"/>
              <w:rPr>
                <w:sz w:val="20"/>
                <w:szCs w:val="20"/>
                <w:color w:val="auto"/>
              </w:rPr>
            </w:pPr>
            <w:r>
              <w:rPr>
                <w:rFonts w:ascii="Arial" w:cs="Arial" w:eastAsia="Arial" w:hAnsi="Arial"/>
                <w:sz w:val="20"/>
                <w:szCs w:val="20"/>
                <w:color w:val="auto"/>
                <w:shd w:val="clear" w:color="auto" w:fill="CCEEFF"/>
              </w:rPr>
              <w:t>Report results from Phase 3 study for pozelimab (C5 antibody) in combination with</w:t>
            </w:r>
          </w:p>
        </w:tc>
      </w:tr>
      <w:tr>
        <w:trPr>
          <w:trHeight w:val="245"/>
        </w:trPr>
        <w:tc>
          <w:tcPr>
            <w:tcW w:w="33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6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20"/>
                <w:szCs w:val="20"/>
                <w:color w:val="auto"/>
                <w:shd w:val="clear" w:color="auto" w:fill="CCEEFF"/>
              </w:rPr>
              <w:t>cemdisiran in myasthenia gravis (second half 2025)</w:t>
            </w:r>
          </w:p>
        </w:tc>
        <w:tc>
          <w:tcPr>
            <w:tcW w:w="800" w:type="dxa"/>
            <w:vAlign w:val="bottom"/>
            <w:tcBorders>
              <w:bottom w:val="single" w:sz="8" w:color="auto"/>
            </w:tcBorders>
            <w:shd w:val="clear" w:color="auto" w:fill="CCEEFF"/>
          </w:tcPr>
          <w:p>
            <w:pPr>
              <w:spacing w:after="0"/>
              <w:rPr>
                <w:sz w:val="21"/>
                <w:szCs w:val="21"/>
                <w:color w:val="auto"/>
              </w:rPr>
            </w:pPr>
          </w:p>
        </w:tc>
      </w:tr>
      <w:tr>
        <w:trPr>
          <w:trHeight w:val="229"/>
        </w:trPr>
        <w:tc>
          <w:tcPr>
            <w:tcW w:w="3300" w:type="dxa"/>
            <w:vAlign w:val="bottom"/>
          </w:tcPr>
          <w:p>
            <w:pPr>
              <w:ind w:left="20"/>
              <w:spacing w:after="0"/>
              <w:rPr>
                <w:sz w:val="20"/>
                <w:szCs w:val="20"/>
                <w:color w:val="auto"/>
              </w:rPr>
            </w:pPr>
            <w:r>
              <w:rPr>
                <w:rFonts w:ascii="Arial" w:cs="Arial" w:eastAsia="Arial" w:hAnsi="Arial"/>
                <w:sz w:val="20"/>
                <w:szCs w:val="20"/>
                <w:color w:val="auto"/>
              </w:rPr>
              <w:t>Internal Medicine</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360" w:type="dxa"/>
            <w:vAlign w:val="bottom"/>
            <w:gridSpan w:val="2"/>
          </w:tcPr>
          <w:p>
            <w:pPr>
              <w:spacing w:after="0"/>
              <w:rPr>
                <w:sz w:val="20"/>
                <w:szCs w:val="20"/>
                <w:color w:val="auto"/>
              </w:rPr>
            </w:pPr>
            <w:r>
              <w:rPr>
                <w:rFonts w:ascii="Arial" w:cs="Arial" w:eastAsia="Arial" w:hAnsi="Arial"/>
                <w:sz w:val="20"/>
                <w:szCs w:val="20"/>
                <w:color w:val="auto"/>
                <w:w w:val="99"/>
              </w:rPr>
              <w:t>Report results from Phase 2 study for semaglutide in combination with trevogrumab</w:t>
            </w:r>
          </w:p>
        </w:tc>
      </w:tr>
      <w:tr>
        <w:trPr>
          <w:trHeight w:val="194"/>
        </w:trPr>
        <w:tc>
          <w:tcPr>
            <w:tcW w:w="3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360" w:type="dxa"/>
            <w:vAlign w:val="bottom"/>
            <w:gridSpan w:val="2"/>
          </w:tcPr>
          <w:p>
            <w:pPr>
              <w:spacing w:after="0" w:line="194" w:lineRule="exact"/>
              <w:rPr>
                <w:sz w:val="20"/>
                <w:szCs w:val="20"/>
                <w:color w:val="auto"/>
              </w:rPr>
            </w:pPr>
            <w:r>
              <w:rPr>
                <w:rFonts w:ascii="Arial" w:cs="Arial" w:eastAsia="Arial" w:hAnsi="Arial"/>
                <w:sz w:val="20"/>
                <w:szCs w:val="20"/>
                <w:color w:val="auto"/>
              </w:rPr>
              <w:t>(myostatin antibody) with and without garetosmab (Activin A antibody) in obesity</w:t>
            </w:r>
          </w:p>
        </w:tc>
      </w:tr>
      <w:tr>
        <w:trPr>
          <w:trHeight w:val="252"/>
        </w:trPr>
        <w:tc>
          <w:tcPr>
            <w:tcW w:w="3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360" w:type="dxa"/>
            <w:vAlign w:val="bottom"/>
            <w:gridSpan w:val="2"/>
          </w:tcPr>
          <w:p>
            <w:pPr>
              <w:spacing w:after="0"/>
              <w:rPr>
                <w:sz w:val="20"/>
                <w:szCs w:val="20"/>
                <w:color w:val="auto"/>
              </w:rPr>
            </w:pPr>
            <w:r>
              <w:rPr>
                <w:rFonts w:ascii="Arial" w:cs="Arial" w:eastAsia="Arial" w:hAnsi="Arial"/>
                <w:sz w:val="20"/>
                <w:szCs w:val="20"/>
                <w:color w:val="auto"/>
              </w:rPr>
              <w:t>(second half 2025)</w:t>
            </w:r>
          </w:p>
        </w:tc>
      </w:tr>
      <w:tr>
        <w:trPr>
          <w:trHeight w:val="221"/>
        </w:trPr>
        <w:tc>
          <w:tcPr>
            <w:tcW w:w="3300" w:type="dxa"/>
            <w:vAlign w:val="bottom"/>
          </w:tcPr>
          <w:p>
            <w:pPr>
              <w:spacing w:after="0"/>
              <w:rPr>
                <w:sz w:val="19"/>
                <w:szCs w:val="19"/>
                <w:color w:val="auto"/>
              </w:rPr>
            </w:pPr>
          </w:p>
        </w:tc>
        <w:tc>
          <w:tcPr>
            <w:tcW w:w="560" w:type="dxa"/>
            <w:vAlign w:val="bottom"/>
          </w:tcPr>
          <w:p>
            <w:pPr>
              <w:jc w:val="right"/>
              <w:ind w:right="41"/>
              <w:spacing w:after="0" w:line="221" w:lineRule="exact"/>
              <w:rPr>
                <w:sz w:val="20"/>
                <w:szCs w:val="20"/>
                <w:color w:val="auto"/>
              </w:rPr>
            </w:pPr>
            <w:r>
              <w:rPr>
                <w:rFonts w:ascii="Arial" w:cs="Arial" w:eastAsia="Arial" w:hAnsi="Arial"/>
                <w:sz w:val="20"/>
                <w:szCs w:val="20"/>
                <w:color w:val="auto"/>
              </w:rPr>
              <w:t>-</w:t>
            </w:r>
          </w:p>
        </w:tc>
        <w:tc>
          <w:tcPr>
            <w:tcW w:w="7360" w:type="dxa"/>
            <w:vAlign w:val="bottom"/>
            <w:gridSpan w:val="2"/>
          </w:tcPr>
          <w:p>
            <w:pPr>
              <w:spacing w:after="0" w:line="221" w:lineRule="exact"/>
              <w:rPr>
                <w:sz w:val="20"/>
                <w:szCs w:val="20"/>
                <w:color w:val="auto"/>
              </w:rPr>
            </w:pPr>
            <w:r>
              <w:rPr>
                <w:rFonts w:ascii="Arial" w:cs="Arial" w:eastAsia="Arial" w:hAnsi="Arial"/>
                <w:sz w:val="20"/>
                <w:szCs w:val="20"/>
                <w:color w:val="auto"/>
              </w:rPr>
              <w:t xml:space="preserve">Report results from Phase 2 study for mibavademab (LEPR </w:t>
            </w:r>
            <w:r>
              <w:rPr>
                <w:rFonts w:ascii="Arial" w:cs="Arial" w:eastAsia="Arial" w:hAnsi="Arial"/>
                <w:sz w:val="21"/>
                <w:szCs w:val="21"/>
                <w:color w:val="auto"/>
              </w:rPr>
              <w:t>agonist</w:t>
            </w:r>
            <w:r>
              <w:rPr>
                <w:rFonts w:ascii="Arial" w:cs="Arial" w:eastAsia="Arial" w:hAnsi="Arial"/>
                <w:sz w:val="20"/>
                <w:szCs w:val="20"/>
                <w:color w:val="auto"/>
              </w:rPr>
              <w:t xml:space="preserve"> antibody) in</w:t>
            </w:r>
          </w:p>
        </w:tc>
      </w:tr>
      <w:tr>
        <w:trPr>
          <w:trHeight w:val="261"/>
        </w:trPr>
        <w:tc>
          <w:tcPr>
            <w:tcW w:w="3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360" w:type="dxa"/>
            <w:vAlign w:val="bottom"/>
            <w:gridSpan w:val="2"/>
          </w:tcPr>
          <w:p>
            <w:pPr>
              <w:spacing w:after="0"/>
              <w:rPr>
                <w:sz w:val="20"/>
                <w:szCs w:val="20"/>
                <w:color w:val="auto"/>
              </w:rPr>
            </w:pPr>
            <w:r>
              <w:rPr>
                <w:rFonts w:ascii="Arial" w:cs="Arial" w:eastAsia="Arial" w:hAnsi="Arial"/>
                <w:sz w:val="20"/>
                <w:szCs w:val="20"/>
                <w:color w:val="auto"/>
              </w:rPr>
              <w:t>combination with tirzepatide in obesity (second half 2025)</w:t>
            </w:r>
          </w:p>
        </w:tc>
      </w:tr>
    </w:tbl>
    <w:p>
      <w:pPr>
        <w:ind w:left="3860" w:right="1020" w:hanging="199"/>
        <w:spacing w:after="0" w:line="239" w:lineRule="auto"/>
        <w:tabs>
          <w:tab w:leader="none" w:pos="3840" w:val="left"/>
        </w:tabs>
        <w:rPr>
          <w:sz w:val="20"/>
          <w:szCs w:val="20"/>
          <w:color w:val="auto"/>
        </w:rPr>
      </w:pPr>
      <w:r>
        <w:rPr>
          <w:rFonts w:ascii="Arial" w:cs="Arial" w:eastAsia="Arial" w:hAnsi="Arial"/>
          <w:sz w:val="20"/>
          <w:szCs w:val="20"/>
          <w:color w:val="auto"/>
        </w:rPr>
        <w:t>-</w:t>
        <w:tab/>
        <w:t>Report results from Phase 3 study for garetosmab (Activin A antibody) in fibrodysplasia ossificans progressiva (FOP) (second half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320" w:top="916" w:right="35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u w:val="single" w:color="auto"/>
          <w:color w:val="auto"/>
        </w:rPr>
        <w:t>Fourth Quarter and Full Year 2024 Financial Results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314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180" w:type="dxa"/>
            <w:vAlign w:val="bottom"/>
          </w:tcPr>
          <w:p>
            <w:pPr>
              <w:spacing w:after="0"/>
              <w:rPr>
                <w:sz w:val="23"/>
                <w:szCs w:val="23"/>
                <w:color w:val="auto"/>
              </w:rPr>
            </w:pPr>
          </w:p>
        </w:tc>
        <w:tc>
          <w:tcPr>
            <w:tcW w:w="1080" w:type="dxa"/>
            <w:vAlign w:val="bottom"/>
            <w:gridSpan w:val="2"/>
          </w:tcPr>
          <w:p>
            <w:pPr>
              <w:ind w:left="40"/>
              <w:spacing w:after="0"/>
              <w:rPr>
                <w:sz w:val="20"/>
                <w:szCs w:val="20"/>
                <w:color w:val="auto"/>
              </w:rPr>
            </w:pPr>
            <w:r>
              <w:rPr>
                <w:rFonts w:ascii="Arial" w:cs="Arial" w:eastAsia="Arial" w:hAnsi="Arial"/>
                <w:sz w:val="20"/>
                <w:szCs w:val="20"/>
                <w:b w:val="1"/>
                <w:bCs w:val="1"/>
                <w:color w:val="auto"/>
              </w:rPr>
              <w:t>Q4 2024</w:t>
            </w:r>
          </w:p>
        </w:tc>
        <w:tc>
          <w:tcPr>
            <w:tcW w:w="180" w:type="dxa"/>
            <w:vAlign w:val="bottom"/>
          </w:tcPr>
          <w:p>
            <w:pPr>
              <w:spacing w:after="0"/>
              <w:rPr>
                <w:sz w:val="23"/>
                <w:szCs w:val="23"/>
                <w:color w:val="auto"/>
              </w:rPr>
            </w:pPr>
          </w:p>
        </w:tc>
        <w:tc>
          <w:tcPr>
            <w:tcW w:w="1020" w:type="dxa"/>
            <w:vAlign w:val="bottom"/>
          </w:tcPr>
          <w:p>
            <w:pPr>
              <w:jc w:val="right"/>
              <w:ind w:right="121"/>
              <w:spacing w:after="0"/>
              <w:rPr>
                <w:sz w:val="20"/>
                <w:szCs w:val="20"/>
                <w:color w:val="auto"/>
              </w:rPr>
            </w:pPr>
            <w:r>
              <w:rPr>
                <w:rFonts w:ascii="Arial" w:cs="Arial" w:eastAsia="Arial" w:hAnsi="Arial"/>
                <w:sz w:val="20"/>
                <w:szCs w:val="20"/>
                <w:b w:val="1"/>
                <w:bCs w:val="1"/>
                <w:color w:val="auto"/>
              </w:rPr>
              <w:t>Q4 2023</w:t>
            </w:r>
          </w:p>
        </w:tc>
        <w:tc>
          <w:tcPr>
            <w:tcW w:w="80" w:type="dxa"/>
            <w:vAlign w:val="bottom"/>
          </w:tcPr>
          <w:p>
            <w:pPr>
              <w:spacing w:after="0"/>
              <w:rPr>
                <w:sz w:val="23"/>
                <w:szCs w:val="23"/>
                <w:color w:val="auto"/>
              </w:rPr>
            </w:pPr>
          </w:p>
        </w:tc>
        <w:tc>
          <w:tcPr>
            <w:tcW w:w="1500" w:type="dxa"/>
            <w:vAlign w:val="bottom"/>
            <w:gridSpan w:val="2"/>
          </w:tcPr>
          <w:p>
            <w:pPr>
              <w:ind w:left="240"/>
              <w:spacing w:after="0"/>
              <w:rPr>
                <w:sz w:val="20"/>
                <w:szCs w:val="20"/>
                <w:color w:val="auto"/>
              </w:rPr>
            </w:pPr>
            <w:r>
              <w:rPr>
                <w:rFonts w:ascii="Arial" w:cs="Arial" w:eastAsia="Arial" w:hAnsi="Arial"/>
                <w:sz w:val="20"/>
                <w:szCs w:val="20"/>
                <w:b w:val="1"/>
                <w:bCs w:val="1"/>
                <w:color w:val="auto"/>
              </w:rPr>
              <w:t>% Change</w:t>
            </w:r>
          </w:p>
        </w:tc>
        <w:tc>
          <w:tcPr>
            <w:tcW w:w="180" w:type="dxa"/>
            <w:vAlign w:val="bottom"/>
          </w:tcPr>
          <w:p>
            <w:pPr>
              <w:spacing w:after="0"/>
              <w:rPr>
                <w:sz w:val="23"/>
                <w:szCs w:val="23"/>
                <w:color w:val="auto"/>
              </w:rPr>
            </w:pPr>
          </w:p>
        </w:tc>
        <w:tc>
          <w:tcPr>
            <w:tcW w:w="1180" w:type="dxa"/>
            <w:vAlign w:val="bottom"/>
            <w:gridSpan w:val="2"/>
          </w:tcPr>
          <w:p>
            <w:pPr>
              <w:ind w:left="60"/>
              <w:spacing w:after="0"/>
              <w:rPr>
                <w:sz w:val="20"/>
                <w:szCs w:val="20"/>
                <w:color w:val="auto"/>
              </w:rPr>
            </w:pPr>
            <w:r>
              <w:rPr>
                <w:rFonts w:ascii="Arial" w:cs="Arial" w:eastAsia="Arial" w:hAnsi="Arial"/>
                <w:sz w:val="20"/>
                <w:szCs w:val="20"/>
                <w:b w:val="1"/>
                <w:bCs w:val="1"/>
                <w:color w:val="auto"/>
              </w:rPr>
              <w:t>FY 2024</w:t>
            </w:r>
          </w:p>
        </w:tc>
        <w:tc>
          <w:tcPr>
            <w:tcW w:w="180" w:type="dxa"/>
            <w:vAlign w:val="bottom"/>
          </w:tcPr>
          <w:p>
            <w:pPr>
              <w:spacing w:after="0"/>
              <w:rPr>
                <w:sz w:val="23"/>
                <w:szCs w:val="23"/>
                <w:color w:val="auto"/>
              </w:rPr>
            </w:pPr>
          </w:p>
        </w:tc>
        <w:tc>
          <w:tcPr>
            <w:tcW w:w="1020" w:type="dxa"/>
            <w:vAlign w:val="bottom"/>
          </w:tcPr>
          <w:p>
            <w:pPr>
              <w:jc w:val="right"/>
              <w:ind w:right="121"/>
              <w:spacing w:after="0"/>
              <w:rPr>
                <w:sz w:val="20"/>
                <w:szCs w:val="20"/>
                <w:color w:val="auto"/>
              </w:rPr>
            </w:pPr>
            <w:r>
              <w:rPr>
                <w:rFonts w:ascii="Arial" w:cs="Arial" w:eastAsia="Arial" w:hAnsi="Arial"/>
                <w:sz w:val="20"/>
                <w:szCs w:val="20"/>
                <w:b w:val="1"/>
                <w:bCs w:val="1"/>
                <w:color w:val="auto"/>
              </w:rPr>
              <w:t>FY 2023</w:t>
            </w:r>
          </w:p>
        </w:tc>
        <w:tc>
          <w:tcPr>
            <w:tcW w:w="80" w:type="dxa"/>
            <w:vAlign w:val="bottom"/>
          </w:tcPr>
          <w:p>
            <w:pPr>
              <w:spacing w:after="0"/>
              <w:rPr>
                <w:sz w:val="23"/>
                <w:szCs w:val="23"/>
                <w:color w:val="auto"/>
              </w:rPr>
            </w:pPr>
          </w:p>
        </w:tc>
        <w:tc>
          <w:tcPr>
            <w:tcW w:w="1420" w:type="dxa"/>
            <w:vAlign w:val="bottom"/>
          </w:tcPr>
          <w:p>
            <w:pPr>
              <w:jc w:val="right"/>
              <w:ind w:right="141"/>
              <w:spacing w:after="0"/>
              <w:rPr>
                <w:sz w:val="20"/>
                <w:szCs w:val="20"/>
                <w:color w:val="auto"/>
              </w:rPr>
            </w:pPr>
            <w:r>
              <w:rPr>
                <w:rFonts w:ascii="Arial" w:cs="Arial" w:eastAsia="Arial" w:hAnsi="Arial"/>
                <w:sz w:val="20"/>
                <w:szCs w:val="20"/>
                <w:b w:val="1"/>
                <w:bCs w:val="1"/>
                <w:color w:val="auto"/>
              </w:rPr>
              <w:t>% Change</w:t>
            </w:r>
          </w:p>
        </w:tc>
        <w:tc>
          <w:tcPr>
            <w:tcW w:w="0" w:type="dxa"/>
            <w:vAlign w:val="bottom"/>
          </w:tcPr>
          <w:p>
            <w:pPr>
              <w:spacing w:after="0"/>
              <w:rPr>
                <w:sz w:val="1"/>
                <w:szCs w:val="1"/>
                <w:color w:val="auto"/>
              </w:rPr>
            </w:pPr>
          </w:p>
        </w:tc>
      </w:tr>
      <w:tr>
        <w:trPr>
          <w:trHeight w:val="237"/>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product sales:</w:t>
            </w:r>
          </w:p>
        </w:tc>
        <w:tc>
          <w:tcPr>
            <w:tcW w:w="18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4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4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140" w:type="dxa"/>
            <w:vAlign w:val="bottom"/>
          </w:tcPr>
          <w:p>
            <w:pPr>
              <w:ind w:left="260"/>
              <w:spacing w:after="0"/>
              <w:rPr>
                <w:sz w:val="20"/>
                <w:szCs w:val="20"/>
                <w:color w:val="auto"/>
              </w:rPr>
            </w:pPr>
            <w:r>
              <w:rPr>
                <w:rFonts w:ascii="Arial" w:cs="Arial" w:eastAsia="Arial" w:hAnsi="Arial"/>
                <w:sz w:val="20"/>
                <w:szCs w:val="20"/>
                <w:color w:val="auto"/>
              </w:rPr>
              <w:t>EYLEA HD - U.S.</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305</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123</w:t>
            </w:r>
          </w:p>
        </w:tc>
        <w:tc>
          <w:tcPr>
            <w:tcW w:w="1500" w:type="dxa"/>
            <w:vAlign w:val="bottom"/>
            <w:gridSpan w:val="2"/>
          </w:tcPr>
          <w:p>
            <w:pPr>
              <w:jc w:val="right"/>
              <w:spacing w:after="0"/>
              <w:rPr>
                <w:sz w:val="20"/>
                <w:szCs w:val="20"/>
                <w:color w:val="auto"/>
              </w:rPr>
            </w:pPr>
            <w:r>
              <w:rPr>
                <w:rFonts w:ascii="Arial" w:cs="Arial" w:eastAsia="Arial" w:hAnsi="Arial"/>
                <w:sz w:val="20"/>
                <w:szCs w:val="20"/>
                <w:color w:val="auto"/>
              </w:rPr>
              <w:t>148 %</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1,201</w:t>
            </w:r>
          </w:p>
        </w:tc>
        <w:tc>
          <w:tcPr>
            <w:tcW w:w="1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166</w:t>
            </w:r>
          </w:p>
        </w:tc>
        <w:tc>
          <w:tcPr>
            <w:tcW w:w="150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6"/>
        </w:trPr>
        <w:tc>
          <w:tcPr>
            <w:tcW w:w="31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EYLEA - U.S.</w:t>
            </w:r>
          </w:p>
        </w:tc>
        <w:tc>
          <w:tcPr>
            <w:tcW w:w="1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1,190</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1,338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(11 %)</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4,767</w:t>
            </w:r>
          </w:p>
        </w:tc>
        <w:tc>
          <w:tcPr>
            <w:tcW w:w="1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5,720</w:t>
            </w: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174"/>
        </w:trPr>
        <w:tc>
          <w:tcPr>
            <w:tcW w:w="3140" w:type="dxa"/>
            <w:vAlign w:val="bottom"/>
          </w:tcPr>
          <w:p>
            <w:pPr>
              <w:ind w:left="520"/>
              <w:spacing w:after="0" w:line="174" w:lineRule="exact"/>
              <w:rPr>
                <w:sz w:val="20"/>
                <w:szCs w:val="20"/>
                <w:color w:val="auto"/>
              </w:rPr>
            </w:pPr>
            <w:r>
              <w:rPr>
                <w:rFonts w:ascii="Arial" w:cs="Arial" w:eastAsia="Arial" w:hAnsi="Arial"/>
                <w:sz w:val="20"/>
                <w:szCs w:val="20"/>
                <w:color w:val="auto"/>
              </w:rPr>
              <w:t>Total EYLEA HD and EYLEA</w:t>
            </w: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1,495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1,461</w:t>
            </w:r>
          </w:p>
        </w:tc>
        <w:tc>
          <w:tcPr>
            <w:tcW w:w="1500" w:type="dxa"/>
            <w:vAlign w:val="bottom"/>
            <w:gridSpan w:val="2"/>
            <w:vMerge w:val="restart"/>
          </w:tcPr>
          <w:p>
            <w:pPr>
              <w:jc w:val="right"/>
              <w:spacing w:after="0"/>
              <w:rPr>
                <w:sz w:val="20"/>
                <w:szCs w:val="20"/>
                <w:color w:val="auto"/>
              </w:rPr>
            </w:pPr>
            <w:r>
              <w:rPr>
                <w:rFonts w:ascii="Arial" w:cs="Arial" w:eastAsia="Arial" w:hAnsi="Arial"/>
                <w:sz w:val="20"/>
                <w:szCs w:val="20"/>
                <w:color w:val="auto"/>
              </w:rPr>
              <w:t>2 %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vMerge w:val="restart"/>
          </w:tcPr>
          <w:p>
            <w:pPr>
              <w:jc w:val="right"/>
              <w:ind w:right="1"/>
              <w:spacing w:after="0"/>
              <w:rPr>
                <w:sz w:val="20"/>
                <w:szCs w:val="20"/>
                <w:color w:val="auto"/>
              </w:rPr>
            </w:pPr>
            <w:r>
              <w:rPr>
                <w:rFonts w:ascii="Arial" w:cs="Arial" w:eastAsia="Arial" w:hAnsi="Arial"/>
                <w:sz w:val="20"/>
                <w:szCs w:val="20"/>
                <w:color w:val="auto"/>
              </w:rPr>
              <w:t>5,968</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5,886</w:t>
            </w:r>
          </w:p>
        </w:tc>
        <w:tc>
          <w:tcPr>
            <w:tcW w:w="1500" w:type="dxa"/>
            <w:vAlign w:val="bottom"/>
            <w:gridSpan w:val="2"/>
            <w:vMerge w:val="restart"/>
          </w:tcPr>
          <w:p>
            <w:pPr>
              <w:jc w:val="right"/>
              <w:ind w:right="2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51"/>
        </w:trPr>
        <w:tc>
          <w:tcPr>
            <w:tcW w:w="3140" w:type="dxa"/>
            <w:vAlign w:val="bottom"/>
          </w:tcPr>
          <w:p>
            <w:pPr>
              <w:ind w:left="680"/>
              <w:spacing w:after="0"/>
              <w:rPr>
                <w:sz w:val="20"/>
                <w:szCs w:val="20"/>
                <w:color w:val="auto"/>
              </w:rPr>
            </w:pPr>
            <w:r>
              <w:rPr>
                <w:rFonts w:ascii="Arial" w:cs="Arial" w:eastAsia="Arial" w:hAnsi="Arial"/>
                <w:sz w:val="20"/>
                <w:szCs w:val="20"/>
                <w:color w:val="auto"/>
              </w:rPr>
              <w:t>- U.S.</w:t>
            </w:r>
          </w:p>
        </w:tc>
        <w:tc>
          <w:tcPr>
            <w:tcW w:w="18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150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15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1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Libtayo - Global</w:t>
            </w: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367</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50 %</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1,217</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863</w:t>
            </w: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41%</w:t>
            </w:r>
          </w:p>
        </w:tc>
        <w:tc>
          <w:tcPr>
            <w:tcW w:w="0" w:type="dxa"/>
            <w:vAlign w:val="bottom"/>
          </w:tcPr>
          <w:p>
            <w:pPr>
              <w:spacing w:after="0"/>
              <w:rPr>
                <w:sz w:val="1"/>
                <w:szCs w:val="1"/>
                <w:color w:val="auto"/>
              </w:rPr>
            </w:pPr>
          </w:p>
        </w:tc>
      </w:tr>
      <w:tr>
        <w:trPr>
          <w:trHeight w:val="256"/>
        </w:trPr>
        <w:tc>
          <w:tcPr>
            <w:tcW w:w="3140" w:type="dxa"/>
            <w:vAlign w:val="bottom"/>
          </w:tcPr>
          <w:p>
            <w:pPr>
              <w:ind w:left="260"/>
              <w:spacing w:after="0" w:line="257" w:lineRule="exact"/>
              <w:rPr>
                <w:sz w:val="20"/>
                <w:szCs w:val="20"/>
                <w:color w:val="auto"/>
              </w:rPr>
            </w:pPr>
            <w:r>
              <w:rPr>
                <w:rFonts w:ascii="Arial" w:cs="Arial" w:eastAsia="Arial" w:hAnsi="Arial"/>
                <w:sz w:val="20"/>
                <w:szCs w:val="20"/>
                <w:color w:val="auto"/>
              </w:rPr>
              <w:t>Praluent</w:t>
            </w:r>
            <w:r>
              <w:rPr>
                <w:rFonts w:ascii="Arial" w:cs="Arial" w:eastAsia="Arial" w:hAnsi="Arial"/>
                <w:sz w:val="25"/>
                <w:szCs w:val="25"/>
                <w:color w:val="auto"/>
                <w:vertAlign w:val="superscript"/>
              </w:rPr>
              <w:t>®</w:t>
            </w:r>
            <w:r>
              <w:rPr>
                <w:rFonts w:ascii="Arial" w:cs="Arial" w:eastAsia="Arial" w:hAnsi="Arial"/>
                <w:sz w:val="20"/>
                <w:szCs w:val="20"/>
                <w:color w:val="auto"/>
              </w:rPr>
              <w:t xml:space="preserve"> - U.S.</w:t>
            </w:r>
          </w:p>
        </w:tc>
        <w:tc>
          <w:tcPr>
            <w:tcW w:w="1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61</w:t>
            </w:r>
          </w:p>
        </w:tc>
        <w:tc>
          <w:tcPr>
            <w:tcW w:w="1500" w:type="dxa"/>
            <w:vAlign w:val="bottom"/>
            <w:gridSpan w:val="2"/>
          </w:tcPr>
          <w:p>
            <w:pPr>
              <w:jc w:val="right"/>
              <w:spacing w:after="0"/>
              <w:rPr>
                <w:sz w:val="20"/>
                <w:szCs w:val="20"/>
                <w:color w:val="auto"/>
              </w:rPr>
            </w:pPr>
            <w:r>
              <w:rPr>
                <w:rFonts w:ascii="Arial" w:cs="Arial" w:eastAsia="Arial" w:hAnsi="Arial"/>
                <w:sz w:val="20"/>
                <w:szCs w:val="20"/>
                <w:color w:val="auto"/>
              </w:rPr>
              <w:t>3 %</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242</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182</w:t>
            </w:r>
          </w:p>
        </w:tc>
        <w:tc>
          <w:tcPr>
            <w:tcW w:w="1500" w:type="dxa"/>
            <w:vAlign w:val="bottom"/>
            <w:gridSpan w:val="2"/>
          </w:tcPr>
          <w:p>
            <w:pPr>
              <w:jc w:val="right"/>
              <w:ind w:right="21"/>
              <w:spacing w:after="0"/>
              <w:rPr>
                <w:sz w:val="20"/>
                <w:szCs w:val="20"/>
                <w:color w:val="auto"/>
              </w:rPr>
            </w:pPr>
            <w:r>
              <w:rPr>
                <w:rFonts w:ascii="Arial" w:cs="Arial" w:eastAsia="Arial" w:hAnsi="Arial"/>
                <w:sz w:val="20"/>
                <w:szCs w:val="20"/>
                <w:color w:val="auto"/>
              </w:rPr>
              <w:t>33%</w:t>
            </w:r>
          </w:p>
        </w:tc>
        <w:tc>
          <w:tcPr>
            <w:tcW w:w="0" w:type="dxa"/>
            <w:vAlign w:val="bottom"/>
          </w:tcPr>
          <w:p>
            <w:pPr>
              <w:spacing w:after="0"/>
              <w:rPr>
                <w:sz w:val="1"/>
                <w:szCs w:val="1"/>
                <w:color w:val="auto"/>
              </w:rPr>
            </w:pPr>
          </w:p>
        </w:tc>
      </w:tr>
      <w:tr>
        <w:trPr>
          <w:trHeight w:val="257"/>
        </w:trPr>
        <w:tc>
          <w:tcPr>
            <w:tcW w:w="3140" w:type="dxa"/>
            <w:vAlign w:val="bottom"/>
            <w:shd w:val="clear" w:color="auto" w:fill="CCEEFF"/>
          </w:tcPr>
          <w:p>
            <w:pPr>
              <w:ind w:left="260"/>
              <w:spacing w:after="0" w:line="257" w:lineRule="exact"/>
              <w:rPr>
                <w:sz w:val="20"/>
                <w:szCs w:val="20"/>
                <w:color w:val="auto"/>
              </w:rPr>
            </w:pPr>
            <w:r>
              <w:rPr>
                <w:rFonts w:ascii="Arial" w:cs="Arial" w:eastAsia="Arial" w:hAnsi="Arial"/>
                <w:sz w:val="20"/>
                <w:szCs w:val="20"/>
                <w:color w:val="auto"/>
              </w:rPr>
              <w:t>Evkeeza</w:t>
            </w:r>
            <w:r>
              <w:rPr>
                <w:rFonts w:ascii="Arial" w:cs="Arial" w:eastAsia="Arial" w:hAnsi="Arial"/>
                <w:sz w:val="25"/>
                <w:szCs w:val="25"/>
                <w:color w:val="auto"/>
                <w:vertAlign w:val="superscript"/>
              </w:rPr>
              <w:t>®</w:t>
            </w:r>
            <w:r>
              <w:rPr>
                <w:rFonts w:ascii="Arial" w:cs="Arial" w:eastAsia="Arial" w:hAnsi="Arial"/>
                <w:sz w:val="20"/>
                <w:szCs w:val="20"/>
                <w:color w:val="auto"/>
              </w:rPr>
              <w:t xml:space="preserve"> - U.S.</w:t>
            </w: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58 %</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126</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77</w:t>
            </w: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64%</w:t>
            </w:r>
          </w:p>
        </w:tc>
        <w:tc>
          <w:tcPr>
            <w:tcW w:w="0" w:type="dxa"/>
            <w:vAlign w:val="bottom"/>
          </w:tcPr>
          <w:p>
            <w:pPr>
              <w:spacing w:after="0"/>
              <w:rPr>
                <w:sz w:val="1"/>
                <w:szCs w:val="1"/>
                <w:color w:val="auto"/>
              </w:rPr>
            </w:pPr>
          </w:p>
        </w:tc>
      </w:tr>
      <w:tr>
        <w:trPr>
          <w:trHeight w:val="257"/>
        </w:trPr>
        <w:tc>
          <w:tcPr>
            <w:tcW w:w="3140" w:type="dxa"/>
            <w:vAlign w:val="bottom"/>
            <w:tcBorders>
              <w:bottom w:val="single" w:sz="8" w:color="CCEEFF"/>
            </w:tcBorders>
          </w:tcPr>
          <w:p>
            <w:pPr>
              <w:ind w:left="260"/>
              <w:spacing w:after="0" w:line="257" w:lineRule="exact"/>
              <w:rPr>
                <w:sz w:val="20"/>
                <w:szCs w:val="20"/>
                <w:color w:val="auto"/>
              </w:rPr>
            </w:pPr>
            <w:r>
              <w:rPr>
                <w:rFonts w:ascii="Arial" w:cs="Arial" w:eastAsia="Arial" w:hAnsi="Arial"/>
                <w:sz w:val="20"/>
                <w:szCs w:val="20"/>
                <w:color w:val="auto"/>
              </w:rPr>
              <w:t>Inmazeb</w:t>
            </w:r>
            <w:r>
              <w:rPr>
                <w:rFonts w:ascii="Arial" w:cs="Arial" w:eastAsia="Arial" w:hAnsi="Arial"/>
                <w:sz w:val="25"/>
                <w:szCs w:val="25"/>
                <w:color w:val="auto"/>
                <w:vertAlign w:val="superscript"/>
              </w:rPr>
              <w:t>®</w:t>
            </w:r>
            <w:r>
              <w:rPr>
                <w:rFonts w:ascii="Arial" w:cs="Arial" w:eastAsia="Arial" w:hAnsi="Arial"/>
                <w:sz w:val="20"/>
                <w:szCs w:val="20"/>
                <w:color w:val="auto"/>
              </w:rPr>
              <w:t xml:space="preserve"> - U.S.</w:t>
            </w: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(35 %)</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76</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w:t>
            </w:r>
          </w:p>
        </w:tc>
        <w:tc>
          <w:tcPr>
            <w:tcW w:w="1500" w:type="dxa"/>
            <w:vAlign w:val="bottom"/>
            <w:tcBorders>
              <w:bottom w:val="single" w:sz="8" w:color="CCEEFF"/>
            </w:tcBorders>
            <w:gridSpan w:val="2"/>
          </w:tcPr>
          <w:p>
            <w:pPr>
              <w:jc w:val="right"/>
              <w:ind w:right="21"/>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250"/>
        </w:trPr>
        <w:tc>
          <w:tcPr>
            <w:tcW w:w="3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net product sales</w:t>
            </w: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2,003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1,852</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8 %</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7,629</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7,078</w:t>
            </w: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94"/>
        </w:trPr>
        <w:tc>
          <w:tcPr>
            <w:tcW w:w="3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3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Collaboration revenue:</w:t>
            </w: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40" w:type="dxa"/>
            <w:vAlign w:val="bottom"/>
          </w:tcPr>
          <w:p>
            <w:pPr>
              <w:ind w:left="260"/>
              <w:spacing w:after="0"/>
              <w:rPr>
                <w:sz w:val="20"/>
                <w:szCs w:val="20"/>
                <w:color w:val="auto"/>
              </w:rPr>
            </w:pPr>
            <w:r>
              <w:rPr>
                <w:rFonts w:ascii="Arial" w:cs="Arial" w:eastAsia="Arial" w:hAnsi="Arial"/>
                <w:sz w:val="20"/>
                <w:szCs w:val="20"/>
                <w:color w:val="auto"/>
              </w:rPr>
              <w:t>Sanofi</w:t>
            </w:r>
          </w:p>
        </w:tc>
        <w:tc>
          <w:tcPr>
            <w:tcW w:w="1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1,213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993</w:t>
            </w:r>
          </w:p>
        </w:tc>
        <w:tc>
          <w:tcPr>
            <w:tcW w:w="1500" w:type="dxa"/>
            <w:vAlign w:val="bottom"/>
            <w:gridSpan w:val="2"/>
          </w:tcPr>
          <w:p>
            <w:pPr>
              <w:jc w:val="right"/>
              <w:spacing w:after="0"/>
              <w:rPr>
                <w:sz w:val="20"/>
                <w:szCs w:val="20"/>
                <w:color w:val="auto"/>
              </w:rPr>
            </w:pPr>
            <w:r>
              <w:rPr>
                <w:rFonts w:ascii="Arial" w:cs="Arial" w:eastAsia="Arial" w:hAnsi="Arial"/>
                <w:sz w:val="20"/>
                <w:szCs w:val="20"/>
                <w:color w:val="auto"/>
              </w:rPr>
              <w:t>22 %</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4,531</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3,800</w:t>
            </w:r>
          </w:p>
        </w:tc>
        <w:tc>
          <w:tcPr>
            <w:tcW w:w="1500" w:type="dxa"/>
            <w:vAlign w:val="bottom"/>
            <w:gridSpan w:val="2"/>
          </w:tcPr>
          <w:p>
            <w:pPr>
              <w:jc w:val="right"/>
              <w:ind w:right="1"/>
              <w:spacing w:after="0"/>
              <w:rPr>
                <w:sz w:val="20"/>
                <w:szCs w:val="20"/>
                <w:color w:val="auto"/>
              </w:rPr>
            </w:pPr>
            <w:r>
              <w:rPr>
                <w:rFonts w:ascii="Arial" w:cs="Arial" w:eastAsia="Arial" w:hAnsi="Arial"/>
                <w:sz w:val="20"/>
                <w:szCs w:val="20"/>
                <w:color w:val="auto"/>
              </w:rPr>
              <w:t>19 %</w:t>
            </w:r>
          </w:p>
        </w:tc>
        <w:tc>
          <w:tcPr>
            <w:tcW w:w="0" w:type="dxa"/>
            <w:vAlign w:val="bottom"/>
          </w:tcPr>
          <w:p>
            <w:pPr>
              <w:spacing w:after="0"/>
              <w:rPr>
                <w:sz w:val="1"/>
                <w:szCs w:val="1"/>
                <w:color w:val="auto"/>
              </w:rPr>
            </w:pPr>
          </w:p>
        </w:tc>
      </w:tr>
      <w:tr>
        <w:trPr>
          <w:trHeight w:val="257"/>
        </w:trPr>
        <w:tc>
          <w:tcPr>
            <w:tcW w:w="31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Bayer</w:t>
            </w: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377</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377</w:t>
            </w:r>
          </w:p>
        </w:tc>
        <w:tc>
          <w:tcPr>
            <w:tcW w:w="8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ind w:left="900"/>
              <w:spacing w:after="0"/>
              <w:rPr>
                <w:sz w:val="20"/>
                <w:szCs w:val="20"/>
                <w:color w:val="auto"/>
              </w:rPr>
            </w:pPr>
            <w:r>
              <w:rPr>
                <w:rFonts w:ascii="Arial" w:cs="Arial" w:eastAsia="Arial" w:hAnsi="Arial"/>
                <w:sz w:val="20"/>
                <w:szCs w:val="20"/>
                <w:color w:val="auto"/>
              </w:rPr>
              <w:t>— %</w:t>
            </w: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1,499</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1,487</w:t>
            </w:r>
          </w:p>
        </w:tc>
        <w:tc>
          <w:tcPr>
            <w:tcW w:w="1500" w:type="dxa"/>
            <w:vAlign w:val="bottom"/>
            <w:gridSpan w:val="2"/>
            <w:shd w:val="clear" w:color="auto" w:fill="CCEEFF"/>
          </w:tcPr>
          <w:p>
            <w:pPr>
              <w:jc w:val="right"/>
              <w:ind w:right="1"/>
              <w:spacing w:after="0"/>
              <w:rPr>
                <w:sz w:val="20"/>
                <w:szCs w:val="20"/>
                <w:color w:val="auto"/>
              </w:rPr>
            </w:pPr>
            <w:r>
              <w:rPr>
                <w:rFonts w:ascii="Arial" w:cs="Arial" w:eastAsia="Arial" w:hAnsi="Arial"/>
                <w:sz w:val="20"/>
                <w:szCs w:val="20"/>
                <w:color w:val="auto"/>
              </w:rPr>
              <w:t>1 %</w:t>
            </w:r>
          </w:p>
        </w:tc>
        <w:tc>
          <w:tcPr>
            <w:tcW w:w="0" w:type="dxa"/>
            <w:vAlign w:val="bottom"/>
          </w:tcPr>
          <w:p>
            <w:pPr>
              <w:spacing w:after="0"/>
              <w:rPr>
                <w:sz w:val="1"/>
                <w:szCs w:val="1"/>
                <w:color w:val="auto"/>
              </w:rPr>
            </w:pPr>
          </w:p>
        </w:tc>
      </w:tr>
      <w:tr>
        <w:trPr>
          <w:trHeight w:val="256"/>
        </w:trPr>
        <w:tc>
          <w:tcPr>
            <w:tcW w:w="3140" w:type="dxa"/>
            <w:vAlign w:val="bottom"/>
          </w:tcPr>
          <w:p>
            <w:pPr>
              <w:ind w:left="260"/>
              <w:spacing w:after="0"/>
              <w:rPr>
                <w:sz w:val="20"/>
                <w:szCs w:val="20"/>
                <w:color w:val="auto"/>
              </w:rPr>
            </w:pPr>
            <w:r>
              <w:rPr>
                <w:rFonts w:ascii="Arial" w:cs="Arial" w:eastAsia="Arial" w:hAnsi="Arial"/>
                <w:sz w:val="20"/>
                <w:szCs w:val="20"/>
                <w:color w:val="auto"/>
              </w:rPr>
              <w:t>Other</w:t>
            </w:r>
          </w:p>
        </w:tc>
        <w:tc>
          <w:tcPr>
            <w:tcW w:w="1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150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28</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216</w:t>
            </w:r>
          </w:p>
        </w:tc>
        <w:tc>
          <w:tcPr>
            <w:tcW w:w="1500" w:type="dxa"/>
            <w:vAlign w:val="bottom"/>
            <w:gridSpan w:val="2"/>
          </w:tcPr>
          <w:p>
            <w:pPr>
              <w:jc w:val="right"/>
              <w:spacing w:after="0"/>
              <w:rPr>
                <w:sz w:val="20"/>
                <w:szCs w:val="20"/>
                <w:color w:val="auto"/>
              </w:rPr>
            </w:pPr>
            <w:r>
              <w:rPr>
                <w:rFonts w:ascii="Arial" w:cs="Arial" w:eastAsia="Arial" w:hAnsi="Arial"/>
                <w:sz w:val="20"/>
                <w:szCs w:val="20"/>
                <w:color w:val="auto"/>
              </w:rPr>
              <w:t>(87 %)</w:t>
            </w:r>
          </w:p>
        </w:tc>
        <w:tc>
          <w:tcPr>
            <w:tcW w:w="0" w:type="dxa"/>
            <w:vAlign w:val="bottom"/>
          </w:tcPr>
          <w:p>
            <w:pPr>
              <w:spacing w:after="0"/>
              <w:rPr>
                <w:sz w:val="1"/>
                <w:szCs w:val="1"/>
                <w:color w:val="auto"/>
              </w:rPr>
            </w:pPr>
          </w:p>
        </w:tc>
      </w:tr>
      <w:tr>
        <w:trPr>
          <w:trHeight w:val="257"/>
        </w:trPr>
        <w:tc>
          <w:tcPr>
            <w:tcW w:w="3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revenue</w:t>
            </w:r>
          </w:p>
        </w:tc>
        <w:tc>
          <w:tcPr>
            <w:tcW w:w="1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179</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212</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(16 %)</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515</w:t>
            </w:r>
          </w:p>
        </w:tc>
        <w:tc>
          <w:tcPr>
            <w:tcW w:w="1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536</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(4 %)</w:t>
            </w:r>
          </w:p>
        </w:tc>
        <w:tc>
          <w:tcPr>
            <w:tcW w:w="0" w:type="dxa"/>
            <w:vAlign w:val="bottom"/>
          </w:tcPr>
          <w:p>
            <w:pPr>
              <w:spacing w:after="0"/>
              <w:rPr>
                <w:sz w:val="1"/>
                <w:szCs w:val="1"/>
                <w:color w:val="auto"/>
              </w:rPr>
            </w:pPr>
          </w:p>
        </w:tc>
      </w:tr>
      <w:tr>
        <w:trPr>
          <w:trHeight w:val="250"/>
        </w:trPr>
        <w:tc>
          <w:tcPr>
            <w:tcW w:w="3140" w:type="dxa"/>
            <w:vAlign w:val="bottom"/>
          </w:tcPr>
          <w:p>
            <w:pPr>
              <w:ind w:left="20"/>
              <w:spacing w:after="0"/>
              <w:rPr>
                <w:sz w:val="20"/>
                <w:szCs w:val="20"/>
                <w:color w:val="auto"/>
              </w:rPr>
            </w:pPr>
            <w:r>
              <w:rPr>
                <w:rFonts w:ascii="Arial" w:cs="Arial" w:eastAsia="Arial" w:hAnsi="Arial"/>
                <w:sz w:val="20"/>
                <w:szCs w:val="20"/>
                <w:color w:val="auto"/>
              </w:rPr>
              <w:t>Total revenues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3,789</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3,434</w:t>
            </w:r>
          </w:p>
        </w:tc>
        <w:tc>
          <w:tcPr>
            <w:tcW w:w="1500" w:type="dxa"/>
            <w:vAlign w:val="bottom"/>
            <w:gridSpan w:val="2"/>
          </w:tcPr>
          <w:p>
            <w:pPr>
              <w:jc w:val="right"/>
              <w:spacing w:after="0"/>
              <w:rPr>
                <w:sz w:val="20"/>
                <w:szCs w:val="20"/>
                <w:color w:val="auto"/>
              </w:rPr>
            </w:pPr>
            <w:r>
              <w:rPr>
                <w:rFonts w:ascii="Arial" w:cs="Arial" w:eastAsia="Arial" w:hAnsi="Arial"/>
                <w:sz w:val="20"/>
                <w:szCs w:val="20"/>
                <w:color w:val="auto"/>
              </w:rPr>
              <w:t>10 %</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14,202</w:t>
            </w:r>
          </w:p>
        </w:tc>
        <w:tc>
          <w:tcPr>
            <w:tcW w:w="14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13,117</w:t>
            </w:r>
          </w:p>
        </w:tc>
        <w:tc>
          <w:tcPr>
            <w:tcW w:w="1500" w:type="dxa"/>
            <w:vAlign w:val="bottom"/>
            <w:gridSpan w:val="2"/>
          </w:tcPr>
          <w:p>
            <w:pPr>
              <w:jc w:val="right"/>
              <w:ind w:right="1"/>
              <w:spacing w:after="0"/>
              <w:rPr>
                <w:sz w:val="20"/>
                <w:szCs w:val="20"/>
                <w:color w:val="auto"/>
              </w:rPr>
            </w:pPr>
            <w:r>
              <w:rPr>
                <w:rFonts w:ascii="Arial" w:cs="Arial" w:eastAsia="Arial" w:hAnsi="Arial"/>
                <w:sz w:val="20"/>
                <w:szCs w:val="20"/>
                <w:color w:val="auto"/>
              </w:rPr>
              <w:t>8 %</w:t>
            </w:r>
          </w:p>
        </w:tc>
        <w:tc>
          <w:tcPr>
            <w:tcW w:w="0" w:type="dxa"/>
            <w:vAlign w:val="bottom"/>
          </w:tcPr>
          <w:p>
            <w:pPr>
              <w:spacing w:after="0"/>
              <w:rPr>
                <w:sz w:val="1"/>
                <w:szCs w:val="1"/>
                <w:color w:val="auto"/>
              </w:rPr>
            </w:pPr>
          </w:p>
        </w:tc>
      </w:tr>
      <w:tr>
        <w:trPr>
          <w:trHeight w:val="21"/>
        </w:trPr>
        <w:tc>
          <w:tcPr>
            <w:tcW w:w="3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140" w:type="dxa"/>
            <w:vAlign w:val="bottom"/>
            <w:shd w:val="clear" w:color="auto" w:fill="CCEEFF"/>
          </w:tcPr>
          <w:p>
            <w:pPr>
              <w:ind w:left="20"/>
              <w:spacing w:after="0" w:line="194" w:lineRule="exact"/>
              <w:rPr>
                <w:sz w:val="20"/>
                <w:szCs w:val="20"/>
                <w:color w:val="auto"/>
              </w:rPr>
            </w:pPr>
            <w:r>
              <w:rPr>
                <w:rFonts w:ascii="Arial" w:cs="Arial" w:eastAsia="Arial" w:hAnsi="Arial"/>
                <w:sz w:val="20"/>
                <w:szCs w:val="20"/>
                <w:color w:val="auto"/>
              </w:rPr>
              <w:t>Total revenues excluding</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3,789</w:t>
            </w:r>
          </w:p>
        </w:tc>
        <w:tc>
          <w:tcPr>
            <w:tcW w:w="8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3,436</w:t>
            </w:r>
          </w:p>
        </w:tc>
        <w:tc>
          <w:tcPr>
            <w:tcW w:w="150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10 %</w:t>
            </w:r>
          </w:p>
        </w:tc>
        <w:tc>
          <w:tcPr>
            <w:tcW w:w="8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4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14,201</w:t>
            </w:r>
          </w:p>
        </w:tc>
        <w:tc>
          <w:tcPr>
            <w:tcW w:w="14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12,906</w:t>
            </w:r>
          </w:p>
        </w:tc>
        <w:tc>
          <w:tcPr>
            <w:tcW w:w="1500" w:type="dxa"/>
            <w:vAlign w:val="bottom"/>
            <w:gridSpan w:val="2"/>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10 %</w:t>
            </w:r>
          </w:p>
        </w:tc>
        <w:tc>
          <w:tcPr>
            <w:tcW w:w="0" w:type="dxa"/>
            <w:vAlign w:val="bottom"/>
          </w:tcPr>
          <w:p>
            <w:pPr>
              <w:spacing w:after="0"/>
              <w:rPr>
                <w:sz w:val="1"/>
                <w:szCs w:val="1"/>
                <w:color w:val="auto"/>
              </w:rPr>
            </w:pPr>
          </w:p>
        </w:tc>
      </w:tr>
      <w:tr>
        <w:trPr>
          <w:trHeight w:val="244"/>
        </w:trPr>
        <w:tc>
          <w:tcPr>
            <w:tcW w:w="3140" w:type="dxa"/>
            <w:vAlign w:val="bottom"/>
            <w:tcBorders>
              <w:bottom w:val="single" w:sz="8" w:color="CCEEFF"/>
            </w:tcBorders>
            <w:shd w:val="clear" w:color="auto" w:fill="CCEEFF"/>
          </w:tcPr>
          <w:p>
            <w:pPr>
              <w:ind w:left="180"/>
              <w:spacing w:after="0" w:line="224" w:lineRule="exact"/>
              <w:rPr>
                <w:sz w:val="20"/>
                <w:szCs w:val="20"/>
                <w:color w:val="auto"/>
              </w:rPr>
            </w:pPr>
            <w:r>
              <w:rPr>
                <w:rFonts w:ascii="Arial" w:cs="Arial" w:eastAsia="Arial" w:hAnsi="Arial"/>
                <w:sz w:val="20"/>
                <w:szCs w:val="20"/>
                <w:color w:val="auto"/>
              </w:rPr>
              <w:t>Ronapreve</w:t>
            </w:r>
            <w:r>
              <w:rPr>
                <w:rFonts w:ascii="Arial" w:cs="Arial" w:eastAsia="Arial" w:hAnsi="Arial"/>
                <w:sz w:val="25"/>
                <w:szCs w:val="25"/>
                <w:color w:val="auto"/>
                <w:vertAlign w:val="superscript"/>
              </w:rPr>
              <w:t>(a)</w:t>
            </w: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100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1020" w:type="dxa"/>
            <w:vAlign w:val="bottom"/>
            <w:tcBorders>
              <w:bottom w:val="single" w:sz="8" w:color="auto"/>
            </w:tcBorders>
            <w:vMerge w:val="continue"/>
            <w:shd w:val="clear" w:color="auto" w:fill="CCEEFF"/>
          </w:tcPr>
          <w:p>
            <w:pPr>
              <w:spacing w:after="0"/>
              <w:rPr>
                <w:sz w:val="21"/>
                <w:szCs w:val="21"/>
                <w:color w:val="auto"/>
              </w:rPr>
            </w:pPr>
          </w:p>
        </w:tc>
        <w:tc>
          <w:tcPr>
            <w:tcW w:w="1500" w:type="dxa"/>
            <w:vAlign w:val="bottom"/>
            <w:tcBorders>
              <w:bottom w:val="single" w:sz="8" w:color="CCEEFF"/>
            </w:tcBorders>
            <w:gridSpan w:val="2"/>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104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1020" w:type="dxa"/>
            <w:vAlign w:val="bottom"/>
            <w:tcBorders>
              <w:bottom w:val="single" w:sz="8" w:color="auto"/>
            </w:tcBorders>
            <w:vMerge w:val="continue"/>
            <w:shd w:val="clear" w:color="auto" w:fill="CCEEFF"/>
          </w:tcPr>
          <w:p>
            <w:pPr>
              <w:spacing w:after="0"/>
              <w:rPr>
                <w:sz w:val="21"/>
                <w:szCs w:val="21"/>
                <w:color w:val="auto"/>
              </w:rPr>
            </w:pPr>
          </w:p>
        </w:tc>
        <w:tc>
          <w:tcPr>
            <w:tcW w:w="1500" w:type="dxa"/>
            <w:vAlign w:val="bottom"/>
            <w:tcBorders>
              <w:bottom w:val="single" w:sz="8" w:color="CCEEFF"/>
            </w:tcBorders>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360" w:hanging="118"/>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6"/>
          <w:szCs w:val="16"/>
          <w:color w:val="auto"/>
        </w:rPr>
        <w:t>Percentage not meaningful</w:t>
      </w:r>
    </w:p>
    <w:p>
      <w:pPr>
        <w:spacing w:after="0" w:line="280"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EYLEA HD was approved by the FDA in August 2023 and net product sales in 2024 were driven by the transition of patients from other anti-VEGF products, including EYLEA, as well as new patients naïve to anti-VEGF therapy. Net product sales of EYLEA HD and EYLEA in the fourth quarter and full year 2024 were adversely impacted by a lower net selling price compared to the same periods of 2023. In addition, fourth quarter 2024 total EYLEA HD and EYLEA net product sales were favorably impacted by approximately $85 million as a result of higher wholesaler inventory levels for EYLEA, partially offset by lower wholesaler inventory levels for EYLEA HD, at the end of the fourth quarter 2024 compared to the end of the third quarter 2024.</w:t>
      </w:r>
    </w:p>
    <w:p>
      <w:pPr>
        <w:spacing w:after="0" w:line="113" w:lineRule="exact"/>
        <w:rPr>
          <w:sz w:val="20"/>
          <w:szCs w:val="20"/>
          <w:color w:val="auto"/>
        </w:rPr>
      </w:pPr>
    </w:p>
    <w:p>
      <w:pPr>
        <w:ind w:right="380"/>
        <w:spacing w:after="0" w:line="265" w:lineRule="auto"/>
        <w:rPr>
          <w:sz w:val="20"/>
          <w:szCs w:val="20"/>
          <w:color w:val="auto"/>
        </w:rPr>
      </w:pPr>
      <w:r>
        <w:rPr>
          <w:rFonts w:ascii="Arial" w:cs="Arial" w:eastAsia="Arial" w:hAnsi="Arial"/>
          <w:sz w:val="21"/>
          <w:szCs w:val="21"/>
          <w:color w:val="auto"/>
        </w:rPr>
        <w:t>Sanofi collaboration revenue increased in the fourth quarter and full year 2024, compared to the same periods of 2023, due to an increase in the Company's share of profits from the commercialization of antibodies, which were $1.043 billion and $886 million in the fourth quarter of 2024 and 2023, respectively, and $3.924 billion and $3.137 billion for full year 2024 and 2023, respectively. The change in the Company's share of profits from commercialization of antibodies was driven by higher profits associated with an increase in Dupixent sales. Sanofi collaboration revenue in 2023 was positively impacted by the recognition of a $50 million sales-based milestone.</w:t>
      </w:r>
    </w:p>
    <w:p>
      <w:pPr>
        <w:spacing w:after="0" w:line="88" w:lineRule="exact"/>
        <w:rPr>
          <w:sz w:val="20"/>
          <w:szCs w:val="20"/>
          <w:color w:val="auto"/>
        </w:rPr>
      </w:pPr>
    </w:p>
    <w:p>
      <w:pPr>
        <w:ind w:right="40"/>
        <w:spacing w:after="0" w:line="285" w:lineRule="auto"/>
        <w:rPr>
          <w:sz w:val="20"/>
          <w:szCs w:val="20"/>
          <w:color w:val="auto"/>
        </w:rPr>
      </w:pPr>
      <w:r>
        <w:rPr>
          <w:rFonts w:ascii="Arial" w:cs="Arial" w:eastAsia="Arial" w:hAnsi="Arial"/>
          <w:sz w:val="22"/>
          <w:szCs w:val="22"/>
          <w:color w:val="auto"/>
        </w:rPr>
        <w:t>Collaboration revenue for full year 2023 included $224 million in connection with the Company's share of global gross profits from sales of Ronapreve by Roche.</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color w:val="auto"/>
        </w:rPr>
        <w:t>Refer to Table 4 for a summary of collaboration revenue.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043"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i w:val="1"/>
          <w:iCs w:val="1"/>
          <w:color w:val="auto"/>
        </w:rPr>
        <w:t>Operating Expenses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39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761"/>
              <w:spacing w:after="0"/>
              <w:rPr>
                <w:sz w:val="20"/>
                <w:szCs w:val="20"/>
                <w:color w:val="auto"/>
              </w:rPr>
            </w:pPr>
            <w:r>
              <w:rPr>
                <w:rFonts w:ascii="Arial" w:cs="Arial" w:eastAsia="Arial" w:hAnsi="Arial"/>
                <w:sz w:val="20"/>
                <w:szCs w:val="20"/>
                <w:b w:val="1"/>
                <w:bCs w:val="1"/>
                <w:color w:val="auto"/>
              </w:rPr>
              <w:t>GAAP</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441"/>
              <w:spacing w:after="0"/>
              <w:rPr>
                <w:sz w:val="20"/>
                <w:szCs w:val="20"/>
                <w:color w:val="auto"/>
              </w:rPr>
            </w:pPr>
            <w:r>
              <w:rPr>
                <w:rFonts w:ascii="Arial" w:cs="Arial" w:eastAsia="Arial" w:hAnsi="Arial"/>
                <w:sz w:val="20"/>
                <w:szCs w:val="20"/>
                <w:b w:val="1"/>
                <w:bCs w:val="1"/>
                <w:color w:val="auto"/>
              </w:rPr>
              <w:t>Non-GAAP</w:t>
            </w:r>
            <w:r>
              <w:rPr>
                <w:rFonts w:ascii="Arial" w:cs="Arial" w:eastAsia="Arial" w:hAnsi="Arial"/>
                <w:sz w:val="25"/>
                <w:szCs w:val="25"/>
                <w:b w:val="1"/>
                <w:bCs w:val="1"/>
                <w:color w:val="auto"/>
                <w:vertAlign w:val="superscript"/>
              </w:rPr>
              <w:t>(a)</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160" w:type="dxa"/>
            <w:vAlign w:val="bottom"/>
          </w:tcPr>
          <w:p>
            <w:pPr>
              <w:spacing w:after="0"/>
              <w:rPr>
                <w:sz w:val="21"/>
                <w:szCs w:val="21"/>
                <w:color w:val="auto"/>
              </w:rPr>
            </w:pPr>
          </w:p>
        </w:tc>
        <w:tc>
          <w:tcPr>
            <w:tcW w:w="1040" w:type="dxa"/>
            <w:vAlign w:val="bottom"/>
            <w:gridSpan w:val="2"/>
          </w:tcPr>
          <w:p>
            <w:pPr>
              <w:ind w:left="20"/>
              <w:spacing w:after="0"/>
              <w:rPr>
                <w:sz w:val="20"/>
                <w:szCs w:val="20"/>
                <w:color w:val="auto"/>
              </w:rPr>
            </w:pPr>
            <w:r>
              <w:rPr>
                <w:rFonts w:ascii="Arial" w:cs="Arial" w:eastAsia="Arial" w:hAnsi="Arial"/>
                <w:sz w:val="20"/>
                <w:szCs w:val="20"/>
                <w:b w:val="1"/>
                <w:bCs w:val="1"/>
                <w:color w:val="auto"/>
              </w:rPr>
              <w:t>Q4 2024</w:t>
            </w:r>
          </w:p>
        </w:tc>
        <w:tc>
          <w:tcPr>
            <w:tcW w:w="140" w:type="dxa"/>
            <w:vAlign w:val="bottom"/>
          </w:tcPr>
          <w:p>
            <w:pPr>
              <w:spacing w:after="0"/>
              <w:rPr>
                <w:sz w:val="21"/>
                <w:szCs w:val="21"/>
                <w:color w:val="auto"/>
              </w:rPr>
            </w:pPr>
          </w:p>
        </w:tc>
        <w:tc>
          <w:tcPr>
            <w:tcW w:w="940" w:type="dxa"/>
            <w:vAlign w:val="bottom"/>
          </w:tcPr>
          <w:p>
            <w:pPr>
              <w:jc w:val="right"/>
              <w:ind w:right="61"/>
              <w:spacing w:after="0"/>
              <w:rPr>
                <w:sz w:val="20"/>
                <w:szCs w:val="20"/>
                <w:color w:val="auto"/>
              </w:rPr>
            </w:pPr>
            <w:r>
              <w:rPr>
                <w:rFonts w:ascii="Arial" w:cs="Arial" w:eastAsia="Arial" w:hAnsi="Arial"/>
                <w:sz w:val="20"/>
                <w:szCs w:val="20"/>
                <w:b w:val="1"/>
                <w:bCs w:val="1"/>
                <w:color w:val="auto"/>
                <w:w w:val="98"/>
              </w:rPr>
              <w:t>Q4 2023</w:t>
            </w:r>
          </w:p>
        </w:tc>
        <w:tc>
          <w:tcPr>
            <w:tcW w:w="100" w:type="dxa"/>
            <w:vAlign w:val="bottom"/>
          </w:tcPr>
          <w:p>
            <w:pPr>
              <w:spacing w:after="0"/>
              <w:rPr>
                <w:sz w:val="21"/>
                <w:szCs w:val="21"/>
                <w:color w:val="auto"/>
              </w:rPr>
            </w:pPr>
          </w:p>
        </w:tc>
        <w:tc>
          <w:tcPr>
            <w:tcW w:w="1380" w:type="dxa"/>
            <w:vAlign w:val="bottom"/>
            <w:gridSpan w:val="2"/>
          </w:tcPr>
          <w:p>
            <w:pPr>
              <w:ind w:left="160"/>
              <w:spacing w:after="0"/>
              <w:rPr>
                <w:sz w:val="20"/>
                <w:szCs w:val="20"/>
                <w:color w:val="auto"/>
              </w:rPr>
            </w:pPr>
            <w:r>
              <w:rPr>
                <w:rFonts w:ascii="Arial" w:cs="Arial" w:eastAsia="Arial" w:hAnsi="Arial"/>
                <w:sz w:val="20"/>
                <w:szCs w:val="20"/>
                <w:b w:val="1"/>
                <w:bCs w:val="1"/>
                <w:color w:val="auto"/>
              </w:rPr>
              <w:t>% Change</w:t>
            </w:r>
          </w:p>
        </w:tc>
        <w:tc>
          <w:tcPr>
            <w:tcW w:w="140" w:type="dxa"/>
            <w:vAlign w:val="bottom"/>
          </w:tcPr>
          <w:p>
            <w:pPr>
              <w:spacing w:after="0"/>
              <w:rPr>
                <w:sz w:val="21"/>
                <w:szCs w:val="21"/>
                <w:color w:val="auto"/>
              </w:rPr>
            </w:pPr>
          </w:p>
        </w:tc>
        <w:tc>
          <w:tcPr>
            <w:tcW w:w="1060" w:type="dxa"/>
            <w:vAlign w:val="bottom"/>
            <w:gridSpan w:val="2"/>
          </w:tcPr>
          <w:p>
            <w:pPr>
              <w:ind w:left="20"/>
              <w:spacing w:after="0"/>
              <w:rPr>
                <w:sz w:val="20"/>
                <w:szCs w:val="20"/>
                <w:color w:val="auto"/>
              </w:rPr>
            </w:pPr>
            <w:r>
              <w:rPr>
                <w:rFonts w:ascii="Arial" w:cs="Arial" w:eastAsia="Arial" w:hAnsi="Arial"/>
                <w:sz w:val="20"/>
                <w:szCs w:val="20"/>
                <w:b w:val="1"/>
                <w:bCs w:val="1"/>
                <w:color w:val="auto"/>
              </w:rPr>
              <w:t>Q4 2024</w:t>
            </w:r>
          </w:p>
        </w:tc>
        <w:tc>
          <w:tcPr>
            <w:tcW w:w="140" w:type="dxa"/>
            <w:vAlign w:val="bottom"/>
          </w:tcPr>
          <w:p>
            <w:pPr>
              <w:spacing w:after="0"/>
              <w:rPr>
                <w:sz w:val="21"/>
                <w:szCs w:val="21"/>
                <w:color w:val="auto"/>
              </w:rPr>
            </w:pPr>
          </w:p>
        </w:tc>
        <w:tc>
          <w:tcPr>
            <w:tcW w:w="920" w:type="dxa"/>
            <w:vAlign w:val="bottom"/>
          </w:tcPr>
          <w:p>
            <w:pPr>
              <w:jc w:val="right"/>
              <w:ind w:right="61"/>
              <w:spacing w:after="0"/>
              <w:rPr>
                <w:sz w:val="20"/>
                <w:szCs w:val="20"/>
                <w:color w:val="auto"/>
              </w:rPr>
            </w:pPr>
            <w:r>
              <w:rPr>
                <w:rFonts w:ascii="Arial" w:cs="Arial" w:eastAsia="Arial" w:hAnsi="Arial"/>
                <w:sz w:val="20"/>
                <w:szCs w:val="20"/>
                <w:b w:val="1"/>
                <w:bCs w:val="1"/>
                <w:color w:val="auto"/>
                <w:w w:val="96"/>
              </w:rPr>
              <w:t>Q4 2023</w:t>
            </w:r>
          </w:p>
        </w:tc>
        <w:tc>
          <w:tcPr>
            <w:tcW w:w="100" w:type="dxa"/>
            <w:vAlign w:val="bottom"/>
          </w:tcPr>
          <w:p>
            <w:pPr>
              <w:spacing w:after="0"/>
              <w:rPr>
                <w:sz w:val="21"/>
                <w:szCs w:val="21"/>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b w:val="1"/>
                <w:bCs w:val="1"/>
                <w:color w:val="auto"/>
              </w:rPr>
              <w:t>% Change</w:t>
            </w:r>
          </w:p>
        </w:tc>
        <w:tc>
          <w:tcPr>
            <w:tcW w:w="0" w:type="dxa"/>
            <w:vAlign w:val="bottom"/>
          </w:tcPr>
          <w:p>
            <w:pPr>
              <w:spacing w:after="0"/>
              <w:rPr>
                <w:sz w:val="1"/>
                <w:szCs w:val="1"/>
                <w:color w:val="auto"/>
              </w:rPr>
            </w:pPr>
          </w:p>
        </w:tc>
      </w:tr>
      <w:tr>
        <w:trPr>
          <w:trHeight w:val="250"/>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Research and development (R&amp;D)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1,412</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1,177</w:t>
            </w:r>
          </w:p>
        </w:tc>
        <w:tc>
          <w:tcPr>
            <w:tcW w:w="100" w:type="dxa"/>
            <w:vAlign w:val="bottom"/>
            <w:tcBorders>
              <w:top w:val="single" w:sz="8" w:color="CCEEFF"/>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20 %</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1,224</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1,031</w:t>
            </w:r>
          </w:p>
        </w:tc>
        <w:tc>
          <w:tcPr>
            <w:tcW w:w="10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19 %</w:t>
            </w:r>
          </w:p>
        </w:tc>
        <w:tc>
          <w:tcPr>
            <w:tcW w:w="0" w:type="dxa"/>
            <w:vAlign w:val="bottom"/>
          </w:tcPr>
          <w:p>
            <w:pPr>
              <w:spacing w:after="0"/>
              <w:rPr>
                <w:sz w:val="1"/>
                <w:szCs w:val="1"/>
                <w:color w:val="auto"/>
              </w:rPr>
            </w:pPr>
          </w:p>
        </w:tc>
      </w:tr>
      <w:tr>
        <w:trPr>
          <w:trHeight w:val="189"/>
        </w:trPr>
        <w:tc>
          <w:tcPr>
            <w:tcW w:w="3900" w:type="dxa"/>
            <w:vAlign w:val="bottom"/>
          </w:tcPr>
          <w:p>
            <w:pPr>
              <w:ind w:left="20"/>
              <w:spacing w:after="0" w:line="189" w:lineRule="exact"/>
              <w:rPr>
                <w:sz w:val="20"/>
                <w:szCs w:val="20"/>
                <w:color w:val="auto"/>
              </w:rPr>
            </w:pPr>
            <w:r>
              <w:rPr>
                <w:rFonts w:ascii="Arial" w:cs="Arial" w:eastAsia="Arial" w:hAnsi="Arial"/>
                <w:sz w:val="20"/>
                <w:szCs w:val="20"/>
                <w:color w:val="auto"/>
              </w:rPr>
              <w:t>Acquired in-process research and</w:t>
            </w:r>
          </w:p>
        </w:tc>
        <w:tc>
          <w:tcPr>
            <w:tcW w:w="1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14</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30</w:t>
            </w:r>
          </w:p>
        </w:tc>
        <w:tc>
          <w:tcPr>
            <w:tcW w:w="1380" w:type="dxa"/>
            <w:vAlign w:val="bottom"/>
            <w:gridSpan w:val="2"/>
            <w:vMerge w:val="restart"/>
          </w:tcPr>
          <w:p>
            <w:pPr>
              <w:jc w:val="right"/>
              <w:spacing w:after="0"/>
              <w:rPr>
                <w:sz w:val="20"/>
                <w:szCs w:val="20"/>
                <w:color w:val="auto"/>
              </w:rPr>
            </w:pPr>
            <w:r>
              <w:rPr>
                <w:rFonts w:ascii="Arial" w:cs="Arial" w:eastAsia="Arial" w:hAnsi="Arial"/>
                <w:sz w:val="20"/>
                <w:szCs w:val="20"/>
                <w:color w:val="auto"/>
              </w:rPr>
              <w:t>(53 %)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16"/>
                <w:szCs w:val="16"/>
                <w:color w:val="auto"/>
              </w:rPr>
            </w:pPr>
          </w:p>
        </w:tc>
        <w:tc>
          <w:tcPr>
            <w:tcW w:w="1200" w:type="dxa"/>
            <w:vAlign w:val="bottom"/>
            <w:vMerge w:val="restart"/>
          </w:tcPr>
          <w:p>
            <w:pPr>
              <w:jc w:val="right"/>
              <w:ind w:right="2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57"/>
        </w:trPr>
        <w:tc>
          <w:tcPr>
            <w:tcW w:w="3900" w:type="dxa"/>
            <w:vAlign w:val="bottom"/>
          </w:tcPr>
          <w:p>
            <w:pPr>
              <w:ind w:left="180"/>
              <w:spacing w:after="0"/>
              <w:rPr>
                <w:sz w:val="20"/>
                <w:szCs w:val="20"/>
                <w:color w:val="auto"/>
              </w:rPr>
            </w:pPr>
            <w:r>
              <w:rPr>
                <w:rFonts w:ascii="Arial" w:cs="Arial" w:eastAsia="Arial" w:hAnsi="Arial"/>
                <w:sz w:val="20"/>
                <w:szCs w:val="20"/>
                <w:color w:val="auto"/>
              </w:rPr>
              <w:t>development (IPR&amp;D)</w:t>
            </w:r>
          </w:p>
        </w:tc>
        <w:tc>
          <w:tcPr>
            <w:tcW w:w="16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390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Selling, general, and administrative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792</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738</w:t>
            </w:r>
          </w:p>
        </w:tc>
        <w:tc>
          <w:tcPr>
            <w:tcW w:w="1380" w:type="dxa"/>
            <w:vAlign w:val="bottom"/>
            <w:gridSpan w:val="2"/>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7 %</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681</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622</w:t>
            </w:r>
          </w:p>
        </w:tc>
        <w:tc>
          <w:tcPr>
            <w:tcW w:w="130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9 %</w:t>
            </w: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180"/>
              <w:spacing w:after="0"/>
              <w:rPr>
                <w:sz w:val="20"/>
                <w:szCs w:val="20"/>
                <w:color w:val="auto"/>
              </w:rPr>
            </w:pPr>
            <w:r>
              <w:rPr>
                <w:rFonts w:ascii="Arial" w:cs="Arial" w:eastAsia="Arial" w:hAnsi="Arial"/>
                <w:sz w:val="20"/>
                <w:szCs w:val="20"/>
                <w:color w:val="auto"/>
              </w:rPr>
              <w:t>(SG&amp;A)</w:t>
            </w:r>
          </w:p>
        </w:tc>
        <w:tc>
          <w:tcPr>
            <w:tcW w:w="160" w:type="dxa"/>
            <w:vAlign w:val="bottom"/>
            <w:vMerge w:val="continue"/>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vMerge w:val="continue"/>
            <w:shd w:val="clear" w:color="auto" w:fill="CCEEFF"/>
          </w:tcPr>
          <w:p>
            <w:pPr>
              <w:spacing w:after="0"/>
              <w:rPr>
                <w:sz w:val="22"/>
                <w:szCs w:val="22"/>
                <w:color w:val="auto"/>
              </w:rPr>
            </w:pPr>
          </w:p>
        </w:tc>
        <w:tc>
          <w:tcPr>
            <w:tcW w:w="940" w:type="dxa"/>
            <w:vAlign w:val="bottom"/>
            <w:vMerge w:val="continue"/>
            <w:shd w:val="clear" w:color="auto" w:fill="CCEEFF"/>
          </w:tcPr>
          <w:p>
            <w:pPr>
              <w:spacing w:after="0"/>
              <w:rPr>
                <w:sz w:val="22"/>
                <w:szCs w:val="22"/>
                <w:color w:val="auto"/>
              </w:rPr>
            </w:pPr>
          </w:p>
        </w:tc>
        <w:tc>
          <w:tcPr>
            <w:tcW w:w="1380" w:type="dxa"/>
            <w:vAlign w:val="bottom"/>
            <w:gridSpan w:val="2"/>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vMerge w:val="continue"/>
            <w:shd w:val="clear" w:color="auto" w:fill="CCEEFF"/>
          </w:tcPr>
          <w:p>
            <w:pPr>
              <w:spacing w:after="0"/>
              <w:rPr>
                <w:sz w:val="22"/>
                <w:szCs w:val="22"/>
                <w:color w:val="auto"/>
              </w:rPr>
            </w:pPr>
          </w:p>
        </w:tc>
        <w:tc>
          <w:tcPr>
            <w:tcW w:w="94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vMerge w:val="continue"/>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300" w:type="dxa"/>
            <w:vAlign w:val="bottom"/>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900" w:type="dxa"/>
            <w:vAlign w:val="bottom"/>
          </w:tcPr>
          <w:p>
            <w:pPr>
              <w:ind w:left="20"/>
              <w:spacing w:after="0"/>
              <w:rPr>
                <w:sz w:val="20"/>
                <w:szCs w:val="20"/>
                <w:color w:val="auto"/>
              </w:rPr>
            </w:pPr>
            <w:r>
              <w:rPr>
                <w:rFonts w:ascii="Arial" w:cs="Arial" w:eastAsia="Arial" w:hAnsi="Arial"/>
                <w:sz w:val="20"/>
                <w:szCs w:val="20"/>
                <w:color w:val="auto"/>
              </w:rPr>
              <w:t>Cost of goods sold (COGS)</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327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307</w:t>
            </w:r>
          </w:p>
        </w:tc>
        <w:tc>
          <w:tcPr>
            <w:tcW w:w="1380" w:type="dxa"/>
            <w:vAlign w:val="bottom"/>
            <w:gridSpan w:val="2"/>
          </w:tcPr>
          <w:p>
            <w:pPr>
              <w:jc w:val="right"/>
              <w:ind w:right="1"/>
              <w:spacing w:after="0"/>
              <w:rPr>
                <w:sz w:val="20"/>
                <w:szCs w:val="20"/>
                <w:color w:val="auto"/>
              </w:rPr>
            </w:pPr>
            <w:r>
              <w:rPr>
                <w:rFonts w:ascii="Arial" w:cs="Arial" w:eastAsia="Arial" w:hAnsi="Arial"/>
                <w:sz w:val="20"/>
                <w:szCs w:val="20"/>
                <w:color w:val="auto"/>
              </w:rPr>
              <w:t>7 %</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271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259</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5 %</w:t>
            </w:r>
          </w:p>
        </w:tc>
        <w:tc>
          <w:tcPr>
            <w:tcW w:w="0" w:type="dxa"/>
            <w:vAlign w:val="bottom"/>
          </w:tcPr>
          <w:p>
            <w:pPr>
              <w:spacing w:after="0"/>
              <w:rPr>
                <w:sz w:val="1"/>
                <w:szCs w:val="1"/>
                <w:color w:val="auto"/>
              </w:rPr>
            </w:pPr>
          </w:p>
        </w:tc>
      </w:tr>
      <w:tr>
        <w:trPr>
          <w:trHeight w:val="189"/>
        </w:trPr>
        <w:tc>
          <w:tcPr>
            <w:tcW w:w="390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Cost of collaboration and contract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239</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210</w:t>
            </w:r>
          </w:p>
        </w:tc>
        <w:tc>
          <w:tcPr>
            <w:tcW w:w="1380" w:type="dxa"/>
            <w:vAlign w:val="bottom"/>
            <w:gridSpan w:val="2"/>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14 %</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180"/>
              <w:spacing w:after="0"/>
              <w:rPr>
                <w:sz w:val="20"/>
                <w:szCs w:val="20"/>
                <w:color w:val="auto"/>
              </w:rPr>
            </w:pPr>
            <w:r>
              <w:rPr>
                <w:rFonts w:ascii="Arial" w:cs="Arial" w:eastAsia="Arial" w:hAnsi="Arial"/>
                <w:sz w:val="20"/>
                <w:szCs w:val="20"/>
                <w:color w:val="auto"/>
              </w:rPr>
              <w:t>manufacturing (COCM)</w:t>
            </w:r>
          </w:p>
        </w:tc>
        <w:tc>
          <w:tcPr>
            <w:tcW w:w="160" w:type="dxa"/>
            <w:vAlign w:val="bottom"/>
            <w:vMerge w:val="continue"/>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vMerge w:val="continue"/>
            <w:shd w:val="clear" w:color="auto" w:fill="CCEEFF"/>
          </w:tcPr>
          <w:p>
            <w:pPr>
              <w:spacing w:after="0"/>
              <w:rPr>
                <w:sz w:val="22"/>
                <w:szCs w:val="22"/>
                <w:color w:val="auto"/>
              </w:rPr>
            </w:pPr>
          </w:p>
        </w:tc>
        <w:tc>
          <w:tcPr>
            <w:tcW w:w="940" w:type="dxa"/>
            <w:vAlign w:val="bottom"/>
            <w:vMerge w:val="continue"/>
            <w:shd w:val="clear" w:color="auto" w:fill="CCEEFF"/>
          </w:tcPr>
          <w:p>
            <w:pPr>
              <w:spacing w:after="0"/>
              <w:rPr>
                <w:sz w:val="22"/>
                <w:szCs w:val="22"/>
                <w:color w:val="auto"/>
              </w:rPr>
            </w:pPr>
          </w:p>
        </w:tc>
        <w:tc>
          <w:tcPr>
            <w:tcW w:w="1380" w:type="dxa"/>
            <w:vAlign w:val="bottom"/>
            <w:gridSpan w:val="2"/>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3900" w:type="dxa"/>
            <w:vAlign w:val="bottom"/>
          </w:tcPr>
          <w:p>
            <w:pPr>
              <w:ind w:left="20"/>
              <w:spacing w:after="0"/>
              <w:rPr>
                <w:sz w:val="20"/>
                <w:szCs w:val="20"/>
                <w:color w:val="auto"/>
              </w:rPr>
            </w:pPr>
            <w:r>
              <w:rPr>
                <w:rFonts w:ascii="Arial" w:cs="Arial" w:eastAsia="Arial" w:hAnsi="Arial"/>
                <w:sz w:val="20"/>
                <w:szCs w:val="20"/>
                <w:color w:val="auto"/>
              </w:rPr>
              <w:t>Other operating expense (income), net</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w:t>
            </w:r>
          </w:p>
        </w:tc>
        <w:tc>
          <w:tcPr>
            <w:tcW w:w="138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2"/>
                <w:szCs w:val="22"/>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30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522"/>
        </w:trPr>
        <w:tc>
          <w:tcPr>
            <w:tcW w:w="39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761"/>
              <w:spacing w:after="0"/>
              <w:rPr>
                <w:sz w:val="20"/>
                <w:szCs w:val="20"/>
                <w:color w:val="auto"/>
              </w:rPr>
            </w:pPr>
            <w:r>
              <w:rPr>
                <w:rFonts w:ascii="Arial" w:cs="Arial" w:eastAsia="Arial" w:hAnsi="Arial"/>
                <w:sz w:val="20"/>
                <w:szCs w:val="20"/>
                <w:b w:val="1"/>
                <w:bCs w:val="1"/>
                <w:color w:val="auto"/>
              </w:rPr>
              <w:t>GAAP</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441"/>
              <w:spacing w:after="0"/>
              <w:rPr>
                <w:sz w:val="20"/>
                <w:szCs w:val="20"/>
                <w:color w:val="auto"/>
              </w:rPr>
            </w:pPr>
            <w:r>
              <w:rPr>
                <w:rFonts w:ascii="Arial" w:cs="Arial" w:eastAsia="Arial" w:hAnsi="Arial"/>
                <w:sz w:val="20"/>
                <w:szCs w:val="20"/>
                <w:b w:val="1"/>
                <w:bCs w:val="1"/>
                <w:color w:val="auto"/>
              </w:rPr>
              <w:t>Non-GAAP</w:t>
            </w:r>
            <w:r>
              <w:rPr>
                <w:rFonts w:ascii="Arial" w:cs="Arial" w:eastAsia="Arial" w:hAnsi="Arial"/>
                <w:sz w:val="25"/>
                <w:szCs w:val="25"/>
                <w:b w:val="1"/>
                <w:bCs w:val="1"/>
                <w:color w:val="auto"/>
                <w:vertAlign w:val="superscript"/>
              </w:rPr>
              <w:t>(a)</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ind w:left="20"/>
              <w:spacing w:after="0"/>
              <w:rPr>
                <w:sz w:val="20"/>
                <w:szCs w:val="20"/>
                <w:color w:val="auto"/>
              </w:rPr>
            </w:pPr>
            <w:r>
              <w:rPr>
                <w:rFonts w:ascii="Arial" w:cs="Arial" w:eastAsia="Arial" w:hAnsi="Arial"/>
                <w:sz w:val="20"/>
                <w:szCs w:val="20"/>
                <w:b w:val="1"/>
                <w:bCs w:val="1"/>
                <w:color w:val="auto"/>
              </w:rPr>
              <w:t>FY 2024</w:t>
            </w:r>
          </w:p>
        </w:tc>
        <w:tc>
          <w:tcPr>
            <w:tcW w:w="140" w:type="dxa"/>
            <w:vAlign w:val="bottom"/>
          </w:tcPr>
          <w:p>
            <w:pPr>
              <w:spacing w:after="0"/>
              <w:rPr>
                <w:sz w:val="21"/>
                <w:szCs w:val="21"/>
                <w:color w:val="auto"/>
              </w:rPr>
            </w:pPr>
          </w:p>
        </w:tc>
        <w:tc>
          <w:tcPr>
            <w:tcW w:w="940" w:type="dxa"/>
            <w:vAlign w:val="bottom"/>
          </w:tcPr>
          <w:p>
            <w:pPr>
              <w:jc w:val="right"/>
              <w:ind w:right="61"/>
              <w:spacing w:after="0"/>
              <w:rPr>
                <w:sz w:val="20"/>
                <w:szCs w:val="20"/>
                <w:color w:val="auto"/>
              </w:rPr>
            </w:pPr>
            <w:r>
              <w:rPr>
                <w:rFonts w:ascii="Arial" w:cs="Arial" w:eastAsia="Arial" w:hAnsi="Arial"/>
                <w:sz w:val="20"/>
                <w:szCs w:val="20"/>
                <w:b w:val="1"/>
                <w:bCs w:val="1"/>
                <w:color w:val="auto"/>
              </w:rPr>
              <w:t>FY 2023</w:t>
            </w:r>
          </w:p>
        </w:tc>
        <w:tc>
          <w:tcPr>
            <w:tcW w:w="100" w:type="dxa"/>
            <w:vAlign w:val="bottom"/>
          </w:tcPr>
          <w:p>
            <w:pPr>
              <w:spacing w:after="0"/>
              <w:rPr>
                <w:sz w:val="21"/>
                <w:szCs w:val="21"/>
                <w:color w:val="auto"/>
              </w:rPr>
            </w:pPr>
          </w:p>
        </w:tc>
        <w:tc>
          <w:tcPr>
            <w:tcW w:w="1380" w:type="dxa"/>
            <w:vAlign w:val="bottom"/>
            <w:gridSpan w:val="2"/>
          </w:tcPr>
          <w:p>
            <w:pPr>
              <w:ind w:left="160"/>
              <w:spacing w:after="0"/>
              <w:rPr>
                <w:sz w:val="20"/>
                <w:szCs w:val="20"/>
                <w:color w:val="auto"/>
              </w:rPr>
            </w:pPr>
            <w:r>
              <w:rPr>
                <w:rFonts w:ascii="Arial" w:cs="Arial" w:eastAsia="Arial" w:hAnsi="Arial"/>
                <w:sz w:val="20"/>
                <w:szCs w:val="20"/>
                <w:b w:val="1"/>
                <w:bCs w:val="1"/>
                <w:color w:val="auto"/>
              </w:rPr>
              <w:t>% Change</w:t>
            </w:r>
          </w:p>
        </w:tc>
        <w:tc>
          <w:tcPr>
            <w:tcW w:w="140" w:type="dxa"/>
            <w:vAlign w:val="bottom"/>
          </w:tcPr>
          <w:p>
            <w:pPr>
              <w:spacing w:after="0"/>
              <w:rPr>
                <w:sz w:val="21"/>
                <w:szCs w:val="21"/>
                <w:color w:val="auto"/>
              </w:rPr>
            </w:pPr>
          </w:p>
        </w:tc>
        <w:tc>
          <w:tcPr>
            <w:tcW w:w="1060" w:type="dxa"/>
            <w:vAlign w:val="bottom"/>
            <w:gridSpan w:val="2"/>
          </w:tcPr>
          <w:p>
            <w:pPr>
              <w:ind w:left="20"/>
              <w:spacing w:after="0"/>
              <w:rPr>
                <w:sz w:val="20"/>
                <w:szCs w:val="20"/>
                <w:color w:val="auto"/>
              </w:rPr>
            </w:pPr>
            <w:r>
              <w:rPr>
                <w:rFonts w:ascii="Arial" w:cs="Arial" w:eastAsia="Arial" w:hAnsi="Arial"/>
                <w:sz w:val="20"/>
                <w:szCs w:val="20"/>
                <w:b w:val="1"/>
                <w:bCs w:val="1"/>
                <w:color w:val="auto"/>
              </w:rPr>
              <w:t>FY 2024</w:t>
            </w:r>
          </w:p>
        </w:tc>
        <w:tc>
          <w:tcPr>
            <w:tcW w:w="140" w:type="dxa"/>
            <w:vAlign w:val="bottom"/>
          </w:tcPr>
          <w:p>
            <w:pPr>
              <w:spacing w:after="0"/>
              <w:rPr>
                <w:sz w:val="21"/>
                <w:szCs w:val="21"/>
                <w:color w:val="auto"/>
              </w:rPr>
            </w:pPr>
          </w:p>
        </w:tc>
        <w:tc>
          <w:tcPr>
            <w:tcW w:w="920" w:type="dxa"/>
            <w:vAlign w:val="bottom"/>
          </w:tcPr>
          <w:p>
            <w:pPr>
              <w:jc w:val="right"/>
              <w:ind w:right="61"/>
              <w:spacing w:after="0"/>
              <w:rPr>
                <w:sz w:val="20"/>
                <w:szCs w:val="20"/>
                <w:color w:val="auto"/>
              </w:rPr>
            </w:pPr>
            <w:r>
              <w:rPr>
                <w:rFonts w:ascii="Arial" w:cs="Arial" w:eastAsia="Arial" w:hAnsi="Arial"/>
                <w:sz w:val="20"/>
                <w:szCs w:val="20"/>
                <w:b w:val="1"/>
                <w:bCs w:val="1"/>
                <w:color w:val="auto"/>
                <w:w w:val="97"/>
              </w:rPr>
              <w:t>FY 2023</w:t>
            </w:r>
          </w:p>
        </w:tc>
        <w:tc>
          <w:tcPr>
            <w:tcW w:w="100" w:type="dxa"/>
            <w:vAlign w:val="bottom"/>
          </w:tcPr>
          <w:p>
            <w:pPr>
              <w:spacing w:after="0"/>
              <w:rPr>
                <w:sz w:val="21"/>
                <w:szCs w:val="21"/>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b w:val="1"/>
                <w:bCs w:val="1"/>
                <w:color w:val="auto"/>
              </w:rPr>
              <w:t>% Change</w:t>
            </w:r>
          </w:p>
        </w:tc>
        <w:tc>
          <w:tcPr>
            <w:tcW w:w="0" w:type="dxa"/>
            <w:vAlign w:val="bottom"/>
          </w:tcPr>
          <w:p>
            <w:pPr>
              <w:spacing w:after="0"/>
              <w:rPr>
                <w:sz w:val="1"/>
                <w:szCs w:val="1"/>
                <w:color w:val="auto"/>
              </w:rPr>
            </w:pPr>
          </w:p>
        </w:tc>
      </w:tr>
      <w:tr>
        <w:trPr>
          <w:trHeight w:val="250"/>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Research and development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5,132</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4,439</w:t>
            </w:r>
          </w:p>
        </w:tc>
        <w:tc>
          <w:tcPr>
            <w:tcW w:w="100" w:type="dxa"/>
            <w:vAlign w:val="bottom"/>
            <w:tcBorders>
              <w:top w:val="single" w:sz="8" w:color="CCEEFF"/>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16 %</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4,563</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3,919</w:t>
            </w:r>
          </w:p>
        </w:tc>
        <w:tc>
          <w:tcPr>
            <w:tcW w:w="10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16 %</w:t>
            </w:r>
          </w:p>
        </w:tc>
        <w:tc>
          <w:tcPr>
            <w:tcW w:w="0" w:type="dxa"/>
            <w:vAlign w:val="bottom"/>
          </w:tcPr>
          <w:p>
            <w:pPr>
              <w:spacing w:after="0"/>
              <w:rPr>
                <w:sz w:val="1"/>
                <w:szCs w:val="1"/>
                <w:color w:val="auto"/>
              </w:rPr>
            </w:pPr>
          </w:p>
        </w:tc>
      </w:tr>
      <w:tr>
        <w:trPr>
          <w:trHeight w:val="189"/>
        </w:trPr>
        <w:tc>
          <w:tcPr>
            <w:tcW w:w="3900" w:type="dxa"/>
            <w:vAlign w:val="bottom"/>
          </w:tcPr>
          <w:p>
            <w:pPr>
              <w:ind w:left="20"/>
              <w:spacing w:after="0" w:line="189" w:lineRule="exact"/>
              <w:rPr>
                <w:sz w:val="20"/>
                <w:szCs w:val="20"/>
                <w:color w:val="auto"/>
              </w:rPr>
            </w:pPr>
            <w:r>
              <w:rPr>
                <w:rFonts w:ascii="Arial" w:cs="Arial" w:eastAsia="Arial" w:hAnsi="Arial"/>
                <w:sz w:val="20"/>
                <w:szCs w:val="20"/>
                <w:color w:val="auto"/>
              </w:rPr>
              <w:t>Acquired in-process research and</w:t>
            </w:r>
          </w:p>
        </w:tc>
        <w:tc>
          <w:tcPr>
            <w:tcW w:w="1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101</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186</w:t>
            </w:r>
          </w:p>
        </w:tc>
        <w:tc>
          <w:tcPr>
            <w:tcW w:w="1380" w:type="dxa"/>
            <w:vAlign w:val="bottom"/>
            <w:gridSpan w:val="2"/>
            <w:vMerge w:val="restart"/>
          </w:tcPr>
          <w:p>
            <w:pPr>
              <w:jc w:val="right"/>
              <w:spacing w:after="0"/>
              <w:rPr>
                <w:sz w:val="20"/>
                <w:szCs w:val="20"/>
                <w:color w:val="auto"/>
              </w:rPr>
            </w:pPr>
            <w:r>
              <w:rPr>
                <w:rFonts w:ascii="Arial" w:cs="Arial" w:eastAsia="Arial" w:hAnsi="Arial"/>
                <w:sz w:val="20"/>
                <w:szCs w:val="20"/>
                <w:color w:val="auto"/>
              </w:rPr>
              <w:t>(46 %)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16"/>
                <w:szCs w:val="16"/>
                <w:color w:val="auto"/>
              </w:rPr>
            </w:pPr>
          </w:p>
        </w:tc>
        <w:tc>
          <w:tcPr>
            <w:tcW w:w="1200" w:type="dxa"/>
            <w:vAlign w:val="bottom"/>
            <w:vMerge w:val="restart"/>
          </w:tcPr>
          <w:p>
            <w:pPr>
              <w:jc w:val="right"/>
              <w:ind w:right="2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57"/>
        </w:trPr>
        <w:tc>
          <w:tcPr>
            <w:tcW w:w="3900" w:type="dxa"/>
            <w:vAlign w:val="bottom"/>
          </w:tcPr>
          <w:p>
            <w:pPr>
              <w:ind w:left="180"/>
              <w:spacing w:after="0"/>
              <w:rPr>
                <w:sz w:val="20"/>
                <w:szCs w:val="20"/>
                <w:color w:val="auto"/>
              </w:rPr>
            </w:pPr>
            <w:r>
              <w:rPr>
                <w:rFonts w:ascii="Arial" w:cs="Arial" w:eastAsia="Arial" w:hAnsi="Arial"/>
                <w:sz w:val="20"/>
                <w:szCs w:val="20"/>
                <w:color w:val="auto"/>
              </w:rPr>
              <w:t>development</w:t>
            </w:r>
          </w:p>
        </w:tc>
        <w:tc>
          <w:tcPr>
            <w:tcW w:w="16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20"/>
              <w:spacing w:after="0"/>
              <w:rPr>
                <w:sz w:val="20"/>
                <w:szCs w:val="20"/>
                <w:color w:val="auto"/>
              </w:rPr>
            </w:pPr>
            <w:r>
              <w:rPr>
                <w:rFonts w:ascii="Arial" w:cs="Arial" w:eastAsia="Arial" w:hAnsi="Arial"/>
                <w:sz w:val="20"/>
                <w:szCs w:val="20"/>
                <w:color w:val="auto"/>
              </w:rPr>
              <w:t>Selling, general, and administrative</w:t>
            </w: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2,954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2,631</w:t>
            </w:r>
          </w:p>
        </w:tc>
        <w:tc>
          <w:tcPr>
            <w:tcW w:w="1380" w:type="dxa"/>
            <w:vAlign w:val="bottom"/>
            <w:gridSpan w:val="2"/>
            <w:shd w:val="clear" w:color="auto" w:fill="CCEEFF"/>
          </w:tcPr>
          <w:p>
            <w:pPr>
              <w:jc w:val="right"/>
              <w:ind w:right="1"/>
              <w:spacing w:after="0"/>
              <w:rPr>
                <w:sz w:val="20"/>
                <w:szCs w:val="20"/>
                <w:color w:val="auto"/>
              </w:rPr>
            </w:pPr>
            <w:r>
              <w:rPr>
                <w:rFonts w:ascii="Arial" w:cs="Arial" w:eastAsia="Arial" w:hAnsi="Arial"/>
                <w:sz w:val="20"/>
                <w:szCs w:val="20"/>
                <w:color w:val="auto"/>
              </w:rPr>
              <w:t>12 %</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2,544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2,232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14 %</w:t>
            </w:r>
          </w:p>
        </w:tc>
        <w:tc>
          <w:tcPr>
            <w:tcW w:w="0" w:type="dxa"/>
            <w:vAlign w:val="bottom"/>
          </w:tcPr>
          <w:p>
            <w:pPr>
              <w:spacing w:after="0"/>
              <w:rPr>
                <w:sz w:val="1"/>
                <w:szCs w:val="1"/>
                <w:color w:val="auto"/>
              </w:rPr>
            </w:pPr>
          </w:p>
        </w:tc>
      </w:tr>
      <w:tr>
        <w:trPr>
          <w:trHeight w:val="256"/>
        </w:trPr>
        <w:tc>
          <w:tcPr>
            <w:tcW w:w="3900" w:type="dxa"/>
            <w:vAlign w:val="bottom"/>
          </w:tcPr>
          <w:p>
            <w:pPr>
              <w:ind w:left="20"/>
              <w:spacing w:after="0"/>
              <w:rPr>
                <w:sz w:val="20"/>
                <w:szCs w:val="20"/>
                <w:color w:val="auto"/>
              </w:rPr>
            </w:pPr>
            <w:r>
              <w:rPr>
                <w:rFonts w:ascii="Arial" w:cs="Arial" w:eastAsia="Arial" w:hAnsi="Arial"/>
                <w:sz w:val="20"/>
                <w:szCs w:val="20"/>
                <w:color w:val="auto"/>
              </w:rPr>
              <w:t>Cost of goods sold</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1,087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932</w:t>
            </w:r>
          </w:p>
        </w:tc>
        <w:tc>
          <w:tcPr>
            <w:tcW w:w="1380" w:type="dxa"/>
            <w:vAlign w:val="bottom"/>
            <w:gridSpan w:val="2"/>
          </w:tcPr>
          <w:p>
            <w:pPr>
              <w:jc w:val="right"/>
              <w:ind w:right="1"/>
              <w:spacing w:after="0"/>
              <w:rPr>
                <w:sz w:val="20"/>
                <w:szCs w:val="20"/>
                <w:color w:val="auto"/>
              </w:rPr>
            </w:pPr>
            <w:r>
              <w:rPr>
                <w:rFonts w:ascii="Arial" w:cs="Arial" w:eastAsia="Arial" w:hAnsi="Arial"/>
                <w:sz w:val="20"/>
                <w:szCs w:val="20"/>
                <w:color w:val="auto"/>
              </w:rPr>
              <w:t>17 %</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898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770</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17 %</w:t>
            </w:r>
          </w:p>
        </w:tc>
        <w:tc>
          <w:tcPr>
            <w:tcW w:w="0" w:type="dxa"/>
            <w:vAlign w:val="bottom"/>
          </w:tcPr>
          <w:p>
            <w:pPr>
              <w:spacing w:after="0"/>
              <w:rPr>
                <w:sz w:val="1"/>
                <w:szCs w:val="1"/>
                <w:color w:val="auto"/>
              </w:rPr>
            </w:pPr>
          </w:p>
        </w:tc>
      </w:tr>
      <w:tr>
        <w:trPr>
          <w:trHeight w:val="189"/>
        </w:trPr>
        <w:tc>
          <w:tcPr>
            <w:tcW w:w="390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Cost of collaboration and contract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883</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884</w:t>
            </w:r>
          </w:p>
        </w:tc>
        <w:tc>
          <w:tcPr>
            <w:tcW w:w="100" w:type="dxa"/>
            <w:vAlign w:val="bottom"/>
            <w:shd w:val="clear" w:color="auto" w:fill="CCEEFF"/>
          </w:tcPr>
          <w:p>
            <w:pPr>
              <w:spacing w:after="0"/>
              <w:rPr>
                <w:sz w:val="16"/>
                <w:szCs w:val="16"/>
                <w:color w:val="auto"/>
              </w:rPr>
            </w:pPr>
          </w:p>
        </w:tc>
        <w:tc>
          <w:tcPr>
            <w:tcW w:w="1380" w:type="dxa"/>
            <w:vAlign w:val="bottom"/>
            <w:gridSpan w:val="2"/>
            <w:vMerge w:val="restart"/>
            <w:shd w:val="clear" w:color="auto" w:fill="CCEEFF"/>
          </w:tcPr>
          <w:p>
            <w:pPr>
              <w:ind w:left="760"/>
              <w:spacing w:after="0"/>
              <w:rPr>
                <w:sz w:val="20"/>
                <w:szCs w:val="20"/>
                <w:color w:val="auto"/>
              </w:rPr>
            </w:pPr>
            <w:r>
              <w:rPr>
                <w:rFonts w:ascii="Arial" w:cs="Arial" w:eastAsia="Arial" w:hAnsi="Arial"/>
                <w:sz w:val="20"/>
                <w:szCs w:val="20"/>
                <w:color w:val="auto"/>
              </w:rPr>
              <w:t>— %</w:t>
            </w:r>
          </w:p>
        </w:tc>
        <w:tc>
          <w:tcPr>
            <w:tcW w:w="14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180"/>
              <w:spacing w:after="0"/>
              <w:rPr>
                <w:sz w:val="20"/>
                <w:szCs w:val="20"/>
                <w:color w:val="auto"/>
              </w:rPr>
            </w:pPr>
            <w:r>
              <w:rPr>
                <w:rFonts w:ascii="Arial" w:cs="Arial" w:eastAsia="Arial" w:hAnsi="Arial"/>
                <w:sz w:val="20"/>
                <w:szCs w:val="20"/>
                <w:color w:val="auto"/>
              </w:rPr>
              <w:t>manufacturing</w:t>
            </w:r>
          </w:p>
        </w:tc>
        <w:tc>
          <w:tcPr>
            <w:tcW w:w="160" w:type="dxa"/>
            <w:vAlign w:val="bottom"/>
            <w:vMerge w:val="continue"/>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vMerge w:val="continue"/>
            <w:shd w:val="clear" w:color="auto" w:fill="CCEEFF"/>
          </w:tcPr>
          <w:p>
            <w:pPr>
              <w:spacing w:after="0"/>
              <w:rPr>
                <w:sz w:val="22"/>
                <w:szCs w:val="22"/>
                <w:color w:val="auto"/>
              </w:rPr>
            </w:pPr>
          </w:p>
        </w:tc>
        <w:tc>
          <w:tcPr>
            <w:tcW w:w="94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gridSpan w:val="2"/>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3900" w:type="dxa"/>
            <w:vAlign w:val="bottom"/>
          </w:tcPr>
          <w:p>
            <w:pPr>
              <w:ind w:left="20"/>
              <w:spacing w:after="0"/>
              <w:rPr>
                <w:sz w:val="20"/>
                <w:szCs w:val="20"/>
                <w:color w:val="auto"/>
              </w:rPr>
            </w:pPr>
            <w:r>
              <w:rPr>
                <w:rFonts w:ascii="Arial" w:cs="Arial" w:eastAsia="Arial" w:hAnsi="Arial"/>
                <w:sz w:val="20"/>
                <w:szCs w:val="20"/>
                <w:color w:val="auto"/>
              </w:rPr>
              <w:t>Other operating expense (income), net</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53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w:t>
            </w:r>
          </w:p>
        </w:tc>
        <w:tc>
          <w:tcPr>
            <w:tcW w:w="138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2"/>
                <w:szCs w:val="22"/>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30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180" w:right="3900" w:firstLine="8"/>
        <w:spacing w:after="0" w:line="298" w:lineRule="auto"/>
        <w:tabs>
          <w:tab w:leader="none" w:pos="295" w:val="left"/>
        </w:tabs>
        <w:numPr>
          <w:ilvl w:val="0"/>
          <w:numId w:val="12"/>
        </w:numPr>
        <w:rPr>
          <w:rFonts w:ascii="Arial" w:cs="Arial" w:eastAsia="Arial" w:hAnsi="Arial"/>
          <w:sz w:val="18"/>
          <w:szCs w:val="18"/>
          <w:color w:val="auto"/>
        </w:rPr>
      </w:pPr>
      <w:r>
        <w:rPr>
          <w:rFonts w:ascii="Arial" w:cs="Arial" w:eastAsia="Arial" w:hAnsi="Arial"/>
          <w:sz w:val="16"/>
          <w:szCs w:val="16"/>
          <w:color w:val="auto"/>
        </w:rPr>
        <w:t xml:space="preserve">GAAP and non-GAAP amounts are equivalent as no non-GAAP adjustments have been recorded. </w:t>
      </w:r>
      <w:r>
        <w:rPr>
          <w:rFonts w:ascii="Arial" w:cs="Arial" w:eastAsia="Arial" w:hAnsi="Arial"/>
          <w:sz w:val="17"/>
          <w:szCs w:val="17"/>
          <w:color w:val="auto"/>
        </w:rPr>
        <w:t xml:space="preserve">** </w:t>
      </w:r>
      <w:r>
        <w:rPr>
          <w:rFonts w:ascii="Arial" w:cs="Arial" w:eastAsia="Arial" w:hAnsi="Arial"/>
          <w:sz w:val="16"/>
          <w:szCs w:val="16"/>
          <w:color w:val="auto"/>
        </w:rPr>
        <w:t>Percentage not meaningful</w:t>
      </w:r>
    </w:p>
    <w:p>
      <w:pPr>
        <w:spacing w:after="0" w:line="162" w:lineRule="exact"/>
        <w:rPr>
          <w:rFonts w:ascii="Arial" w:cs="Arial" w:eastAsia="Arial" w:hAnsi="Arial"/>
          <w:sz w:val="18"/>
          <w:szCs w:val="18"/>
          <w:color w:val="auto"/>
        </w:rPr>
      </w:pPr>
    </w:p>
    <w:p>
      <w:pPr>
        <w:ind w:left="660" w:right="560" w:hanging="328"/>
        <w:spacing w:after="0" w:line="264" w:lineRule="auto"/>
        <w:tabs>
          <w:tab w:leader="none" w:pos="655" w:val="left"/>
        </w:tabs>
        <w:numPr>
          <w:ilvl w:val="1"/>
          <w:numId w:val="12"/>
        </w:numPr>
        <w:rPr>
          <w:rFonts w:ascii="Arial" w:cs="Arial" w:eastAsia="Arial" w:hAnsi="Arial"/>
          <w:sz w:val="22"/>
          <w:szCs w:val="22"/>
          <w:color w:val="auto"/>
        </w:rPr>
      </w:pPr>
      <w:r>
        <w:rPr>
          <w:rFonts w:ascii="Arial" w:cs="Arial" w:eastAsia="Arial" w:hAnsi="Arial"/>
          <w:sz w:val="22"/>
          <w:szCs w:val="22"/>
          <w:color w:val="auto"/>
        </w:rPr>
        <w:t>GAAP and non-GAAP R&amp;D expenses increased in the fourth quarter and full year 2024, compared to the same periods in the prior year, driven by the advancement of the Company's mid- and late-stage clinical pipeline and higher headcount-related costs.</w:t>
      </w:r>
    </w:p>
    <w:p>
      <w:pPr>
        <w:spacing w:after="0" w:line="15" w:lineRule="exact"/>
        <w:rPr>
          <w:rFonts w:ascii="Arial" w:cs="Arial" w:eastAsia="Arial" w:hAnsi="Arial"/>
          <w:sz w:val="22"/>
          <w:szCs w:val="22"/>
          <w:color w:val="auto"/>
        </w:rPr>
      </w:pPr>
    </w:p>
    <w:p>
      <w:pPr>
        <w:ind w:left="660" w:right="60" w:hanging="328"/>
        <w:spacing w:after="0" w:line="257" w:lineRule="auto"/>
        <w:tabs>
          <w:tab w:leader="none" w:pos="655" w:val="left"/>
        </w:tabs>
        <w:numPr>
          <w:ilvl w:val="1"/>
          <w:numId w:val="12"/>
        </w:numPr>
        <w:rPr>
          <w:rFonts w:ascii="Arial" w:cs="Arial" w:eastAsia="Arial" w:hAnsi="Arial"/>
          <w:sz w:val="22"/>
          <w:szCs w:val="22"/>
          <w:color w:val="auto"/>
        </w:rPr>
      </w:pPr>
      <w:r>
        <w:rPr>
          <w:rFonts w:ascii="Arial" w:cs="Arial" w:eastAsia="Arial" w:hAnsi="Arial"/>
          <w:sz w:val="22"/>
          <w:szCs w:val="22"/>
          <w:color w:val="auto"/>
        </w:rPr>
        <w:t>Acquired IPR&amp;D expense for full year 2024 included a $45 million development milestone in connection with the Company's collaboration agreement with Sonoma Biotherapeutics, Inc. Acquired IPR&amp;D expense for full year 2023 included a $100 million development milestone in connection with the Company's collaboration with Alnylam Pharmaceuticals, Inc.</w:t>
      </w:r>
    </w:p>
    <w:p>
      <w:pPr>
        <w:spacing w:after="0" w:line="23" w:lineRule="exact"/>
        <w:rPr>
          <w:rFonts w:ascii="Arial" w:cs="Arial" w:eastAsia="Arial" w:hAnsi="Arial"/>
          <w:sz w:val="22"/>
          <w:szCs w:val="22"/>
          <w:color w:val="auto"/>
        </w:rPr>
      </w:pPr>
    </w:p>
    <w:p>
      <w:pPr>
        <w:ind w:left="660" w:right="80" w:hanging="328"/>
        <w:spacing w:after="0" w:line="275" w:lineRule="auto"/>
        <w:tabs>
          <w:tab w:leader="none" w:pos="655" w:val="left"/>
        </w:tabs>
        <w:numPr>
          <w:ilvl w:val="1"/>
          <w:numId w:val="12"/>
        </w:numPr>
        <w:rPr>
          <w:rFonts w:ascii="Arial" w:cs="Arial" w:eastAsia="Arial" w:hAnsi="Arial"/>
          <w:sz w:val="21"/>
          <w:szCs w:val="21"/>
          <w:color w:val="auto"/>
        </w:rPr>
      </w:pPr>
      <w:r>
        <w:rPr>
          <w:rFonts w:ascii="Arial" w:cs="Arial" w:eastAsia="Arial" w:hAnsi="Arial"/>
          <w:sz w:val="21"/>
          <w:szCs w:val="21"/>
          <w:color w:val="auto"/>
        </w:rPr>
        <w:t>GAAP and non-GAAP SG&amp;A expenses increased for full year 2024, compared to full year 2023, due to higher commercialization-related expenses to support the Company's launch of EYLEA HD and higher headcount and headcount-related costs partly related to the Company's international commercial expansion.</w:t>
      </w:r>
    </w:p>
    <w:p>
      <w:pPr>
        <w:spacing w:after="0" w:line="20" w:lineRule="exact"/>
        <w:rPr>
          <w:rFonts w:ascii="Arial" w:cs="Arial" w:eastAsia="Arial" w:hAnsi="Arial"/>
          <w:sz w:val="21"/>
          <w:szCs w:val="21"/>
          <w:color w:val="auto"/>
        </w:rPr>
      </w:pPr>
    </w:p>
    <w:p>
      <w:pPr>
        <w:ind w:left="660" w:right="160" w:hanging="328"/>
        <w:spacing w:after="0" w:line="272" w:lineRule="auto"/>
        <w:tabs>
          <w:tab w:leader="none" w:pos="655" w:val="left"/>
        </w:tabs>
        <w:numPr>
          <w:ilvl w:val="1"/>
          <w:numId w:val="12"/>
        </w:numPr>
        <w:rPr>
          <w:rFonts w:ascii="Arial" w:cs="Arial" w:eastAsia="Arial" w:hAnsi="Arial"/>
          <w:sz w:val="22"/>
          <w:szCs w:val="22"/>
          <w:color w:val="auto"/>
        </w:rPr>
      </w:pPr>
      <w:r>
        <w:rPr>
          <w:rFonts w:ascii="Arial" w:cs="Arial" w:eastAsia="Arial" w:hAnsi="Arial"/>
          <w:sz w:val="22"/>
          <w:szCs w:val="22"/>
          <w:color w:val="auto"/>
        </w:rPr>
        <w:t>GAAP and non-GAAP COGS increased for full year 2024, compared to full year 2023, primarily due to higher start-up costs for the Company's Rensselaer, New York fill/finish facility.</w:t>
      </w:r>
    </w:p>
    <w:p>
      <w:pPr>
        <w:spacing w:after="0" w:line="20" w:lineRule="exact"/>
        <w:rPr>
          <w:rFonts w:ascii="Arial" w:cs="Arial" w:eastAsia="Arial" w:hAnsi="Arial"/>
          <w:sz w:val="22"/>
          <w:szCs w:val="22"/>
          <w:color w:val="auto"/>
        </w:rPr>
      </w:pPr>
    </w:p>
    <w:p>
      <w:pPr>
        <w:jc w:val="both"/>
        <w:ind w:left="660" w:right="20" w:hanging="328"/>
        <w:spacing w:after="0" w:line="257" w:lineRule="auto"/>
        <w:tabs>
          <w:tab w:leader="none" w:pos="655" w:val="left"/>
        </w:tabs>
        <w:numPr>
          <w:ilvl w:val="1"/>
          <w:numId w:val="12"/>
        </w:numPr>
        <w:rPr>
          <w:rFonts w:ascii="Arial" w:cs="Arial" w:eastAsia="Arial" w:hAnsi="Arial"/>
          <w:sz w:val="22"/>
          <w:szCs w:val="22"/>
          <w:color w:val="auto"/>
        </w:rPr>
      </w:pPr>
      <w:r>
        <w:rPr>
          <w:rFonts w:ascii="Arial" w:cs="Arial" w:eastAsia="Arial" w:hAnsi="Arial"/>
          <w:sz w:val="22"/>
          <w:szCs w:val="22"/>
          <w:color w:val="auto"/>
        </w:rPr>
        <w:t>GAAP other operating expense (income), net, for the fourth quarter and full year 2024 reflects charges related to the increase in the estimated fair value of the contingent consideration liability recognized in connection with the Company's 2023 acquisition of Decibel Therapeutics, Inc.</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20"/>
          </w:cols>
          <w:pgMar w:left="320" w:top="1045" w:right="35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i w:val="1"/>
          <w:iCs w:val="1"/>
          <w:color w:val="auto"/>
        </w:rPr>
        <w:t>Other Financial Information</w:t>
      </w:r>
    </w:p>
    <w:p>
      <w:pPr>
        <w:spacing w:after="0" w:line="152"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GAAP other income (expense), net included the recognition of net unrealized losses on equity securities of $213 million in the fourth quarter of 2024, compared to $58 million of net unrealized gains in the fourth quarter of 2023. GAAP other income (expense), net included the recognition of net unrealized gains on equity securities of $118 million for full year 2024, compared to net unrealized losses of $238 million for full year 2023. GAAP and non-GAAP other income (expense), net also included interest income of $711 million for full year 2024, compared to $496 million for full year 2023.</w:t>
      </w:r>
    </w:p>
    <w:p>
      <w:pPr>
        <w:spacing w:after="0" w:line="113" w:lineRule="exact"/>
        <w:rPr>
          <w:sz w:val="20"/>
          <w:szCs w:val="20"/>
          <w:color w:val="auto"/>
        </w:rPr>
      </w:pPr>
    </w:p>
    <w:p>
      <w:pPr>
        <w:ind w:right="360"/>
        <w:spacing w:after="0" w:line="253" w:lineRule="auto"/>
        <w:rPr>
          <w:sz w:val="20"/>
          <w:szCs w:val="20"/>
          <w:color w:val="auto"/>
        </w:rPr>
      </w:pPr>
      <w:r>
        <w:rPr>
          <w:rFonts w:ascii="Arial" w:cs="Arial" w:eastAsia="Arial" w:hAnsi="Arial"/>
          <w:sz w:val="22"/>
          <w:szCs w:val="22"/>
          <w:color w:val="auto"/>
        </w:rPr>
        <w:t>In the fourth quarter and full year 2024, the Company's GAAP effective tax rate (ETR) was 4.2% and 7.7%, respectively, compared to (1.0%) and 5.9% in the fourth quarter and full year 2023, respectively. The GAAP ETR increased in the fourth quarter of 2024, compared to the same period in the prior year, due to a lower benefit from stock-based compensation. In the fourth quarter and full year 2024, the non-GAAP ETR was 9.9% and 9.6%, respectively, compared to 2.4% and 9.1% in the fourth quarter and full year 2023,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21"/>
          <w:szCs w:val="21"/>
          <w:color w:val="auto"/>
        </w:rPr>
        <w:t>GAAP net income per diluted share was $8.06 in the fourth quarter of 2024, compared to $10.19 in the fourth quarter</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color w:val="auto"/>
        </w:rPr>
        <w:t>of 2023. GAAP net income per diluted share was $38.34 for the full year 2024, compared to $34.77 for the full year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2023. Non-GAAP net income per diluted share was $12.07 in the fourth quarter of 2024, compared to $11.86 in the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fourth quarter of 2023. Non-GAAP net income per diluted share was $45.62 for the full year 2024, compared to</w:t>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color w:val="auto"/>
        </w:rPr>
        <w:t>$43.79 for the full year 2023. A reconciliation of the Company's GAAP to non-GAAP results is included in Table 3 of</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this press release.</w:t>
      </w:r>
    </w:p>
    <w:p>
      <w:pPr>
        <w:spacing w:after="0" w:line="132" w:lineRule="exact"/>
        <w:rPr>
          <w:sz w:val="20"/>
          <w:szCs w:val="20"/>
          <w:color w:val="auto"/>
        </w:rPr>
      </w:pPr>
    </w:p>
    <w:p>
      <w:pPr>
        <w:ind w:right="120"/>
        <w:spacing w:after="0" w:line="272" w:lineRule="auto"/>
        <w:rPr>
          <w:sz w:val="20"/>
          <w:szCs w:val="20"/>
          <w:color w:val="auto"/>
        </w:rPr>
      </w:pPr>
      <w:r>
        <w:rPr>
          <w:rFonts w:ascii="Arial" w:cs="Arial" w:eastAsia="Arial" w:hAnsi="Arial"/>
          <w:sz w:val="22"/>
          <w:szCs w:val="22"/>
          <w:color w:val="auto"/>
        </w:rPr>
        <w:t>The Company repurchased $976 million and $2.6 billion of shares of its common stock during the fourth quarter and full year 2024, respectively, and recorded the cost of the shares as Treasury Stock.</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2025 Financial Guidance</w:t>
      </w:r>
      <w:r>
        <w:rPr>
          <w:rFonts w:ascii="Arial" w:cs="Arial" w:eastAsia="Arial" w:hAnsi="Arial"/>
          <w:sz w:val="12"/>
          <w:szCs w:val="12"/>
          <w:b w:val="1"/>
          <w:bCs w:val="1"/>
          <w:i w:val="1"/>
          <w:iCs w:val="1"/>
          <w:color w:val="auto"/>
        </w:rPr>
        <w:t>(c)</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The Company's full year 2025 financial guidance consists of the following components: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4660" w:type="dxa"/>
            <w:vAlign w:val="bottom"/>
          </w:tcPr>
          <w:p>
            <w:pPr>
              <w:spacing w:after="0"/>
              <w:rPr>
                <w:sz w:val="23"/>
                <w:szCs w:val="23"/>
                <w:color w:val="auto"/>
              </w:rPr>
            </w:pPr>
          </w:p>
        </w:tc>
        <w:tc>
          <w:tcPr>
            <w:tcW w:w="2260" w:type="dxa"/>
            <w:vAlign w:val="bottom"/>
          </w:tcPr>
          <w:p>
            <w:pPr>
              <w:jc w:val="center"/>
              <w:spacing w:after="0"/>
              <w:rPr>
                <w:sz w:val="20"/>
                <w:szCs w:val="20"/>
                <w:color w:val="auto"/>
              </w:rPr>
            </w:pPr>
            <w:r>
              <w:rPr>
                <w:rFonts w:ascii="Arial" w:cs="Arial" w:eastAsia="Arial" w:hAnsi="Arial"/>
                <w:sz w:val="20"/>
                <w:szCs w:val="20"/>
                <w:b w:val="1"/>
                <w:bCs w:val="1"/>
                <w:color w:val="auto"/>
                <w:w w:val="99"/>
              </w:rPr>
              <w:t>2025 Guidance</w:t>
            </w:r>
          </w:p>
        </w:tc>
      </w:tr>
      <w:tr>
        <w:trPr>
          <w:trHeight w:val="34"/>
        </w:trPr>
        <w:tc>
          <w:tcPr>
            <w:tcW w:w="466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50"/>
        </w:trPr>
        <w:tc>
          <w:tcPr>
            <w:tcW w:w="466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R&amp;D</w:t>
            </w:r>
          </w:p>
        </w:tc>
        <w:tc>
          <w:tcPr>
            <w:tcW w:w="22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$5.560–$5.795 billion</w:t>
            </w:r>
          </w:p>
        </w:tc>
      </w:tr>
      <w:tr>
        <w:trPr>
          <w:trHeight w:val="270"/>
        </w:trPr>
        <w:tc>
          <w:tcPr>
            <w:tcW w:w="4660" w:type="dxa"/>
            <w:vAlign w:val="bottom"/>
          </w:tcPr>
          <w:p>
            <w:pPr>
              <w:ind w:left="20"/>
              <w:spacing w:after="0" w:line="270" w:lineRule="exact"/>
              <w:rPr>
                <w:sz w:val="20"/>
                <w:szCs w:val="20"/>
                <w:color w:val="auto"/>
              </w:rPr>
            </w:pPr>
            <w:r>
              <w:rPr>
                <w:rFonts w:ascii="Arial" w:cs="Arial" w:eastAsia="Arial" w:hAnsi="Arial"/>
                <w:sz w:val="20"/>
                <w:szCs w:val="20"/>
                <w:color w:val="auto"/>
              </w:rPr>
              <w:t>Non-GAAP R&amp;D</w:t>
            </w:r>
            <w:r>
              <w:rPr>
                <w:rFonts w:ascii="Arial" w:cs="Arial" w:eastAsia="Arial" w:hAnsi="Arial"/>
                <w:sz w:val="25"/>
                <w:szCs w:val="25"/>
                <w:color w:val="auto"/>
                <w:vertAlign w:val="superscript"/>
              </w:rPr>
              <w:t>(a)</w:t>
            </w:r>
          </w:p>
        </w:tc>
        <w:tc>
          <w:tcPr>
            <w:tcW w:w="2260" w:type="dxa"/>
            <w:vAlign w:val="bottom"/>
          </w:tcPr>
          <w:p>
            <w:pPr>
              <w:jc w:val="center"/>
              <w:spacing w:after="0"/>
              <w:rPr>
                <w:sz w:val="20"/>
                <w:szCs w:val="20"/>
                <w:color w:val="auto"/>
              </w:rPr>
            </w:pPr>
            <w:r>
              <w:rPr>
                <w:rFonts w:ascii="Arial" w:cs="Arial" w:eastAsia="Arial" w:hAnsi="Arial"/>
                <w:sz w:val="20"/>
                <w:szCs w:val="20"/>
                <w:color w:val="auto"/>
                <w:w w:val="98"/>
              </w:rPr>
              <w:t>$5.000–$5.200 billion</w:t>
            </w:r>
          </w:p>
        </w:tc>
      </w:tr>
      <w:tr>
        <w:trPr>
          <w:trHeight w:val="270"/>
        </w:trPr>
        <w:tc>
          <w:tcPr>
            <w:tcW w:w="466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SG&amp;A</w:t>
            </w:r>
          </w:p>
        </w:tc>
        <w:tc>
          <w:tcPr>
            <w:tcW w:w="22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$2.910–$3.095 billion</w:t>
            </w:r>
          </w:p>
        </w:tc>
      </w:tr>
      <w:tr>
        <w:trPr>
          <w:trHeight w:val="270"/>
        </w:trPr>
        <w:tc>
          <w:tcPr>
            <w:tcW w:w="4660" w:type="dxa"/>
            <w:vAlign w:val="bottom"/>
          </w:tcPr>
          <w:p>
            <w:pPr>
              <w:ind w:left="20"/>
              <w:spacing w:after="0" w:line="270" w:lineRule="exact"/>
              <w:rPr>
                <w:sz w:val="20"/>
                <w:szCs w:val="20"/>
                <w:color w:val="auto"/>
              </w:rPr>
            </w:pPr>
            <w:r>
              <w:rPr>
                <w:rFonts w:ascii="Arial" w:cs="Arial" w:eastAsia="Arial" w:hAnsi="Arial"/>
                <w:sz w:val="20"/>
                <w:szCs w:val="20"/>
                <w:color w:val="auto"/>
              </w:rPr>
              <w:t>Non-GAAP SG&amp;A</w:t>
            </w:r>
            <w:r>
              <w:rPr>
                <w:rFonts w:ascii="Arial" w:cs="Arial" w:eastAsia="Arial" w:hAnsi="Arial"/>
                <w:sz w:val="25"/>
                <w:szCs w:val="25"/>
                <w:color w:val="auto"/>
                <w:vertAlign w:val="superscript"/>
              </w:rPr>
              <w:t>(a)</w:t>
            </w:r>
          </w:p>
        </w:tc>
        <w:tc>
          <w:tcPr>
            <w:tcW w:w="2260" w:type="dxa"/>
            <w:vAlign w:val="bottom"/>
          </w:tcPr>
          <w:p>
            <w:pPr>
              <w:jc w:val="center"/>
              <w:spacing w:after="0"/>
              <w:rPr>
                <w:sz w:val="20"/>
                <w:szCs w:val="20"/>
                <w:color w:val="auto"/>
              </w:rPr>
            </w:pPr>
            <w:r>
              <w:rPr>
                <w:rFonts w:ascii="Arial" w:cs="Arial" w:eastAsia="Arial" w:hAnsi="Arial"/>
                <w:sz w:val="20"/>
                <w:szCs w:val="20"/>
                <w:color w:val="auto"/>
                <w:w w:val="98"/>
              </w:rPr>
              <w:t>$2.550–$2.700 billion</w:t>
            </w:r>
          </w:p>
        </w:tc>
      </w:tr>
      <w:tr>
        <w:trPr>
          <w:trHeight w:val="270"/>
        </w:trPr>
        <w:tc>
          <w:tcPr>
            <w:tcW w:w="4660" w:type="dxa"/>
            <w:vAlign w:val="bottom"/>
            <w:shd w:val="clear" w:color="auto" w:fill="CCEEFF"/>
          </w:tcPr>
          <w:p>
            <w:pPr>
              <w:ind w:left="20"/>
              <w:spacing w:after="0" w:line="270" w:lineRule="exact"/>
              <w:rPr>
                <w:sz w:val="20"/>
                <w:szCs w:val="20"/>
                <w:color w:val="auto"/>
              </w:rPr>
            </w:pPr>
            <w:r>
              <w:rPr>
                <w:rFonts w:ascii="Arial" w:cs="Arial" w:eastAsia="Arial" w:hAnsi="Arial"/>
                <w:sz w:val="20"/>
                <w:szCs w:val="20"/>
                <w:color w:val="auto"/>
              </w:rPr>
              <w:t>GAAP gross margin on net product sales</w:t>
            </w:r>
            <w:r>
              <w:rPr>
                <w:rFonts w:ascii="Arial" w:cs="Arial" w:eastAsia="Arial" w:hAnsi="Arial"/>
                <w:sz w:val="25"/>
                <w:szCs w:val="25"/>
                <w:color w:val="auto"/>
                <w:vertAlign w:val="superscript"/>
              </w:rPr>
              <w:t>(d)</w:t>
            </w:r>
          </w:p>
        </w:tc>
        <w:tc>
          <w:tcPr>
            <w:tcW w:w="22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84%–85%</w:t>
            </w:r>
          </w:p>
        </w:tc>
      </w:tr>
      <w:tr>
        <w:trPr>
          <w:trHeight w:val="270"/>
        </w:trPr>
        <w:tc>
          <w:tcPr>
            <w:tcW w:w="4660" w:type="dxa"/>
            <w:vAlign w:val="bottom"/>
          </w:tcPr>
          <w:p>
            <w:pPr>
              <w:ind w:left="20"/>
              <w:spacing w:after="0" w:line="270" w:lineRule="exact"/>
              <w:rPr>
                <w:sz w:val="20"/>
                <w:szCs w:val="20"/>
                <w:color w:val="auto"/>
              </w:rPr>
            </w:pPr>
            <w:r>
              <w:rPr>
                <w:rFonts w:ascii="Arial" w:cs="Arial" w:eastAsia="Arial" w:hAnsi="Arial"/>
                <w:sz w:val="20"/>
                <w:szCs w:val="20"/>
                <w:color w:val="auto"/>
              </w:rPr>
              <w:t>Non-GAAP gross margin on net product sales</w:t>
            </w:r>
            <w:r>
              <w:rPr>
                <w:rFonts w:ascii="Arial" w:cs="Arial" w:eastAsia="Arial" w:hAnsi="Arial"/>
                <w:sz w:val="25"/>
                <w:szCs w:val="25"/>
                <w:color w:val="auto"/>
                <w:vertAlign w:val="superscript"/>
              </w:rPr>
              <w:t>(a)(d)</w:t>
            </w:r>
          </w:p>
        </w:tc>
        <w:tc>
          <w:tcPr>
            <w:tcW w:w="2260" w:type="dxa"/>
            <w:vAlign w:val="bottom"/>
          </w:tcPr>
          <w:p>
            <w:pPr>
              <w:jc w:val="center"/>
              <w:spacing w:after="0"/>
              <w:rPr>
                <w:sz w:val="20"/>
                <w:szCs w:val="20"/>
                <w:color w:val="auto"/>
              </w:rPr>
            </w:pPr>
            <w:r>
              <w:rPr>
                <w:rFonts w:ascii="Arial" w:cs="Arial" w:eastAsia="Arial" w:hAnsi="Arial"/>
                <w:sz w:val="20"/>
                <w:szCs w:val="20"/>
                <w:color w:val="auto"/>
                <w:w w:val="98"/>
              </w:rPr>
              <w:t>87%–88%</w:t>
            </w:r>
          </w:p>
        </w:tc>
      </w:tr>
      <w:tr>
        <w:trPr>
          <w:trHeight w:val="270"/>
        </w:trPr>
        <w:tc>
          <w:tcPr>
            <w:tcW w:w="4660" w:type="dxa"/>
            <w:vAlign w:val="bottom"/>
            <w:shd w:val="clear" w:color="auto" w:fill="CCEEFF"/>
          </w:tcPr>
          <w:p>
            <w:pPr>
              <w:ind w:left="20"/>
              <w:spacing w:after="0" w:line="270" w:lineRule="exact"/>
              <w:rPr>
                <w:sz w:val="20"/>
                <w:szCs w:val="20"/>
                <w:color w:val="auto"/>
              </w:rPr>
            </w:pPr>
            <w:r>
              <w:rPr>
                <w:rFonts w:ascii="Arial" w:cs="Arial" w:eastAsia="Arial" w:hAnsi="Arial"/>
                <w:sz w:val="20"/>
                <w:szCs w:val="20"/>
                <w:color w:val="auto"/>
              </w:rPr>
              <w:t>COCM</w:t>
            </w:r>
            <w:r>
              <w:rPr>
                <w:rFonts w:ascii="Arial" w:cs="Arial" w:eastAsia="Arial" w:hAnsi="Arial"/>
                <w:sz w:val="25"/>
                <w:szCs w:val="25"/>
                <w:color w:val="auto"/>
                <w:vertAlign w:val="superscript"/>
              </w:rPr>
              <w:t>(e)*</w:t>
            </w:r>
          </w:p>
        </w:tc>
        <w:tc>
          <w:tcPr>
            <w:tcW w:w="22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$1.000–$1.150 billion</w:t>
            </w:r>
          </w:p>
        </w:tc>
      </w:tr>
      <w:tr>
        <w:trPr>
          <w:trHeight w:val="270"/>
        </w:trPr>
        <w:tc>
          <w:tcPr>
            <w:tcW w:w="4660" w:type="dxa"/>
            <w:vAlign w:val="bottom"/>
          </w:tcPr>
          <w:p>
            <w:pPr>
              <w:ind w:left="20"/>
              <w:spacing w:after="0" w:line="270" w:lineRule="exact"/>
              <w:rPr>
                <w:sz w:val="20"/>
                <w:szCs w:val="20"/>
                <w:color w:val="auto"/>
              </w:rPr>
            </w:pPr>
            <w:r>
              <w:rPr>
                <w:rFonts w:ascii="Arial" w:cs="Arial" w:eastAsia="Arial" w:hAnsi="Arial"/>
                <w:sz w:val="20"/>
                <w:szCs w:val="20"/>
                <w:color w:val="auto"/>
              </w:rPr>
              <w:t>Capital expenditures</w:t>
            </w:r>
            <w:r>
              <w:rPr>
                <w:rFonts w:ascii="Arial" w:cs="Arial" w:eastAsia="Arial" w:hAnsi="Arial"/>
                <w:sz w:val="25"/>
                <w:szCs w:val="25"/>
                <w:color w:val="auto"/>
                <w:vertAlign w:val="superscript"/>
              </w:rPr>
              <w:t>*</w:t>
            </w:r>
          </w:p>
        </w:tc>
        <w:tc>
          <w:tcPr>
            <w:tcW w:w="2260" w:type="dxa"/>
            <w:vAlign w:val="bottom"/>
          </w:tcPr>
          <w:p>
            <w:pPr>
              <w:jc w:val="center"/>
              <w:spacing w:after="0"/>
              <w:rPr>
                <w:sz w:val="20"/>
                <w:szCs w:val="20"/>
                <w:color w:val="auto"/>
              </w:rPr>
            </w:pPr>
            <w:r>
              <w:rPr>
                <w:rFonts w:ascii="Arial" w:cs="Arial" w:eastAsia="Arial" w:hAnsi="Arial"/>
                <w:sz w:val="20"/>
                <w:szCs w:val="20"/>
                <w:color w:val="auto"/>
                <w:w w:val="98"/>
              </w:rPr>
              <w:t>$850–$975 million</w:t>
            </w:r>
          </w:p>
        </w:tc>
      </w:tr>
      <w:tr>
        <w:trPr>
          <w:trHeight w:val="270"/>
        </w:trPr>
        <w:tc>
          <w:tcPr>
            <w:tcW w:w="466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effective tax rate</w:t>
            </w:r>
          </w:p>
        </w:tc>
        <w:tc>
          <w:tcPr>
            <w:tcW w:w="22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7"/>
              </w:rPr>
              <w:t>9%–11%</w:t>
            </w:r>
          </w:p>
        </w:tc>
      </w:tr>
      <w:tr>
        <w:trPr>
          <w:trHeight w:val="343"/>
        </w:trPr>
        <w:tc>
          <w:tcPr>
            <w:tcW w:w="4660" w:type="dxa"/>
            <w:vAlign w:val="bottom"/>
          </w:tcPr>
          <w:p>
            <w:pPr>
              <w:ind w:left="20"/>
              <w:spacing w:after="0"/>
              <w:rPr>
                <w:sz w:val="20"/>
                <w:szCs w:val="20"/>
                <w:color w:val="auto"/>
              </w:rPr>
            </w:pPr>
            <w:r>
              <w:rPr>
                <w:rFonts w:ascii="Arial" w:cs="Arial" w:eastAsia="Arial" w:hAnsi="Arial"/>
                <w:sz w:val="20"/>
                <w:szCs w:val="20"/>
                <w:color w:val="auto"/>
              </w:rPr>
              <w:t>Non-GAAP effective tax rate</w:t>
            </w:r>
            <w:r>
              <w:rPr>
                <w:rFonts w:ascii="Arial" w:cs="Arial" w:eastAsia="Arial" w:hAnsi="Arial"/>
                <w:sz w:val="25"/>
                <w:szCs w:val="25"/>
                <w:color w:val="auto"/>
                <w:vertAlign w:val="superscript"/>
              </w:rPr>
              <w:t>(a)</w:t>
            </w:r>
          </w:p>
        </w:tc>
        <w:tc>
          <w:tcPr>
            <w:tcW w:w="2260" w:type="dxa"/>
            <w:vAlign w:val="bottom"/>
          </w:tcPr>
          <w:p>
            <w:pPr>
              <w:jc w:val="center"/>
              <w:spacing w:after="0"/>
              <w:rPr>
                <w:sz w:val="20"/>
                <w:szCs w:val="20"/>
                <w:color w:val="auto"/>
              </w:rPr>
            </w:pPr>
            <w:r>
              <w:rPr>
                <w:rFonts w:ascii="Arial" w:cs="Arial" w:eastAsia="Arial" w:hAnsi="Arial"/>
                <w:sz w:val="20"/>
                <w:szCs w:val="20"/>
                <w:color w:val="auto"/>
                <w:w w:val="96"/>
              </w:rPr>
              <w:t>11%–13%</w:t>
            </w:r>
          </w:p>
        </w:tc>
      </w:tr>
    </w:tbl>
    <w:p>
      <w:pPr>
        <w:spacing w:after="0" w:line="34" w:lineRule="exact"/>
        <w:rPr>
          <w:sz w:val="20"/>
          <w:szCs w:val="20"/>
          <w:color w:val="auto"/>
        </w:rPr>
      </w:pPr>
    </w:p>
    <w:p>
      <w:pPr>
        <w:ind w:left="180" w:right="4400" w:firstLine="8"/>
        <w:spacing w:after="0" w:line="239" w:lineRule="auto"/>
        <w:tabs>
          <w:tab w:leader="none" w:pos="295" w:val="left"/>
        </w:tabs>
        <w:numPr>
          <w:ilvl w:val="0"/>
          <w:numId w:val="13"/>
        </w:numPr>
        <w:rPr>
          <w:rFonts w:ascii="Arial" w:cs="Arial" w:eastAsia="Arial" w:hAnsi="Arial"/>
          <w:sz w:val="18"/>
          <w:szCs w:val="18"/>
          <w:color w:val="auto"/>
        </w:rPr>
      </w:pPr>
      <w:r>
        <w:rPr>
          <w:rFonts w:ascii="Arial" w:cs="Arial" w:eastAsia="Arial" w:hAnsi="Arial"/>
          <w:sz w:val="16"/>
          <w:szCs w:val="16"/>
          <w:color w:val="auto"/>
        </w:rPr>
        <w:t>GAAP and non-GAAP amounts are equivalent as no non-GAAP adjustments have been or are expected to be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80"/>
          </w:cols>
          <w:pgMar w:left="320" w:top="1045" w:right="39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A reconciliation of full year 2025 GAAP to non-GAAP financial guidance is included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3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in millions)</w:t>
            </w:r>
          </w:p>
        </w:tc>
        <w:tc>
          <w:tcPr>
            <w:tcW w:w="600" w:type="dxa"/>
            <w:vAlign w:val="bottom"/>
            <w:tcBorders>
              <w:bottom w:val="single" w:sz="8" w:color="auto"/>
            </w:tcBorders>
          </w:tcPr>
          <w:p>
            <w:pPr>
              <w:spacing w:after="0"/>
              <w:rPr>
                <w:sz w:val="23"/>
                <w:szCs w:val="23"/>
                <w:color w:val="auto"/>
              </w:rPr>
            </w:pPr>
          </w:p>
        </w:tc>
        <w:tc>
          <w:tcPr>
            <w:tcW w:w="2920" w:type="dxa"/>
            <w:vAlign w:val="bottom"/>
            <w:tcBorders>
              <w:bottom w:val="single" w:sz="8" w:color="auto"/>
            </w:tcBorders>
            <w:gridSpan w:val="3"/>
          </w:tcPr>
          <w:p>
            <w:pPr>
              <w:jc w:val="right"/>
              <w:ind w:right="61"/>
              <w:spacing w:after="0"/>
              <w:rPr>
                <w:sz w:val="20"/>
                <w:szCs w:val="20"/>
                <w:color w:val="auto"/>
              </w:rPr>
            </w:pPr>
            <w:r>
              <w:rPr>
                <w:rFonts w:ascii="Arial" w:cs="Arial" w:eastAsia="Arial" w:hAnsi="Arial"/>
                <w:sz w:val="20"/>
                <w:szCs w:val="20"/>
                <w:b w:val="1"/>
                <w:bCs w:val="1"/>
                <w:color w:val="auto"/>
              </w:rPr>
              <w:t>Projected Range</w:t>
            </w:r>
          </w:p>
        </w:tc>
        <w:tc>
          <w:tcPr>
            <w:tcW w:w="16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340" w:type="dxa"/>
            <w:vAlign w:val="bottom"/>
            <w:vMerge w:val="continue"/>
          </w:tcPr>
          <w:p>
            <w:pPr>
              <w:spacing w:after="0"/>
              <w:rPr>
                <w:sz w:val="21"/>
                <w:szCs w:val="21"/>
                <w:color w:val="auto"/>
              </w:rPr>
            </w:pPr>
          </w:p>
        </w:tc>
        <w:tc>
          <w:tcPr>
            <w:tcW w:w="600" w:type="dxa"/>
            <w:vAlign w:val="bottom"/>
          </w:tcPr>
          <w:p>
            <w:pPr>
              <w:spacing w:after="0"/>
              <w:rPr>
                <w:sz w:val="21"/>
                <w:szCs w:val="21"/>
                <w:color w:val="auto"/>
              </w:rPr>
            </w:pPr>
          </w:p>
        </w:tc>
        <w:tc>
          <w:tcPr>
            <w:tcW w:w="2040" w:type="dxa"/>
            <w:vAlign w:val="bottom"/>
            <w:gridSpan w:val="2"/>
          </w:tcPr>
          <w:p>
            <w:pPr>
              <w:ind w:left="460"/>
              <w:spacing w:after="0"/>
              <w:rPr>
                <w:sz w:val="20"/>
                <w:szCs w:val="20"/>
                <w:color w:val="auto"/>
              </w:rPr>
            </w:pPr>
            <w:r>
              <w:rPr>
                <w:rFonts w:ascii="Arial" w:cs="Arial" w:eastAsia="Arial" w:hAnsi="Arial"/>
                <w:sz w:val="20"/>
                <w:szCs w:val="20"/>
                <w:b w:val="1"/>
                <w:bCs w:val="1"/>
                <w:color w:val="auto"/>
              </w:rPr>
              <w:t>Low</w:t>
            </w:r>
          </w:p>
        </w:tc>
        <w:tc>
          <w:tcPr>
            <w:tcW w:w="880" w:type="dxa"/>
            <w:vAlign w:val="bottom"/>
          </w:tcPr>
          <w:p>
            <w:pPr>
              <w:spacing w:after="0"/>
              <w:rPr>
                <w:sz w:val="21"/>
                <w:szCs w:val="21"/>
                <w:color w:val="auto"/>
              </w:rPr>
            </w:pPr>
          </w:p>
        </w:tc>
        <w:tc>
          <w:tcPr>
            <w:tcW w:w="1640" w:type="dxa"/>
            <w:vAlign w:val="bottom"/>
          </w:tcPr>
          <w:p>
            <w:pPr>
              <w:jc w:val="right"/>
              <w:ind w:right="941"/>
              <w:spacing w:after="0"/>
              <w:rPr>
                <w:sz w:val="20"/>
                <w:szCs w:val="20"/>
                <w:color w:val="auto"/>
              </w:rPr>
            </w:pPr>
            <w:r>
              <w:rPr>
                <w:rFonts w:ascii="Arial" w:cs="Arial" w:eastAsia="Arial" w:hAnsi="Arial"/>
                <w:sz w:val="20"/>
                <w:szCs w:val="20"/>
                <w:b w:val="1"/>
                <w:bCs w:val="1"/>
                <w:color w:val="auto"/>
              </w:rPr>
              <w:t>High</w:t>
            </w:r>
          </w:p>
        </w:tc>
        <w:tc>
          <w:tcPr>
            <w:tcW w:w="0" w:type="dxa"/>
            <w:vAlign w:val="bottom"/>
          </w:tcPr>
          <w:p>
            <w:pPr>
              <w:spacing w:after="0"/>
              <w:rPr>
                <w:sz w:val="1"/>
                <w:szCs w:val="1"/>
                <w:color w:val="auto"/>
              </w:rPr>
            </w:pPr>
          </w:p>
        </w:tc>
      </w:tr>
      <w:tr>
        <w:trPr>
          <w:trHeight w:val="250"/>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GAAP R&amp;D</w:t>
            </w:r>
          </w:p>
        </w:tc>
        <w:tc>
          <w:tcPr>
            <w:tcW w:w="600" w:type="dxa"/>
            <w:vAlign w:val="bottom"/>
            <w:tcBorders>
              <w:top w:val="single" w:sz="8" w:color="auto"/>
            </w:tcBorders>
            <w:shd w:val="clear" w:color="auto" w:fill="CCEEFF"/>
          </w:tcPr>
          <w:p>
            <w:pPr>
              <w:jc w:val="right"/>
              <w:ind w:right="381"/>
              <w:spacing w:after="0"/>
              <w:rPr>
                <w:sz w:val="20"/>
                <w:szCs w:val="20"/>
                <w:color w:val="auto"/>
              </w:rPr>
            </w:pPr>
            <w:r>
              <w:rPr>
                <w:rFonts w:ascii="Arial" w:cs="Arial" w:eastAsia="Arial" w:hAnsi="Arial"/>
                <w:sz w:val="20"/>
                <w:szCs w:val="20"/>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5,560</w:t>
            </w:r>
          </w:p>
        </w:tc>
        <w:tc>
          <w:tcPr>
            <w:tcW w:w="120" w:type="dxa"/>
            <w:vAlign w:val="bottom"/>
            <w:tcBorders>
              <w:top w:val="single" w:sz="8" w:color="CCEEFF"/>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jc w:val="right"/>
              <w:ind w:right="661"/>
              <w:spacing w:after="0"/>
              <w:rPr>
                <w:sz w:val="20"/>
                <w:szCs w:val="20"/>
                <w:color w:val="auto"/>
              </w:rPr>
            </w:pPr>
            <w:r>
              <w:rPr>
                <w:rFonts w:ascii="Arial" w:cs="Arial" w:eastAsia="Arial" w:hAnsi="Arial"/>
                <w:sz w:val="20"/>
                <w:szCs w:val="20"/>
                <w:color w:val="auto"/>
                <w:w w:val="8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5,795</w:t>
            </w:r>
          </w:p>
        </w:tc>
        <w:tc>
          <w:tcPr>
            <w:tcW w:w="0" w:type="dxa"/>
            <w:vAlign w:val="bottom"/>
          </w:tcPr>
          <w:p>
            <w:pPr>
              <w:spacing w:after="0"/>
              <w:rPr>
                <w:sz w:val="1"/>
                <w:szCs w:val="1"/>
                <w:color w:val="auto"/>
              </w:rPr>
            </w:pPr>
          </w:p>
        </w:tc>
      </w:tr>
      <w:tr>
        <w:trPr>
          <w:trHeight w:val="257"/>
        </w:trPr>
        <w:tc>
          <w:tcPr>
            <w:tcW w:w="5340" w:type="dxa"/>
            <w:vAlign w:val="bottom"/>
          </w:tcPr>
          <w:p>
            <w:pPr>
              <w:ind w:left="220"/>
              <w:spacing w:after="0"/>
              <w:rPr>
                <w:sz w:val="20"/>
                <w:szCs w:val="20"/>
                <w:color w:val="auto"/>
              </w:rPr>
            </w:pPr>
            <w:r>
              <w:rPr>
                <w:rFonts w:ascii="Arial" w:cs="Arial" w:eastAsia="Arial" w:hAnsi="Arial"/>
                <w:sz w:val="20"/>
                <w:szCs w:val="20"/>
                <w:color w:val="auto"/>
              </w:rPr>
              <w:t>Stock-based compensation expense</w:t>
            </w:r>
          </w:p>
        </w:tc>
        <w:tc>
          <w:tcPr>
            <w:tcW w:w="60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Arial" w:cs="Arial" w:eastAsia="Arial" w:hAnsi="Arial"/>
                <w:sz w:val="20"/>
                <w:szCs w:val="20"/>
                <w:color w:val="auto"/>
              </w:rPr>
              <w:t>560</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590</w:t>
            </w: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220"/>
              <w:spacing w:after="0"/>
              <w:rPr>
                <w:sz w:val="20"/>
                <w:szCs w:val="20"/>
                <w:color w:val="auto"/>
              </w:rPr>
            </w:pPr>
            <w:r>
              <w:rPr>
                <w:rFonts w:ascii="Arial" w:cs="Arial" w:eastAsia="Arial" w:hAnsi="Arial"/>
                <w:sz w:val="20"/>
                <w:szCs w:val="20"/>
                <w:color w:val="auto"/>
              </w:rPr>
              <w:t>Acquisition and integration costs</w:t>
            </w:r>
          </w:p>
        </w:tc>
        <w:tc>
          <w:tcPr>
            <w:tcW w:w="600" w:type="dxa"/>
            <w:vAlign w:val="bottom"/>
            <w:shd w:val="clear" w:color="auto" w:fill="CCEEFF"/>
          </w:tcPr>
          <w:p>
            <w:pPr>
              <w:spacing w:after="0"/>
              <w:rPr>
                <w:sz w:val="22"/>
                <w:szCs w:val="22"/>
                <w:color w:val="auto"/>
              </w:rPr>
            </w:pPr>
          </w:p>
        </w:tc>
        <w:tc>
          <w:tcPr>
            <w:tcW w:w="204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w:t>
            </w:r>
          </w:p>
        </w:tc>
        <w:tc>
          <w:tcPr>
            <w:tcW w:w="88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50"/>
        </w:trPr>
        <w:tc>
          <w:tcPr>
            <w:tcW w:w="5340" w:type="dxa"/>
            <w:vAlign w:val="bottom"/>
          </w:tcPr>
          <w:p>
            <w:pPr>
              <w:ind w:left="20"/>
              <w:spacing w:after="0"/>
              <w:rPr>
                <w:sz w:val="20"/>
                <w:szCs w:val="20"/>
                <w:color w:val="auto"/>
              </w:rPr>
            </w:pPr>
            <w:r>
              <w:rPr>
                <w:rFonts w:ascii="Arial" w:cs="Arial" w:eastAsia="Arial" w:hAnsi="Arial"/>
                <w:sz w:val="20"/>
                <w:szCs w:val="20"/>
                <w:color w:val="auto"/>
              </w:rPr>
              <w:t>Non-GAAP R&amp;D</w:t>
            </w:r>
          </w:p>
        </w:tc>
        <w:tc>
          <w:tcPr>
            <w:tcW w:w="600" w:type="dxa"/>
            <w:vAlign w:val="bottom"/>
            <w:tcBorders>
              <w:top w:val="single" w:sz="8" w:color="auto"/>
            </w:tcBorders>
          </w:tcPr>
          <w:p>
            <w:pPr>
              <w:jc w:val="right"/>
              <w:ind w:right="381"/>
              <w:spacing w:after="0"/>
              <w:rPr>
                <w:sz w:val="20"/>
                <w:szCs w:val="20"/>
                <w:color w:val="auto"/>
              </w:rPr>
            </w:pPr>
            <w:r>
              <w:rPr>
                <w:rFonts w:ascii="Arial" w:cs="Arial" w:eastAsia="Arial" w:hAnsi="Arial"/>
                <w:sz w:val="20"/>
                <w:szCs w:val="20"/>
                <w:color w:val="auto"/>
                <w:w w:val="89"/>
              </w:rPr>
              <w:t>$</w:t>
            </w: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5,000</w:t>
            </w:r>
          </w:p>
        </w:tc>
        <w:tc>
          <w:tcPr>
            <w:tcW w:w="120" w:type="dxa"/>
            <w:vAlign w:val="bottom"/>
          </w:tcPr>
          <w:p>
            <w:pPr>
              <w:spacing w:after="0"/>
              <w:rPr>
                <w:sz w:val="21"/>
                <w:szCs w:val="21"/>
                <w:color w:val="auto"/>
              </w:rPr>
            </w:pPr>
          </w:p>
        </w:tc>
        <w:tc>
          <w:tcPr>
            <w:tcW w:w="880" w:type="dxa"/>
            <w:vAlign w:val="bottom"/>
            <w:tcBorders>
              <w:top w:val="single" w:sz="8" w:color="auto"/>
            </w:tcBorders>
          </w:tcPr>
          <w:p>
            <w:pPr>
              <w:jc w:val="right"/>
              <w:ind w:right="661"/>
              <w:spacing w:after="0"/>
              <w:rPr>
                <w:sz w:val="20"/>
                <w:szCs w:val="20"/>
                <w:color w:val="auto"/>
              </w:rPr>
            </w:pPr>
            <w:r>
              <w:rPr>
                <w:rFonts w:ascii="Arial" w:cs="Arial" w:eastAsia="Arial" w:hAnsi="Arial"/>
                <w:sz w:val="20"/>
                <w:szCs w:val="20"/>
                <w:color w:val="auto"/>
                <w:w w:val="89"/>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5,200</w:t>
            </w:r>
          </w:p>
        </w:tc>
        <w:tc>
          <w:tcPr>
            <w:tcW w:w="0" w:type="dxa"/>
            <w:vAlign w:val="bottom"/>
          </w:tcPr>
          <w:p>
            <w:pPr>
              <w:spacing w:after="0"/>
              <w:rPr>
                <w:sz w:val="1"/>
                <w:szCs w:val="1"/>
                <w:color w:val="auto"/>
              </w:rPr>
            </w:pPr>
          </w:p>
        </w:tc>
      </w:tr>
      <w:tr>
        <w:trPr>
          <w:trHeight w:val="270"/>
        </w:trPr>
        <w:tc>
          <w:tcPr>
            <w:tcW w:w="53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340" w:type="dxa"/>
            <w:vAlign w:val="bottom"/>
          </w:tcPr>
          <w:p>
            <w:pPr>
              <w:ind w:left="20"/>
              <w:spacing w:after="0"/>
              <w:rPr>
                <w:sz w:val="20"/>
                <w:szCs w:val="20"/>
                <w:color w:val="auto"/>
              </w:rPr>
            </w:pPr>
            <w:r>
              <w:rPr>
                <w:rFonts w:ascii="Arial" w:cs="Arial" w:eastAsia="Arial" w:hAnsi="Arial"/>
                <w:sz w:val="20"/>
                <w:szCs w:val="20"/>
                <w:color w:val="auto"/>
              </w:rPr>
              <w:t>GAAP SG&amp;A</w:t>
            </w:r>
          </w:p>
        </w:tc>
        <w:tc>
          <w:tcPr>
            <w:tcW w:w="600" w:type="dxa"/>
            <w:vAlign w:val="bottom"/>
          </w:tcPr>
          <w:p>
            <w:pPr>
              <w:jc w:val="right"/>
              <w:ind w:right="381"/>
              <w:spacing w:after="0"/>
              <w:rPr>
                <w:sz w:val="20"/>
                <w:szCs w:val="20"/>
                <w:color w:val="auto"/>
              </w:rPr>
            </w:pPr>
            <w:r>
              <w:rPr>
                <w:rFonts w:ascii="Arial" w:cs="Arial" w:eastAsia="Arial" w:hAnsi="Arial"/>
                <w:sz w:val="20"/>
                <w:szCs w:val="20"/>
                <w:color w:val="auto"/>
                <w:w w:val="89"/>
              </w:rPr>
              <w:t>$</w:t>
            </w:r>
          </w:p>
        </w:tc>
        <w:tc>
          <w:tcPr>
            <w:tcW w:w="1920" w:type="dxa"/>
            <w:vAlign w:val="bottom"/>
          </w:tcPr>
          <w:p>
            <w:pPr>
              <w:jc w:val="right"/>
              <w:spacing w:after="0"/>
              <w:rPr>
                <w:sz w:val="20"/>
                <w:szCs w:val="20"/>
                <w:color w:val="auto"/>
              </w:rPr>
            </w:pPr>
            <w:r>
              <w:rPr>
                <w:rFonts w:ascii="Arial" w:cs="Arial" w:eastAsia="Arial" w:hAnsi="Arial"/>
                <w:sz w:val="20"/>
                <w:szCs w:val="20"/>
                <w:color w:val="auto"/>
              </w:rPr>
              <w:t>2,910</w:t>
            </w:r>
          </w:p>
        </w:tc>
        <w:tc>
          <w:tcPr>
            <w:tcW w:w="120" w:type="dxa"/>
            <w:vAlign w:val="bottom"/>
          </w:tcPr>
          <w:p>
            <w:pPr>
              <w:spacing w:after="0"/>
              <w:rPr>
                <w:sz w:val="22"/>
                <w:szCs w:val="22"/>
                <w:color w:val="auto"/>
              </w:rPr>
            </w:pPr>
          </w:p>
        </w:tc>
        <w:tc>
          <w:tcPr>
            <w:tcW w:w="880" w:type="dxa"/>
            <w:vAlign w:val="bottom"/>
          </w:tcPr>
          <w:p>
            <w:pPr>
              <w:jc w:val="right"/>
              <w:ind w:right="661"/>
              <w:spacing w:after="0"/>
              <w:rPr>
                <w:sz w:val="20"/>
                <w:szCs w:val="20"/>
                <w:color w:val="auto"/>
              </w:rPr>
            </w:pPr>
            <w:r>
              <w:rPr>
                <w:rFonts w:ascii="Arial" w:cs="Arial" w:eastAsia="Arial" w:hAnsi="Arial"/>
                <w:sz w:val="20"/>
                <w:szCs w:val="20"/>
                <w:color w:val="auto"/>
                <w:w w:val="89"/>
              </w:rPr>
              <w:t>$</w:t>
            </w:r>
          </w:p>
        </w:tc>
        <w:tc>
          <w:tcPr>
            <w:tcW w:w="1640" w:type="dxa"/>
            <w:vAlign w:val="bottom"/>
          </w:tcPr>
          <w:p>
            <w:pPr>
              <w:jc w:val="right"/>
              <w:spacing w:after="0"/>
              <w:rPr>
                <w:sz w:val="20"/>
                <w:szCs w:val="20"/>
                <w:color w:val="auto"/>
              </w:rPr>
            </w:pPr>
            <w:r>
              <w:rPr>
                <w:rFonts w:ascii="Arial" w:cs="Arial" w:eastAsia="Arial" w:hAnsi="Arial"/>
                <w:sz w:val="20"/>
                <w:szCs w:val="20"/>
                <w:color w:val="auto"/>
              </w:rPr>
              <w:t>3,095</w:t>
            </w: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220"/>
              <w:spacing w:after="0"/>
              <w:rPr>
                <w:sz w:val="20"/>
                <w:szCs w:val="20"/>
                <w:color w:val="auto"/>
              </w:rPr>
            </w:pPr>
            <w:r>
              <w:rPr>
                <w:rFonts w:ascii="Arial" w:cs="Arial" w:eastAsia="Arial" w:hAnsi="Arial"/>
                <w:sz w:val="20"/>
                <w:szCs w:val="20"/>
                <w:color w:val="auto"/>
              </w:rPr>
              <w:t>Stock-based compensation expense</w:t>
            </w:r>
          </w:p>
        </w:tc>
        <w:tc>
          <w:tcPr>
            <w:tcW w:w="60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360</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390</w:t>
            </w:r>
          </w:p>
        </w:tc>
        <w:tc>
          <w:tcPr>
            <w:tcW w:w="0" w:type="dxa"/>
            <w:vAlign w:val="bottom"/>
          </w:tcPr>
          <w:p>
            <w:pPr>
              <w:spacing w:after="0"/>
              <w:rPr>
                <w:sz w:val="1"/>
                <w:szCs w:val="1"/>
                <w:color w:val="auto"/>
              </w:rPr>
            </w:pPr>
          </w:p>
        </w:tc>
      </w:tr>
      <w:tr>
        <w:trPr>
          <w:trHeight w:val="257"/>
        </w:trPr>
        <w:tc>
          <w:tcPr>
            <w:tcW w:w="5340" w:type="dxa"/>
            <w:vAlign w:val="bottom"/>
          </w:tcPr>
          <w:p>
            <w:pPr>
              <w:ind w:left="220"/>
              <w:spacing w:after="0"/>
              <w:rPr>
                <w:sz w:val="20"/>
                <w:szCs w:val="20"/>
                <w:color w:val="auto"/>
              </w:rPr>
            </w:pPr>
            <w:r>
              <w:rPr>
                <w:rFonts w:ascii="Arial" w:cs="Arial" w:eastAsia="Arial" w:hAnsi="Arial"/>
                <w:sz w:val="20"/>
                <w:szCs w:val="20"/>
                <w:color w:val="auto"/>
              </w:rPr>
              <w:t>Acquisition and integration costs</w:t>
            </w:r>
          </w:p>
        </w:tc>
        <w:tc>
          <w:tcPr>
            <w:tcW w:w="600" w:type="dxa"/>
            <w:vAlign w:val="bottom"/>
          </w:tcPr>
          <w:p>
            <w:pPr>
              <w:spacing w:after="0"/>
              <w:rPr>
                <w:sz w:val="22"/>
                <w:szCs w:val="22"/>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88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50"/>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Non-GAAP SG&amp;A</w:t>
            </w:r>
          </w:p>
        </w:tc>
        <w:tc>
          <w:tcPr>
            <w:tcW w:w="600" w:type="dxa"/>
            <w:vAlign w:val="bottom"/>
            <w:tcBorders>
              <w:top w:val="single" w:sz="8" w:color="auto"/>
            </w:tcBorders>
            <w:shd w:val="clear" w:color="auto" w:fill="CCEEFF"/>
          </w:tcPr>
          <w:p>
            <w:pPr>
              <w:jc w:val="right"/>
              <w:ind w:right="381"/>
              <w:spacing w:after="0"/>
              <w:rPr>
                <w:sz w:val="20"/>
                <w:szCs w:val="20"/>
                <w:color w:val="auto"/>
              </w:rPr>
            </w:pPr>
            <w:r>
              <w:rPr>
                <w:rFonts w:ascii="Arial" w:cs="Arial" w:eastAsia="Arial" w:hAnsi="Arial"/>
                <w:sz w:val="20"/>
                <w:szCs w:val="20"/>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2,550</w:t>
            </w:r>
          </w:p>
        </w:tc>
        <w:tc>
          <w:tcPr>
            <w:tcW w:w="120" w:type="dxa"/>
            <w:vAlign w:val="bottom"/>
            <w:tcBorders>
              <w:top w:val="single" w:sz="8" w:color="CCEEFF"/>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jc w:val="right"/>
              <w:ind w:right="661"/>
              <w:spacing w:after="0"/>
              <w:rPr>
                <w:sz w:val="20"/>
                <w:szCs w:val="20"/>
                <w:color w:val="auto"/>
              </w:rPr>
            </w:pPr>
            <w:r>
              <w:rPr>
                <w:rFonts w:ascii="Arial" w:cs="Arial" w:eastAsia="Arial" w:hAnsi="Arial"/>
                <w:sz w:val="20"/>
                <w:szCs w:val="20"/>
                <w:color w:val="auto"/>
                <w:w w:val="8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2,700</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gross margin on net product sales</w:t>
            </w:r>
          </w:p>
        </w:tc>
        <w:tc>
          <w:tcPr>
            <w:tcW w:w="600" w:type="dxa"/>
            <w:vAlign w:val="bottom"/>
            <w:shd w:val="clear" w:color="auto" w:fill="CCEEFF"/>
          </w:tcPr>
          <w:p>
            <w:pPr>
              <w:spacing w:after="0"/>
              <w:rPr>
                <w:sz w:val="22"/>
                <w:szCs w:val="22"/>
                <w:color w:val="auto"/>
              </w:rPr>
            </w:pPr>
          </w:p>
        </w:tc>
        <w:tc>
          <w:tcPr>
            <w:tcW w:w="19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84%</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85%</w:t>
            </w:r>
          </w:p>
        </w:tc>
        <w:tc>
          <w:tcPr>
            <w:tcW w:w="0" w:type="dxa"/>
            <w:vAlign w:val="bottom"/>
          </w:tcPr>
          <w:p>
            <w:pPr>
              <w:spacing w:after="0"/>
              <w:rPr>
                <w:sz w:val="1"/>
                <w:szCs w:val="1"/>
                <w:color w:val="auto"/>
              </w:rPr>
            </w:pPr>
          </w:p>
        </w:tc>
      </w:tr>
      <w:tr>
        <w:trPr>
          <w:trHeight w:val="256"/>
        </w:trPr>
        <w:tc>
          <w:tcPr>
            <w:tcW w:w="5340" w:type="dxa"/>
            <w:vAlign w:val="bottom"/>
          </w:tcPr>
          <w:p>
            <w:pPr>
              <w:ind w:left="220"/>
              <w:spacing w:after="0"/>
              <w:rPr>
                <w:sz w:val="20"/>
                <w:szCs w:val="20"/>
                <w:color w:val="auto"/>
              </w:rPr>
            </w:pPr>
            <w:r>
              <w:rPr>
                <w:rFonts w:ascii="Arial" w:cs="Arial" w:eastAsia="Arial" w:hAnsi="Arial"/>
                <w:sz w:val="20"/>
                <w:szCs w:val="20"/>
                <w:color w:val="auto"/>
              </w:rPr>
              <w:t>Intangible asset amortization expense</w:t>
            </w:r>
          </w:p>
        </w:tc>
        <w:tc>
          <w:tcPr>
            <w:tcW w:w="600" w:type="dxa"/>
            <w:vAlign w:val="bottom"/>
          </w:tcPr>
          <w:p>
            <w:pPr>
              <w:spacing w:after="0"/>
              <w:rPr>
                <w:sz w:val="22"/>
                <w:szCs w:val="22"/>
                <w:color w:val="auto"/>
              </w:rPr>
            </w:pPr>
          </w:p>
        </w:tc>
        <w:tc>
          <w:tcPr>
            <w:tcW w:w="1920" w:type="dxa"/>
            <w:vAlign w:val="bottom"/>
          </w:tcPr>
          <w:p>
            <w:pPr>
              <w:jc w:val="right"/>
              <w:ind w:right="21"/>
              <w:spacing w:after="0"/>
              <w:rPr>
                <w:sz w:val="20"/>
                <w:szCs w:val="20"/>
                <w:color w:val="auto"/>
              </w:rPr>
            </w:pPr>
            <w:r>
              <w:rPr>
                <w:rFonts w:ascii="Arial" w:cs="Arial" w:eastAsia="Arial" w:hAnsi="Arial"/>
                <w:sz w:val="20"/>
                <w:szCs w:val="20"/>
                <w:color w:val="auto"/>
              </w:rPr>
              <w:t>2%</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jc w:val="right"/>
              <w:ind w:right="21"/>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220"/>
              <w:spacing w:after="0"/>
              <w:rPr>
                <w:sz w:val="20"/>
                <w:szCs w:val="20"/>
                <w:color w:val="auto"/>
              </w:rPr>
            </w:pPr>
            <w:r>
              <w:rPr>
                <w:rFonts w:ascii="Arial" w:cs="Arial" w:eastAsia="Arial" w:hAnsi="Arial"/>
                <w:sz w:val="20"/>
                <w:szCs w:val="20"/>
                <w:color w:val="auto"/>
              </w:rPr>
              <w:t>Stock-based compensation expense</w:t>
            </w:r>
          </w:p>
        </w:tc>
        <w:tc>
          <w:tcPr>
            <w:tcW w:w="600" w:type="dxa"/>
            <w:vAlign w:val="bottom"/>
            <w:tcBorders>
              <w:bottom w:val="single" w:sz="8" w:color="auto"/>
            </w:tcBorders>
            <w:shd w:val="clear" w:color="auto" w:fill="CCEEFF"/>
          </w:tcPr>
          <w:p>
            <w:pPr>
              <w:spacing w:after="0"/>
              <w:rPr>
                <w:sz w:val="22"/>
                <w:szCs w:val="22"/>
                <w:color w:val="auto"/>
              </w:rPr>
            </w:pPr>
          </w:p>
        </w:tc>
        <w:tc>
          <w:tcPr>
            <w:tcW w:w="19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w:t>
            </w:r>
          </w:p>
        </w:tc>
        <w:tc>
          <w:tcPr>
            <w:tcW w:w="120" w:type="dxa"/>
            <w:vAlign w:val="bottom"/>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Non-GAAP gross margin on net product sales</w:t>
            </w:r>
          </w:p>
        </w:tc>
        <w:tc>
          <w:tcPr>
            <w:tcW w:w="60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87%</w:t>
            </w:r>
          </w:p>
        </w:tc>
        <w:tc>
          <w:tcPr>
            <w:tcW w:w="12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88%</w:t>
            </w:r>
          </w:p>
        </w:tc>
        <w:tc>
          <w:tcPr>
            <w:tcW w:w="0" w:type="dxa"/>
            <w:vAlign w:val="bottom"/>
          </w:tcPr>
          <w:p>
            <w:pPr>
              <w:spacing w:after="0"/>
              <w:rPr>
                <w:sz w:val="1"/>
                <w:szCs w:val="1"/>
                <w:color w:val="auto"/>
              </w:rPr>
            </w:pPr>
          </w:p>
        </w:tc>
      </w:tr>
      <w:tr>
        <w:trPr>
          <w:trHeight w:val="250"/>
        </w:trPr>
        <w:tc>
          <w:tcPr>
            <w:tcW w:w="53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340" w:type="dxa"/>
            <w:vAlign w:val="bottom"/>
          </w:tcPr>
          <w:p>
            <w:pPr>
              <w:ind w:left="20"/>
              <w:spacing w:after="0"/>
              <w:rPr>
                <w:sz w:val="20"/>
                <w:szCs w:val="20"/>
                <w:color w:val="auto"/>
              </w:rPr>
            </w:pPr>
            <w:r>
              <w:rPr>
                <w:rFonts w:ascii="Arial" w:cs="Arial" w:eastAsia="Arial" w:hAnsi="Arial"/>
                <w:sz w:val="20"/>
                <w:szCs w:val="20"/>
                <w:color w:val="auto"/>
              </w:rPr>
              <w:t>GAAP ETR</w:t>
            </w:r>
          </w:p>
        </w:tc>
        <w:tc>
          <w:tcPr>
            <w:tcW w:w="600" w:type="dxa"/>
            <w:vAlign w:val="bottom"/>
          </w:tcPr>
          <w:p>
            <w:pPr>
              <w:spacing w:after="0"/>
              <w:rPr>
                <w:sz w:val="22"/>
                <w:szCs w:val="22"/>
                <w:color w:val="auto"/>
              </w:rPr>
            </w:pPr>
          </w:p>
        </w:tc>
        <w:tc>
          <w:tcPr>
            <w:tcW w:w="1920" w:type="dxa"/>
            <w:vAlign w:val="bottom"/>
          </w:tcPr>
          <w:p>
            <w:pPr>
              <w:jc w:val="right"/>
              <w:ind w:right="21"/>
              <w:spacing w:after="0"/>
              <w:rPr>
                <w:sz w:val="20"/>
                <w:szCs w:val="20"/>
                <w:color w:val="auto"/>
              </w:rPr>
            </w:pPr>
            <w:r>
              <w:rPr>
                <w:rFonts w:ascii="Arial" w:cs="Arial" w:eastAsia="Arial" w:hAnsi="Arial"/>
                <w:sz w:val="20"/>
                <w:szCs w:val="20"/>
                <w:color w:val="auto"/>
              </w:rPr>
              <w:t>9%</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jc w:val="right"/>
              <w:ind w:right="21"/>
              <w:spacing w:after="0"/>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189"/>
        </w:trPr>
        <w:tc>
          <w:tcPr>
            <w:tcW w:w="5340" w:type="dxa"/>
            <w:vAlign w:val="bottom"/>
            <w:shd w:val="clear" w:color="auto" w:fill="CCEEFF"/>
          </w:tcPr>
          <w:p>
            <w:pPr>
              <w:ind w:left="220"/>
              <w:spacing w:after="0" w:line="189" w:lineRule="exact"/>
              <w:rPr>
                <w:sz w:val="20"/>
                <w:szCs w:val="20"/>
                <w:color w:val="auto"/>
              </w:rPr>
            </w:pPr>
            <w:r>
              <w:rPr>
                <w:rFonts w:ascii="Arial" w:cs="Arial" w:eastAsia="Arial" w:hAnsi="Arial"/>
                <w:sz w:val="20"/>
                <w:szCs w:val="20"/>
                <w:color w:val="auto"/>
              </w:rPr>
              <w:t>Income tax effect of GAAP to non-GAAP reconciling</w:t>
            </w:r>
          </w:p>
        </w:tc>
        <w:tc>
          <w:tcPr>
            <w:tcW w:w="600" w:type="dxa"/>
            <w:vAlign w:val="bottom"/>
            <w:shd w:val="clear" w:color="auto" w:fill="CCEEFF"/>
          </w:tcPr>
          <w:p>
            <w:pPr>
              <w:spacing w:after="0"/>
              <w:rPr>
                <w:sz w:val="16"/>
                <w:szCs w:val="16"/>
                <w:color w:val="auto"/>
              </w:rPr>
            </w:pPr>
          </w:p>
        </w:tc>
        <w:tc>
          <w:tcPr>
            <w:tcW w:w="192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2%</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56"/>
        </w:trPr>
        <w:tc>
          <w:tcPr>
            <w:tcW w:w="5340" w:type="dxa"/>
            <w:vAlign w:val="bottom"/>
            <w:shd w:val="clear" w:color="auto" w:fill="CCEEFF"/>
          </w:tcPr>
          <w:p>
            <w:pPr>
              <w:ind w:left="400"/>
              <w:spacing w:after="0"/>
              <w:rPr>
                <w:sz w:val="20"/>
                <w:szCs w:val="20"/>
                <w:color w:val="auto"/>
              </w:rPr>
            </w:pPr>
            <w:r>
              <w:rPr>
                <w:rFonts w:ascii="Arial" w:cs="Arial" w:eastAsia="Arial" w:hAnsi="Arial"/>
                <w:sz w:val="20"/>
                <w:szCs w:val="20"/>
                <w:color w:val="auto"/>
              </w:rPr>
              <w:t>items</w:t>
            </w:r>
          </w:p>
        </w:tc>
        <w:tc>
          <w:tcPr>
            <w:tcW w:w="600" w:type="dxa"/>
            <w:vAlign w:val="bottom"/>
            <w:tcBorders>
              <w:bottom w:val="single" w:sz="8" w:color="auto"/>
            </w:tcBorders>
            <w:shd w:val="clear" w:color="auto" w:fill="CCEEFF"/>
          </w:tcPr>
          <w:p>
            <w:pPr>
              <w:spacing w:after="0"/>
              <w:rPr>
                <w:sz w:val="22"/>
                <w:szCs w:val="22"/>
                <w:color w:val="auto"/>
              </w:rPr>
            </w:pPr>
          </w:p>
        </w:tc>
        <w:tc>
          <w:tcPr>
            <w:tcW w:w="192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340" w:type="dxa"/>
            <w:vAlign w:val="bottom"/>
          </w:tcPr>
          <w:p>
            <w:pPr>
              <w:ind w:left="20"/>
              <w:spacing w:after="0"/>
              <w:rPr>
                <w:sz w:val="20"/>
                <w:szCs w:val="20"/>
                <w:color w:val="auto"/>
              </w:rPr>
            </w:pPr>
            <w:r>
              <w:rPr>
                <w:rFonts w:ascii="Arial" w:cs="Arial" w:eastAsia="Arial" w:hAnsi="Arial"/>
                <w:sz w:val="20"/>
                <w:szCs w:val="20"/>
                <w:color w:val="auto"/>
              </w:rPr>
              <w:t>Non-GAAP ETR</w:t>
            </w:r>
          </w:p>
        </w:tc>
        <w:tc>
          <w:tcPr>
            <w:tcW w:w="60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11%</w:t>
            </w:r>
          </w:p>
        </w:tc>
        <w:tc>
          <w:tcPr>
            <w:tcW w:w="12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00"/>
          </w:cols>
          <w:pgMar w:left="320" w:top="1045" w:right="1079" w:bottom="1440" w:gutter="0" w:footer="0" w:header="0"/>
        </w:sectPr>
      </w:pPr>
    </w:p>
    <w:bookmarkStart w:id="12" w:name="page13"/>
    <w:bookmarkEnd w:id="12"/>
    <w:p>
      <w:pPr>
        <w:jc w:val="both"/>
        <w:ind w:left="394" w:right="260" w:hanging="394"/>
        <w:spacing w:after="0" w:line="219" w:lineRule="auto"/>
        <w:tabs>
          <w:tab w:leader="none" w:pos="394" w:val="left"/>
        </w:tabs>
        <w:numPr>
          <w:ilvl w:val="0"/>
          <w:numId w:val="14"/>
        </w:numPr>
        <w:rPr>
          <w:rFonts w:ascii="Arial" w:cs="Arial" w:eastAsia="Arial" w:hAnsi="Arial"/>
          <w:sz w:val="15"/>
          <w:szCs w:val="15"/>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234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3430" cy="8890"/>
                    </a:xfrm>
                    <a:prstGeom prst="rect">
                      <a:avLst/>
                    </a:prstGeom>
                    <a:noFill/>
                  </pic:spPr>
                </pic:pic>
              </a:graphicData>
            </a:graphic>
          </wp:anchor>
        </w:drawing>
        <w:t>This press release uses non-GAAP R&amp;D, non-GAAP SG&amp;A, non-GAAP COGS, non-GAAP gross margin on net product sales, non-GAAP other operating (income) expense, net, non-GAAP other income (expense), net, non-GAAP ETR, non-GAAP net income, non-GAAP net income per share, total revenues excluding Ronapreve, and free cash flow, which are financial measures that are not calculated in accordance with U.S. Generally Accepted Accounting Principles (GAAP).</w:t>
      </w:r>
    </w:p>
    <w:p>
      <w:pPr>
        <w:spacing w:after="0" w:line="3" w:lineRule="exact"/>
        <w:rPr>
          <w:rFonts w:ascii="Arial" w:cs="Arial" w:eastAsia="Arial" w:hAnsi="Arial"/>
          <w:sz w:val="15"/>
          <w:szCs w:val="15"/>
          <w:color w:val="auto"/>
        </w:rPr>
      </w:pPr>
    </w:p>
    <w:p>
      <w:pPr>
        <w:ind w:left="394" w:right="20"/>
        <w:spacing w:after="0" w:line="237" w:lineRule="auto"/>
        <w:rPr>
          <w:rFonts w:ascii="Arial" w:cs="Arial" w:eastAsia="Arial" w:hAnsi="Arial"/>
          <w:sz w:val="15"/>
          <w:szCs w:val="15"/>
          <w:color w:val="auto"/>
        </w:rPr>
      </w:pPr>
      <w:r>
        <w:rPr>
          <w:rFonts w:ascii="Arial" w:cs="Arial" w:eastAsia="Arial" w:hAnsi="Arial"/>
          <w:sz w:val="19"/>
          <w:szCs w:val="19"/>
          <w:color w:val="auto"/>
        </w:rPr>
        <w:t>These non-GAAP financial measures are computed by excluding certain non-cash and/or other items from the related GAAP financial measure. The Company also includes a non-GAAP adjustment for the estimated income tax effect of reconciling items. A reconciliation of the Company's GAAP to non-GAAP results is included in Table 3 of this press release.</w:t>
      </w:r>
    </w:p>
    <w:p>
      <w:pPr>
        <w:spacing w:after="0" w:line="77" w:lineRule="exact"/>
        <w:rPr>
          <w:rFonts w:ascii="Arial" w:cs="Arial" w:eastAsia="Arial" w:hAnsi="Arial"/>
          <w:sz w:val="15"/>
          <w:szCs w:val="15"/>
          <w:color w:val="auto"/>
        </w:rPr>
      </w:pPr>
    </w:p>
    <w:p>
      <w:pPr>
        <w:ind w:left="394"/>
        <w:spacing w:after="0" w:line="224" w:lineRule="auto"/>
        <w:rPr>
          <w:rFonts w:ascii="Arial" w:cs="Arial" w:eastAsia="Arial" w:hAnsi="Arial"/>
          <w:sz w:val="15"/>
          <w:szCs w:val="15"/>
          <w:color w:val="auto"/>
        </w:rPr>
      </w:pPr>
      <w:r>
        <w:rPr>
          <w:rFonts w:ascii="Arial" w:cs="Arial" w:eastAsia="Arial" w:hAnsi="Arial"/>
          <w:sz w:val="20"/>
          <w:szCs w:val="20"/>
          <w:color w:val="auto"/>
        </w:rPr>
        <w:t>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 dates share-based grants are issued or changes in the fair value of the Company's investments in equity securities) or items that are not associated with normal, recurring operations (such as acquisition and integration costs). Management uses these non-GAAP measures for planning, budgeting, forecasting, assessing historical performance, and making financial and operational decisions, and also provides forecasts to investors on this basis. With respect to free cash flow, the Company believes that this non-GAAP measure provides a further measure of the Company's ability to generate cash flows from its operations. Additionally, the non-GAAP measures presented are intended to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the Company should be considered supplemental to, and not a substitute for, measures of financial performance prepared in accordance with GAAP.</w:t>
      </w:r>
    </w:p>
    <w:p>
      <w:pPr>
        <w:spacing w:after="0" w:line="113" w:lineRule="exact"/>
        <w:rPr>
          <w:rFonts w:ascii="Arial" w:cs="Arial" w:eastAsia="Arial" w:hAnsi="Arial"/>
          <w:sz w:val="15"/>
          <w:szCs w:val="15"/>
          <w:color w:val="auto"/>
        </w:rPr>
      </w:pPr>
    </w:p>
    <w:p>
      <w:pPr>
        <w:ind w:left="394" w:right="600" w:hanging="394"/>
        <w:spacing w:after="0" w:line="208" w:lineRule="auto"/>
        <w:tabs>
          <w:tab w:leader="none" w:pos="394" w:val="left"/>
        </w:tabs>
        <w:numPr>
          <w:ilvl w:val="0"/>
          <w:numId w:val="14"/>
        </w:numPr>
        <w:rPr>
          <w:rFonts w:ascii="Arial" w:cs="Arial" w:eastAsia="Arial" w:hAnsi="Arial"/>
          <w:sz w:val="16"/>
          <w:szCs w:val="16"/>
          <w:color w:val="auto"/>
        </w:rPr>
      </w:pPr>
      <w:r>
        <w:rPr>
          <w:rFonts w:ascii="Arial" w:cs="Arial" w:eastAsia="Arial" w:hAnsi="Arial"/>
          <w:sz w:val="20"/>
          <w:szCs w:val="20"/>
          <w:color w:val="auto"/>
        </w:rPr>
        <w:t>The casirivimab and imdevimab antibody cocktail for COVID-19 is known as REGEN-COV</w:t>
      </w:r>
      <w:r>
        <w:rPr>
          <w:rFonts w:ascii="Arial" w:cs="Arial" w:eastAsia="Arial" w:hAnsi="Arial"/>
          <w:sz w:val="25"/>
          <w:szCs w:val="25"/>
          <w:color w:val="auto"/>
          <w:vertAlign w:val="superscript"/>
        </w:rPr>
        <w:t>®</w:t>
      </w:r>
      <w:r>
        <w:rPr>
          <w:rFonts w:ascii="Arial" w:cs="Arial" w:eastAsia="Arial" w:hAnsi="Arial"/>
          <w:sz w:val="20"/>
          <w:szCs w:val="20"/>
          <w:color w:val="auto"/>
        </w:rPr>
        <w:t xml:space="preserve"> in the United States and Ronapreve in other countries. Roche records net product sales of Ronapreve outside the United States.</w:t>
      </w:r>
    </w:p>
    <w:p>
      <w:pPr>
        <w:spacing w:after="0" w:line="91" w:lineRule="exact"/>
        <w:rPr>
          <w:rFonts w:ascii="Arial" w:cs="Arial" w:eastAsia="Arial" w:hAnsi="Arial"/>
          <w:sz w:val="16"/>
          <w:szCs w:val="16"/>
          <w:color w:val="auto"/>
        </w:rPr>
      </w:pPr>
    </w:p>
    <w:p>
      <w:pPr>
        <w:ind w:left="394" w:right="280" w:hanging="394"/>
        <w:spacing w:after="0" w:line="234" w:lineRule="auto"/>
        <w:tabs>
          <w:tab w:leader="none" w:pos="394" w:val="left"/>
        </w:tabs>
        <w:numPr>
          <w:ilvl w:val="0"/>
          <w:numId w:val="14"/>
        </w:numPr>
        <w:rPr>
          <w:rFonts w:ascii="Arial" w:cs="Arial" w:eastAsia="Arial" w:hAnsi="Arial"/>
          <w:sz w:val="16"/>
          <w:szCs w:val="16"/>
          <w:color w:val="auto"/>
        </w:rPr>
      </w:pPr>
      <w:r>
        <w:rPr>
          <w:rFonts w:ascii="Arial" w:cs="Arial" w:eastAsia="Arial" w:hAnsi="Arial"/>
          <w:sz w:val="20"/>
          <w:szCs w:val="20"/>
          <w:color w:val="auto"/>
        </w:rPr>
        <w:t>The Company's 2025 financial guidance does not assume the completion of any business development transactions not completed as of the date of this press release.</w:t>
      </w:r>
    </w:p>
    <w:p>
      <w:pPr>
        <w:spacing w:after="0" w:line="91" w:lineRule="exact"/>
        <w:rPr>
          <w:rFonts w:ascii="Arial" w:cs="Arial" w:eastAsia="Arial" w:hAnsi="Arial"/>
          <w:sz w:val="16"/>
          <w:szCs w:val="16"/>
          <w:color w:val="auto"/>
        </w:rPr>
      </w:pPr>
    </w:p>
    <w:p>
      <w:pPr>
        <w:ind w:left="394" w:right="220" w:hanging="394"/>
        <w:spacing w:after="0" w:line="234" w:lineRule="auto"/>
        <w:tabs>
          <w:tab w:leader="none" w:pos="394" w:val="left"/>
        </w:tabs>
        <w:numPr>
          <w:ilvl w:val="0"/>
          <w:numId w:val="14"/>
        </w:numPr>
        <w:rPr>
          <w:rFonts w:ascii="Arial" w:cs="Arial" w:eastAsia="Arial" w:hAnsi="Arial"/>
          <w:sz w:val="16"/>
          <w:szCs w:val="16"/>
          <w:color w:val="auto"/>
        </w:rPr>
      </w:pPr>
      <w:r>
        <w:rPr>
          <w:rFonts w:ascii="Arial" w:cs="Arial" w:eastAsia="Arial" w:hAnsi="Arial"/>
          <w:sz w:val="20"/>
          <w:szCs w:val="20"/>
          <w:color w:val="auto"/>
        </w:rPr>
        <w:t>Gross margin on net product sales represents gross profit expressed as a percentage of total net product sales recorded by the Company. Gross profit is calculated as net product sales less cost of goods sold.</w:t>
      </w:r>
    </w:p>
    <w:p>
      <w:pPr>
        <w:spacing w:after="0" w:line="91" w:lineRule="exact"/>
        <w:rPr>
          <w:rFonts w:ascii="Arial" w:cs="Arial" w:eastAsia="Arial" w:hAnsi="Arial"/>
          <w:sz w:val="16"/>
          <w:szCs w:val="16"/>
          <w:color w:val="auto"/>
        </w:rPr>
      </w:pPr>
    </w:p>
    <w:p>
      <w:pPr>
        <w:ind w:left="394" w:right="100" w:hanging="394"/>
        <w:spacing w:after="0" w:line="234" w:lineRule="auto"/>
        <w:tabs>
          <w:tab w:leader="none" w:pos="394" w:val="left"/>
        </w:tabs>
        <w:numPr>
          <w:ilvl w:val="0"/>
          <w:numId w:val="14"/>
        </w:numPr>
        <w:rPr>
          <w:rFonts w:ascii="Arial" w:cs="Arial" w:eastAsia="Arial" w:hAnsi="Arial"/>
          <w:sz w:val="16"/>
          <w:szCs w:val="16"/>
          <w:color w:val="auto"/>
        </w:rPr>
      </w:pPr>
      <w:r>
        <w:rPr>
          <w:rFonts w:ascii="Arial" w:cs="Arial" w:eastAsia="Arial" w:hAnsi="Arial"/>
          <w:sz w:val="20"/>
          <w:szCs w:val="20"/>
          <w:color w:val="auto"/>
        </w:rPr>
        <w:t>Corresponding reimbursements from collaborators and others for manufacturing of commercial supplies is recorded within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wp:posOffset>
            </wp:positionV>
            <wp:extent cx="71234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54"/>
          </w:cols>
          <w:pgMar w:left="346" w:top="1090" w:right="39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auto"/>
        </w:rPr>
        <w:t>Conference Call Information</w:t>
      </w:r>
    </w:p>
    <w:p>
      <w:pPr>
        <w:spacing w:after="0" w:line="154"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Regeneron will host a conference call and simultaneous webcast to discuss its fourth quarter and full year 2024 financial and operating results on Tuesday, February 4, 2025, at 8:30 AM Eastern Time. Participants may access the conference call live via webcast, or register in advance and participate via telephone, on the "Investors and Media" page of Regeneron's website at www.regeneron.com. Upon registration, all telephone participants will receive a confirmation email detailing how to join the conference call, including the dial-in number along with a unique passcode and registrant ID that can be used to access the call. A replay of the conference call and webcast will be archived on the Company's website for at least 30 days.</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Regeneron Pharmaceuticals, Inc.</w:t>
      </w:r>
    </w:p>
    <w:p>
      <w:pPr>
        <w:spacing w:after="0" w:line="154" w:lineRule="exact"/>
        <w:rPr>
          <w:sz w:val="20"/>
          <w:szCs w:val="20"/>
          <w:color w:val="auto"/>
        </w:rPr>
      </w:pPr>
    </w:p>
    <w:p>
      <w:pPr>
        <w:spacing w:after="0" w:line="265" w:lineRule="auto"/>
        <w:rPr>
          <w:sz w:val="20"/>
          <w:szCs w:val="20"/>
          <w:color w:val="auto"/>
        </w:rPr>
      </w:pPr>
      <w:r>
        <w:rPr>
          <w:rFonts w:ascii="Arial" w:cs="Arial" w:eastAsia="Arial" w:hAnsi="Arial"/>
          <w:sz w:val="21"/>
          <w:szCs w:val="21"/>
          <w:color w:val="auto"/>
        </w:rPr>
        <w:t>Regeneron is a leading biotechnology company that invents, develops, and commercializes life-transforming medicines for people with serious diseases. Founded and led by physician-scientists, Regeneron's unique ability to repeatedly and consistently translate science into medicine has led to numerous approved treatments and product candidates in development, most of which were homegrown in Regeneron's laboratories. Regeneron's medicines and pipeline are designed to help patients with eye diseases, allergic and inflammatory diseases, cancer, cardiovascular and metabolic diseases, neurological diseases, hematologic conditions, infectious diseases, and rare diseases.</w:t>
      </w:r>
    </w:p>
    <w:p>
      <w:pPr>
        <w:spacing w:after="0" w:line="101" w:lineRule="exact"/>
        <w:rPr>
          <w:sz w:val="20"/>
          <w:szCs w:val="20"/>
          <w:color w:val="auto"/>
        </w:rPr>
      </w:pPr>
    </w:p>
    <w:p>
      <w:pPr>
        <w:ind w:right="240"/>
        <w:spacing w:after="0" w:line="226" w:lineRule="auto"/>
        <w:rPr>
          <w:sz w:val="20"/>
          <w:szCs w:val="20"/>
          <w:color w:val="auto"/>
        </w:rPr>
      </w:pPr>
      <w:r>
        <w:rPr>
          <w:rFonts w:ascii="Arial" w:cs="Arial" w:eastAsia="Arial" w:hAnsi="Arial"/>
          <w:sz w:val="22"/>
          <w:szCs w:val="22"/>
          <w:color w:val="auto"/>
        </w:rPr>
        <w:t xml:space="preserve">Regeneron pushes the boundaries of scientific discovery and accelerates drug development using its proprietary technologies, such as </w:t>
      </w:r>
      <w:r>
        <w:rPr>
          <w:rFonts w:ascii="Arial" w:cs="Arial" w:eastAsia="Arial" w:hAnsi="Arial"/>
          <w:sz w:val="22"/>
          <w:szCs w:val="22"/>
          <w:i w:val="1"/>
          <w:iCs w:val="1"/>
          <w:color w:val="auto"/>
        </w:rPr>
        <w:t>VelociSuite</w:t>
      </w:r>
      <w:r>
        <w:rPr>
          <w:rFonts w:ascii="Arial" w:cs="Arial" w:eastAsia="Arial" w:hAnsi="Arial"/>
          <w:sz w:val="22"/>
          <w:szCs w:val="22"/>
          <w:color w:val="auto"/>
        </w:rPr>
        <w:t xml:space="preserve"> </w:t>
      </w:r>
      <w:r>
        <w:rPr>
          <w:rFonts w:ascii="Arial" w:cs="Arial" w:eastAsia="Arial" w:hAnsi="Arial"/>
          <w:sz w:val="28"/>
          <w:szCs w:val="28"/>
          <w:color w:val="auto"/>
          <w:vertAlign w:val="superscript"/>
        </w:rPr>
        <w:t>®</w:t>
      </w:r>
      <w:r>
        <w:rPr>
          <w:rFonts w:ascii="Arial" w:cs="Arial" w:eastAsia="Arial" w:hAnsi="Arial"/>
          <w:sz w:val="22"/>
          <w:szCs w:val="22"/>
          <w:color w:val="auto"/>
        </w:rPr>
        <w:t>, which produces optimized fully human antibodies and new classes of bispecific antibodies. Regeneron is shaping the next frontier of medicine with data-powered insights from the Regeneron Genetics Center</w:t>
      </w:r>
      <w:r>
        <w:rPr>
          <w:rFonts w:ascii="Arial" w:cs="Arial" w:eastAsia="Arial" w:hAnsi="Arial"/>
          <w:sz w:val="28"/>
          <w:szCs w:val="28"/>
          <w:color w:val="auto"/>
          <w:vertAlign w:val="superscript"/>
        </w:rPr>
        <w:t>®</w:t>
      </w:r>
      <w:r>
        <w:rPr>
          <w:rFonts w:ascii="Arial" w:cs="Arial" w:eastAsia="Arial" w:hAnsi="Arial"/>
          <w:sz w:val="22"/>
          <w:szCs w:val="22"/>
          <w:color w:val="auto"/>
        </w:rPr>
        <w:t> and pioneering genetic medicine platforms, enabling Regeneron to identify innovative targets and complementary approaches to potentially treat or cure diseases.</w:t>
      </w:r>
    </w:p>
    <w:p>
      <w:pPr>
        <w:spacing w:after="0" w:line="123" w:lineRule="exact"/>
        <w:rPr>
          <w:sz w:val="20"/>
          <w:szCs w:val="20"/>
          <w:color w:val="auto"/>
        </w:rPr>
      </w:pPr>
    </w:p>
    <w:p>
      <w:pPr>
        <w:ind w:right="100"/>
        <w:spacing w:after="0" w:line="377" w:lineRule="auto"/>
        <w:rPr>
          <w:sz w:val="20"/>
          <w:szCs w:val="20"/>
          <w:color w:val="auto"/>
        </w:rPr>
      </w:pPr>
      <w:r>
        <w:rPr>
          <w:rFonts w:ascii="Arial" w:cs="Arial" w:eastAsia="Arial" w:hAnsi="Arial"/>
          <w:sz w:val="22"/>
          <w:szCs w:val="22"/>
          <w:color w:val="auto"/>
        </w:rPr>
        <w:t xml:space="preserve">For more information, please visit www.regeneron.com or follow Regeneron on LinkedIn, Instagram, Facebook, or X. </w:t>
      </w:r>
      <w:r>
        <w:rPr>
          <w:rFonts w:ascii="Arial" w:cs="Arial" w:eastAsia="Arial" w:hAnsi="Arial"/>
          <w:sz w:val="22"/>
          <w:szCs w:val="22"/>
          <w:b w:val="1"/>
          <w:bCs w:val="1"/>
          <w:color w:val="auto"/>
        </w:rPr>
        <w:t>Forward-Looking Statements and Use of Digital Media</w:t>
      </w:r>
    </w:p>
    <w:p>
      <w:pPr>
        <w:spacing w:after="0" w:line="2" w:lineRule="exact"/>
        <w:rPr>
          <w:sz w:val="20"/>
          <w:szCs w:val="20"/>
          <w:color w:val="auto"/>
        </w:rPr>
      </w:pPr>
    </w:p>
    <w:p>
      <w:pPr>
        <w:ind w:right="80"/>
        <w:spacing w:after="0" w:line="245" w:lineRule="auto"/>
        <w:rPr>
          <w:sz w:val="20"/>
          <w:szCs w:val="20"/>
          <w:color w:val="auto"/>
        </w:rPr>
      </w:pPr>
      <w:r>
        <w:rPr>
          <w:rFonts w:ascii="Arial" w:cs="Arial" w:eastAsia="Arial" w:hAnsi="Arial"/>
          <w:sz w:val="21"/>
          <w:szCs w:val="21"/>
          <w:color w:val="auto"/>
        </w:rPr>
        <w:t>This press release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products marketed or otherwise commercialized by Regeneron and/or its collaborators or licensees (collectively, "Regeneron's Products") and product candidates being developed by Regeneron and/or its collaborators or licensees (collectively, "Regeneron's Product Candidates") and research and clinical programs now underway or planned, including without limitation EYLEA HD</w:t>
      </w:r>
      <w:r>
        <w:rPr>
          <w:rFonts w:ascii="Arial" w:cs="Arial" w:eastAsia="Arial" w:hAnsi="Arial"/>
          <w:sz w:val="27"/>
          <w:szCs w:val="27"/>
          <w:color w:val="auto"/>
          <w:vertAlign w:val="superscript"/>
        </w:rPr>
        <w:t>®</w:t>
      </w:r>
      <w:r>
        <w:rPr>
          <w:rFonts w:ascii="Arial" w:cs="Arial" w:eastAsia="Arial" w:hAnsi="Arial"/>
          <w:sz w:val="21"/>
          <w:szCs w:val="21"/>
          <w:color w:val="auto"/>
        </w:rPr>
        <w:t xml:space="preserve"> (aflibercept) Injection 8 mg, EYLEA</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(aflibercept) Injection, Dupixent</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(dupilumab), Libtayo</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(cemiplimab), Praluent</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(alirocumab), Kevzara</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(sarilumab), Evkeeza</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(evinacumab), Veopoz</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(pozelimab), Ordspono</w:t>
      </w:r>
      <w:r>
        <w:rPr>
          <w:rFonts w:ascii="Times New Roman" w:cs="Times New Roman" w:eastAsia="Times New Roman" w:hAnsi="Times New Roman"/>
          <w:sz w:val="11"/>
          <w:szCs w:val="11"/>
          <w:color w:val="auto"/>
        </w:rPr>
        <w:t>™</w:t>
      </w:r>
      <w:r>
        <w:rPr>
          <w:rFonts w:ascii="Arial" w:cs="Arial" w:eastAsia="Arial" w:hAnsi="Arial"/>
          <w:sz w:val="21"/>
          <w:szCs w:val="21"/>
          <w:color w:val="auto"/>
        </w:rPr>
        <w:t xml:space="preserve"> (odronextamab), itepekimab, fianlimab, garetosmab, linvoseltamab, Regeneron's other oncology programs (including its costimulatory bispecific portfolio), REGN5713-5715, nexiguran ziclumeran (nex-z, NTLA-2001), REGN1908-1909, mibavademab, Regeneron's and its collaborators' earlier-stage programs, and the use of human genetics in</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20" w:top="1043" w:right="359" w:bottom="1440" w:gutter="0" w:footer="0" w:header="0"/>
        </w:sectPr>
      </w:pPr>
    </w:p>
    <w:bookmarkStart w:id="14" w:name="page15"/>
    <w:bookmarkEnd w:id="14"/>
    <w:p>
      <w:pPr>
        <w:spacing w:after="0" w:line="246" w:lineRule="auto"/>
        <w:rPr>
          <w:sz w:val="20"/>
          <w:szCs w:val="20"/>
          <w:color w:val="auto"/>
        </w:rPr>
      </w:pPr>
      <w:r>
        <w:rPr>
          <w:rFonts w:ascii="Arial" w:cs="Arial" w:eastAsia="Arial" w:hAnsi="Arial"/>
          <w:sz w:val="22"/>
          <w:szCs w:val="22"/>
          <w:color w:val="auto"/>
        </w:rPr>
        <w:t>Regeneron's research programs; the likelihood and timing of achieving any of the anticipated milestones described in this press release; safety issues resulting from the administration of Regeneron's Products and Regeneron's Product Candidates in patients, including serious complications or side effects in connection with the use of Regeneron’s Products and Regeneron's Product Candidates in clinical trials; the likelihood, timing, and scope of possible regulatory approval and commercial launch of Regeneron's Product Candidates and new indications for Regeneron's Products, including those listed above and/or otherwise discussed in this press release; the extent to which the results from the research and development programs conducted by Regeneron and/or its collaborators may be replicated in other studies and/or lead to advancement of product candidates to clinical trials, therapeutic applications, or regulatory approval; ongoing regulatory obligations and oversight impacting Regeneron's Products, research and clinical programs, and business, including those relating to patient privacy; determinations by regulatory and administrative governmental authorities which may delay or restrict Regeneron's ability to continue to develop or commercialize Regeneron's Products and Regeneron's Product Candidates; competing drugs and product candidates that may be superior to, or more cost effective than, Regeneron's Products and Regeneron's Product Candidates (including biosimilar versions of Regeneron's Products); uncertainty of the utilization, market acceptance, and commercial success of Regeneron's Products and Regeneron's Product Candidates and the impact of studies (whether conducted by Regeneron or others and whether mandated or voluntary) or recommendations and guidelines from governmental authorities and other third parties on the commercial success of Regeneron's Products and Regeneron's Product Candidates; the ability of Regeneron to manufacture and manage supply chains for multiple products and product candidates; the ability of Regeneron’s collaborators, suppliers, or other third parties (as applicable) to perform manufacturing, filling, finishing, packaging, labeling, distribution, and other steps related to Regeneron’s Products and Regeneron's Product Candidates; the availability and extent of reimbursement of Regeneron’s Products from third-party payers, including private payer healthcare and insurance programs, health maintenance organizations, pharmacy benefit management companies, and government programs such as Medicare and Medicaid; coverage and reimbursement determinations by such payers and new policies and procedures adopted by such payers; changes in laws, regulations, and policies affecting the healthcare industry; unanticipated expenses; the costs of developing, producing, and selling products; the ability of Regeneron to meet any of its financial projections or guidance and changes to the assumptions underlying those projections or guidance, including GAAP and non-GAAP R&amp;D, GAAP and non-GAAP SG&amp;A, GAAP and non-GAAP gross margin on net product sales, COCM, capital expenditures, and GAAP and non-GAAP ETR; the potential for any license or collaboration agreement, including Regeneron's agreements with Sanofi and Bayer (or their respective affiliated companies, as applicable), to be cancelled or terminated; the impact of public health outbreaks, epidemics, or pandemics on Regeneron's business; and risks associated with litigation and other proceedings and government investigations relating to the Company and/or its operations (including the pending civil proceedings initiated or joined by the U.S. Department of Justice and the U.S. Attorney's Office for the District of Massachusetts), risks associated with intellectual property of other parties and pending or future litigation relating thereto (including without limitation the patent litigation and other related proceedings relating to EYLEA), the ultimate outcome of any such proceedings and investigations, and the impact any of the foregoing may have on Regeneron’s business, prospects, operating results, and financial condition. A more complete description of these and other material risks can be found in Regeneron's filings with the U.S. Securities and Exchange Commission. Any forward-looking statements are made based on management's current beliefs and judgment, and the reader is cautioned not to rely on any forward-looking statements made by Regeneron. Regeneron does</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00"/>
          </w:cols>
          <w:pgMar w:left="320" w:top="896" w:right="379" w:bottom="1440" w:gutter="0" w:footer="0" w:header="0"/>
        </w:sectPr>
      </w:pPr>
    </w:p>
    <w:bookmarkStart w:id="15" w:name="page16"/>
    <w:bookmarkEnd w:id="15"/>
    <w:p>
      <w:pPr>
        <w:ind w:right="280"/>
        <w:spacing w:after="0" w:line="296" w:lineRule="auto"/>
        <w:rPr>
          <w:sz w:val="20"/>
          <w:szCs w:val="20"/>
          <w:color w:val="auto"/>
        </w:rPr>
      </w:pPr>
      <w:r>
        <w:rPr>
          <w:rFonts w:ascii="Arial" w:cs="Arial" w:eastAsia="Arial" w:hAnsi="Arial"/>
          <w:sz w:val="21"/>
          <w:szCs w:val="21"/>
          <w:color w:val="auto"/>
        </w:rPr>
        <w:t>not undertake any obligation to update (publicly or otherwise) any forward-looking statement, including without limitation any financial projection or guidance, whether as a result of new information, future events, or otherwise.</w:t>
      </w:r>
    </w:p>
    <w:p>
      <w:pPr>
        <w:spacing w:after="0" w:line="66"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Regeneron uses its media and investor relations website and social media outlets to publish important information about the Company, including information that may be deemed material to investors. Financial and other information about Regeneron is routinely posted and is accessible on Regeneron's media and investor relations website (https://investor.regeneron.com) and its LinkedIn page (https://www.linkedin.com/company/regeneron-pharmaceuticals).</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41" w:lineRule="exact"/>
        <w:rPr>
          <w:sz w:val="20"/>
          <w:szCs w:val="20"/>
          <w:color w:val="auto"/>
        </w:rPr>
      </w:pPr>
    </w:p>
    <w:p>
      <w:pPr>
        <w:spacing w:after="0" w:line="264" w:lineRule="auto"/>
        <w:rPr>
          <w:sz w:val="20"/>
          <w:szCs w:val="20"/>
          <w:color w:val="auto"/>
        </w:rPr>
      </w:pPr>
      <w:r>
        <w:rPr>
          <w:rFonts w:ascii="Arial" w:cs="Arial" w:eastAsia="Arial" w:hAnsi="Arial"/>
          <w:sz w:val="22"/>
          <w:szCs w:val="22"/>
          <w:color w:val="auto"/>
        </w:rPr>
        <w:t>This press release and/or the financial results attached to this press release include amounts that are considered "non-GAAP financial measures" under SEC rules. As required, Regeneron has provided reconciliations of such non-GAAP financial measures.</w:t>
      </w:r>
    </w:p>
    <w:p>
      <w:pPr>
        <w:spacing w:after="0" w:line="200" w:lineRule="exact"/>
        <w:rPr>
          <w:sz w:val="20"/>
          <w:szCs w:val="20"/>
          <w:color w:val="auto"/>
        </w:rPr>
      </w:pP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w:t>
      </w:r>
    </w:p>
    <w:p>
      <w:pPr>
        <w:spacing w:after="0" w:line="28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080"/>
          </w:cols>
          <w:pgMar w:left="320" w:top="896" w:right="499" w:bottom="1440" w:gutter="0" w:footer="0" w:header="0"/>
        </w:sectPr>
      </w:pPr>
    </w:p>
    <w:p>
      <w:pPr>
        <w:spacing w:after="0" w:line="1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Ryan Crowe</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914-847-8790</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ryan.crowe@regeneron.com</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Christina Chan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Corporate Affairs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914-847-8827</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christina.chan@regeneron.com</w:t>
      </w:r>
    </w:p>
    <w:p>
      <w:pPr>
        <w:spacing w:after="0" w:line="200" w:lineRule="exact"/>
        <w:rPr>
          <w:sz w:val="20"/>
          <w:szCs w:val="20"/>
          <w:color w:val="auto"/>
        </w:rPr>
      </w:pPr>
    </w:p>
    <w:p>
      <w:pPr>
        <w:sectPr>
          <w:pgSz w:w="11900" w:h="16838" w:orient="portrait"/>
          <w:cols w:equalWidth="0" w:num="2">
            <w:col w:w="6100" w:space="720"/>
            <w:col w:w="4260"/>
          </w:cols>
          <w:pgMar w:left="320" w:top="896" w:right="499" w:bottom="1440" w:gutter="0" w:footer="0" w:header="0"/>
          <w:type w:val="continuous"/>
        </w:sectPr>
      </w:pPr>
    </w:p>
    <w:p>
      <w:pPr>
        <w:spacing w:after="0" w:line="200" w:lineRule="exact"/>
        <w:rPr>
          <w:sz w:val="20"/>
          <w:szCs w:val="20"/>
          <w:color w:val="auto"/>
        </w:rPr>
      </w:pPr>
    </w:p>
    <w:p>
      <w:pPr>
        <w:spacing w:after="0" w:line="3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80"/>
          </w:cols>
          <w:pgMar w:left="320" w:top="896" w:right="49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color w:val="auto"/>
        </w:rPr>
        <w:t>TABLE 1</w:t>
      </w:r>
    </w:p>
    <w:p>
      <w:pPr>
        <w:spacing w:after="0" w:line="252" w:lineRule="exact"/>
        <w:rPr>
          <w:sz w:val="20"/>
          <w:szCs w:val="20"/>
          <w:color w:val="auto"/>
        </w:rPr>
      </w:pPr>
    </w:p>
    <w:p>
      <w:pPr>
        <w:jc w:val="center"/>
        <w:ind w:left="900" w:right="2360"/>
        <w:spacing w:after="0" w:line="284" w:lineRule="auto"/>
        <w:rPr>
          <w:sz w:val="20"/>
          <w:szCs w:val="20"/>
          <w:color w:val="auto"/>
        </w:rPr>
      </w:pPr>
      <w:r>
        <w:rPr>
          <w:rFonts w:ascii="Arial" w:cs="Arial" w:eastAsia="Arial" w:hAnsi="Arial"/>
          <w:sz w:val="18"/>
          <w:szCs w:val="18"/>
          <w:b w:val="1"/>
          <w:bCs w:val="1"/>
          <w:color w:val="auto"/>
        </w:rPr>
        <w:t xml:space="preserve">REGENERON PHARMACEUTICALS, INC. CONDENSED CONSOLIDATED BALANCE SHEETS (Unaudited) </w:t>
      </w:r>
      <w:r>
        <w:rPr>
          <w:rFonts w:ascii="Arial" w:cs="Arial" w:eastAsia="Arial" w:hAnsi="Arial"/>
          <w:sz w:val="18"/>
          <w:szCs w:val="18"/>
          <w:b w:val="1"/>
          <w:bCs w:val="1"/>
          <w:i w:val="1"/>
          <w:iCs w:val="1"/>
          <w:color w:val="auto"/>
        </w:rPr>
        <w:t>(In millions)</w:t>
      </w:r>
    </w:p>
    <w:p>
      <w:pPr>
        <w:spacing w:after="0" w:line="347" w:lineRule="exact"/>
        <w:rPr>
          <w:sz w:val="20"/>
          <w:szCs w:val="20"/>
          <w:color w:val="auto"/>
        </w:rPr>
      </w:pPr>
    </w:p>
    <w:tbl>
      <w:tblPr>
        <w:tblLayout w:type="fixed"/>
        <w:tblInd w:w="560" w:type="dxa"/>
        <w:tblCellMar>
          <w:top w:w="0" w:type="dxa"/>
          <w:left w:w="0" w:type="dxa"/>
          <w:bottom w:w="0" w:type="dxa"/>
          <w:right w:w="0" w:type="dxa"/>
        </w:tblCellMar>
      </w:tblPr>
      <w:tr>
        <w:trPr>
          <w:trHeight w:val="235"/>
        </w:trPr>
        <w:tc>
          <w:tcPr>
            <w:tcW w:w="48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8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09"/>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220"/>
              <w:spacing w:after="0"/>
              <w:rPr>
                <w:sz w:val="20"/>
                <w:szCs w:val="20"/>
                <w:color w:val="auto"/>
              </w:rPr>
            </w:pPr>
            <w:r>
              <w:rPr>
                <w:rFonts w:ascii="Arial" w:cs="Arial" w:eastAsia="Arial" w:hAnsi="Arial"/>
                <w:sz w:val="18"/>
                <w:szCs w:val="18"/>
                <w:color w:val="auto"/>
              </w:rPr>
              <w:t>Cash and marketable securities</w:t>
            </w:r>
          </w:p>
        </w:tc>
        <w:tc>
          <w:tcPr>
            <w:tcW w:w="22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17,912.6</w:t>
            </w:r>
          </w:p>
        </w:tc>
        <w:tc>
          <w:tcPr>
            <w:tcW w:w="12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16,241.3</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1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6,211.9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5,667.3</w:t>
            </w:r>
          </w:p>
        </w:tc>
        <w:tc>
          <w:tcPr>
            <w:tcW w:w="0" w:type="dxa"/>
            <w:vAlign w:val="bottom"/>
          </w:tcPr>
          <w:p>
            <w:pPr>
              <w:spacing w:after="0"/>
              <w:rPr>
                <w:sz w:val="1"/>
                <w:szCs w:val="1"/>
                <w:color w:val="auto"/>
              </w:rPr>
            </w:pPr>
          </w:p>
        </w:tc>
      </w:tr>
      <w:tr>
        <w:trPr>
          <w:trHeight w:val="229"/>
        </w:trPr>
        <w:tc>
          <w:tcPr>
            <w:tcW w:w="488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3,087.3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2,580.5</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plant, and equipment, net</w:t>
            </w:r>
          </w:p>
        </w:tc>
        <w:tc>
          <w:tcPr>
            <w:tcW w:w="1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4,146.4</w:t>
            </w:r>
          </w:p>
        </w:tc>
        <w:tc>
          <w:tcPr>
            <w:tcW w:w="0" w:type="dxa"/>
            <w:vAlign w:val="bottom"/>
          </w:tcPr>
          <w:p>
            <w:pPr>
              <w:spacing w:after="0"/>
              <w:rPr>
                <w:sz w:val="1"/>
                <w:szCs w:val="1"/>
                <w:color w:val="auto"/>
              </w:rPr>
            </w:pPr>
          </w:p>
        </w:tc>
      </w:tr>
      <w:tr>
        <w:trPr>
          <w:trHeight w:val="229"/>
        </w:trPr>
        <w:tc>
          <w:tcPr>
            <w:tcW w:w="4880" w:type="dxa"/>
            <w:vAlign w:val="bottom"/>
          </w:tcPr>
          <w:p>
            <w:pPr>
              <w:ind w:left="220"/>
              <w:spacing w:after="0"/>
              <w:rPr>
                <w:sz w:val="20"/>
                <w:szCs w:val="20"/>
                <w:color w:val="auto"/>
              </w:rPr>
            </w:pPr>
            <w:r>
              <w:rPr>
                <w:rFonts w:ascii="Arial" w:cs="Arial" w:eastAsia="Arial" w:hAnsi="Arial"/>
                <w:sz w:val="18"/>
                <w:szCs w:val="18"/>
                <w:color w:val="auto"/>
              </w:rPr>
              <w:t>Intangible assets, net</w:t>
            </w:r>
          </w:p>
        </w:tc>
        <w:tc>
          <w:tcPr>
            <w:tcW w:w="1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1,148.6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1,038.6</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assets</w:t>
            </w:r>
          </w:p>
        </w:tc>
        <w:tc>
          <w:tcPr>
            <w:tcW w:w="1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2,575.4</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assets</w:t>
            </w:r>
          </w:p>
        </w:tc>
        <w:tc>
          <w:tcPr>
            <w:tcW w:w="19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1,485.2</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830.7</w:t>
            </w:r>
          </w:p>
        </w:tc>
        <w:tc>
          <w:tcPr>
            <w:tcW w:w="0" w:type="dxa"/>
            <w:vAlign w:val="bottom"/>
          </w:tcPr>
          <w:p>
            <w:pPr>
              <w:spacing w:after="0"/>
              <w:rPr>
                <w:sz w:val="1"/>
                <w:szCs w:val="1"/>
                <w:color w:val="auto"/>
              </w:rPr>
            </w:pPr>
          </w:p>
        </w:tc>
      </w:tr>
      <w:tr>
        <w:trPr>
          <w:trHeight w:val="248"/>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37,759.4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33,080.2</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and stockholders' equity:</w:t>
            </w:r>
          </w:p>
        </w:tc>
        <w:tc>
          <w:tcPr>
            <w:tcW w:w="1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220"/>
              <w:spacing w:after="0"/>
              <w:rPr>
                <w:sz w:val="20"/>
                <w:szCs w:val="20"/>
                <w:color w:val="auto"/>
              </w:rPr>
            </w:pPr>
            <w:r>
              <w:rPr>
                <w:rFonts w:ascii="Arial" w:cs="Arial" w:eastAsia="Arial" w:hAnsi="Arial"/>
                <w:sz w:val="18"/>
                <w:szCs w:val="18"/>
                <w:color w:val="auto"/>
              </w:rPr>
              <w:t>Accounts payable, accrued expenses, and other liabilities</w:t>
            </w:r>
          </w:p>
        </w:tc>
        <w:tc>
          <w:tcPr>
            <w:tcW w:w="22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4,888.0</w:t>
            </w:r>
          </w:p>
        </w:tc>
        <w:tc>
          <w:tcPr>
            <w:tcW w:w="12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3,818.6</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 lease liabilities</w:t>
            </w:r>
          </w:p>
        </w:tc>
        <w:tc>
          <w:tcPr>
            <w:tcW w:w="1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0" w:type="dxa"/>
            <w:vAlign w:val="bottom"/>
          </w:tcPr>
          <w:p>
            <w:pPr>
              <w:spacing w:after="0"/>
              <w:rPr>
                <w:sz w:val="1"/>
                <w:szCs w:val="1"/>
                <w:color w:val="auto"/>
              </w:rPr>
            </w:pPr>
          </w:p>
        </w:tc>
      </w:tr>
      <w:tr>
        <w:trPr>
          <w:trHeight w:val="229"/>
        </w:trPr>
        <w:tc>
          <w:tcPr>
            <w:tcW w:w="488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1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813.4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585.6</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w:t>
            </w:r>
          </w:p>
        </w:tc>
        <w:tc>
          <w:tcPr>
            <w:tcW w:w="1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1,982.9</w:t>
            </w:r>
          </w:p>
        </w:tc>
        <w:tc>
          <w:tcPr>
            <w:tcW w:w="0" w:type="dxa"/>
            <w:vAlign w:val="bottom"/>
          </w:tcPr>
          <w:p>
            <w:pPr>
              <w:spacing w:after="0"/>
              <w:rPr>
                <w:sz w:val="1"/>
                <w:szCs w:val="1"/>
                <w:color w:val="auto"/>
              </w:rPr>
            </w:pPr>
          </w:p>
        </w:tc>
      </w:tr>
      <w:tr>
        <w:trPr>
          <w:trHeight w:val="229"/>
        </w:trPr>
        <w:tc>
          <w:tcPr>
            <w:tcW w:w="4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Stockholders' equity</w:t>
            </w:r>
          </w:p>
        </w:tc>
        <w:tc>
          <w:tcPr>
            <w:tcW w:w="19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29,353.6</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25,973.1</w:t>
            </w:r>
          </w:p>
        </w:tc>
        <w:tc>
          <w:tcPr>
            <w:tcW w:w="0" w:type="dxa"/>
            <w:vAlign w:val="bottom"/>
          </w:tcPr>
          <w:p>
            <w:pPr>
              <w:spacing w:after="0"/>
              <w:rPr>
                <w:sz w:val="1"/>
                <w:szCs w:val="1"/>
                <w:color w:val="auto"/>
              </w:rPr>
            </w:pPr>
          </w:p>
        </w:tc>
      </w:tr>
      <w:tr>
        <w:trPr>
          <w:trHeight w:val="248"/>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37,759.4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33,080.2</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CCEEFF"/>
            </w:tcBorders>
            <w:vMerge w:val="restart"/>
          </w:tcPr>
          <w:p>
            <w:pPr>
              <w:jc w:val="right"/>
              <w:ind w:right="1530"/>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488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890" w:right="89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TABLE 2</w:t>
      </w:r>
    </w:p>
    <w:p>
      <w:pPr>
        <w:spacing w:after="0" w:line="252" w:lineRule="exact"/>
        <w:rPr>
          <w:sz w:val="20"/>
          <w:szCs w:val="20"/>
          <w:color w:val="auto"/>
        </w:rPr>
      </w:pPr>
    </w:p>
    <w:p>
      <w:pPr>
        <w:jc w:val="center"/>
        <w:ind w:left="940" w:right="1780"/>
        <w:spacing w:after="0" w:line="273" w:lineRule="auto"/>
        <w:rPr>
          <w:sz w:val="20"/>
          <w:szCs w:val="20"/>
          <w:color w:val="auto"/>
        </w:rPr>
      </w:pPr>
      <w:r>
        <w:rPr>
          <w:rFonts w:ascii="Arial" w:cs="Arial" w:eastAsia="Arial" w:hAnsi="Arial"/>
          <w:sz w:val="18"/>
          <w:szCs w:val="18"/>
          <w:b w:val="1"/>
          <w:bCs w:val="1"/>
          <w:color w:val="auto"/>
        </w:rPr>
        <w:t xml:space="preserve">REGENERON PHARMACEUTICALS, INC. CONDENSED CONSOLIDATED STATEMENTS OF OPERATIONS (Unaudited) </w:t>
      </w:r>
      <w:r>
        <w:rPr>
          <w:rFonts w:ascii="Arial" w:cs="Arial" w:eastAsia="Arial" w:hAnsi="Arial"/>
          <w:sz w:val="18"/>
          <w:szCs w:val="18"/>
          <w:b w:val="1"/>
          <w:bCs w:val="1"/>
          <w:i w:val="1"/>
          <w:iCs w:val="1"/>
          <w:color w:val="auto"/>
        </w:rPr>
        <w:t>(In millions, except per share data)</w:t>
      </w:r>
    </w:p>
    <w:p>
      <w:pPr>
        <w:spacing w:after="0" w:line="105" w:lineRule="exact"/>
        <w:rPr>
          <w:sz w:val="20"/>
          <w:szCs w:val="20"/>
          <w:color w:val="auto"/>
        </w:rPr>
      </w:pPr>
    </w:p>
    <w:tbl>
      <w:tblPr>
        <w:tblLayout w:type="fixed"/>
        <w:tblInd w:w="62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7"/>
                <w:szCs w:val="17"/>
                <w:color w:val="auto"/>
              </w:rPr>
            </w:pPr>
          </w:p>
        </w:tc>
        <w:tc>
          <w:tcPr>
            <w:tcW w:w="216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Year Ended</w:t>
            </w:r>
          </w:p>
        </w:tc>
      </w:tr>
      <w:tr>
        <w:trPr>
          <w:trHeight w:val="243"/>
        </w:trPr>
        <w:tc>
          <w:tcPr>
            <w:tcW w:w="5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1"/>
                <w:szCs w:val="21"/>
                <w:color w:val="auto"/>
              </w:rPr>
            </w:pPr>
          </w:p>
        </w:tc>
        <w:tc>
          <w:tcPr>
            <w:tcW w:w="216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50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r>
      <w:tr>
        <w:trPr>
          <w:trHeight w:val="20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5080" w:type="dxa"/>
            <w:vAlign w:val="bottom"/>
          </w:tcPr>
          <w:p>
            <w:pPr>
              <w:ind w:left="220"/>
              <w:spacing w:after="0"/>
              <w:rPr>
                <w:sz w:val="20"/>
                <w:szCs w:val="20"/>
                <w:color w:val="auto"/>
              </w:rPr>
            </w:pPr>
            <w:r>
              <w:rPr>
                <w:rFonts w:ascii="Arial" w:cs="Arial" w:eastAsia="Arial" w:hAnsi="Arial"/>
                <w:sz w:val="18"/>
                <w:szCs w:val="18"/>
                <w:color w:val="auto"/>
              </w:rPr>
              <w:t>Net product sales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2,002.9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1,851.8</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7,629.2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7,078.0</w:t>
            </w:r>
          </w:p>
        </w:tc>
      </w:tr>
      <w:tr>
        <w:trPr>
          <w:trHeight w:val="23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Collaboration revenue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5,503.1</w:t>
            </w:r>
          </w:p>
        </w:tc>
      </w:tr>
      <w:tr>
        <w:trPr>
          <w:trHeight w:val="229"/>
        </w:trPr>
        <w:tc>
          <w:tcPr>
            <w:tcW w:w="5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revenue</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536.1</w:t>
            </w:r>
          </w:p>
        </w:tc>
      </w:tr>
      <w:tr>
        <w:trPr>
          <w:trHeight w:val="223"/>
        </w:trPr>
        <w:tc>
          <w:tcPr>
            <w:tcW w:w="50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3,789.2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3,434.3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14,202.0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13,117.2</w:t>
            </w:r>
          </w:p>
        </w:tc>
      </w:tr>
      <w:tr>
        <w:trPr>
          <w:trHeight w:val="209"/>
        </w:trPr>
        <w:tc>
          <w:tcPr>
            <w:tcW w:w="5080" w:type="dxa"/>
            <w:vAlign w:val="bottom"/>
          </w:tcPr>
          <w:p>
            <w:pPr>
              <w:ind w:left="20"/>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4,439.0</w:t>
            </w:r>
          </w:p>
        </w:tc>
      </w:tr>
      <w:tr>
        <w:trPr>
          <w:trHeight w:val="230"/>
        </w:trPr>
        <w:tc>
          <w:tcPr>
            <w:tcW w:w="5080" w:type="dxa"/>
            <w:vAlign w:val="bottom"/>
          </w:tcPr>
          <w:p>
            <w:pPr>
              <w:ind w:left="220"/>
              <w:spacing w:after="0"/>
              <w:rPr>
                <w:sz w:val="20"/>
                <w:szCs w:val="20"/>
                <w:color w:val="auto"/>
              </w:rPr>
            </w:pPr>
            <w:r>
              <w:rPr>
                <w:rFonts w:ascii="Arial" w:cs="Arial" w:eastAsia="Arial" w:hAnsi="Arial"/>
                <w:sz w:val="18"/>
                <w:szCs w:val="18"/>
                <w:color w:val="auto"/>
              </w:rPr>
              <w:t>Acquired in-process research and development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186.1</w:t>
            </w:r>
          </w:p>
        </w:tc>
      </w:tr>
      <w:tr>
        <w:trPr>
          <w:trHeight w:val="229"/>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2,631.3</w:t>
            </w:r>
          </w:p>
        </w:tc>
      </w:tr>
      <w:tr>
        <w:trPr>
          <w:trHeight w:val="230"/>
        </w:trPr>
        <w:tc>
          <w:tcPr>
            <w:tcW w:w="5080" w:type="dxa"/>
            <w:vAlign w:val="bottom"/>
          </w:tcPr>
          <w:p>
            <w:pPr>
              <w:ind w:left="220"/>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932.1</w:t>
            </w:r>
          </w:p>
        </w:tc>
      </w:tr>
      <w:tr>
        <w:trPr>
          <w:trHeight w:val="229"/>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collaboration and contract manufacturing</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883.7</w:t>
            </w:r>
          </w:p>
        </w:tc>
      </w:tr>
      <w:tr>
        <w:trPr>
          <w:trHeight w:val="229"/>
        </w:trPr>
        <w:tc>
          <w:tcPr>
            <w:tcW w:w="5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operating expense (income), net</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50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2,799.0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10,211.3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9,070.1</w:t>
            </w:r>
          </w:p>
        </w:tc>
      </w:tr>
      <w:tr>
        <w:trPr>
          <w:trHeight w:val="250"/>
        </w:trPr>
        <w:tc>
          <w:tcPr>
            <w:tcW w:w="5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4,047.1</w:t>
            </w:r>
          </w:p>
        </w:tc>
      </w:tr>
      <w:tr>
        <w:trPr>
          <w:trHeight w:val="270"/>
        </w:trPr>
        <w:tc>
          <w:tcPr>
            <w:tcW w:w="5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508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225.2</w:t>
            </w:r>
          </w:p>
        </w:tc>
      </w:tr>
      <w:tr>
        <w:trPr>
          <w:trHeight w:val="23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r>
      <w:tr>
        <w:trPr>
          <w:trHeight w:val="223"/>
        </w:trPr>
        <w:tc>
          <w:tcPr>
            <w:tcW w:w="50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w:t>
            </w:r>
          </w:p>
        </w:tc>
      </w:tr>
      <w:tr>
        <w:trPr>
          <w:trHeight w:val="250"/>
        </w:trPr>
        <w:tc>
          <w:tcPr>
            <w:tcW w:w="5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4,779.9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4,199.3</w:t>
            </w:r>
          </w:p>
        </w:tc>
      </w:tr>
      <w:tr>
        <w:trPr>
          <w:trHeight w:val="270"/>
        </w:trPr>
        <w:tc>
          <w:tcPr>
            <w:tcW w:w="50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30"/>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245.7</w:t>
            </w:r>
          </w:p>
        </w:tc>
      </w:tr>
      <w:tr>
        <w:trPr>
          <w:trHeight w:val="250"/>
        </w:trPr>
        <w:tc>
          <w:tcPr>
            <w:tcW w:w="5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4,412.6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3,953.6</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5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Net income per share - 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10.88</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40.90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37.05</w:t>
            </w: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w:t>
            </w:r>
          </w:p>
        </w:tc>
      </w:tr>
      <w:tr>
        <w:trPr>
          <w:trHeight w:val="270"/>
        </w:trPr>
        <w:tc>
          <w:tcPr>
            <w:tcW w:w="5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r>
      <w:tr>
        <w:trPr>
          <w:trHeight w:val="239"/>
        </w:trPr>
        <w:tc>
          <w:tcPr>
            <w:tcW w:w="5080" w:type="dxa"/>
            <w:vAlign w:val="bottom"/>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620"/>
          </w:cols>
          <w:pgMar w:left="320" w:top="890" w:right="9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9"/>
        </w:trPr>
        <w:tc>
          <w:tcPr>
            <w:tcW w:w="5220" w:type="dxa"/>
            <w:vAlign w:val="bottom"/>
            <w:gridSpan w:val="2"/>
          </w:tcPr>
          <w:p>
            <w:pPr>
              <w:spacing w:after="0"/>
              <w:rPr>
                <w:sz w:val="20"/>
                <w:szCs w:val="20"/>
                <w:color w:val="auto"/>
              </w:rPr>
            </w:pPr>
            <w:r>
              <w:rPr>
                <w:rFonts w:ascii="Arial" w:cs="Arial" w:eastAsia="Arial" w:hAnsi="Arial"/>
                <w:sz w:val="18"/>
                <w:szCs w:val="18"/>
                <w:color w:val="auto"/>
              </w:rPr>
              <w:t>TABLE 3</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36"/>
        </w:trPr>
        <w:tc>
          <w:tcPr>
            <w:tcW w:w="80" w:type="dxa"/>
            <w:vAlign w:val="bottom"/>
          </w:tcPr>
          <w:p>
            <w:pPr>
              <w:spacing w:after="0"/>
              <w:rPr>
                <w:sz w:val="24"/>
                <w:szCs w:val="24"/>
                <w:color w:val="auto"/>
              </w:rPr>
            </w:pPr>
          </w:p>
        </w:tc>
        <w:tc>
          <w:tcPr>
            <w:tcW w:w="7440" w:type="dxa"/>
            <w:vAlign w:val="bottom"/>
            <w:gridSpan w:val="5"/>
          </w:tcPr>
          <w:p>
            <w:pPr>
              <w:jc w:val="center"/>
              <w:ind w:left="3550"/>
              <w:spacing w:after="0"/>
              <w:rPr>
                <w:sz w:val="20"/>
                <w:szCs w:val="20"/>
                <w:color w:val="auto"/>
              </w:rPr>
            </w:pPr>
            <w:r>
              <w:rPr>
                <w:rFonts w:ascii="Arial" w:cs="Arial" w:eastAsia="Arial" w:hAnsi="Arial"/>
                <w:sz w:val="18"/>
                <w:szCs w:val="18"/>
                <w:b w:val="1"/>
                <w:bCs w:val="1"/>
                <w:color w:val="auto"/>
                <w:w w:val="99"/>
              </w:rPr>
              <w:t>REGENERON PHARMACEUTICALS,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8"/>
        </w:trPr>
        <w:tc>
          <w:tcPr>
            <w:tcW w:w="80" w:type="dxa"/>
            <w:vAlign w:val="bottom"/>
          </w:tcPr>
          <w:p>
            <w:pPr>
              <w:spacing w:after="0"/>
              <w:rPr>
                <w:sz w:val="18"/>
                <w:szCs w:val="18"/>
                <w:color w:val="auto"/>
              </w:rPr>
            </w:pPr>
          </w:p>
        </w:tc>
        <w:tc>
          <w:tcPr>
            <w:tcW w:w="9940" w:type="dxa"/>
            <w:vAlign w:val="bottom"/>
            <w:gridSpan w:val="11"/>
          </w:tcPr>
          <w:p>
            <w:pPr>
              <w:jc w:val="center"/>
              <w:ind w:left="1070"/>
              <w:spacing w:after="0"/>
              <w:rPr>
                <w:sz w:val="20"/>
                <w:szCs w:val="20"/>
                <w:color w:val="auto"/>
              </w:rPr>
            </w:pPr>
            <w:r>
              <w:rPr>
                <w:rFonts w:ascii="Arial" w:cs="Arial" w:eastAsia="Arial" w:hAnsi="Arial"/>
                <w:sz w:val="18"/>
                <w:szCs w:val="18"/>
                <w:b w:val="1"/>
                <w:bCs w:val="1"/>
                <w:color w:val="auto"/>
                <w:w w:val="99"/>
              </w:rPr>
              <w:t>RECONCILIATION OF GAAP TO NON-GAAP FINANCIAL INFORMATION (Unaudited)</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5"/>
        </w:trPr>
        <w:tc>
          <w:tcPr>
            <w:tcW w:w="80" w:type="dxa"/>
            <w:vAlign w:val="bottom"/>
          </w:tcPr>
          <w:p>
            <w:pPr>
              <w:spacing w:after="0"/>
              <w:rPr>
                <w:sz w:val="21"/>
                <w:szCs w:val="21"/>
                <w:color w:val="auto"/>
              </w:rPr>
            </w:pPr>
          </w:p>
        </w:tc>
        <w:tc>
          <w:tcPr>
            <w:tcW w:w="7440" w:type="dxa"/>
            <w:vAlign w:val="bottom"/>
            <w:gridSpan w:val="5"/>
          </w:tcPr>
          <w:p>
            <w:pPr>
              <w:jc w:val="center"/>
              <w:ind w:left="3550"/>
              <w:spacing w:after="0"/>
              <w:rPr>
                <w:sz w:val="20"/>
                <w:szCs w:val="20"/>
                <w:color w:val="auto"/>
              </w:rPr>
            </w:pPr>
            <w:r>
              <w:rPr>
                <w:rFonts w:ascii="Arial" w:cs="Arial" w:eastAsia="Arial" w:hAnsi="Arial"/>
                <w:sz w:val="18"/>
                <w:szCs w:val="18"/>
                <w:b w:val="1"/>
                <w:bCs w:val="1"/>
                <w:i w:val="1"/>
                <w:iCs w:val="1"/>
                <w:color w:val="auto"/>
                <w:w w:val="99"/>
              </w:rPr>
              <w:t>(In millions, except per share data)</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339"/>
        </w:trPr>
        <w:tc>
          <w:tcPr>
            <w:tcW w:w="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9"/>
              </w:rPr>
              <w:t>Three Months Ended</w:t>
            </w:r>
          </w:p>
        </w:tc>
        <w:tc>
          <w:tcPr>
            <w:tcW w:w="260" w:type="dxa"/>
            <w:vAlign w:val="bottom"/>
          </w:tcPr>
          <w:p>
            <w:pPr>
              <w:spacing w:after="0"/>
              <w:rPr>
                <w:sz w:val="24"/>
                <w:szCs w:val="24"/>
                <w:color w:val="auto"/>
              </w:rPr>
            </w:pPr>
          </w:p>
        </w:tc>
        <w:tc>
          <w:tcPr>
            <w:tcW w:w="216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Year Ended</w:t>
            </w:r>
          </w:p>
        </w:tc>
      </w:tr>
      <w:tr>
        <w:trPr>
          <w:trHeight w:val="243"/>
        </w:trPr>
        <w:tc>
          <w:tcPr>
            <w:tcW w:w="8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9"/>
              </w:rPr>
              <w:t>December 31,</w:t>
            </w:r>
          </w:p>
        </w:tc>
        <w:tc>
          <w:tcPr>
            <w:tcW w:w="260" w:type="dxa"/>
            <w:vAlign w:val="bottom"/>
          </w:tcPr>
          <w:p>
            <w:pPr>
              <w:spacing w:after="0"/>
              <w:rPr>
                <w:sz w:val="21"/>
                <w:szCs w:val="21"/>
                <w:color w:val="auto"/>
              </w:rPr>
            </w:pPr>
          </w:p>
        </w:tc>
        <w:tc>
          <w:tcPr>
            <w:tcW w:w="216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0" w:type="dxa"/>
            <w:vAlign w:val="bottom"/>
          </w:tcPr>
          <w:p>
            <w:pPr>
              <w:spacing w:after="0"/>
              <w:rPr>
                <w:sz w:val="19"/>
                <w:szCs w:val="19"/>
                <w:color w:val="auto"/>
              </w:rPr>
            </w:pPr>
          </w:p>
        </w:tc>
        <w:tc>
          <w:tcPr>
            <w:tcW w:w="51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r>
      <w:tr>
        <w:trPr>
          <w:trHeight w:val="223"/>
        </w:trPr>
        <w:tc>
          <w:tcPr>
            <w:tcW w:w="80" w:type="dxa"/>
            <w:vAlign w:val="bottom"/>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R&amp;D</w:t>
            </w: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4,439.0</w:t>
            </w:r>
          </w:p>
        </w:tc>
      </w:tr>
      <w:tr>
        <w:trPr>
          <w:trHeight w:val="230"/>
        </w:trPr>
        <w:tc>
          <w:tcPr>
            <w:tcW w:w="80" w:type="dxa"/>
            <w:vAlign w:val="bottom"/>
          </w:tcPr>
          <w:p>
            <w:pPr>
              <w:spacing w:after="0"/>
              <w:rPr>
                <w:sz w:val="19"/>
                <w:szCs w:val="19"/>
                <w:color w:val="auto"/>
              </w:rPr>
            </w:pPr>
          </w:p>
        </w:tc>
        <w:tc>
          <w:tcPr>
            <w:tcW w:w="514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488.7</w:t>
            </w:r>
          </w:p>
        </w:tc>
      </w:tr>
      <w:tr>
        <w:trPr>
          <w:trHeight w:val="229"/>
        </w:trPr>
        <w:tc>
          <w:tcPr>
            <w:tcW w:w="80" w:type="dxa"/>
            <w:vAlign w:val="bottom"/>
          </w:tcPr>
          <w:p>
            <w:pPr>
              <w:spacing w:after="0"/>
              <w:rPr>
                <w:sz w:val="19"/>
                <w:szCs w:val="19"/>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and integration costs</w:t>
            </w:r>
          </w:p>
        </w:tc>
        <w:tc>
          <w:tcPr>
            <w:tcW w:w="10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23"/>
        </w:trPr>
        <w:tc>
          <w:tcPr>
            <w:tcW w:w="8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Non-GAAP R&amp;D</w:t>
            </w:r>
          </w:p>
        </w:tc>
        <w:tc>
          <w:tcPr>
            <w:tcW w:w="10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4,563.3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3,919.0</w:t>
            </w:r>
          </w:p>
        </w:tc>
      </w:tr>
      <w:tr>
        <w:trPr>
          <w:trHeight w:val="20"/>
        </w:trPr>
        <w:tc>
          <w:tcPr>
            <w:tcW w:w="80" w:type="dxa"/>
            <w:vAlign w:val="bottom"/>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29"/>
        </w:trPr>
        <w:tc>
          <w:tcPr>
            <w:tcW w:w="80" w:type="dxa"/>
            <w:vAlign w:val="bottom"/>
          </w:tcPr>
          <w:p>
            <w:pPr>
              <w:spacing w:after="0"/>
              <w:rPr>
                <w:sz w:val="11"/>
                <w:szCs w:val="11"/>
                <w:color w:val="auto"/>
              </w:rPr>
            </w:pPr>
          </w:p>
        </w:tc>
        <w:tc>
          <w:tcPr>
            <w:tcW w:w="5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230"/>
        </w:trPr>
        <w:tc>
          <w:tcPr>
            <w:tcW w:w="8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GAAP SG&amp;A</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792.2</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737.7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2,954.4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2,631.3</w:t>
            </w:r>
          </w:p>
        </w:tc>
      </w:tr>
      <w:tr>
        <w:trPr>
          <w:trHeight w:val="229"/>
        </w:trPr>
        <w:tc>
          <w:tcPr>
            <w:tcW w:w="80" w:type="dxa"/>
            <w:vAlign w:val="bottom"/>
          </w:tcPr>
          <w:p>
            <w:pPr>
              <w:spacing w:after="0"/>
              <w:rPr>
                <w:sz w:val="19"/>
                <w:szCs w:val="19"/>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w:t>
            </w:r>
          </w:p>
        </w:tc>
      </w:tr>
      <w:tr>
        <w:trPr>
          <w:trHeight w:val="229"/>
        </w:trPr>
        <w:tc>
          <w:tcPr>
            <w:tcW w:w="80" w:type="dxa"/>
            <w:vAlign w:val="bottom"/>
          </w:tcPr>
          <w:p>
            <w:pPr>
              <w:spacing w:after="0"/>
              <w:rPr>
                <w:sz w:val="19"/>
                <w:szCs w:val="19"/>
                <w:color w:val="auto"/>
              </w:rPr>
            </w:pPr>
          </w:p>
        </w:tc>
        <w:tc>
          <w:tcPr>
            <w:tcW w:w="5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Acquisition, integration, and other costs</w:t>
            </w:r>
          </w:p>
        </w:tc>
        <w:tc>
          <w:tcPr>
            <w:tcW w:w="10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w:t>
            </w:r>
          </w:p>
        </w:tc>
      </w:tr>
      <w:tr>
        <w:trPr>
          <w:trHeight w:val="248"/>
        </w:trPr>
        <w:tc>
          <w:tcPr>
            <w:tcW w:w="8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SG&amp;A</w:t>
            </w: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2,232.4</w:t>
            </w:r>
          </w:p>
        </w:tc>
      </w:tr>
      <w:tr>
        <w:trPr>
          <w:trHeight w:val="20"/>
        </w:trPr>
        <w:tc>
          <w:tcPr>
            <w:tcW w:w="80" w:type="dxa"/>
            <w:vAlign w:val="bottom"/>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29"/>
        </w:trPr>
        <w:tc>
          <w:tcPr>
            <w:tcW w:w="80" w:type="dxa"/>
            <w:vAlign w:val="bottom"/>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COGS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932.1</w:t>
            </w:r>
          </w:p>
        </w:tc>
      </w:tr>
      <w:tr>
        <w:trPr>
          <w:trHeight w:val="230"/>
        </w:trPr>
        <w:tc>
          <w:tcPr>
            <w:tcW w:w="80" w:type="dxa"/>
            <w:vAlign w:val="bottom"/>
          </w:tcPr>
          <w:p>
            <w:pPr>
              <w:spacing w:after="0"/>
              <w:rPr>
                <w:sz w:val="19"/>
                <w:szCs w:val="19"/>
                <w:color w:val="auto"/>
              </w:rPr>
            </w:pPr>
          </w:p>
        </w:tc>
        <w:tc>
          <w:tcPr>
            <w:tcW w:w="514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89.2</w:t>
            </w:r>
          </w:p>
        </w:tc>
      </w:tr>
      <w:tr>
        <w:trPr>
          <w:trHeight w:val="229"/>
        </w:trPr>
        <w:tc>
          <w:tcPr>
            <w:tcW w:w="80" w:type="dxa"/>
            <w:vAlign w:val="bottom"/>
          </w:tcPr>
          <w:p>
            <w:pPr>
              <w:spacing w:after="0"/>
              <w:rPr>
                <w:sz w:val="19"/>
                <w:szCs w:val="19"/>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and integration costs</w:t>
            </w: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80" w:type="dxa"/>
            <w:vAlign w:val="bottom"/>
          </w:tcPr>
          <w:p>
            <w:pPr>
              <w:spacing w:after="0"/>
              <w:rPr>
                <w:sz w:val="19"/>
                <w:szCs w:val="19"/>
                <w:color w:val="auto"/>
              </w:rPr>
            </w:pPr>
          </w:p>
        </w:tc>
        <w:tc>
          <w:tcPr>
            <w:tcW w:w="5140" w:type="dxa"/>
            <w:vAlign w:val="bottom"/>
          </w:tcPr>
          <w:p>
            <w:pPr>
              <w:ind w:left="220"/>
              <w:spacing w:after="0"/>
              <w:rPr>
                <w:sz w:val="20"/>
                <w:szCs w:val="20"/>
                <w:color w:val="auto"/>
              </w:rPr>
            </w:pPr>
            <w:r>
              <w:rPr>
                <w:rFonts w:ascii="Arial" w:cs="Arial" w:eastAsia="Arial" w:hAnsi="Arial"/>
                <w:sz w:val="18"/>
                <w:szCs w:val="18"/>
                <w:color w:val="auto"/>
              </w:rPr>
              <w:t>Intangible asset amortization expense</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80.9</w:t>
            </w:r>
          </w:p>
        </w:tc>
      </w:tr>
      <w:tr>
        <w:trPr>
          <w:trHeight w:val="230"/>
        </w:trPr>
        <w:tc>
          <w:tcPr>
            <w:tcW w:w="80" w:type="dxa"/>
            <w:vAlign w:val="bottom"/>
          </w:tcPr>
          <w:p>
            <w:pPr>
              <w:spacing w:after="0"/>
              <w:rPr>
                <w:sz w:val="19"/>
                <w:szCs w:val="19"/>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Charges related to REGEN-COV</w:t>
            </w: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8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Non-GAAP COGS</w:t>
            </w:r>
          </w:p>
        </w:tc>
        <w:tc>
          <w:tcPr>
            <w:tcW w:w="10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270.8</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258.9</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897.8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769.7</w:t>
            </w:r>
          </w:p>
        </w:tc>
      </w:tr>
      <w:tr>
        <w:trPr>
          <w:trHeight w:val="20"/>
        </w:trPr>
        <w:tc>
          <w:tcPr>
            <w:tcW w:w="80" w:type="dxa"/>
            <w:vAlign w:val="bottom"/>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29"/>
        </w:trPr>
        <w:tc>
          <w:tcPr>
            <w:tcW w:w="80" w:type="dxa"/>
            <w:vAlign w:val="bottom"/>
          </w:tcPr>
          <w:p>
            <w:pPr>
              <w:spacing w:after="0"/>
              <w:rPr>
                <w:sz w:val="11"/>
                <w:szCs w:val="11"/>
                <w:color w:val="auto"/>
              </w:rPr>
            </w:pPr>
          </w:p>
        </w:tc>
        <w:tc>
          <w:tcPr>
            <w:tcW w:w="5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230"/>
        </w:trPr>
        <w:tc>
          <w:tcPr>
            <w:tcW w:w="8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GAAP other operating expense (income), net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80" w:type="dxa"/>
            <w:vAlign w:val="bottom"/>
          </w:tcPr>
          <w:p>
            <w:pPr>
              <w:spacing w:after="0"/>
              <w:rPr>
                <w:sz w:val="19"/>
                <w:szCs w:val="19"/>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fair value of contingent consideration</w:t>
            </w: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Non-GAAP other operating expense (income), net</w:t>
            </w:r>
          </w:p>
        </w:tc>
        <w:tc>
          <w:tcPr>
            <w:tcW w:w="10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80" w:type="dxa"/>
            <w:vAlign w:val="bottom"/>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29"/>
        </w:trPr>
        <w:tc>
          <w:tcPr>
            <w:tcW w:w="80" w:type="dxa"/>
            <w:vAlign w:val="bottom"/>
          </w:tcPr>
          <w:p>
            <w:pPr>
              <w:spacing w:after="0"/>
              <w:rPr>
                <w:sz w:val="11"/>
                <w:szCs w:val="11"/>
                <w:color w:val="auto"/>
              </w:rPr>
            </w:pPr>
          </w:p>
        </w:tc>
        <w:tc>
          <w:tcPr>
            <w:tcW w:w="5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230"/>
        </w:trPr>
        <w:tc>
          <w:tcPr>
            <w:tcW w:w="8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GAAP other income (expense), net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174.7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789.2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152.2</w:t>
            </w:r>
          </w:p>
        </w:tc>
      </w:tr>
      <w:tr>
        <w:trPr>
          <w:trHeight w:val="230"/>
        </w:trPr>
        <w:tc>
          <w:tcPr>
            <w:tcW w:w="80" w:type="dxa"/>
            <w:vAlign w:val="bottom"/>
          </w:tcPr>
          <w:p>
            <w:pPr>
              <w:spacing w:after="0"/>
              <w:rPr>
                <w:sz w:val="19"/>
                <w:szCs w:val="19"/>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Losses (gains) on investments, net</w:t>
            </w:r>
          </w:p>
        </w:tc>
        <w:tc>
          <w:tcPr>
            <w:tcW w:w="10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w:t>
            </w:r>
          </w:p>
        </w:tc>
      </w:tr>
      <w:tr>
        <w:trPr>
          <w:trHeight w:val="223"/>
        </w:trPr>
        <w:tc>
          <w:tcPr>
            <w:tcW w:w="8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Non-GAAP other income (expense), net</w:t>
            </w:r>
          </w:p>
        </w:tc>
        <w:tc>
          <w:tcPr>
            <w:tcW w:w="10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418.6</w:t>
            </w:r>
          </w:p>
        </w:tc>
      </w:tr>
      <w:tr>
        <w:trPr>
          <w:trHeight w:val="20"/>
        </w:trPr>
        <w:tc>
          <w:tcPr>
            <w:tcW w:w="80" w:type="dxa"/>
            <w:vAlign w:val="bottom"/>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29"/>
        </w:trPr>
        <w:tc>
          <w:tcPr>
            <w:tcW w:w="80" w:type="dxa"/>
            <w:vAlign w:val="bottom"/>
          </w:tcPr>
          <w:p>
            <w:pPr>
              <w:spacing w:after="0"/>
              <w:rPr>
                <w:sz w:val="11"/>
                <w:szCs w:val="11"/>
                <w:color w:val="auto"/>
              </w:rPr>
            </w:pPr>
          </w:p>
        </w:tc>
        <w:tc>
          <w:tcPr>
            <w:tcW w:w="5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229"/>
        </w:trPr>
        <w:tc>
          <w:tcPr>
            <w:tcW w:w="8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GAAP net income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917.7</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1,159.6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4,412.6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3,953.6</w:t>
            </w:r>
          </w:p>
        </w:tc>
      </w:tr>
      <w:tr>
        <w:trPr>
          <w:trHeight w:val="230"/>
        </w:trPr>
        <w:tc>
          <w:tcPr>
            <w:tcW w:w="80" w:type="dxa"/>
            <w:vAlign w:val="bottom"/>
          </w:tcPr>
          <w:p>
            <w:pPr>
              <w:spacing w:after="0"/>
              <w:rPr>
                <w:sz w:val="19"/>
                <w:szCs w:val="19"/>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of GAAP to non-GAAP reconciling items above</w:t>
            </w: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1,347.7</w:t>
            </w:r>
          </w:p>
        </w:tc>
      </w:tr>
      <w:tr>
        <w:trPr>
          <w:trHeight w:val="230"/>
        </w:trPr>
        <w:tc>
          <w:tcPr>
            <w:tcW w:w="80" w:type="dxa"/>
            <w:vAlign w:val="bottom"/>
          </w:tcPr>
          <w:p>
            <w:pPr>
              <w:spacing w:after="0"/>
              <w:rPr>
                <w:sz w:val="19"/>
                <w:szCs w:val="19"/>
                <w:color w:val="auto"/>
              </w:rPr>
            </w:pPr>
          </w:p>
        </w:tc>
        <w:tc>
          <w:tcPr>
            <w:tcW w:w="5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Income tax effect of GAAP to non-GAAP reconciling items</w:t>
            </w:r>
          </w:p>
        </w:tc>
        <w:tc>
          <w:tcPr>
            <w:tcW w:w="10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(256.8)</w:t>
            </w:r>
          </w:p>
        </w:tc>
      </w:tr>
      <w:tr>
        <w:trPr>
          <w:trHeight w:val="248"/>
        </w:trPr>
        <w:tc>
          <w:tcPr>
            <w:tcW w:w="8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w:t>
            </w: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5,044.5</w:t>
            </w:r>
          </w:p>
        </w:tc>
      </w:tr>
      <w:tr>
        <w:trPr>
          <w:trHeight w:val="20"/>
        </w:trPr>
        <w:tc>
          <w:tcPr>
            <w:tcW w:w="80" w:type="dxa"/>
            <w:vAlign w:val="bottom"/>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29"/>
        </w:trPr>
        <w:tc>
          <w:tcPr>
            <w:tcW w:w="80" w:type="dxa"/>
            <w:vAlign w:val="bottom"/>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income per share - basic</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47.28</w:t>
            </w:r>
          </w:p>
        </w:tc>
      </w:tr>
      <w:tr>
        <w:trPr>
          <w:trHeight w:val="230"/>
        </w:trPr>
        <w:tc>
          <w:tcPr>
            <w:tcW w:w="8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Non-GAAP net income per share - diluted</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12.07</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45.62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43.79</w:t>
            </w:r>
          </w:p>
        </w:tc>
      </w:tr>
      <w:tr>
        <w:trPr>
          <w:trHeight w:val="162"/>
        </w:trPr>
        <w:tc>
          <w:tcPr>
            <w:tcW w:w="80" w:type="dxa"/>
            <w:vAlign w:val="bottom"/>
          </w:tcPr>
          <w:p>
            <w:pPr>
              <w:spacing w:after="0"/>
              <w:rPr>
                <w:sz w:val="14"/>
                <w:szCs w:val="14"/>
                <w:color w:val="auto"/>
              </w:rPr>
            </w:pPr>
          </w:p>
        </w:tc>
        <w:tc>
          <w:tcPr>
            <w:tcW w:w="5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30"/>
        </w:trPr>
        <w:tc>
          <w:tcPr>
            <w:tcW w:w="8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i w:val="1"/>
                <w:iCs w:val="1"/>
                <w:color w:val="auto"/>
              </w:rPr>
              <w:t>Shares used in calculating:</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income per share - basic</w:t>
            </w: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r>
      <w:tr>
        <w:trPr>
          <w:trHeight w:val="239"/>
        </w:trPr>
        <w:tc>
          <w:tcPr>
            <w:tcW w:w="8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Non-GAAP net income per share - diluted</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115.2</w:t>
            </w:r>
          </w:p>
        </w:tc>
      </w:tr>
      <w:tr>
        <w:trPr>
          <w:trHeight w:val="841"/>
        </w:trPr>
        <w:tc>
          <w:tcPr>
            <w:tcW w:w="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0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16</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180"/>
          </w:cols>
          <w:pgMar w:left="320" w:top="890" w:right="39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9660" w:type="dxa"/>
            <w:vAlign w:val="bottom"/>
            <w:gridSpan w:val="10"/>
          </w:tcPr>
          <w:p>
            <w:pPr>
              <w:jc w:val="center"/>
              <w:ind w:left="1230"/>
              <w:spacing w:after="0"/>
              <w:rPr>
                <w:sz w:val="20"/>
                <w:szCs w:val="20"/>
                <w:color w:val="auto"/>
              </w:rPr>
            </w:pPr>
            <w:r>
              <w:rPr>
                <w:rFonts w:ascii="Arial" w:cs="Arial" w:eastAsia="Arial" w:hAnsi="Arial"/>
                <w:sz w:val="18"/>
                <w:szCs w:val="18"/>
                <w:b w:val="1"/>
                <w:bCs w:val="1"/>
                <w:color w:val="auto"/>
                <w:w w:val="99"/>
              </w:rPr>
              <w:t xml:space="preserve">RECONCILIATION OF GAAP TO NON-GAAP FINANCIAL INFORMATION (Unaudited) </w:t>
            </w:r>
            <w:r>
              <w:rPr>
                <w:rFonts w:ascii="Arial" w:cs="Arial" w:eastAsia="Arial" w:hAnsi="Arial"/>
                <w:sz w:val="18"/>
                <w:szCs w:val="18"/>
                <w:b w:val="1"/>
                <w:bCs w:val="1"/>
                <w:i w:val="1"/>
                <w:iCs w:val="1"/>
                <w:color w:val="auto"/>
                <w:w w:val="99"/>
              </w:rPr>
              <w:t>(continued)</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2"/>
        </w:trPr>
        <w:tc>
          <w:tcPr>
            <w:tcW w:w="5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8"/>
              </w:rPr>
              <w:t>Three Months Ended</w:t>
            </w:r>
          </w:p>
        </w:tc>
        <w:tc>
          <w:tcPr>
            <w:tcW w:w="240" w:type="dxa"/>
            <w:vAlign w:val="bottom"/>
          </w:tcPr>
          <w:p>
            <w:pPr>
              <w:spacing w:after="0"/>
              <w:rPr>
                <w:sz w:val="24"/>
                <w:szCs w:val="24"/>
                <w:color w:val="auto"/>
              </w:rPr>
            </w:pPr>
          </w:p>
        </w:tc>
        <w:tc>
          <w:tcPr>
            <w:tcW w:w="222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43"/>
        </w:trPr>
        <w:tc>
          <w:tcPr>
            <w:tcW w:w="5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9"/>
              </w:rPr>
              <w:t>December 31,</w:t>
            </w:r>
          </w:p>
        </w:tc>
        <w:tc>
          <w:tcPr>
            <w:tcW w:w="240" w:type="dxa"/>
            <w:vAlign w:val="bottom"/>
          </w:tcPr>
          <w:p>
            <w:pPr>
              <w:spacing w:after="0"/>
              <w:rPr>
                <w:sz w:val="21"/>
                <w:szCs w:val="21"/>
                <w:color w:val="auto"/>
              </w:rPr>
            </w:pPr>
          </w:p>
        </w:tc>
        <w:tc>
          <w:tcPr>
            <w:tcW w:w="222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18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0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Revenue reconciliation:</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8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3,789.2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3,434.3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14,202.0</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13,117.2</w:t>
            </w:r>
          </w:p>
        </w:tc>
        <w:tc>
          <w:tcPr>
            <w:tcW w:w="0" w:type="dxa"/>
            <w:vAlign w:val="bottom"/>
          </w:tcPr>
          <w:p>
            <w:pPr>
              <w:spacing w:after="0"/>
              <w:rPr>
                <w:sz w:val="1"/>
                <w:szCs w:val="1"/>
                <w:color w:val="auto"/>
              </w:rPr>
            </w:pPr>
          </w:p>
        </w:tc>
      </w:tr>
      <w:tr>
        <w:trPr>
          <w:trHeight w:val="176"/>
        </w:trPr>
        <w:tc>
          <w:tcPr>
            <w:tcW w:w="53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Regeneron's share of profits in connection with Roche sales of</w:t>
            </w: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43"/>
        </w:trPr>
        <w:tc>
          <w:tcPr>
            <w:tcW w:w="5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Ronapreve</w:t>
            </w:r>
          </w:p>
        </w:tc>
        <w:tc>
          <w:tcPr>
            <w:tcW w:w="6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20"/>
              <w:spacing w:after="0"/>
              <w:rPr>
                <w:sz w:val="20"/>
                <w:szCs w:val="20"/>
                <w:color w:val="auto"/>
              </w:rPr>
            </w:pPr>
            <w:r>
              <w:rPr>
                <w:rFonts w:ascii="Arial" w:cs="Arial" w:eastAsia="Arial" w:hAnsi="Arial"/>
                <w:sz w:val="18"/>
                <w:szCs w:val="18"/>
                <w:color w:val="auto"/>
              </w:rPr>
              <w:t>Other - Ronapreve</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8"/>
        </w:trPr>
        <w:tc>
          <w:tcPr>
            <w:tcW w:w="5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 excluding Ronapreve</w:t>
            </w:r>
          </w:p>
        </w:tc>
        <w:tc>
          <w:tcPr>
            <w:tcW w:w="6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3,789.2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3,436.</w:t>
            </w:r>
            <w:r>
              <w:rPr>
                <w:rFonts w:ascii="Arial" w:cs="Arial" w:eastAsia="Arial" w:hAnsi="Arial"/>
                <w:sz w:val="18"/>
                <w:szCs w:val="18"/>
                <w:u w:val="single" w:color="auto"/>
                <w:color w:val="auto"/>
              </w:rPr>
              <w:t>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14,200.6</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12,906.2</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5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Effective tax rate reconciliation:</w:t>
            </w: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GAAP ETR</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center"/>
              <w:ind w:left="150"/>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effect of GAAP to non-GAAP reconciling items</w:t>
            </w:r>
          </w:p>
        </w:tc>
        <w:tc>
          <w:tcPr>
            <w:tcW w:w="6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15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color w:val="auto"/>
              </w:rPr>
              <w:t>Non-GAAP ETR</w:t>
            </w:r>
          </w:p>
        </w:tc>
        <w:tc>
          <w:tcPr>
            <w:tcW w:w="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Year Ended</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Free cash flow reconciliation:</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4,420.5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4,594.0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190"/>
              <w:spacing w:after="0"/>
              <w:rPr>
                <w:sz w:val="20"/>
                <w:szCs w:val="20"/>
                <w:color w:val="auto"/>
              </w:rPr>
            </w:pPr>
            <w:r>
              <w:rPr>
                <w:rFonts w:ascii="Arial" w:cs="Arial" w:eastAsia="Arial" w:hAnsi="Arial"/>
                <w:sz w:val="18"/>
                <w:szCs w:val="18"/>
                <w:color w:val="auto"/>
              </w:rPr>
              <w:t>(718.6)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3,664.6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3,875.4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6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530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1133" w:right="45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260" w:type="dxa"/>
            <w:vAlign w:val="bottom"/>
            <w:gridSpan w:val="2"/>
          </w:tcPr>
          <w:p>
            <w:pPr>
              <w:spacing w:after="0"/>
              <w:rPr>
                <w:sz w:val="20"/>
                <w:szCs w:val="20"/>
                <w:color w:val="auto"/>
              </w:rPr>
            </w:pPr>
            <w:r>
              <w:rPr>
                <w:rFonts w:ascii="Arial" w:cs="Arial" w:eastAsia="Arial" w:hAnsi="Arial"/>
                <w:sz w:val="18"/>
                <w:szCs w:val="18"/>
                <w:color w:val="auto"/>
              </w:rPr>
              <w:t>TABLE 4</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6"/>
        </w:trPr>
        <w:tc>
          <w:tcPr>
            <w:tcW w:w="80" w:type="dxa"/>
            <w:vAlign w:val="bottom"/>
          </w:tcPr>
          <w:p>
            <w:pPr>
              <w:spacing w:after="0"/>
              <w:rPr>
                <w:sz w:val="24"/>
                <w:szCs w:val="24"/>
                <w:color w:val="auto"/>
              </w:rPr>
            </w:pPr>
          </w:p>
        </w:tc>
        <w:tc>
          <w:tcPr>
            <w:tcW w:w="7440" w:type="dxa"/>
            <w:vAlign w:val="bottom"/>
            <w:gridSpan w:val="4"/>
          </w:tcPr>
          <w:p>
            <w:pPr>
              <w:jc w:val="center"/>
              <w:ind w:left="3550"/>
              <w:spacing w:after="0"/>
              <w:rPr>
                <w:sz w:val="20"/>
                <w:szCs w:val="20"/>
                <w:color w:val="auto"/>
              </w:rPr>
            </w:pPr>
            <w:r>
              <w:rPr>
                <w:rFonts w:ascii="Arial" w:cs="Arial" w:eastAsia="Arial" w:hAnsi="Arial"/>
                <w:sz w:val="18"/>
                <w:szCs w:val="18"/>
                <w:b w:val="1"/>
                <w:bCs w:val="1"/>
                <w:color w:val="auto"/>
                <w:w w:val="99"/>
              </w:rPr>
              <w:t>REGENERON PHARMACEUTICALS,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7440" w:type="dxa"/>
            <w:vAlign w:val="bottom"/>
            <w:gridSpan w:val="4"/>
          </w:tcPr>
          <w:p>
            <w:pPr>
              <w:jc w:val="center"/>
              <w:ind w:left="3570"/>
              <w:spacing w:after="0"/>
              <w:rPr>
                <w:sz w:val="20"/>
                <w:szCs w:val="20"/>
                <w:color w:val="auto"/>
              </w:rPr>
            </w:pPr>
            <w:r>
              <w:rPr>
                <w:rFonts w:ascii="Arial" w:cs="Arial" w:eastAsia="Arial" w:hAnsi="Arial"/>
                <w:sz w:val="18"/>
                <w:szCs w:val="18"/>
                <w:b w:val="1"/>
                <w:bCs w:val="1"/>
                <w:color w:val="auto"/>
                <w:w w:val="99"/>
              </w:rPr>
              <w:t>COLLABORATION REVENUE (Unaudited)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0" w:type="dxa"/>
            <w:vAlign w:val="bottom"/>
          </w:tcPr>
          <w:p>
            <w:pPr>
              <w:spacing w:after="0"/>
              <w:rPr>
                <w:sz w:val="21"/>
                <w:szCs w:val="21"/>
                <w:color w:val="auto"/>
              </w:rPr>
            </w:pPr>
          </w:p>
        </w:tc>
        <w:tc>
          <w:tcPr>
            <w:tcW w:w="6180" w:type="dxa"/>
            <w:vAlign w:val="bottom"/>
          </w:tcPr>
          <w:p>
            <w:pPr>
              <w:jc w:val="center"/>
              <w:ind w:left="4810"/>
              <w:spacing w:after="0"/>
              <w:rPr>
                <w:sz w:val="20"/>
                <w:szCs w:val="20"/>
                <w:color w:val="auto"/>
              </w:rPr>
            </w:pPr>
            <w:r>
              <w:rPr>
                <w:rFonts w:ascii="Arial" w:cs="Arial" w:eastAsia="Arial" w:hAnsi="Arial"/>
                <w:sz w:val="18"/>
                <w:szCs w:val="18"/>
                <w:b w:val="1"/>
                <w:bCs w:val="1"/>
                <w:i w:val="1"/>
                <w:iCs w:val="1"/>
                <w:color w:val="auto"/>
                <w:w w:val="98"/>
              </w:rPr>
              <w:t>(In millions)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8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9"/>
              </w:rPr>
              <w:t>Three Months Ended</w:t>
            </w:r>
          </w:p>
        </w:tc>
        <w:tc>
          <w:tcPr>
            <w:tcW w:w="260" w:type="dxa"/>
            <w:vAlign w:val="bottom"/>
          </w:tcPr>
          <w:p>
            <w:pPr>
              <w:spacing w:after="0"/>
              <w:rPr>
                <w:sz w:val="24"/>
                <w:szCs w:val="24"/>
                <w:color w:val="auto"/>
              </w:rPr>
            </w:pPr>
          </w:p>
        </w:tc>
        <w:tc>
          <w:tcPr>
            <w:tcW w:w="216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9"/>
              </w:rPr>
              <w:t>December 31,</w:t>
            </w:r>
          </w:p>
        </w:tc>
        <w:tc>
          <w:tcPr>
            <w:tcW w:w="260" w:type="dxa"/>
            <w:vAlign w:val="bottom"/>
          </w:tcPr>
          <w:p>
            <w:pPr>
              <w:spacing w:after="0"/>
              <w:rPr>
                <w:sz w:val="21"/>
                <w:szCs w:val="21"/>
                <w:color w:val="auto"/>
              </w:rPr>
            </w:pPr>
          </w:p>
        </w:tc>
        <w:tc>
          <w:tcPr>
            <w:tcW w:w="216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61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61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Sanofi collaboration revenue:</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6180" w:type="dxa"/>
            <w:vAlign w:val="bottom"/>
          </w:tcPr>
          <w:p>
            <w:pPr>
              <w:ind w:left="180"/>
              <w:spacing w:after="0" w:line="176" w:lineRule="exact"/>
              <w:rPr>
                <w:sz w:val="20"/>
                <w:szCs w:val="20"/>
                <w:color w:val="auto"/>
              </w:rPr>
            </w:pPr>
            <w:r>
              <w:rPr>
                <w:rFonts w:ascii="Arial" w:cs="Arial" w:eastAsia="Arial" w:hAnsi="Arial"/>
                <w:sz w:val="18"/>
                <w:szCs w:val="18"/>
                <w:color w:val="auto"/>
              </w:rPr>
              <w:t>Regeneron's share of profits in connection with commercialization of</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1,042.9</w:t>
            </w:r>
          </w:p>
        </w:tc>
        <w:tc>
          <w:tcPr>
            <w:tcW w:w="12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885.9</w:t>
            </w:r>
          </w:p>
        </w:tc>
        <w:tc>
          <w:tcPr>
            <w:tcW w:w="10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3,923.5</w:t>
            </w:r>
          </w:p>
        </w:tc>
        <w:tc>
          <w:tcPr>
            <w:tcW w:w="10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3,136.5</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antibodies</w:t>
            </w:r>
          </w:p>
        </w:tc>
        <w:tc>
          <w:tcPr>
            <w:tcW w:w="20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Sales-based milestones earned</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Reimbursement for manufacturing of commercial supplies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613.0</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Sanofi collaboration revenue</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4,531.4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3,799.5</w:t>
            </w: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1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Bayer collaboration revenue: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6180" w:type="dxa"/>
            <w:vAlign w:val="bottom"/>
          </w:tcPr>
          <w:p>
            <w:pPr>
              <w:ind w:left="180"/>
              <w:spacing w:after="0" w:line="176" w:lineRule="exact"/>
              <w:rPr>
                <w:sz w:val="20"/>
                <w:szCs w:val="20"/>
                <w:color w:val="auto"/>
              </w:rPr>
            </w:pPr>
            <w:r>
              <w:rPr>
                <w:rFonts w:ascii="Arial" w:cs="Arial" w:eastAsia="Arial" w:hAnsi="Arial"/>
                <w:sz w:val="18"/>
                <w:szCs w:val="18"/>
                <w:color w:val="auto"/>
              </w:rPr>
              <w:t>Regeneron's share of profits in connection with commercialization of</w:t>
            </w:r>
          </w:p>
        </w:tc>
        <w:tc>
          <w:tcPr>
            <w:tcW w:w="2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348.8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345.4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1,403.3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1,376.4</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EYLEA 8 mg and EYLEA outside the United States</w:t>
            </w:r>
          </w:p>
        </w:tc>
        <w:tc>
          <w:tcPr>
            <w:tcW w:w="20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Reimbursement for manufacturing of ex-U.S. commercial supplies</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Bayer collaboration revenue</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1,487.5</w:t>
            </w: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6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180" w:type="dxa"/>
            <w:vAlign w:val="bottom"/>
          </w:tcPr>
          <w:p>
            <w:pPr>
              <w:ind w:left="20"/>
              <w:spacing w:after="0"/>
              <w:rPr>
                <w:sz w:val="20"/>
                <w:szCs w:val="20"/>
                <w:color w:val="auto"/>
              </w:rPr>
            </w:pPr>
            <w:r>
              <w:rPr>
                <w:rFonts w:ascii="Arial" w:cs="Arial" w:eastAsia="Arial" w:hAnsi="Arial"/>
                <w:sz w:val="18"/>
                <w:szCs w:val="18"/>
                <w:i w:val="1"/>
                <w:iCs w:val="1"/>
                <w:color w:val="auto"/>
              </w:rPr>
              <w:t>Other collaboration revenue:</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61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Regeneron's share of profits in connection with Roche sales of</w:t>
            </w:r>
          </w:p>
        </w:tc>
        <w:tc>
          <w:tcPr>
            <w:tcW w:w="20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Ronapreve</w:t>
            </w:r>
          </w:p>
        </w:tc>
        <w:tc>
          <w:tcPr>
            <w:tcW w:w="200" w:type="dxa"/>
            <w:vAlign w:val="bottom"/>
            <w:shd w:val="clear" w:color="auto" w:fill="CCEEFF"/>
          </w:tcPr>
          <w:p>
            <w:pPr>
              <w:spacing w:after="0"/>
              <w:rPr>
                <w:sz w:val="21"/>
                <w:szCs w:val="21"/>
                <w:color w:val="auto"/>
              </w:rPr>
            </w:pPr>
          </w:p>
        </w:tc>
        <w:tc>
          <w:tcPr>
            <w:tcW w:w="106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180" w:type="dxa"/>
            <w:vAlign w:val="bottom"/>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61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Total collaboration revenue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6,057.8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5,503.1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80"/>
          </w:cols>
          <w:pgMar w:left="320" w:top="890" w:right="39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TABLE 5</w:t>
      </w:r>
    </w:p>
    <w:p>
      <w:pPr>
        <w:spacing w:after="0" w:line="77" w:lineRule="exact"/>
        <w:rPr>
          <w:sz w:val="20"/>
          <w:szCs w:val="20"/>
          <w:color w:val="auto"/>
        </w:rPr>
      </w:pPr>
    </w:p>
    <w:p>
      <w:pPr>
        <w:jc w:val="center"/>
        <w:ind w:left="340" w:right="2200"/>
        <w:spacing w:after="0" w:line="284" w:lineRule="auto"/>
        <w:rPr>
          <w:sz w:val="20"/>
          <w:szCs w:val="20"/>
          <w:color w:val="auto"/>
        </w:rPr>
      </w:pPr>
      <w:r>
        <w:rPr>
          <w:rFonts w:ascii="Arial" w:cs="Arial" w:eastAsia="Arial" w:hAnsi="Arial"/>
          <w:sz w:val="18"/>
          <w:szCs w:val="18"/>
          <w:b w:val="1"/>
          <w:bCs w:val="1"/>
          <w:color w:val="auto"/>
        </w:rPr>
        <w:t xml:space="preserve">REGENERON PHARMACEUTICALS, INC. NET PRODUCT SALES OF REGENERON-DISCOVERED PRODUCTS (Unaudited) </w:t>
      </w:r>
      <w:r>
        <w:rPr>
          <w:rFonts w:ascii="Arial" w:cs="Arial" w:eastAsia="Arial" w:hAnsi="Arial"/>
          <w:sz w:val="18"/>
          <w:szCs w:val="18"/>
          <w:b w:val="1"/>
          <w:bCs w:val="1"/>
          <w:i w:val="1"/>
          <w:iCs w:val="1"/>
          <w:color w:val="auto"/>
        </w:rPr>
        <w:t>(In millions)</w:t>
      </w:r>
    </w:p>
    <w:p>
      <w:pPr>
        <w:spacing w:after="0" w:line="307"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Three Months Ended</w:t>
      </w:r>
    </w:p>
    <w:p>
      <w:pPr>
        <w:ind w:left="5660"/>
        <w:spacing w:after="0"/>
        <w:rPr>
          <w:sz w:val="20"/>
          <w:szCs w:val="20"/>
          <w:color w:val="auto"/>
        </w:rPr>
      </w:pPr>
      <w:r>
        <w:rPr>
          <w:rFonts w:ascii="Arial" w:cs="Arial" w:eastAsia="Arial" w:hAnsi="Arial"/>
          <w:sz w:val="18"/>
          <w:szCs w:val="18"/>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9"/>
              </w:rPr>
              <w:t>2024</w:t>
            </w:r>
          </w:p>
        </w:tc>
        <w:tc>
          <w:tcPr>
            <w:tcW w:w="1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2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b w:val="1"/>
                <w:bCs w:val="1"/>
                <w:color w:val="auto"/>
              </w:rPr>
              <w:t>U.S.</w:t>
            </w:r>
          </w:p>
        </w:tc>
        <w:tc>
          <w:tcPr>
            <w:tcW w:w="160" w:type="dxa"/>
            <w:vAlign w:val="bottom"/>
          </w:tcPr>
          <w:p>
            <w:pPr>
              <w:spacing w:after="0"/>
              <w:rPr>
                <w:sz w:val="19"/>
                <w:szCs w:val="19"/>
                <w:color w:val="auto"/>
              </w:rPr>
            </w:pPr>
          </w:p>
        </w:tc>
        <w:tc>
          <w:tcPr>
            <w:tcW w:w="980" w:type="dxa"/>
            <w:vAlign w:val="bottom"/>
            <w:gridSpan w:val="2"/>
          </w:tcPr>
          <w:p>
            <w:pPr>
              <w:jc w:val="center"/>
              <w:ind w:right="280"/>
              <w:spacing w:after="0" w:line="223" w:lineRule="exact"/>
              <w:rPr>
                <w:sz w:val="20"/>
                <w:szCs w:val="20"/>
                <w:color w:val="auto"/>
              </w:rPr>
            </w:pPr>
            <w:r>
              <w:rPr>
                <w:rFonts w:ascii="Arial" w:cs="Arial" w:eastAsia="Arial" w:hAnsi="Arial"/>
                <w:sz w:val="25"/>
                <w:szCs w:val="25"/>
                <w:b w:val="1"/>
                <w:bCs w:val="1"/>
                <w:color w:val="auto"/>
                <w:vertAlign w:val="subscript"/>
              </w:rPr>
              <w:t>ROW</w:t>
            </w:r>
            <w:r>
              <w:rPr>
                <w:rFonts w:ascii="Arial" w:cs="Arial" w:eastAsia="Arial" w:hAnsi="Arial"/>
                <w:sz w:val="10"/>
                <w:szCs w:val="10"/>
                <w:color w:val="auto"/>
              </w:rPr>
              <w:t>(g)</w:t>
            </w:r>
          </w:p>
        </w:tc>
        <w:tc>
          <w:tcPr>
            <w:tcW w:w="180" w:type="dxa"/>
            <w:vAlign w:val="bottom"/>
          </w:tcPr>
          <w:p>
            <w:pPr>
              <w:spacing w:after="0"/>
              <w:rPr>
                <w:sz w:val="19"/>
                <w:szCs w:val="19"/>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b w:val="1"/>
                <w:bCs w:val="1"/>
                <w:color w:val="auto"/>
              </w:rPr>
              <w:t>U.S.</w:t>
            </w:r>
          </w:p>
        </w:tc>
        <w:tc>
          <w:tcPr>
            <w:tcW w:w="200" w:type="dxa"/>
            <w:vAlign w:val="bottom"/>
          </w:tcPr>
          <w:p>
            <w:pPr>
              <w:spacing w:after="0"/>
              <w:rPr>
                <w:sz w:val="19"/>
                <w:szCs w:val="19"/>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b w:val="1"/>
                <w:bCs w:val="1"/>
                <w:color w:val="auto"/>
              </w:rPr>
              <w:t>ROW</w:t>
            </w:r>
          </w:p>
        </w:tc>
        <w:tc>
          <w:tcPr>
            <w:tcW w:w="200" w:type="dxa"/>
            <w:vAlign w:val="bottom"/>
          </w:tcPr>
          <w:p>
            <w:pPr>
              <w:spacing w:after="0"/>
              <w:rPr>
                <w:sz w:val="19"/>
                <w:szCs w:val="19"/>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8"/>
              </w:rPr>
              <w:t>(Total Sales)</w:t>
            </w:r>
          </w:p>
        </w:tc>
        <w:tc>
          <w:tcPr>
            <w:tcW w:w="0" w:type="dxa"/>
            <w:vAlign w:val="bottom"/>
          </w:tcPr>
          <w:p>
            <w:pPr>
              <w:spacing w:after="0"/>
              <w:rPr>
                <w:sz w:val="1"/>
                <w:szCs w:val="1"/>
                <w:color w:val="auto"/>
              </w:rPr>
            </w:pPr>
          </w:p>
        </w:tc>
      </w:tr>
      <w:tr>
        <w:trPr>
          <w:trHeight w:val="223"/>
        </w:trPr>
        <w:tc>
          <w:tcPr>
            <w:tcW w:w="286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EYLEA HD and EYLEA</w:t>
            </w:r>
            <w:r>
              <w:rPr>
                <w:rFonts w:ascii="Arial" w:cs="Arial" w:eastAsia="Arial" w:hAnsi="Arial"/>
                <w:sz w:val="23"/>
                <w:szCs w:val="23"/>
                <w:color w:val="auto"/>
                <w:vertAlign w:val="superscript"/>
              </w:rPr>
              <w:t>(a)</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2,382.9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2,350.2</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line="230" w:lineRule="exact"/>
              <w:rPr>
                <w:sz w:val="20"/>
                <w:szCs w:val="20"/>
                <w:color w:val="auto"/>
              </w:rPr>
            </w:pPr>
            <w:r>
              <w:rPr>
                <w:rFonts w:ascii="Arial" w:cs="Arial" w:eastAsia="Arial" w:hAnsi="Arial"/>
                <w:sz w:val="18"/>
                <w:szCs w:val="18"/>
                <w:color w:val="auto"/>
              </w:rPr>
              <w:t>Dupixent</w:t>
            </w:r>
            <w:r>
              <w:rPr>
                <w:rFonts w:ascii="Arial" w:cs="Arial" w:eastAsia="Arial" w:hAnsi="Arial"/>
                <w:sz w:val="23"/>
                <w:szCs w:val="23"/>
                <w:color w:val="auto"/>
                <w:vertAlign w:val="superscript"/>
              </w:rPr>
              <w:t>(b)</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2,745.8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951.8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3,697.6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2,486.0</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730.1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3,216.1</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Libtayo</w:t>
            </w:r>
            <w:r>
              <w:rPr>
                <w:rFonts w:ascii="Arial" w:cs="Arial" w:eastAsia="Arial" w:hAnsi="Arial"/>
                <w:sz w:val="23"/>
                <w:szCs w:val="23"/>
                <w:color w:val="auto"/>
                <w:vertAlign w:val="superscript"/>
              </w:rPr>
              <w:t>(c)</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line="230" w:lineRule="exact"/>
              <w:rPr>
                <w:sz w:val="20"/>
                <w:szCs w:val="20"/>
                <w:color w:val="auto"/>
              </w:rPr>
            </w:pPr>
            <w:r>
              <w:rPr>
                <w:rFonts w:ascii="Arial" w:cs="Arial" w:eastAsia="Arial" w:hAnsi="Arial"/>
                <w:sz w:val="18"/>
                <w:szCs w:val="18"/>
                <w:color w:val="auto"/>
              </w:rPr>
              <w:t>Praluent</w:t>
            </w:r>
            <w:r>
              <w:rPr>
                <w:rFonts w:ascii="Arial" w:cs="Arial" w:eastAsia="Arial" w:hAnsi="Arial"/>
                <w:sz w:val="23"/>
                <w:szCs w:val="23"/>
                <w:color w:val="auto"/>
                <w:vertAlign w:val="superscript"/>
              </w:rPr>
              <w:t>(d)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117.7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180.4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187.2</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Kevzara</w:t>
            </w:r>
            <w:r>
              <w:rPr>
                <w:rFonts w:ascii="Arial" w:cs="Arial" w:eastAsia="Arial" w:hAnsi="Arial"/>
                <w:sz w:val="23"/>
                <w:szCs w:val="23"/>
                <w:color w:val="auto"/>
                <w:vertAlign w:val="superscript"/>
              </w:rPr>
              <w:t>(b)</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line="230" w:lineRule="exact"/>
              <w:rPr>
                <w:sz w:val="20"/>
                <w:szCs w:val="20"/>
                <w:color w:val="auto"/>
              </w:rPr>
            </w:pPr>
            <w:r>
              <w:rPr>
                <w:rFonts w:ascii="Arial" w:cs="Arial" w:eastAsia="Arial" w:hAnsi="Arial"/>
                <w:sz w:val="18"/>
                <w:szCs w:val="18"/>
                <w:color w:val="auto"/>
              </w:rPr>
              <w:t>REGEN-COV</w:t>
            </w:r>
            <w:r>
              <w:rPr>
                <w:rFonts w:ascii="Arial" w:cs="Arial" w:eastAsia="Arial" w:hAnsi="Arial"/>
                <w:sz w:val="23"/>
                <w:szCs w:val="23"/>
                <w:color w:val="auto"/>
                <w:vertAlign w:val="superscript"/>
              </w:rPr>
              <w:t>(e)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Other products</w:t>
            </w:r>
            <w:r>
              <w:rPr>
                <w:rFonts w:ascii="Arial" w:cs="Arial" w:eastAsia="Arial" w:hAnsi="Arial"/>
                <w:sz w:val="23"/>
                <w:szCs w:val="23"/>
                <w:color w:val="auto"/>
                <w:vertAlign w:val="superscript"/>
              </w:rPr>
              <w:t>(f)</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346"/>
        </w:trPr>
        <w:tc>
          <w:tcPr>
            <w:tcW w:w="2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8"/>
              </w:rPr>
              <w:t>Year Ended</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8"/>
                <w:szCs w:val="18"/>
                <w:b w:val="1"/>
                <w:bCs w:val="1"/>
                <w:color w:val="auto"/>
                <w:w w:val="99"/>
              </w:rPr>
              <w:t>December 31,</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28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9"/>
              </w:rPr>
              <w:t>2024</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b w:val="1"/>
                <w:bCs w:val="1"/>
                <w:color w:val="auto"/>
              </w:rPr>
              <w:t>U.S.</w:t>
            </w:r>
          </w:p>
        </w:tc>
        <w:tc>
          <w:tcPr>
            <w:tcW w:w="160" w:type="dxa"/>
            <w:vAlign w:val="bottom"/>
          </w:tcPr>
          <w:p>
            <w:pPr>
              <w:spacing w:after="0"/>
              <w:rPr>
                <w:sz w:val="19"/>
                <w:szCs w:val="19"/>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ROW</w:t>
            </w:r>
          </w:p>
        </w:tc>
        <w:tc>
          <w:tcPr>
            <w:tcW w:w="180" w:type="dxa"/>
            <w:vAlign w:val="bottom"/>
          </w:tcPr>
          <w:p>
            <w:pPr>
              <w:spacing w:after="0"/>
              <w:rPr>
                <w:sz w:val="19"/>
                <w:szCs w:val="19"/>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b w:val="1"/>
                <w:bCs w:val="1"/>
                <w:color w:val="auto"/>
              </w:rPr>
              <w:t>U.S.</w:t>
            </w:r>
          </w:p>
        </w:tc>
        <w:tc>
          <w:tcPr>
            <w:tcW w:w="200" w:type="dxa"/>
            <w:vAlign w:val="bottom"/>
          </w:tcPr>
          <w:p>
            <w:pPr>
              <w:spacing w:after="0"/>
              <w:rPr>
                <w:sz w:val="19"/>
                <w:szCs w:val="19"/>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b w:val="1"/>
                <w:bCs w:val="1"/>
                <w:color w:val="auto"/>
              </w:rPr>
              <w:t>ROW</w:t>
            </w:r>
          </w:p>
        </w:tc>
        <w:tc>
          <w:tcPr>
            <w:tcW w:w="200" w:type="dxa"/>
            <w:vAlign w:val="bottom"/>
          </w:tcPr>
          <w:p>
            <w:pPr>
              <w:spacing w:after="0"/>
              <w:rPr>
                <w:sz w:val="19"/>
                <w:szCs w:val="19"/>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8"/>
              </w:rPr>
              <w:t>(Total Sales)</w:t>
            </w:r>
          </w:p>
        </w:tc>
        <w:tc>
          <w:tcPr>
            <w:tcW w:w="0" w:type="dxa"/>
            <w:vAlign w:val="bottom"/>
          </w:tcPr>
          <w:p>
            <w:pPr>
              <w:spacing w:after="0"/>
              <w:rPr>
                <w:sz w:val="1"/>
                <w:szCs w:val="1"/>
                <w:color w:val="auto"/>
              </w:rPr>
            </w:pPr>
          </w:p>
        </w:tc>
      </w:tr>
      <w:tr>
        <w:trPr>
          <w:trHeight w:val="223"/>
        </w:trPr>
        <w:tc>
          <w:tcPr>
            <w:tcW w:w="286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EYLEA HD and EYLEA</w:t>
            </w:r>
            <w:r>
              <w:rPr>
                <w:rFonts w:ascii="Arial" w:cs="Arial" w:eastAsia="Arial" w:hAnsi="Arial"/>
                <w:sz w:val="23"/>
                <w:szCs w:val="23"/>
                <w:color w:val="auto"/>
                <w:vertAlign w:val="superscript"/>
              </w:rPr>
              <w:t>(a)</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5,968.2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3,576.8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9,545.0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5,885.4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3,495.2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9,380.6</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line="230" w:lineRule="exact"/>
              <w:rPr>
                <w:sz w:val="20"/>
                <w:szCs w:val="20"/>
                <w:color w:val="auto"/>
              </w:rPr>
            </w:pPr>
            <w:r>
              <w:rPr>
                <w:rFonts w:ascii="Arial" w:cs="Arial" w:eastAsia="Arial" w:hAnsi="Arial"/>
                <w:sz w:val="18"/>
                <w:szCs w:val="18"/>
                <w:color w:val="auto"/>
              </w:rPr>
              <w:t>Dupixent</w:t>
            </w:r>
            <w:r>
              <w:rPr>
                <w:rFonts w:ascii="Arial" w:cs="Arial" w:eastAsia="Arial" w:hAnsi="Arial"/>
                <w:sz w:val="23"/>
                <w:szCs w:val="23"/>
                <w:color w:val="auto"/>
                <w:vertAlign w:val="superscript"/>
              </w:rPr>
              <w:t>(b)</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10,398.7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3,749.3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14,148.0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8,855.6</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2,732.5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11,588.1</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Libtayo</w:t>
            </w:r>
            <w:r>
              <w:rPr>
                <w:rFonts w:ascii="Arial" w:cs="Arial" w:eastAsia="Arial" w:hAnsi="Arial"/>
                <w:sz w:val="23"/>
                <w:szCs w:val="23"/>
                <w:color w:val="auto"/>
                <w:vertAlign w:val="superscript"/>
              </w:rPr>
              <w:t>(c)</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line="230" w:lineRule="exact"/>
              <w:rPr>
                <w:sz w:val="20"/>
                <w:szCs w:val="20"/>
                <w:color w:val="auto"/>
              </w:rPr>
            </w:pPr>
            <w:r>
              <w:rPr>
                <w:rFonts w:ascii="Arial" w:cs="Arial" w:eastAsia="Arial" w:hAnsi="Arial"/>
                <w:sz w:val="18"/>
                <w:szCs w:val="18"/>
                <w:color w:val="auto"/>
              </w:rPr>
              <w:t>Praluent</w:t>
            </w:r>
            <w:r>
              <w:rPr>
                <w:rFonts w:ascii="Arial" w:cs="Arial" w:eastAsia="Arial" w:hAnsi="Arial"/>
                <w:sz w:val="23"/>
                <w:szCs w:val="23"/>
                <w:color w:val="auto"/>
                <w:vertAlign w:val="superscript"/>
              </w:rPr>
              <w:t>(d)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241.7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523.3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765.0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182.4</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456.5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638.9</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Kevzara</w:t>
            </w:r>
            <w:r>
              <w:rPr>
                <w:rFonts w:ascii="Arial" w:cs="Arial" w:eastAsia="Arial" w:hAnsi="Arial"/>
                <w:sz w:val="23"/>
                <w:szCs w:val="23"/>
                <w:color w:val="auto"/>
                <w:vertAlign w:val="superscript"/>
              </w:rPr>
              <w:t>(b)</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385.9</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line="230" w:lineRule="exact"/>
              <w:rPr>
                <w:sz w:val="20"/>
                <w:szCs w:val="20"/>
                <w:color w:val="auto"/>
              </w:rPr>
            </w:pPr>
            <w:r>
              <w:rPr>
                <w:rFonts w:ascii="Arial" w:cs="Arial" w:eastAsia="Arial" w:hAnsi="Arial"/>
                <w:sz w:val="18"/>
                <w:szCs w:val="18"/>
                <w:color w:val="auto"/>
              </w:rPr>
              <w:t>REGEN-COV</w:t>
            </w:r>
            <w:r>
              <w:rPr>
                <w:rFonts w:ascii="Arial" w:cs="Arial" w:eastAsia="Arial" w:hAnsi="Arial"/>
                <w:sz w:val="23"/>
                <w:szCs w:val="23"/>
                <w:color w:val="auto"/>
                <w:vertAlign w:val="superscript"/>
              </w:rPr>
              <w:t>(e)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618.8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618.8</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Other products</w:t>
            </w:r>
            <w:r>
              <w:rPr>
                <w:rFonts w:ascii="Arial" w:cs="Arial" w:eastAsia="Arial" w:hAnsi="Arial"/>
                <w:sz w:val="23"/>
                <w:szCs w:val="23"/>
                <w:color w:val="auto"/>
                <w:vertAlign w:val="superscript"/>
              </w:rPr>
              <w:t>(f)</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40" w:right="80"/>
        <w:spacing w:after="0" w:line="245" w:lineRule="auto"/>
        <w:rPr>
          <w:sz w:val="20"/>
          <w:szCs w:val="20"/>
          <w:color w:val="auto"/>
        </w:rPr>
      </w:pPr>
      <w:r>
        <w:rPr>
          <w:rFonts w:ascii="Arial" w:cs="Arial" w:eastAsia="Arial" w:hAnsi="Arial"/>
          <w:sz w:val="16"/>
          <w:szCs w:val="16"/>
          <w:color w:val="auto"/>
        </w:rPr>
        <w:t>Note: The table above includes net product sales of Regeneron-discovered products. Such net product sales are recorded by the Company or others, as further described in the footnotes below.</w:t>
      </w:r>
    </w:p>
    <w:p>
      <w:pPr>
        <w:spacing w:after="0" w:line="2" w:lineRule="exact"/>
        <w:rPr>
          <w:sz w:val="20"/>
          <w:szCs w:val="20"/>
          <w:color w:val="auto"/>
        </w:rPr>
      </w:pPr>
    </w:p>
    <w:p>
      <w:pPr>
        <w:ind w:left="240" w:right="520" w:firstLine="2"/>
        <w:spacing w:after="0" w:line="206" w:lineRule="auto"/>
        <w:tabs>
          <w:tab w:leader="none" w:pos="428"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The Company records net product sales of EYLEA HD and EYLEA in the United States, and Bayer records net product sales outside the United States. The Company records its share of profits in connection with sales outside the United States within Collaboration revenue.</w:t>
      </w:r>
    </w:p>
    <w:p>
      <w:pPr>
        <w:spacing w:after="0" w:line="2" w:lineRule="exact"/>
        <w:rPr>
          <w:rFonts w:ascii="Arial" w:cs="Arial" w:eastAsia="Arial" w:hAnsi="Arial"/>
          <w:sz w:val="22"/>
          <w:szCs w:val="22"/>
          <w:color w:val="auto"/>
          <w:vertAlign w:val="superscript"/>
        </w:rPr>
      </w:pPr>
    </w:p>
    <w:p>
      <w:pPr>
        <w:ind w:left="240" w:right="120" w:firstLine="2"/>
        <w:spacing w:after="0" w:line="206" w:lineRule="auto"/>
        <w:tabs>
          <w:tab w:leader="none" w:pos="428"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Sanofi records global net product sales of Dupixent and Kevzara, and the Company records its share of profits in connection with global sales of such products within Collaboration revenue.</w:t>
      </w:r>
    </w:p>
    <w:p>
      <w:pPr>
        <w:spacing w:after="0" w:line="2" w:lineRule="exact"/>
        <w:rPr>
          <w:rFonts w:ascii="Arial" w:cs="Arial" w:eastAsia="Arial" w:hAnsi="Arial"/>
          <w:sz w:val="22"/>
          <w:szCs w:val="22"/>
          <w:color w:val="auto"/>
          <w:vertAlign w:val="superscript"/>
        </w:rPr>
      </w:pPr>
    </w:p>
    <w:p>
      <w:pPr>
        <w:ind w:left="240" w:right="200" w:firstLine="2"/>
        <w:spacing w:after="0" w:line="205" w:lineRule="auto"/>
        <w:tabs>
          <w:tab w:leader="none" w:pos="421" w:val="left"/>
        </w:tabs>
        <w:numPr>
          <w:ilvl w:val="0"/>
          <w:numId w:val="15"/>
        </w:numPr>
        <w:rPr>
          <w:rFonts w:ascii="Arial" w:cs="Arial" w:eastAsia="Arial" w:hAnsi="Arial"/>
          <w:sz w:val="23"/>
          <w:szCs w:val="23"/>
          <w:color w:val="auto"/>
          <w:vertAlign w:val="superscript"/>
        </w:rPr>
      </w:pPr>
      <w:r>
        <w:rPr>
          <w:rFonts w:ascii="Arial" w:cs="Arial" w:eastAsia="Arial" w:hAnsi="Arial"/>
          <w:sz w:val="16"/>
          <w:szCs w:val="16"/>
          <w:color w:val="auto"/>
        </w:rPr>
        <w:t>The Company records global net product sales of Libtayo and pays Sanofi a royalty on such sales. Prior to July 1, 2022, Sanofi recorded net product sales of Libtayo outside the United States. Included in this line item for the year ended December 31, 2023 is approximately $6 million of first quarter 2023 net product sales recorded by Sanofi in connection with sales in certain markets outside the United States (Sanofi recorded net product sales in such markets during a transition period).</w:t>
      </w:r>
    </w:p>
    <w:p>
      <w:pPr>
        <w:spacing w:after="0" w:line="4" w:lineRule="exact"/>
        <w:rPr>
          <w:rFonts w:ascii="Arial" w:cs="Arial" w:eastAsia="Arial" w:hAnsi="Arial"/>
          <w:sz w:val="23"/>
          <w:szCs w:val="23"/>
          <w:color w:val="auto"/>
          <w:vertAlign w:val="superscript"/>
        </w:rPr>
      </w:pPr>
    </w:p>
    <w:p>
      <w:pPr>
        <w:ind w:left="240" w:right="220" w:firstLine="2"/>
        <w:spacing w:after="0" w:line="206" w:lineRule="auto"/>
        <w:tabs>
          <w:tab w:leader="none" w:pos="428"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The Company records net product sales of Praluent in the United States. Sanofi records net product sales of Praluent outside the United States and pays the Company a royalty on such sales, which is recorded within Other revenue.</w:t>
      </w:r>
    </w:p>
    <w:p>
      <w:pPr>
        <w:spacing w:after="0" w:line="2" w:lineRule="exact"/>
        <w:rPr>
          <w:rFonts w:ascii="Arial" w:cs="Arial" w:eastAsia="Arial" w:hAnsi="Arial"/>
          <w:sz w:val="22"/>
          <w:szCs w:val="22"/>
          <w:color w:val="auto"/>
          <w:vertAlign w:val="superscript"/>
        </w:rPr>
      </w:pPr>
    </w:p>
    <w:p>
      <w:pPr>
        <w:ind w:left="240" w:right="340" w:firstLine="2"/>
        <w:spacing w:after="0" w:line="206" w:lineRule="auto"/>
        <w:tabs>
          <w:tab w:leader="none" w:pos="428"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Roche records net product sales outside the United States and the Company records its share of gross profits from sales, which is recorded within Collaboration revenue.</w:t>
      </w:r>
    </w:p>
    <w:p>
      <w:pPr>
        <w:spacing w:after="0" w:line="2" w:lineRule="exact"/>
        <w:rPr>
          <w:rFonts w:ascii="Arial" w:cs="Arial" w:eastAsia="Arial" w:hAnsi="Arial"/>
          <w:sz w:val="22"/>
          <w:szCs w:val="22"/>
          <w:color w:val="auto"/>
          <w:vertAlign w:val="superscript"/>
        </w:rPr>
      </w:pPr>
    </w:p>
    <w:p>
      <w:pPr>
        <w:ind w:left="240" w:right="260" w:firstLine="2"/>
        <w:spacing w:after="0" w:line="204" w:lineRule="auto"/>
        <w:tabs>
          <w:tab w:leader="none" w:pos="379" w:val="left"/>
        </w:tabs>
        <w:numPr>
          <w:ilvl w:val="0"/>
          <w:numId w:val="15"/>
        </w:numPr>
        <w:rPr>
          <w:rFonts w:ascii="Arial" w:cs="Arial" w:eastAsia="Arial" w:hAnsi="Arial"/>
          <w:sz w:val="21"/>
          <w:szCs w:val="21"/>
          <w:color w:val="auto"/>
          <w:vertAlign w:val="superscript"/>
        </w:rPr>
      </w:pPr>
      <w:r>
        <w:rPr>
          <w:rFonts w:ascii="Arial" w:cs="Arial" w:eastAsia="Arial" w:hAnsi="Arial"/>
          <w:sz w:val="15"/>
          <w:szCs w:val="15"/>
          <w:color w:val="auto"/>
        </w:rPr>
        <w:t>Included in this line item are products which are sold by the Company and others. Refer to "Fourth Quarter and Full Year 2024 Financial Results" section above for a complete listing of net product sales recorded by the Company. Not included in this line item are net product sales of ARCALYST</w:t>
      </w:r>
      <w:r>
        <w:rPr>
          <w:rFonts w:ascii="Times New Roman" w:cs="Times New Roman" w:eastAsia="Times New Roman" w:hAnsi="Times New Roman"/>
          <w:sz w:val="19"/>
          <w:szCs w:val="19"/>
          <w:color w:val="auto"/>
          <w:vertAlign w:val="superscript"/>
        </w:rPr>
        <w:t>®</w:t>
      </w:r>
      <w:r>
        <w:rPr>
          <w:rFonts w:ascii="Arial" w:cs="Arial" w:eastAsia="Arial" w:hAnsi="Arial"/>
          <w:sz w:val="15"/>
          <w:szCs w:val="15"/>
          <w:color w:val="auto"/>
        </w:rPr>
        <w:t>, which are recorded by Kiniksa.</w:t>
      </w:r>
    </w:p>
    <w:p>
      <w:pPr>
        <w:ind w:left="420" w:hanging="178"/>
        <w:spacing w:after="0" w:line="214" w:lineRule="auto"/>
        <w:tabs>
          <w:tab w:leader="none" w:pos="420" w:val="left"/>
        </w:tabs>
        <w:numPr>
          <w:ilvl w:val="0"/>
          <w:numId w:val="15"/>
        </w:numPr>
        <w:rPr>
          <w:rFonts w:ascii="Arial" w:cs="Arial" w:eastAsia="Arial" w:hAnsi="Arial"/>
          <w:sz w:val="21"/>
          <w:szCs w:val="21"/>
          <w:color w:val="auto"/>
          <w:vertAlign w:val="superscript"/>
        </w:rPr>
      </w:pPr>
      <w:r>
        <w:rPr>
          <w:rFonts w:ascii="Arial" w:cs="Arial" w:eastAsia="Arial" w:hAnsi="Arial"/>
          <w:sz w:val="15"/>
          <w:szCs w:val="15"/>
          <w:color w:val="auto"/>
        </w:rPr>
        <w:t>Rest of world (ROW)</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lvl w:ilvl="1">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2025-02-04T06:15:28Z</dcterms:created>
  <dcterms:modified xsi:type="dcterms:W3CDTF">2025-02-04T06:15:28Z</dcterms:modified>
</cp:coreProperties>
</file>