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808" w:right="3519"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ectPr>
          <w:pgSz w:w="11900" w:h="16838" w:orient="portrait"/>
          <w:cols w:equalWidth="0" w:num="1">
            <w:col w:w="10227"/>
          </w:cols>
          <w:pgMar w:left="232" w:top="1241" w:right="1440" w:bottom="1440" w:gutter="0" w:footer="0" w:header="0"/>
        </w:sectPr>
      </w:pPr>
    </w:p>
    <w:p>
      <w:pPr>
        <w:spacing w:after="0" w:line="176" w:lineRule="exact"/>
        <w:rPr>
          <w:sz w:val="24"/>
          <w:szCs w:val="24"/>
          <w:color w:val="auto"/>
        </w:rPr>
      </w:pPr>
    </w:p>
    <w:p>
      <w:pPr>
        <w:ind w:left="808"/>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March 31, 1999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sectPr>
          <w:pgSz w:w="11900" w:h="16838" w:orient="portrait"/>
          <w:cols w:equalWidth="0" w:num="2">
            <w:col w:w="3488" w:space="80"/>
            <w:col w:w="6659"/>
          </w:cols>
          <w:pgMar w:left="232" w:top="1241" w:right="1440" w:bottom="1440" w:gutter="0" w:footer="0" w:header="0"/>
          <w:type w:val="continuous"/>
        </w:sect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808" w:right="3339" w:hanging="808"/>
        <w:spacing w:after="0"/>
        <w:tabs>
          <w:tab w:leader="none" w:pos="27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74"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For the transition period from _____________ to __________</w:t>
      </w:r>
    </w:p>
    <w:p>
      <w:pPr>
        <w:sectPr>
          <w:pgSz w:w="11900" w:h="16838" w:orient="portrait"/>
          <w:cols w:equalWidth="0" w:num="1">
            <w:col w:w="10227"/>
          </w:cols>
          <w:pgMar w:left="232" w:top="1241" w:right="1440" w:bottom="1440" w:gutter="0" w:footer="0" w:header="0"/>
          <w:type w:val="continuous"/>
        </w:sectPr>
      </w:pPr>
    </w:p>
    <w:p>
      <w:pPr>
        <w:spacing w:after="0" w:line="176" w:lineRule="exact"/>
        <w:rPr>
          <w:sz w:val="24"/>
          <w:szCs w:val="24"/>
          <w:color w:val="auto"/>
        </w:rPr>
      </w:pPr>
    </w:p>
    <w:p>
      <w:pPr>
        <w:ind w:left="808"/>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0-19034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sectPr>
          <w:pgSz w:w="11900" w:h="16838" w:orient="portrait"/>
          <w:cols w:equalWidth="0" w:num="2">
            <w:col w:w="2768" w:space="100"/>
            <w:col w:w="7359"/>
          </w:cols>
          <w:pgMar w:left="232" w:top="1241"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1168"/>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7"/>
          </w:cols>
          <w:pgMar w:left="232" w:top="1241" w:right="1440" w:bottom="1440" w:gutter="0" w:footer="0" w:header="0"/>
          <w:type w:val="continuous"/>
        </w:sectPr>
      </w:pPr>
    </w:p>
    <w:p>
      <w:pPr>
        <w:spacing w:after="0" w:line="184"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New York</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348"/>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13-3444607</w:t>
      </w:r>
    </w:p>
    <w:p>
      <w:pPr>
        <w:spacing w:after="0" w:line="2"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72" w:lineRule="exact"/>
        <w:rPr>
          <w:sz w:val="24"/>
          <w:szCs w:val="24"/>
          <w:color w:val="auto"/>
        </w:rPr>
      </w:pPr>
    </w:p>
    <w:p>
      <w:pPr>
        <w:sectPr>
          <w:pgSz w:w="11900" w:h="16838" w:orient="portrait"/>
          <w:cols w:equalWidth="0" w:num="2">
            <w:col w:w="3128" w:space="720"/>
            <w:col w:w="6379"/>
          </w:cols>
          <w:pgMar w:left="232" w:top="1241" w:right="1440" w:bottom="1440" w:gutter="0" w:footer="0" w:header="0"/>
          <w:type w:val="continuous"/>
        </w:sectPr>
      </w:pPr>
    </w:p>
    <w:p>
      <w:pPr>
        <w:spacing w:after="0" w:line="156"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777 Old Saw Mill River Road</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Tarrytown, New York</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10591-6707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(Zip code)</w:t>
      </w:r>
    </w:p>
    <w:p>
      <w:pPr>
        <w:spacing w:after="0" w:line="174" w:lineRule="exact"/>
        <w:rPr>
          <w:sz w:val="24"/>
          <w:szCs w:val="24"/>
          <w:color w:val="auto"/>
        </w:rPr>
      </w:pPr>
    </w:p>
    <w:p>
      <w:pPr>
        <w:sectPr>
          <w:pgSz w:w="11900" w:h="16838" w:orient="portrait"/>
          <w:cols w:equalWidth="0" w:num="2">
            <w:col w:w="4108" w:space="540"/>
            <w:col w:w="5579"/>
          </w:cols>
          <w:pgMar w:left="232" w:top="1241" w:right="1440" w:bottom="1440" w:gutter="0" w:footer="0" w:header="0"/>
          <w:type w:val="continuous"/>
        </w:sectPr>
      </w:pPr>
    </w:p>
    <w:p>
      <w:pPr>
        <w:jc w:val="center"/>
        <w:ind w:right="3071"/>
        <w:spacing w:after="0"/>
        <w:rPr>
          <w:sz w:val="20"/>
          <w:szCs w:val="20"/>
          <w:color w:val="auto"/>
        </w:rPr>
      </w:pPr>
      <w:r>
        <w:rPr>
          <w:rFonts w:ascii="Courier New" w:cs="Courier New" w:eastAsia="Courier New" w:hAnsi="Courier New"/>
          <w:sz w:val="15"/>
          <w:szCs w:val="15"/>
          <w:color w:val="auto"/>
        </w:rPr>
        <w:t>(914) 347-7000</w:t>
      </w:r>
    </w:p>
    <w:p>
      <w:pPr>
        <w:spacing w:after="0" w:line="2"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7"/>
          </w:cols>
          <w:pgMar w:left="232" w:top="1241" w:right="1440" w:bottom="1440" w:gutter="0" w:footer="0" w:header="0"/>
          <w:type w:val="continuous"/>
        </w:sectPr>
      </w:pPr>
    </w:p>
    <w:p>
      <w:pPr>
        <w:spacing w:after="0" w:line="175" w:lineRule="exact"/>
        <w:rPr>
          <w:sz w:val="24"/>
          <w:szCs w:val="24"/>
          <w:color w:val="auto"/>
        </w:rPr>
      </w:pPr>
    </w:p>
    <w:p>
      <w:pPr>
        <w:ind w:left="2508"/>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sectPr>
          <w:pgSz w:w="11900" w:h="16838" w:orient="portrait"/>
          <w:cols w:equalWidth="0" w:num="4">
            <w:col w:w="2768" w:space="0"/>
            <w:col w:w="800" w:space="720"/>
            <w:col w:w="180" w:space="0"/>
            <w:col w:w="5759"/>
          </w:cols>
          <w:pgMar w:left="232" w:top="1241" w:right="1440" w:bottom="1440" w:gutter="0" w:footer="0" w:header="0"/>
          <w:type w:val="continuous"/>
        </w:sectPr>
      </w:pPr>
    </w:p>
    <w:p>
      <w:pPr>
        <w:ind w:left="8" w:right="3439"/>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April 30, 1999:</w:t>
      </w:r>
    </w:p>
    <w:p>
      <w:pPr>
        <w:sectPr>
          <w:pgSz w:w="11900" w:h="16838" w:orient="portrait"/>
          <w:cols w:equalWidth="0" w:num="1">
            <w:col w:w="10227"/>
          </w:cols>
          <w:pgMar w:left="232" w:top="1241" w:right="1440" w:bottom="1440" w:gutter="0" w:footer="0" w:header="0"/>
          <w:type w:val="continuous"/>
        </w:sectPr>
      </w:pPr>
    </w:p>
    <w:p>
      <w:pPr>
        <w:spacing w:after="0" w:line="176" w:lineRule="exact"/>
        <w:rPr>
          <w:sz w:val="24"/>
          <w:szCs w:val="24"/>
          <w:color w:val="auto"/>
        </w:rPr>
      </w:pPr>
    </w:p>
    <w:p>
      <w:pPr>
        <w:ind w:left="628" w:right="620" w:firstLine="447"/>
        <w:spacing w:after="0" w:line="242" w:lineRule="auto"/>
        <w:rPr>
          <w:sz w:val="20"/>
          <w:szCs w:val="20"/>
          <w:color w:val="auto"/>
        </w:rPr>
      </w:pPr>
      <w:r>
        <w:rPr>
          <w:rFonts w:ascii="Courier New" w:cs="Courier New" w:eastAsia="Courier New" w:hAnsi="Courier New"/>
          <w:sz w:val="15"/>
          <w:szCs w:val="15"/>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3,630,786</w:t>
      </w:r>
    </w:p>
    <w:p>
      <w:pPr>
        <w:spacing w:after="0" w:line="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27,670,663</w:t>
      </w:r>
    </w:p>
    <w:p>
      <w:pPr>
        <w:sectPr>
          <w:pgSz w:w="11900" w:h="16838" w:orient="portrait"/>
          <w:cols w:equalWidth="0" w:num="2">
            <w:col w:w="4028" w:space="720"/>
            <w:col w:w="5479"/>
          </w:cols>
          <w:pgMar w:left="232" w:top="124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ind w:left="1340"/>
              <w:spacing w:after="0"/>
              <w:rPr>
                <w:sz w:val="20"/>
                <w:szCs w:val="20"/>
                <w:color w:val="auto"/>
              </w:rPr>
            </w:pPr>
            <w:r>
              <w:rPr>
                <w:rFonts w:ascii="Courier New" w:cs="Courier New" w:eastAsia="Courier New" w:hAnsi="Courier New"/>
                <w:sz w:val="15"/>
                <w:szCs w:val="15"/>
                <w:color w:val="auto"/>
              </w:rPr>
              <w:t>REGENERON PHARMACEUTICALS, INC.</w:t>
            </w:r>
          </w:p>
        </w:tc>
        <w:tc>
          <w:tcPr>
            <w:tcW w:w="120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ind w:left="1980"/>
              <w:spacing w:after="0"/>
              <w:rPr>
                <w:sz w:val="20"/>
                <w:szCs w:val="20"/>
                <w:color w:val="auto"/>
              </w:rPr>
            </w:pPr>
            <w:r>
              <w:rPr>
                <w:rFonts w:ascii="Courier New" w:cs="Courier New" w:eastAsia="Courier New" w:hAnsi="Courier New"/>
                <w:sz w:val="15"/>
                <w:szCs w:val="15"/>
                <w:color w:val="auto"/>
              </w:rPr>
              <w:t>Table of Contents</w:t>
            </w:r>
          </w:p>
        </w:tc>
        <w:tc>
          <w:tcPr>
            <w:tcW w:w="120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ind w:left="2060"/>
              <w:spacing w:after="0"/>
              <w:rPr>
                <w:sz w:val="20"/>
                <w:szCs w:val="20"/>
                <w:color w:val="auto"/>
              </w:rPr>
            </w:pPr>
            <w:r>
              <w:rPr>
                <w:rFonts w:ascii="Courier New" w:cs="Courier New" w:eastAsia="Courier New" w:hAnsi="Courier New"/>
                <w:sz w:val="15"/>
                <w:szCs w:val="15"/>
                <w:color w:val="auto"/>
              </w:rPr>
              <w:t>March 31, 1999</w:t>
            </w:r>
          </w:p>
        </w:tc>
        <w:tc>
          <w:tcPr>
            <w:tcW w:w="1200" w:type="dxa"/>
            <w:vAlign w:val="bottom"/>
          </w:tcPr>
          <w:p>
            <w:pPr>
              <w:spacing w:after="0"/>
              <w:rPr>
                <w:sz w:val="14"/>
                <w:szCs w:val="14"/>
                <w:color w:val="auto"/>
              </w:rPr>
            </w:pP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Page Numbers</w:t>
            </w: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200" w:type="dxa"/>
            <w:vAlign w:val="bottom"/>
          </w:tcPr>
          <w:p>
            <w:pPr>
              <w:spacing w:after="0"/>
              <w:rPr>
                <w:sz w:val="24"/>
                <w:szCs w:val="24"/>
                <w:color w:val="auto"/>
              </w:rPr>
            </w:pPr>
          </w:p>
        </w:tc>
      </w:tr>
      <w:tr>
        <w:trPr>
          <w:trHeight w:val="51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Condensed balance sheets (unaudited) at March 31,</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1999 and December 31, 1998</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w:t>
            </w: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 (unaudited) for</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the three months ended March 31, 1999 and 1998</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w:t>
            </w: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Condensed statement of stockholders' equity (unaudited)</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for the three months ended March 31, 1999</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w:t>
            </w: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(unaudited) for</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the three months ended March 31, 1999 and 1998</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w:t>
            </w:r>
          </w:p>
        </w:tc>
      </w:tr>
      <w:tr>
        <w:trPr>
          <w:trHeight w:val="34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Notes to condensed financial statements</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w:t>
            </w:r>
          </w:p>
        </w:tc>
      </w:tr>
      <w:tr>
        <w:trPr>
          <w:trHeight w:val="344"/>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Condition and Results of Operations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10-19</w:t>
            </w: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344"/>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1200" w:type="dxa"/>
            <w:vAlign w:val="bottom"/>
          </w:tcPr>
          <w:p>
            <w:pPr>
              <w:spacing w:after="0"/>
              <w:rPr>
                <w:sz w:val="24"/>
                <w:szCs w:val="24"/>
                <w:color w:val="auto"/>
              </w:rPr>
            </w:pPr>
          </w:p>
        </w:tc>
      </w:tr>
      <w:tr>
        <w:trPr>
          <w:trHeight w:val="51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1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Exhibits and Reports on Form 8-K</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w:t>
            </w:r>
          </w:p>
        </w:tc>
      </w:tr>
      <w:tr>
        <w:trPr>
          <w:trHeight w:val="172"/>
        </w:trPr>
        <w:tc>
          <w:tcPr>
            <w:tcW w:w="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 w:type="dxa"/>
            <w:vAlign w:val="bottom"/>
          </w:tcPr>
          <w:p>
            <w:pPr>
              <w:spacing w:after="0"/>
              <w:rPr>
                <w:sz w:val="14"/>
                <w:szCs w:val="14"/>
                <w:color w:val="auto"/>
              </w:rPr>
            </w:pPr>
          </w:p>
        </w:tc>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516"/>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SIGNATURE PAGE</w:t>
            </w:r>
          </w:p>
        </w:tc>
        <w:tc>
          <w:tcPr>
            <w:tcW w:w="12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21</w:t>
            </w:r>
          </w:p>
        </w:tc>
      </w:tr>
      <w:tr>
        <w:trPr>
          <w:trHeight w:val="51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Exhibit 27</w:t>
            </w:r>
          </w:p>
        </w:tc>
        <w:tc>
          <w:tcPr>
            <w:tcW w:w="5060" w:type="dxa"/>
            <w:vAlign w:val="bottom"/>
          </w:tcPr>
          <w:p>
            <w:pPr>
              <w:ind w:left="720"/>
              <w:spacing w:after="0"/>
              <w:rPr>
                <w:sz w:val="20"/>
                <w:szCs w:val="20"/>
                <w:color w:val="auto"/>
              </w:rPr>
            </w:pPr>
            <w:r>
              <w:rPr>
                <w:rFonts w:ascii="Courier New" w:cs="Courier New" w:eastAsia="Courier New" w:hAnsi="Courier New"/>
                <w:sz w:val="15"/>
                <w:szCs w:val="15"/>
                <w:color w:val="auto"/>
              </w:rPr>
              <w:t>Financial data schedule</w:t>
            </w:r>
          </w:p>
        </w:tc>
        <w:tc>
          <w:tcPr>
            <w:tcW w:w="1200" w:type="dxa"/>
            <w:vAlign w:val="bottom"/>
          </w:tcPr>
          <w:p>
            <w:pPr>
              <w:spacing w:after="0"/>
              <w:rPr>
                <w:sz w:val="24"/>
                <w:szCs w:val="24"/>
                <w:color w:val="auto"/>
              </w:rPr>
            </w:pPr>
          </w:p>
        </w:tc>
      </w:tr>
      <w:tr>
        <w:trPr>
          <w:trHeight w:val="172"/>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I.</w:t>
            </w:r>
          </w:p>
        </w:tc>
        <w:tc>
          <w:tcPr>
            <w:tcW w:w="6880" w:type="dxa"/>
            <w:vAlign w:val="bottom"/>
          </w:tcPr>
          <w:p>
            <w:pPr>
              <w:jc w:val="right"/>
              <w:ind w:right="4745"/>
              <w:spacing w:after="0"/>
              <w:rPr>
                <w:sz w:val="20"/>
                <w:szCs w:val="20"/>
                <w:color w:val="auto"/>
              </w:rPr>
            </w:pPr>
            <w:r>
              <w:rPr>
                <w:rFonts w:ascii="Courier New" w:cs="Courier New" w:eastAsia="Courier New" w:hAnsi="Courier New"/>
                <w:sz w:val="15"/>
                <w:szCs w:val="15"/>
                <w:color w:val="auto"/>
              </w:rPr>
              <w:t>FINANCIAL INFORMATION</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6880" w:type="dxa"/>
            <w:vAlign w:val="bottom"/>
          </w:tcPr>
          <w:p>
            <w:pPr>
              <w:jc w:val="right"/>
              <w:ind w:right="4745"/>
              <w:spacing w:after="0"/>
              <w:rPr>
                <w:sz w:val="20"/>
                <w:szCs w:val="20"/>
                <w:color w:val="auto"/>
              </w:rPr>
            </w:pPr>
            <w:r>
              <w:rPr>
                <w:rFonts w:ascii="Courier New" w:cs="Courier New" w:eastAsia="Courier New" w:hAnsi="Courier New"/>
                <w:sz w:val="15"/>
                <w:szCs w:val="15"/>
                <w:color w:val="auto"/>
              </w:rPr>
              <w:t>FINANCIAL STATEMENTS</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MARCH 31, 1999 AND DECEMBER 31, 1998 (Unaudited)</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88"/>
        </w:trPr>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March 31,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620" w:type="dxa"/>
            <w:vAlign w:val="bottom"/>
          </w:tcPr>
          <w:p>
            <w:pPr>
              <w:spacing w:after="0"/>
              <w:rPr>
                <w:sz w:val="14"/>
                <w:szCs w:val="14"/>
                <w:color w:val="auto"/>
              </w:rPr>
            </w:pPr>
          </w:p>
        </w:tc>
        <w:tc>
          <w:tcPr>
            <w:tcW w:w="6880" w:type="dxa"/>
            <w:vAlign w:val="bottom"/>
          </w:tcPr>
          <w:p>
            <w:pPr>
              <w:ind w:left="3040"/>
              <w:spacing w:after="0"/>
              <w:rPr>
                <w:sz w:val="20"/>
                <w:szCs w:val="20"/>
                <w:color w:val="auto"/>
              </w:rPr>
            </w:pPr>
            <w:r>
              <w:rPr>
                <w:rFonts w:ascii="Courier New" w:cs="Courier New" w:eastAsia="Courier New" w:hAnsi="Courier New"/>
                <w:sz w:val="15"/>
                <w:szCs w:val="15"/>
                <w:color w:val="auto"/>
              </w:rPr>
              <w:t>ASSETS</w:t>
            </w:r>
          </w:p>
        </w:tc>
        <w:tc>
          <w:tcPr>
            <w:tcW w:w="2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$21,777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$19,757</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46,177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66,022</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3,555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3,169</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1,665</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709</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167</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1,412</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76,189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92,901</w:t>
            </w: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36,617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27,751</w:t>
            </w: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3,091</w:t>
            </w: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34,239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33,019</w:t>
            </w: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$149,329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$156,915</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20" w:type="dxa"/>
            <w:vAlign w:val="bottom"/>
          </w:tcPr>
          <w:p>
            <w:pPr>
              <w:spacing w:after="0"/>
              <w:rPr>
                <w:sz w:val="24"/>
                <w:szCs w:val="24"/>
                <w:color w:val="auto"/>
              </w:rPr>
            </w:pPr>
          </w:p>
        </w:tc>
        <w:tc>
          <w:tcPr>
            <w:tcW w:w="6880" w:type="dxa"/>
            <w:vAlign w:val="bottom"/>
          </w:tcPr>
          <w:p>
            <w:pPr>
              <w:ind w:left="1700"/>
              <w:spacing w:after="0"/>
              <w:rPr>
                <w:sz w:val="20"/>
                <w:szCs w:val="20"/>
                <w:color w:val="auto"/>
              </w:rPr>
            </w:pPr>
            <w:r>
              <w:rPr>
                <w:rFonts w:ascii="Courier New" w:cs="Courier New" w:eastAsia="Courier New" w:hAnsi="Courier New"/>
                <w:sz w:val="15"/>
                <w:szCs w:val="15"/>
                <w:color w:val="auto"/>
              </w:rPr>
              <w:t>LIABILITIES and STOCKHOLDERS' EQUITY</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$6,032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$5,551</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1,051</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2,734</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2,735</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9,859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9,402</w:t>
            </w: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1,457</w:t>
            </w: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1,594</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1,609</w:t>
            </w:r>
          </w:p>
        </w:tc>
      </w:tr>
      <w:tr>
        <w:trPr>
          <w:trHeight w:val="172"/>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w:t>
            </w: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12,938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12,938</w:t>
            </w: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44"/>
        </w:trPr>
        <w:tc>
          <w:tcPr>
            <w:tcW w:w="75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outstanding - none</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6880" w:type="dxa"/>
            <w:vAlign w:val="bottom"/>
          </w:tcPr>
          <w:p>
            <w:pPr>
              <w:ind w:left="80"/>
              <w:spacing w:after="0"/>
              <w:rPr>
                <w:sz w:val="20"/>
                <w:szCs w:val="20"/>
                <w:color w:val="auto"/>
              </w:rPr>
            </w:pPr>
            <w:r>
              <w:rPr>
                <w:rFonts w:ascii="Courier New" w:cs="Courier New" w:eastAsia="Courier New" w:hAnsi="Courier New"/>
                <w:sz w:val="15"/>
                <w:szCs w:val="15"/>
                <w:color w:val="auto"/>
              </w:rPr>
              <w:t>3,630,786 shares issued and outstanding in 1999 and 1998</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27,670,663 shares issued and outstanding in 1999</w:t>
            </w:r>
          </w:p>
        </w:tc>
        <w:tc>
          <w:tcPr>
            <w:tcW w:w="2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27,386,858 shares issued and outstanding in 1998</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309,760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308,561</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(186,163)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(177,233)</w:t>
            </w:r>
          </w:p>
        </w:tc>
      </w:tr>
      <w:tr>
        <w:trPr>
          <w:trHeight w:val="172"/>
        </w:trPr>
        <w:tc>
          <w:tcPr>
            <w:tcW w:w="75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other comprehensive income</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123,436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131,227</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$149,329</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$156,915</w:t>
            </w:r>
          </w:p>
        </w:tc>
      </w:tr>
      <w:tr>
        <w:trPr>
          <w:trHeight w:val="172"/>
        </w:trPr>
        <w:tc>
          <w:tcPr>
            <w:tcW w:w="6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6"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0"/>
          </w:cols>
          <w:pgMar w:left="240" w:top="633" w:right="29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1999</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Contract research and development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$3,344</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$4,574</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1,886</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Investment income</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1,459</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1,790</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14"/>
                <w:szCs w:val="14"/>
                <w:color w:val="auto"/>
              </w:rPr>
            </w:pP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6,918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8,250</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11,221</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8,150</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966</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687</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General and administrative</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1,593</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1,384</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725</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869</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Contract manufacturing</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1,254</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868</w:t>
            </w:r>
          </w:p>
        </w:tc>
      </w:tr>
      <w:tr>
        <w:trPr>
          <w:trHeight w:val="172"/>
        </w:trPr>
        <w:tc>
          <w:tcPr>
            <w:tcW w:w="3840" w:type="dxa"/>
            <w:vAlign w:val="bottom"/>
          </w:tcPr>
          <w:p>
            <w:pPr>
              <w:ind w:left="520"/>
              <w:spacing w:after="0"/>
              <w:rPr>
                <w:sz w:val="20"/>
                <w:szCs w:val="20"/>
                <w:color w:val="auto"/>
              </w:rPr>
            </w:pPr>
            <w:r>
              <w:rPr>
                <w:rFonts w:ascii="Courier New" w:cs="Courier New" w:eastAsia="Courier New" w:hAnsi="Courier New"/>
                <w:sz w:val="15"/>
                <w:szCs w:val="15"/>
                <w:color w:val="auto"/>
              </w:rPr>
              <w:t>Interest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spacing w:after="0"/>
              <w:rPr>
                <w:sz w:val="14"/>
                <w:szCs w:val="14"/>
                <w:color w:val="auto"/>
              </w:rPr>
            </w:pP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15,848</w:t>
            </w: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12,079</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($8,930)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($3,829)</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1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2"/>
        </w:trPr>
        <w:tc>
          <w:tcPr>
            <w:tcW w:w="3840" w:type="dxa"/>
            <w:vAlign w:val="bottom"/>
          </w:tcPr>
          <w:p>
            <w:pPr>
              <w:spacing w:after="0"/>
              <w:rPr>
                <w:sz w:val="14"/>
                <w:szCs w:val="14"/>
                <w:color w:val="auto"/>
              </w:rPr>
            </w:pPr>
          </w:p>
        </w:tc>
        <w:tc>
          <w:tcPr>
            <w:tcW w:w="17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March 31,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60"/>
        <w:spacing w:after="0"/>
        <w:tabs>
          <w:tab w:leader="none" w:pos="8460" w:val="left"/>
        </w:tabs>
        <w:rPr>
          <w:sz w:val="20"/>
          <w:szCs w:val="20"/>
          <w:color w:val="auto"/>
        </w:rPr>
      </w:pPr>
      <w:r>
        <w:rPr>
          <w:rFonts w:ascii="Courier New" w:cs="Courier New" w:eastAsia="Courier New" w:hAnsi="Courier New"/>
          <w:sz w:val="15"/>
          <w:szCs w:val="15"/>
          <w:color w:val="auto"/>
        </w:rPr>
        <w:t>Class A Stock</w:t>
      </w:r>
      <w:r>
        <w:rPr>
          <w:sz w:val="20"/>
          <w:szCs w:val="20"/>
          <w:color w:val="auto"/>
        </w:rPr>
        <w:tab/>
      </w:r>
      <w:r>
        <w:rPr>
          <w:rFonts w:ascii="Courier New" w:cs="Courier New" w:eastAsia="Courier New" w:hAnsi="Courier New"/>
          <w:sz w:val="14"/>
          <w:szCs w:val="14"/>
          <w:color w:val="auto"/>
        </w:rPr>
        <w:t>Common Stock</w:t>
      </w:r>
    </w:p>
    <w:p>
      <w:pPr>
        <w:spacing w:after="0" w:line="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100"/>
        <w:spacing w:after="0"/>
        <w:tabs>
          <w:tab w:leader="none" w:pos="6500" w:val="left"/>
          <w:tab w:leader="none" w:pos="8020" w:val="left"/>
          <w:tab w:leader="none" w:pos="9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Amount</w:t>
      </w:r>
    </w:p>
    <w:p>
      <w:pPr>
        <w:spacing w:after="0" w:line="2" w:lineRule="exact"/>
        <w:rPr>
          <w:sz w:val="20"/>
          <w:szCs w:val="20"/>
          <w:color w:val="auto"/>
        </w:rPr>
      </w:pPr>
    </w:p>
    <w:p>
      <w:pPr>
        <w:ind w:left="4920"/>
        <w:spacing w:after="0"/>
        <w:tabs>
          <w:tab w:leader="none" w:pos="6240" w:val="left"/>
          <w:tab w:leader="none" w:pos="7760" w:val="left"/>
          <w:tab w:leader="none" w:pos="9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520"/>
          </w:cols>
          <w:pgMar w:left="240" w:top="805" w:right="139"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1998</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3,631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27,387</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sectPr>
          <w:pgSz w:w="11900" w:h="16838" w:orient="portrait"/>
          <w:cols w:equalWidth="0" w:num="5">
            <w:col w:w="4720" w:space="720"/>
            <w:col w:w="980" w:space="720"/>
            <w:col w:w="460" w:space="720"/>
            <w:col w:w="960" w:space="720"/>
            <w:col w:w="152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ectPr>
          <w:pgSz w:w="11900" w:h="16838" w:orient="portrait"/>
          <w:cols w:equalWidth="0" w:num="1">
            <w:col w:w="11520"/>
          </w:cols>
          <w:pgMar w:left="240" w:top="805" w:right="13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246</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sectPr>
          <w:pgSz w:w="11900" w:h="16838" w:orient="portrait"/>
          <w:cols w:equalWidth="0" w:num="3">
            <w:col w:w="7860" w:space="720"/>
            <w:col w:w="880" w:space="720"/>
            <w:col w:w="134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805" w:right="13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w:t>
      </w:r>
    </w:p>
    <w:p>
      <w:pPr>
        <w:spacing w:after="0" w:line="2" w:lineRule="exact"/>
        <w:rPr>
          <w:sz w:val="20"/>
          <w:szCs w:val="20"/>
          <w:color w:val="auto"/>
        </w:rPr>
      </w:pPr>
    </w:p>
    <w:p>
      <w:pPr>
        <w:sectPr>
          <w:pgSz w:w="11900" w:h="16838" w:orient="portrait"/>
          <w:cols w:equalWidth="0" w:num="2">
            <w:col w:w="7940" w:space="720"/>
            <w:col w:w="286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net unrealized gain</w:t>
      </w: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marketable securities</w:t>
      </w:r>
    </w:p>
    <w:p>
      <w:pPr>
        <w:sectPr>
          <w:pgSz w:w="11900" w:h="16838" w:orient="portrait"/>
          <w:cols w:equalWidth="0" w:num="1">
            <w:col w:w="11520"/>
          </w:cols>
          <w:pgMar w:left="240" w:top="805" w:right="139" w:bottom="1440" w:gutter="0" w:footer="0" w:header="0"/>
          <w:type w:val="continuous"/>
        </w:sectPr>
      </w:pPr>
    </w:p>
    <w:p>
      <w:pPr>
        <w:spacing w:after="0" w:line="35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March 31, 1999</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20"/>
        <w:spacing w:after="0"/>
        <w:tabs>
          <w:tab w:leader="none" w:pos="2200" w:val="left"/>
          <w:tab w:leader="none" w:pos="3380" w:val="left"/>
          <w:tab w:leader="none" w:pos="5060" w:val="left"/>
        </w:tabs>
        <w:rPr>
          <w:sz w:val="20"/>
          <w:szCs w:val="20"/>
          <w:color w:val="auto"/>
        </w:rPr>
      </w:pPr>
      <w:r>
        <w:rPr>
          <w:rFonts w:ascii="Courier New" w:cs="Courier New" w:eastAsia="Courier New" w:hAnsi="Courier New"/>
          <w:sz w:val="15"/>
          <w:szCs w:val="15"/>
          <w:color w:val="auto"/>
        </w:rPr>
        <w:t>3,631</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27,671</w:t>
      </w:r>
      <w:r>
        <w:rPr>
          <w:sz w:val="20"/>
          <w:szCs w:val="20"/>
          <w:color w:val="auto"/>
        </w:rPr>
        <w:tab/>
      </w:r>
      <w:r>
        <w:rPr>
          <w:rFonts w:ascii="Courier New" w:cs="Courier New" w:eastAsia="Courier New" w:hAnsi="Courier New"/>
          <w:sz w:val="15"/>
          <w:szCs w:val="15"/>
          <w:color w:val="auto"/>
        </w:rPr>
        <w:t>$28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200" w:space="720"/>
            <w:col w:w="6600"/>
          </w:cols>
          <w:pgMar w:left="240" w:top="805" w:right="139" w:bottom="1440" w:gutter="0" w:footer="0" w:header="0"/>
          <w:type w:val="continuous"/>
        </w:sectPr>
      </w:pPr>
    </w:p>
    <w:p>
      <w:pPr>
        <w:spacing w:after="0" w:line="32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Additional</w:t>
      </w:r>
    </w:p>
    <w:p>
      <w:pPr>
        <w:sectPr>
          <w:pgSz w:w="11900" w:h="16838" w:orient="portrait"/>
          <w:cols w:equalWidth="0" w:num="1">
            <w:col w:w="11520"/>
          </w:cols>
          <w:pgMar w:left="240" w:top="805" w:right="139" w:bottom="1440" w:gutter="0" w:footer="0" w:header="0"/>
          <w:type w:val="continuous"/>
        </w:sectPr>
      </w:pP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Paid-in</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Capital</w:t>
      </w:r>
    </w:p>
    <w:p>
      <w:pPr>
        <w:spacing w:after="0" w:line="4"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Unearned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Accumulated</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Deficit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6520" w:space="360"/>
            <w:col w:w="2140" w:space="360"/>
            <w:col w:w="2140"/>
          </w:cols>
          <w:pgMar w:left="240" w:top="805"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$308,561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($177,233)</w:t>
      </w:r>
    </w:p>
    <w:p>
      <w:pPr>
        <w:spacing w:after="0" w:line="174" w:lineRule="exact"/>
        <w:rPr>
          <w:sz w:val="20"/>
          <w:szCs w:val="20"/>
          <w:color w:val="auto"/>
        </w:rPr>
      </w:pPr>
    </w:p>
    <w:p>
      <w:pPr>
        <w:sectPr>
          <w:pgSz w:w="11900" w:h="16838" w:orient="portrait"/>
          <w:cols w:equalWidth="0" w:num="4">
            <w:col w:w="5000" w:space="720"/>
            <w:col w:w="2040" w:space="720"/>
            <w:col w:w="1260" w:space="720"/>
            <w:col w:w="1060"/>
          </w:cols>
          <w:pgMar w:left="240" w:top="805" w:right="1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w:t>
      </w:r>
    </w:p>
    <w:p>
      <w:pPr>
        <w:spacing w:after="0" w:line="4" w:lineRule="exact"/>
        <w:rPr>
          <w:sz w:val="20"/>
          <w:szCs w:val="20"/>
          <w:color w:val="auto"/>
        </w:rPr>
      </w:pPr>
    </w:p>
    <w:p>
      <w:pPr>
        <w:sectPr>
          <w:pgSz w:w="11900" w:h="16838" w:orient="portrait"/>
          <w:cols w:equalWidth="0" w:num="2">
            <w:col w:w="8040" w:space="720"/>
            <w:col w:w="276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ectPr>
          <w:pgSz w:w="11900" w:h="16838" w:orient="portrait"/>
          <w:cols w:equalWidth="0" w:num="1">
            <w:col w:w="11520"/>
          </w:cols>
          <w:pgMar w:left="240" w:top="805" w:right="13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891</w:t>
      </w:r>
    </w:p>
    <w:p>
      <w:pPr>
        <w:spacing w:after="0" w:line="4" w:lineRule="exact"/>
        <w:rPr>
          <w:sz w:val="20"/>
          <w:szCs w:val="20"/>
          <w:color w:val="auto"/>
        </w:rPr>
      </w:pPr>
    </w:p>
    <w:p>
      <w:pPr>
        <w:sectPr>
          <w:pgSz w:w="11900" w:h="16838" w:orient="portrait"/>
          <w:cols w:equalWidth="0" w:num="2">
            <w:col w:w="5440" w:space="720"/>
            <w:col w:w="536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805" w:right="13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w:t>
      </w:r>
    </w:p>
    <w:p>
      <w:pPr>
        <w:spacing w:after="0" w:line="20" w:lineRule="exact"/>
        <w:rPr>
          <w:sz w:val="20"/>
          <w:szCs w:val="20"/>
          <w:color w:val="auto"/>
        </w:rPr>
      </w:pPr>
      <w:r>
        <w:rPr>
          <w:sz w:val="20"/>
          <w:szCs w:val="20"/>
          <w:color w:val="auto"/>
        </w:rPr>
        <w:br w:type="column"/>
      </w:r>
    </w:p>
    <w:p>
      <w:pPr>
        <w:jc w:val="center"/>
        <w:ind w:right="5080"/>
        <w:spacing w:after="0"/>
        <w:rPr>
          <w:sz w:val="20"/>
          <w:szCs w:val="20"/>
          <w:color w:val="auto"/>
        </w:rPr>
      </w:pPr>
      <w:r>
        <w:rPr>
          <w:rFonts w:ascii="Courier New" w:cs="Courier New" w:eastAsia="Courier New" w:hAnsi="Courier New"/>
          <w:sz w:val="15"/>
          <w:szCs w:val="15"/>
          <w:color w:val="auto"/>
        </w:rPr>
        <w:t>308</w:t>
      </w:r>
    </w:p>
    <w:p>
      <w:pPr>
        <w:spacing w:after="0" w:line="2" w:lineRule="exact"/>
        <w:rPr>
          <w:sz w:val="20"/>
          <w:szCs w:val="20"/>
          <w:color w:val="auto"/>
        </w:rPr>
      </w:pPr>
    </w:p>
    <w:p>
      <w:pPr>
        <w:sectPr>
          <w:pgSz w:w="11900" w:h="16838" w:orient="portrait"/>
          <w:cols w:equalWidth="0" w:num="2">
            <w:col w:w="5440" w:space="720"/>
            <w:col w:w="5360"/>
          </w:cols>
          <w:pgMar w:left="240" w:top="805" w:right="1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(8,930)</w:t>
      </w:r>
    </w:p>
    <w:p>
      <w:pPr>
        <w:spacing w:after="0" w:line="4" w:lineRule="exact"/>
        <w:rPr>
          <w:sz w:val="20"/>
          <w:szCs w:val="20"/>
          <w:color w:val="auto"/>
        </w:rPr>
      </w:pPr>
    </w:p>
    <w:p>
      <w:pPr>
        <w:sectPr>
          <w:pgSz w:w="11900" w:h="16838" w:orient="portrait"/>
          <w:cols w:equalWidth="0" w:num="2">
            <w:col w:w="10000" w:space="720"/>
            <w:col w:w="800"/>
          </w:cols>
          <w:pgMar w:left="240" w:top="805" w:right="139" w:bottom="1440" w:gutter="0" w:footer="0" w:header="0"/>
          <w:type w:val="continuous"/>
        </w:sectPr>
      </w:pPr>
    </w:p>
    <w:p>
      <w:pPr>
        <w:jc w:val="right"/>
        <w:ind w:right="8940"/>
        <w:spacing w:after="0"/>
        <w:rPr>
          <w:sz w:val="20"/>
          <w:szCs w:val="20"/>
          <w:color w:val="auto"/>
        </w:rPr>
      </w:pPr>
      <w:r>
        <w:rPr>
          <w:rFonts w:ascii="Courier New" w:cs="Courier New" w:eastAsia="Courier New" w:hAnsi="Courier New"/>
          <w:sz w:val="14"/>
          <w:szCs w:val="14"/>
          <w:color w:val="auto"/>
        </w:rPr>
        <w:t>Change in net unrealized gain</w:t>
      </w:r>
    </w:p>
    <w:p>
      <w:pPr>
        <w:spacing w:after="0" w:line="12" w:lineRule="exact"/>
        <w:rPr>
          <w:sz w:val="20"/>
          <w:szCs w:val="20"/>
          <w:color w:val="auto"/>
        </w:rPr>
      </w:pPr>
    </w:p>
    <w:p>
      <w:pPr>
        <w:jc w:val="right"/>
        <w:ind w:right="8940"/>
        <w:spacing w:after="0"/>
        <w:rPr>
          <w:sz w:val="20"/>
          <w:szCs w:val="20"/>
          <w:color w:val="auto"/>
        </w:rPr>
      </w:pPr>
      <w:r>
        <w:rPr>
          <w:rFonts w:ascii="Courier New" w:cs="Courier New" w:eastAsia="Courier New" w:hAnsi="Courier New"/>
          <w:sz w:val="15"/>
          <w:szCs w:val="15"/>
          <w:color w:val="auto"/>
        </w:rPr>
        <w:t>on marketable securities</w:t>
      </w:r>
    </w:p>
    <w:p>
      <w:pPr>
        <w:sectPr>
          <w:pgSz w:w="11900" w:h="16838" w:orient="portrait"/>
          <w:cols w:equalWidth="0" w:num="1">
            <w:col w:w="11520"/>
          </w:cols>
          <w:pgMar w:left="240" w:top="805" w:right="139" w:bottom="1440" w:gutter="0" w:footer="0" w:header="0"/>
          <w:type w:val="continuous"/>
        </w:sectPr>
      </w:pP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March 31, 1999</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900"/>
        <w:spacing w:after="0"/>
        <w:tabs>
          <w:tab w:leader="none" w:pos="3640" w:val="left"/>
          <w:tab w:leader="none" w:pos="5620" w:val="left"/>
        </w:tabs>
        <w:rPr>
          <w:sz w:val="20"/>
          <w:szCs w:val="20"/>
          <w:color w:val="auto"/>
        </w:rPr>
      </w:pPr>
      <w:r>
        <w:rPr>
          <w:rFonts w:ascii="Courier New" w:cs="Courier New" w:eastAsia="Courier New" w:hAnsi="Courier New"/>
          <w:sz w:val="15"/>
          <w:szCs w:val="15"/>
          <w:color w:val="auto"/>
        </w:rPr>
        <w:t>$309,760</w:t>
      </w:r>
      <w:r>
        <w:rPr>
          <w:sz w:val="20"/>
          <w:szCs w:val="20"/>
          <w:color w:val="auto"/>
        </w:rPr>
        <w:tab/>
      </w:r>
      <w:r>
        <w:rPr>
          <w:rFonts w:ascii="Courier New" w:cs="Courier New" w:eastAsia="Courier New" w:hAnsi="Courier New"/>
          <w:sz w:val="15"/>
          <w:szCs w:val="15"/>
          <w:color w:val="auto"/>
        </w:rPr>
        <w:t>($270)</w:t>
      </w:r>
      <w:r>
        <w:rPr>
          <w:sz w:val="20"/>
          <w:szCs w:val="20"/>
          <w:color w:val="auto"/>
        </w:rPr>
        <w:tab/>
      </w:r>
      <w:r>
        <w:rPr>
          <w:rFonts w:ascii="Courier New" w:cs="Courier New" w:eastAsia="Courier New" w:hAnsi="Courier New"/>
          <w:sz w:val="15"/>
          <w:szCs w:val="15"/>
          <w:color w:val="auto"/>
        </w:rPr>
        <w:t>($186,163)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100" w:space="720"/>
            <w:col w:w="6700"/>
          </w:cols>
          <w:pgMar w:left="240" w:top="805" w:right="139" w:bottom="1440" w:gutter="0" w:footer="0" w:header="0"/>
          <w:type w:val="continuous"/>
        </w:sectPr>
      </w:pPr>
    </w:p>
    <w:p>
      <w:pPr>
        <w:spacing w:after="0" w:line="32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Accumulated</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Other Comprehensive</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Income</w:t>
      </w:r>
    </w:p>
    <w:p>
      <w:pPr>
        <w:spacing w:after="0" w:line="4"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Total</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Stockholders'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Comprehensive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7420" w:space="260"/>
            <w:col w:w="1800" w:space="180"/>
            <w:col w:w="1860"/>
          </w:cols>
          <w:pgMar w:left="240" w:top="805" w:right="1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$131,227</w:t>
      </w:r>
    </w:p>
    <w:p>
      <w:pPr>
        <w:spacing w:after="0" w:line="174" w:lineRule="exact"/>
        <w:rPr>
          <w:sz w:val="20"/>
          <w:szCs w:val="20"/>
          <w:color w:val="auto"/>
        </w:rPr>
      </w:pPr>
    </w:p>
    <w:p>
      <w:pPr>
        <w:sectPr>
          <w:pgSz w:w="11900" w:h="16838" w:orient="portrait"/>
          <w:cols w:equalWidth="0" w:num="3">
            <w:col w:w="6160" w:space="720"/>
            <w:col w:w="880" w:space="720"/>
            <w:col w:w="3040"/>
          </w:cols>
          <w:pgMar w:left="240" w:top="805" w:right="1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unearned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90</w:t>
      </w:r>
    </w:p>
    <w:p>
      <w:pPr>
        <w:spacing w:after="0" w:line="4" w:lineRule="exact"/>
        <w:rPr>
          <w:sz w:val="20"/>
          <w:szCs w:val="20"/>
          <w:color w:val="auto"/>
        </w:rPr>
      </w:pPr>
    </w:p>
    <w:p>
      <w:pPr>
        <w:sectPr>
          <w:pgSz w:w="11900" w:h="16838" w:orient="portrait"/>
          <w:cols w:equalWidth="0" w:num="2">
            <w:col w:w="8300" w:space="720"/>
            <w:col w:w="250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ectPr>
          <w:pgSz w:w="11900" w:h="16838" w:orient="portrait"/>
          <w:cols w:equalWidth="0" w:num="1">
            <w:col w:w="11520"/>
          </w:cols>
          <w:pgMar w:left="240" w:top="805" w:right="13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892</w:t>
      </w:r>
    </w:p>
    <w:p>
      <w:pPr>
        <w:spacing w:after="0" w:line="13" w:lineRule="exact"/>
        <w:rPr>
          <w:sz w:val="20"/>
          <w:szCs w:val="20"/>
          <w:color w:val="auto"/>
        </w:rPr>
      </w:pPr>
    </w:p>
    <w:p>
      <w:pPr>
        <w:sectPr>
          <w:pgSz w:w="11900" w:h="16838" w:orient="portrait"/>
          <w:cols w:equalWidth="0" w:num="2">
            <w:col w:w="8220" w:space="720"/>
            <w:col w:w="258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Common Stock in connection</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520"/>
          </w:cols>
          <w:pgMar w:left="240" w:top="805" w:right="13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308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(8,930)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($8,930)</w:t>
      </w:r>
    </w:p>
    <w:p>
      <w:pPr>
        <w:spacing w:after="0" w:line="4" w:lineRule="exact"/>
        <w:rPr>
          <w:sz w:val="20"/>
          <w:szCs w:val="20"/>
          <w:color w:val="auto"/>
        </w:rPr>
      </w:pPr>
    </w:p>
    <w:p>
      <w:pPr>
        <w:sectPr>
          <w:pgSz w:w="11900" w:h="16838" w:orient="portrait"/>
          <w:cols w:equalWidth="0" w:num="3">
            <w:col w:w="7940" w:space="720"/>
            <w:col w:w="1260" w:space="720"/>
            <w:col w:w="880"/>
          </w:cols>
          <w:pgMar w:left="240" w:top="80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net unrealized gain</w:t>
      </w:r>
    </w:p>
    <w:p>
      <w:pPr>
        <w:sectPr>
          <w:pgSz w:w="11900" w:h="16838" w:orient="portrait"/>
          <w:cols w:equalWidth="0" w:num="1">
            <w:col w:w="11520"/>
          </w:cols>
          <w:pgMar w:left="240" w:top="805" w:right="139"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marketable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(151)</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Courier New" w:cs="Courier New" w:eastAsia="Courier New" w:hAnsi="Courier New"/>
          <w:sz w:val="15"/>
          <w:szCs w:val="15"/>
          <w:color w:val="auto"/>
        </w:rPr>
        <w:t>(151)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(151)</w:t>
      </w:r>
    </w:p>
    <w:p>
      <w:pPr>
        <w:spacing w:after="0" w:line="176" w:lineRule="exact"/>
        <w:rPr>
          <w:sz w:val="20"/>
          <w:szCs w:val="20"/>
          <w:color w:val="auto"/>
        </w:rPr>
      </w:pPr>
    </w:p>
    <w:p>
      <w:pPr>
        <w:sectPr>
          <w:pgSz w:w="11900" w:h="16838" w:orient="portrait"/>
          <w:cols w:equalWidth="0" w:num="4">
            <w:col w:w="6160" w:space="720"/>
            <w:col w:w="1240" w:space="720"/>
            <w:col w:w="1340" w:space="720"/>
            <w:col w:w="620"/>
          </w:cols>
          <w:pgMar w:left="240" w:top="805" w:right="139" w:bottom="1440" w:gutter="0" w:footer="0" w:header="0"/>
          <w:type w:val="continuous"/>
        </w:sectPr>
      </w:pP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March 31, 1999</w:t>
      </w:r>
    </w:p>
    <w:p>
      <w:pPr>
        <w:spacing w:after="0" w:line="20" w:lineRule="exact"/>
        <w:rPr>
          <w:sz w:val="20"/>
          <w:szCs w:val="20"/>
          <w:color w:val="auto"/>
        </w:rPr>
      </w:pPr>
      <w:r>
        <w:rPr>
          <w:sz w:val="20"/>
          <w:szCs w:val="20"/>
          <w:color w:val="auto"/>
        </w:rPr>
        <w:br w:type="column"/>
      </w:r>
    </w:p>
    <w:p>
      <w:pPr>
        <w:jc w:val="right"/>
        <w:ind w:right="160"/>
        <w:spacing w:after="0" w:line="267" w:lineRule="auto"/>
        <w:rPr>
          <w:sz w:val="20"/>
          <w:szCs w:val="20"/>
          <w:color w:val="auto"/>
        </w:rPr>
      </w:pPr>
      <w:r>
        <w:rPr>
          <w:rFonts w:ascii="Courier New" w:cs="Courier New" w:eastAsia="Courier New" w:hAnsi="Courier New"/>
          <w:sz w:val="14"/>
          <w:szCs w:val="14"/>
          <w:color w:val="auto"/>
        </w:rPr>
        <w:t>========================================================================= $77              $123,436                ($9,081) =========================================================================</w:t>
      </w:r>
    </w:p>
    <w:p>
      <w:pPr>
        <w:spacing w:after="0" w:line="200" w:lineRule="exact"/>
        <w:rPr>
          <w:sz w:val="20"/>
          <w:szCs w:val="20"/>
          <w:color w:val="auto"/>
        </w:rPr>
      </w:pPr>
    </w:p>
    <w:p>
      <w:pPr>
        <w:sectPr>
          <w:pgSz w:w="11900" w:h="16838" w:orient="portrait"/>
          <w:cols w:equalWidth="0" w:num="2">
            <w:col w:w="4100" w:space="720"/>
            <w:col w:w="6700"/>
          </w:cols>
          <w:pgMar w:left="240" w:top="805" w:right="1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805" w:right="13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72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Three months ended March 31,</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516"/>
        </w:trPr>
        <w:tc>
          <w:tcPr>
            <w:tcW w:w="74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($8,930)</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($3,829)</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7460" w:type="dxa"/>
            <w:vAlign w:val="bottom"/>
          </w:tcPr>
          <w:p>
            <w:pPr>
              <w:ind w:left="440"/>
              <w:spacing w:after="0"/>
              <w:rPr>
                <w:sz w:val="20"/>
                <w:szCs w:val="20"/>
                <w:color w:val="auto"/>
              </w:rPr>
            </w:pPr>
            <w:r>
              <w:rPr>
                <w:rFonts w:ascii="Courier New" w:cs="Courier New" w:eastAsia="Courier New" w:hAnsi="Courier New"/>
                <w:sz w:val="15"/>
                <w:szCs w:val="15"/>
                <w:color w:val="auto"/>
              </w:rPr>
              <w:t>used in operating activities</w:t>
            </w:r>
          </w:p>
        </w:tc>
        <w:tc>
          <w:tcPr>
            <w:tcW w:w="1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7460" w:type="dxa"/>
            <w:vAlign w:val="bottom"/>
          </w:tcPr>
          <w:p>
            <w:pPr>
              <w:ind w:left="520"/>
              <w:spacing w:after="0"/>
              <w:rPr>
                <w:sz w:val="20"/>
                <w:szCs w:val="20"/>
                <w:color w:val="auto"/>
              </w:rPr>
            </w:pPr>
            <w:r>
              <w:rPr>
                <w:rFonts w:ascii="Courier New" w:cs="Courier New" w:eastAsia="Courier New" w:hAnsi="Courier New"/>
                <w:sz w:val="15"/>
                <w:szCs w:val="15"/>
                <w:color w:val="auto"/>
              </w:rPr>
              <w:t>Loss in Amgen-Regeneron Partners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w:t>
            </w:r>
          </w:p>
        </w:tc>
      </w:tr>
      <w:tr>
        <w:trPr>
          <w:trHeight w:val="172"/>
        </w:trPr>
        <w:tc>
          <w:tcPr>
            <w:tcW w:w="746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869</w:t>
            </w:r>
          </w:p>
        </w:tc>
      </w:tr>
      <w:tr>
        <w:trPr>
          <w:trHeight w:val="172"/>
        </w:trPr>
        <w:tc>
          <w:tcPr>
            <w:tcW w:w="7460" w:type="dxa"/>
            <w:vAlign w:val="bottom"/>
          </w:tcPr>
          <w:p>
            <w:pPr>
              <w:ind w:left="52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w:t>
            </w:r>
          </w:p>
        </w:tc>
      </w:tr>
      <w:tr>
        <w:trPr>
          <w:trHeight w:val="172"/>
        </w:trPr>
        <w:tc>
          <w:tcPr>
            <w:tcW w:w="746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w:t>
            </w:r>
          </w:p>
        </w:tc>
        <w:tc>
          <w:tcPr>
            <w:tcW w:w="1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amounts due from The Procter &amp; Gamble Company</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Increase in amounts due from Merck &amp; Co., Inc.</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Decrease (increase) in amounts due from Amgen-Regeneron Partners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amounts due from Sumitomo Pharmaceuticals Co., Ltd.</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2,115</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8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Decrease (increase) in prepaid expenses and other assets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Decrease in deferred revenue</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7460" w:type="dxa"/>
            <w:vAlign w:val="bottom"/>
          </w:tcPr>
          <w:p>
            <w:pPr>
              <w:ind w:left="700"/>
              <w:spacing w:after="0"/>
              <w:rPr>
                <w:sz w:val="20"/>
                <w:szCs w:val="20"/>
                <w:color w:val="auto"/>
              </w:rPr>
            </w:pPr>
            <w:r>
              <w:rPr>
                <w:rFonts w:ascii="Courier New" w:cs="Courier New" w:eastAsia="Courier New" w:hAnsi="Courier New"/>
                <w:sz w:val="15"/>
                <w:szCs w:val="15"/>
                <w:color w:val="auto"/>
              </w:rPr>
              <w:t>Decrease in accounts payable, accrued expenses,</w:t>
            </w:r>
          </w:p>
        </w:tc>
        <w:tc>
          <w:tcPr>
            <w:tcW w:w="1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and other liabilities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1520"/>
              <w:spacing w:after="0"/>
              <w:rPr>
                <w:sz w:val="20"/>
                <w:szCs w:val="20"/>
                <w:color w:val="auto"/>
              </w:rPr>
            </w:pPr>
            <w:r>
              <w:rPr>
                <w:rFonts w:ascii="Courier New" w:cs="Courier New" w:eastAsia="Courier New" w:hAnsi="Courier New"/>
                <w:sz w:val="15"/>
                <w:szCs w:val="15"/>
                <w:color w:val="auto"/>
              </w:rPr>
              <w:t>Total adjustments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operating activities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(8,427)</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(4,206)</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(22,857)</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(26,475)</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33,685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22,342</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(874)</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9,835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(5,007)</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746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(264)</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612</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2,020</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(9,663)</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19,757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28,921</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460" w:type="dxa"/>
            <w:vAlign w:val="bottom"/>
          </w:tcPr>
          <w:p>
            <w:pPr>
              <w:ind w:left="88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8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$21,777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$19,258</w:t>
            </w:r>
          </w:p>
        </w:tc>
      </w:tr>
      <w:tr>
        <w:trPr>
          <w:trHeight w:val="172"/>
        </w:trPr>
        <w:tc>
          <w:tcPr>
            <w:tcW w:w="7460" w:type="dxa"/>
            <w:vAlign w:val="bottom"/>
          </w:tcPr>
          <w:p>
            <w:pPr>
              <w:spacing w:after="0"/>
              <w:rPr>
                <w:sz w:val="14"/>
                <w:szCs w:val="14"/>
                <w:color w:val="auto"/>
              </w:rPr>
            </w:pPr>
          </w:p>
        </w:tc>
        <w:tc>
          <w:tcPr>
            <w:tcW w:w="1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180"/>
          </w:cols>
          <w:pgMar w:left="240" w:top="633" w:right="479" w:bottom="1440" w:gutter="0" w:footer="0" w:header="0"/>
        </w:sectPr>
      </w:pPr>
    </w:p>
    <w:bookmarkStart w:id="6" w:name="page7"/>
    <w:bookmarkEnd w:id="6"/>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These financial statements should be read in conjunction with the financial statements and notes thereto contained in the Company's Annual Report on Form 10-K for the year ended December 31, 1998.</w:t>
      </w:r>
    </w:p>
    <w:p>
      <w:pPr>
        <w:spacing w:after="0" w:line="180"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75" w:lineRule="exact"/>
        <w:rPr>
          <w:rFonts w:ascii="Courier New" w:cs="Courier New" w:eastAsia="Courier New" w:hAnsi="Courier New"/>
          <w:sz w:val="15"/>
          <w:szCs w:val="15"/>
          <w:color w:val="auto"/>
        </w:rPr>
      </w:pPr>
    </w:p>
    <w:p>
      <w:pPr>
        <w:ind w:left="808" w:right="307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Included in accounts payable and accrued expenses at March 31, 1999 and December 31, 1998 were approximately $1,421 and $469, respectively, of accrued capital expenditures. Included in accounts payable and accrued expenses at March 31, 1998 and December 31, 1997 were approximately $117 and $635, respectively, of accrued capital expenditures.</w:t>
      </w:r>
    </w:p>
    <w:p>
      <w:pPr>
        <w:spacing w:after="0" w:line="163" w:lineRule="exact"/>
        <w:rPr>
          <w:rFonts w:ascii="Courier New" w:cs="Courier New" w:eastAsia="Courier New" w:hAnsi="Courier New"/>
          <w:sz w:val="15"/>
          <w:szCs w:val="15"/>
          <w:color w:val="auto"/>
        </w:rPr>
      </w:pPr>
    </w:p>
    <w:p>
      <w:pPr>
        <w:ind w:left="80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December 31, 1998 was approximately $308 of accrued Company 401(k) Savings Plan contribution expense. During January 1999 the Company contributed approximately thirty-eight thousand shares of Common Stock to the 401(k) Savings Plan in satisfaction of this obligation.</w:t>
      </w:r>
    </w:p>
    <w:p>
      <w:pPr>
        <w:spacing w:after="0" w:line="17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5" w:lineRule="exact"/>
        <w:rPr>
          <w:rFonts w:ascii="Courier New" w:cs="Courier New" w:eastAsia="Courier New" w:hAnsi="Courier New"/>
          <w:sz w:val="15"/>
          <w:szCs w:val="15"/>
          <w:color w:val="auto"/>
        </w:rPr>
      </w:pPr>
    </w:p>
    <w:p>
      <w:pPr>
        <w:ind w:left="808"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March 31, 1999 and December 31, 1998 consist of the following:</w:t>
      </w:r>
    </w:p>
    <w:p>
      <w:pPr>
        <w:spacing w:after="0" w:line="174"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March 31,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$3,044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1,507</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1,346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775</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419</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359</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287</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287</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$6,032</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$5,551</w:t>
            </w:r>
          </w:p>
        </w:tc>
      </w:tr>
      <w:tr>
        <w:trPr>
          <w:trHeight w:val="172"/>
        </w:trPr>
        <w:tc>
          <w:tcPr>
            <w:tcW w:w="3300" w:type="dxa"/>
            <w:vAlign w:val="bottom"/>
          </w:tcPr>
          <w:p>
            <w:pPr>
              <w:spacing w:after="0"/>
              <w:rPr>
                <w:sz w:val="14"/>
                <w:szCs w:val="14"/>
                <w:color w:val="auto"/>
              </w:rPr>
            </w:pPr>
          </w:p>
        </w:tc>
        <w:tc>
          <w:tcPr>
            <w:tcW w:w="15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688"/>
        </w:trPr>
        <w:tc>
          <w:tcPr>
            <w:tcW w:w="3300" w:type="dxa"/>
            <w:vAlign w:val="bottom"/>
          </w:tcPr>
          <w:p>
            <w:pPr>
              <w:ind w:left="2680"/>
              <w:spacing w:after="0"/>
              <w:rPr>
                <w:sz w:val="20"/>
                <w:szCs w:val="20"/>
                <w:color w:val="auto"/>
              </w:rPr>
            </w:pPr>
            <w:r>
              <w:rPr>
                <w:rFonts w:ascii="Courier New" w:cs="Courier New" w:eastAsia="Courier New" w:hAnsi="Courier New"/>
                <w:sz w:val="15"/>
                <w:szCs w:val="15"/>
                <w:color w:val="auto"/>
              </w:rPr>
              <w:t>7</w:t>
            </w: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27"/>
          </w:cols>
          <w:pgMar w:left="232" w:top="805" w:right="1440" w:bottom="1440" w:gutter="0" w:footer="0" w:header="0"/>
        </w:sectPr>
      </w:pPr>
    </w:p>
    <w:bookmarkStart w:id="7" w:name="page8"/>
    <w:bookmarkEnd w:id="7"/>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75" w:lineRule="exact"/>
        <w:rPr>
          <w:rFonts w:ascii="Courier New" w:cs="Courier New" w:eastAsia="Courier New" w:hAnsi="Courier New"/>
          <w:sz w:val="15"/>
          <w:szCs w:val="15"/>
          <w:color w:val="auto"/>
        </w:rPr>
      </w:pPr>
    </w:p>
    <w:p>
      <w:pPr>
        <w:ind w:left="80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and Amgen Inc.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76" w:lineRule="exact"/>
        <w:rPr>
          <w:rFonts w:ascii="Courier New" w:cs="Courier New" w:eastAsia="Courier New" w:hAnsi="Courier New"/>
          <w:sz w:val="15"/>
          <w:szCs w:val="15"/>
          <w:color w:val="auto"/>
        </w:rPr>
      </w:pPr>
    </w:p>
    <w:p>
      <w:pPr>
        <w:ind w:left="808"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operating statement data of the Partnership for the three months ended March 31, 1999 and 1998 are as follows:</w:t>
      </w:r>
    </w:p>
    <w:p>
      <w:pPr>
        <w:spacing w:after="0" w:line="174" w:lineRule="exact"/>
        <w:rPr>
          <w:sz w:val="20"/>
          <w:szCs w:val="20"/>
          <w:color w:val="auto"/>
        </w:rPr>
      </w:pPr>
    </w:p>
    <w:p>
      <w:pPr>
        <w:jc w:val="center"/>
        <w:ind w:right="1111"/>
        <w:spacing w:after="0"/>
        <w:rPr>
          <w:sz w:val="20"/>
          <w:szCs w:val="20"/>
          <w:color w:val="auto"/>
        </w:rPr>
      </w:pPr>
      <w:r>
        <w:rPr>
          <w:rFonts w:ascii="Courier New" w:cs="Courier New" w:eastAsia="Courier New" w:hAnsi="Courier New"/>
          <w:sz w:val="15"/>
          <w:szCs w:val="15"/>
          <w:color w:val="auto"/>
        </w:rPr>
        <w:t>Three Months Ended March 31,</w:t>
      </w:r>
    </w:p>
    <w:p>
      <w:pPr>
        <w:spacing w:after="0" w:line="2" w:lineRule="exact"/>
        <w:rPr>
          <w:sz w:val="20"/>
          <w:szCs w:val="20"/>
          <w:color w:val="auto"/>
        </w:rPr>
      </w:pPr>
    </w:p>
    <w:p>
      <w:pPr>
        <w:jc w:val="center"/>
        <w:ind w:right="1111"/>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308"/>
        <w:spacing w:after="0"/>
        <w:tabs>
          <w:tab w:leader="none" w:pos="12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jc w:val="center"/>
        <w:ind w:right="-308"/>
        <w:spacing w:after="0"/>
        <w:tabs>
          <w:tab w:leader="none" w:pos="1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805" w:right="1440" w:bottom="1440" w:gutter="0" w:footer="0" w:header="0"/>
        </w:sectPr>
      </w:pPr>
    </w:p>
    <w:p>
      <w:pPr>
        <w:spacing w:after="0" w:line="176" w:lineRule="exact"/>
        <w:rPr>
          <w:sz w:val="20"/>
          <w:szCs w:val="20"/>
          <w:color w:val="auto"/>
        </w:rPr>
      </w:pPr>
    </w:p>
    <w:p>
      <w:pPr>
        <w:jc w:val="center"/>
        <w:ind w:left="628"/>
        <w:spacing w:after="0"/>
        <w:rPr>
          <w:sz w:val="20"/>
          <w:szCs w:val="20"/>
          <w:color w:val="auto"/>
        </w:rPr>
      </w:pPr>
      <w:r>
        <w:rPr>
          <w:rFonts w:ascii="Courier New" w:cs="Courier New" w:eastAsia="Courier New" w:hAnsi="Courier New"/>
          <w:sz w:val="14"/>
          <w:szCs w:val="14"/>
          <w:color w:val="auto"/>
        </w:rPr>
        <w:t>Total revenues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60"/>
        <w:spacing w:after="0"/>
        <w:tabs>
          <w:tab w:leader="none" w:pos="240" w:val="left"/>
        </w:tabs>
        <w:rPr>
          <w:sz w:val="20"/>
          <w:szCs w:val="20"/>
          <w:color w:val="auto"/>
        </w:rPr>
      </w:pPr>
      <w:r>
        <w:rPr>
          <w:rFonts w:ascii="Courier New" w:cs="Courier New" w:eastAsia="Courier New" w:hAnsi="Courier New"/>
          <w:sz w:val="15"/>
          <w:szCs w:val="15"/>
          <w:color w:val="auto"/>
        </w:rPr>
        <w:t>$</w:t>
        <w:tab/>
        <w:t>116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40</w:t>
      </w:r>
    </w:p>
    <w:p>
      <w:pPr>
        <w:spacing w:after="0" w:line="2" w:lineRule="exact"/>
        <w:rPr>
          <w:sz w:val="20"/>
          <w:szCs w:val="20"/>
          <w:color w:val="auto"/>
        </w:rPr>
      </w:pPr>
    </w:p>
    <w:p>
      <w:pPr>
        <w:sectPr>
          <w:pgSz w:w="11900" w:h="16838" w:orient="portrait"/>
          <w:cols w:equalWidth="0" w:num="3">
            <w:col w:w="2588" w:space="720"/>
            <w:col w:w="980" w:space="720"/>
            <w:col w:w="5219"/>
          </w:cols>
          <w:pgMar w:left="232" w:top="805" w:right="1440" w:bottom="1440" w:gutter="0" w:footer="0" w:header="0"/>
          <w:type w:val="continuous"/>
        </w:sectPr>
      </w:pPr>
    </w:p>
    <w:tbl>
      <w:tblPr>
        <w:tblLayout w:type="fixed"/>
        <w:tblInd w:w="988"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(1,413)</w:t>
            </w:r>
          </w:p>
        </w:tc>
      </w:tr>
      <w:tr>
        <w:trPr>
          <w:trHeight w:val="172"/>
        </w:trPr>
        <w:tc>
          <w:tcPr>
            <w:tcW w:w="1780" w:type="dxa"/>
            <w:vAlign w:val="bottom"/>
          </w:tcPr>
          <w:p>
            <w:pPr>
              <w:spacing w:after="0"/>
              <w:rPr>
                <w:sz w:val="14"/>
                <w:szCs w:val="14"/>
                <w:color w:val="auto"/>
              </w:rPr>
            </w:pP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($1,932)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($1,373)</w:t>
            </w:r>
          </w:p>
        </w:tc>
      </w:tr>
      <w:tr>
        <w:trPr>
          <w:trHeight w:val="172"/>
        </w:trPr>
        <w:tc>
          <w:tcPr>
            <w:tcW w:w="1780" w:type="dxa"/>
            <w:vAlign w:val="bottom"/>
          </w:tcPr>
          <w:p>
            <w:pPr>
              <w:spacing w:after="0"/>
              <w:rPr>
                <w:sz w:val="14"/>
                <w:szCs w:val="14"/>
                <w:color w:val="auto"/>
              </w:rPr>
            </w:pP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08" w:hanging="808"/>
        <w:spacing w:after="0"/>
        <w:tabs>
          <w:tab w:leader="none" w:pos="8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comprehensive loss for the three months ended March 31, 1999 has been included in the Statement of Stockholders' Equity. For the three months ended March 31, 1999 and 1998, the components of comprehensive loss were:</w:t>
      </w:r>
    </w:p>
    <w:p>
      <w:pPr>
        <w:spacing w:after="0" w:line="176"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120" w:type="dxa"/>
            <w:vAlign w:val="bottom"/>
          </w:tcPr>
          <w:p>
            <w:pPr>
              <w:spacing w:after="0"/>
              <w:rPr>
                <w:sz w:val="14"/>
                <w:szCs w:val="14"/>
                <w:color w:val="auto"/>
              </w:rPr>
            </w:pP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($8,930)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($3,829)</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 marketable</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4120" w:type="dxa"/>
            <w:vAlign w:val="bottom"/>
          </w:tcPr>
          <w:p>
            <w:pPr>
              <w:spacing w:after="0"/>
              <w:rPr>
                <w:sz w:val="14"/>
                <w:szCs w:val="14"/>
                <w:color w:val="auto"/>
              </w:rPr>
            </w:pP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20" w:type="dxa"/>
            <w:vAlign w:val="bottom"/>
          </w:tcPr>
          <w:p>
            <w:pPr>
              <w:ind w:left="540"/>
              <w:spacing w:after="0"/>
              <w:rPr>
                <w:sz w:val="20"/>
                <w:szCs w:val="20"/>
                <w:color w:val="auto"/>
              </w:rPr>
            </w:pPr>
            <w:r>
              <w:rPr>
                <w:rFonts w:ascii="Courier New" w:cs="Courier New" w:eastAsia="Courier New" w:hAnsi="Courier New"/>
                <w:sz w:val="15"/>
                <w:szCs w:val="15"/>
                <w:color w:val="auto"/>
              </w:rPr>
              <w:t>Total comprehensive loss</w:t>
            </w: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($9,081)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($3,868)</w:t>
            </w:r>
          </w:p>
        </w:tc>
      </w:tr>
      <w:tr>
        <w:trPr>
          <w:trHeight w:val="172"/>
        </w:trPr>
        <w:tc>
          <w:tcPr>
            <w:tcW w:w="4120" w:type="dxa"/>
            <w:vAlign w:val="bottom"/>
          </w:tcPr>
          <w:p>
            <w:pPr>
              <w:spacing w:after="0"/>
              <w:rPr>
                <w:sz w:val="14"/>
                <w:szCs w:val="14"/>
                <w:color w:val="auto"/>
              </w:rPr>
            </w:pPr>
          </w:p>
        </w:tc>
        <w:tc>
          <w:tcPr>
            <w:tcW w:w="116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4120" w:type="dxa"/>
            <w:vAlign w:val="bottom"/>
          </w:tcPr>
          <w:p>
            <w:pPr>
              <w:ind w:left="2680"/>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27"/>
          </w:cols>
          <w:pgMar w:left="232" w:top="805" w:right="1440" w:bottom="1440" w:gutter="0" w:footer="0" w:header="0"/>
          <w:type w:val="continuous"/>
        </w:sectPr>
      </w:pPr>
    </w:p>
    <w:bookmarkStart w:id="8" w:name="page9"/>
    <w:bookmarkEnd w:id="8"/>
    <w:p>
      <w:pPr>
        <w:ind w:left="8"/>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808" w:hanging="808"/>
        <w:spacing w:after="0"/>
        <w:tabs>
          <w:tab w:leader="none" w:pos="8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ended March 31, 1999 and 1998,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175" w:lineRule="exact"/>
        <w:rPr>
          <w:sz w:val="20"/>
          <w:szCs w:val="20"/>
          <w:color w:val="auto"/>
        </w:rPr>
      </w:pPr>
    </w:p>
    <w:p>
      <w:pPr>
        <w:jc w:val="center"/>
        <w:ind w:right="371"/>
        <w:spacing w:after="0"/>
        <w:rPr>
          <w:sz w:val="20"/>
          <w:szCs w:val="20"/>
          <w:color w:val="auto"/>
        </w:rPr>
      </w:pPr>
      <w:r>
        <w:rPr>
          <w:rFonts w:ascii="Courier New" w:cs="Courier New" w:eastAsia="Courier New" w:hAnsi="Courier New"/>
          <w:sz w:val="15"/>
          <w:szCs w:val="15"/>
          <w:color w:val="auto"/>
        </w:rPr>
        <w:t>Three Months Ended March 31,</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Net Loss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Shares</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Per Share</w:t>
            </w:r>
          </w:p>
        </w:tc>
      </w:tr>
      <w:tr>
        <w:trPr>
          <w:trHeight w:val="172"/>
        </w:trPr>
        <w:tc>
          <w:tcPr>
            <w:tcW w:w="2180" w:type="dxa"/>
            <w:vAlign w:val="bottom"/>
          </w:tcPr>
          <w:p>
            <w:pPr>
              <w:spacing w:after="0"/>
              <w:rPr>
                <w:sz w:val="14"/>
                <w:szCs w:val="14"/>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(Numerator)</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(Denominator)</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2180" w:type="dxa"/>
            <w:vAlign w:val="bottom"/>
          </w:tcPr>
          <w:p>
            <w:pPr>
              <w:spacing w:after="0"/>
              <w:rPr>
                <w:sz w:val="14"/>
                <w:szCs w:val="14"/>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jc w:val="right"/>
              <w:ind w:right="1665"/>
              <w:spacing w:after="0"/>
              <w:rPr>
                <w:sz w:val="20"/>
                <w:szCs w:val="20"/>
                <w:color w:val="auto"/>
              </w:rPr>
            </w:pPr>
            <w:r>
              <w:rPr>
                <w:rFonts w:ascii="Courier New" w:cs="Courier New" w:eastAsia="Courier New" w:hAnsi="Courier New"/>
                <w:sz w:val="15"/>
                <w:szCs w:val="15"/>
                <w:color w:val="auto"/>
                <w:w w:val="93"/>
              </w:rPr>
              <w:t>1999:</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2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Basic and Diluted</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($8,930)</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31,274</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w w:val="98"/>
              </w:rPr>
              <w:t>($0.29)</w:t>
            </w:r>
          </w:p>
        </w:tc>
      </w:tr>
      <w:tr>
        <w:trPr>
          <w:trHeight w:val="344"/>
        </w:trPr>
        <w:tc>
          <w:tcPr>
            <w:tcW w:w="2180" w:type="dxa"/>
            <w:vAlign w:val="bottom"/>
          </w:tcPr>
          <w:p>
            <w:pPr>
              <w:jc w:val="right"/>
              <w:ind w:right="1665"/>
              <w:spacing w:after="0"/>
              <w:rPr>
                <w:sz w:val="20"/>
                <w:szCs w:val="20"/>
                <w:color w:val="auto"/>
              </w:rPr>
            </w:pPr>
            <w:r>
              <w:rPr>
                <w:rFonts w:ascii="Courier New" w:cs="Courier New" w:eastAsia="Courier New" w:hAnsi="Courier New"/>
                <w:sz w:val="15"/>
                <w:szCs w:val="15"/>
                <w:color w:val="auto"/>
                <w:w w:val="93"/>
              </w:rPr>
              <w:t>1998:</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2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Basic and Diluted</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($3,829)</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30,932</w:t>
            </w:r>
          </w:p>
        </w:tc>
        <w:tc>
          <w:tcPr>
            <w:tcW w:w="900" w:type="dxa"/>
            <w:vAlign w:val="bottom"/>
          </w:tcPr>
          <w:p>
            <w:pPr>
              <w:ind w:left="260"/>
              <w:spacing w:after="0"/>
              <w:rPr>
                <w:sz w:val="20"/>
                <w:szCs w:val="20"/>
                <w:color w:val="auto"/>
              </w:rPr>
            </w:pPr>
            <w:r>
              <w:rPr>
                <w:rFonts w:ascii="Courier New" w:cs="Courier New" w:eastAsia="Courier New" w:hAnsi="Courier New"/>
                <w:sz w:val="15"/>
                <w:szCs w:val="15"/>
                <w:color w:val="auto"/>
                <w:w w:val="98"/>
              </w:rPr>
              <w:t>($0.12)</w:t>
            </w:r>
          </w:p>
        </w:tc>
      </w:tr>
    </w:tbl>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708" w:right="3079"/>
        <w:spacing w:after="0" w:line="241"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18" w:lineRule="exact"/>
        <w:rPr>
          <w:sz w:val="20"/>
          <w:szCs w:val="20"/>
          <w:color w:val="auto"/>
        </w:rPr>
      </w:pPr>
    </w:p>
    <w:p>
      <w:pPr>
        <w:ind w:left="5908"/>
        <w:spacing w:after="0"/>
        <w:rPr>
          <w:sz w:val="20"/>
          <w:szCs w:val="20"/>
          <w:color w:val="auto"/>
        </w:rPr>
      </w:pPr>
      <w:r>
        <w:rPr>
          <w:rFonts w:ascii="Courier New" w:cs="Courier New" w:eastAsia="Courier New" w:hAnsi="Courier New"/>
          <w:sz w:val="15"/>
          <w:szCs w:val="15"/>
          <w:color w:val="auto"/>
        </w:rPr>
        <w:t>Three Months Ended March 31,</w:t>
      </w: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448"/>
        <w:spacing w:after="0"/>
        <w:tabs>
          <w:tab w:leader="none" w:pos="838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40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568"/>
        <w:spacing w:after="0"/>
        <w:tabs>
          <w:tab w:leader="none" w:pos="6148" w:val="left"/>
          <w:tab w:leader="none" w:pos="7408" w:val="left"/>
          <w:tab w:leader="none" w:pos="9108"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4648"/>
        <w:spacing w:after="0"/>
        <w:tabs>
          <w:tab w:leader="none" w:pos="6248" w:val="left"/>
          <w:tab w:leader="none" w:pos="7488" w:val="left"/>
          <w:tab w:leader="none" w:pos="9188"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ind w:left="4748"/>
        <w:spacing w:after="0"/>
        <w:tabs>
          <w:tab w:leader="none" w:pos="5608" w:val="left"/>
          <w:tab w:leader="none" w:pos="7588" w:val="left"/>
          <w:tab w:leader="none" w:pos="856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Exercise Price</w:t>
      </w:r>
    </w:p>
    <w:p>
      <w:pPr>
        <w:spacing w:after="0" w:line="2" w:lineRule="exact"/>
        <w:rPr>
          <w:sz w:val="20"/>
          <w:szCs w:val="20"/>
          <w:color w:val="auto"/>
        </w:rPr>
      </w:pPr>
    </w:p>
    <w:p>
      <w:pPr>
        <w:ind w:left="4748"/>
        <w:spacing w:after="0"/>
        <w:tabs>
          <w:tab w:leader="none" w:pos="5608" w:val="left"/>
          <w:tab w:leader="none" w:pos="7588" w:val="left"/>
          <w:tab w:leader="none" w:pos="85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Options and warrants with</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exercise prices below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average fair market value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of the Company's common stock</w:t>
      </w:r>
    </w:p>
    <w:p>
      <w:pPr>
        <w:sectPr>
          <w:pgSz w:w="11900" w:h="16838" w:orient="portrait"/>
          <w:cols w:equalWidth="0" w:num="1">
            <w:col w:w="10227"/>
          </w:cols>
          <w:pgMar w:left="232" w:top="633" w:right="1440" w:bottom="1440" w:gutter="0" w:footer="0" w:header="0"/>
        </w:sectPr>
      </w:pP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for 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$4.61</w:t>
      </w:r>
    </w:p>
    <w:p>
      <w:pPr>
        <w:spacing w:after="0" w:line="174" w:lineRule="exact"/>
        <w:rPr>
          <w:sz w:val="20"/>
          <w:szCs w:val="20"/>
          <w:color w:val="auto"/>
        </w:rPr>
      </w:pPr>
    </w:p>
    <w:p>
      <w:pPr>
        <w:sectPr>
          <w:pgSz w:w="11900" w:h="16838" w:orient="portrait"/>
          <w:cols w:equalWidth="0" w:num="5">
            <w:col w:w="4108" w:space="720"/>
            <w:col w:w="900" w:space="720"/>
            <w:col w:w="620" w:space="720"/>
            <w:col w:w="880" w:space="720"/>
            <w:col w:w="839"/>
          </w:cols>
          <w:pgMar w:left="232" w:top="633" w:right="1440" w:bottom="1440" w:gutter="0" w:footer="0" w:header="0"/>
          <w:type w:val="continuous"/>
        </w:sectPr>
      </w:pPr>
    </w:p>
    <w:p>
      <w:pPr>
        <w:ind w:left="988"/>
        <w:spacing w:after="0"/>
        <w:rPr>
          <w:sz w:val="20"/>
          <w:szCs w:val="20"/>
          <w:color w:val="auto"/>
        </w:rPr>
      </w:pPr>
      <w:r>
        <w:rPr>
          <w:rFonts w:ascii="Courier New" w:cs="Courier New" w:eastAsia="Courier New" w:hAnsi="Courier New"/>
          <w:sz w:val="15"/>
          <w:szCs w:val="15"/>
          <w:color w:val="auto"/>
        </w:rPr>
        <w:t>Options and warrants with</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exercise prices above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average fair market value</w:t>
      </w: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of the Company's common stock</w:t>
      </w:r>
    </w:p>
    <w:p>
      <w:pPr>
        <w:sectPr>
          <w:pgSz w:w="11900" w:h="16838" w:orient="portrait"/>
          <w:cols w:equalWidth="0" w:num="1">
            <w:col w:w="10227"/>
          </w:cols>
          <w:pgMar w:left="232" w:top="633" w:right="1440" w:bottom="1440" w:gutter="0" w:footer="0" w:header="0"/>
          <w:type w:val="continuous"/>
        </w:sectPr>
      </w:pPr>
    </w:p>
    <w:p>
      <w:pPr>
        <w:spacing w:after="0" w:line="13" w:lineRule="exact"/>
        <w:rPr>
          <w:sz w:val="20"/>
          <w:szCs w:val="20"/>
          <w:color w:val="auto"/>
        </w:rPr>
      </w:pPr>
    </w:p>
    <w:p>
      <w:pPr>
        <w:ind w:left="1788" w:right="80" w:hanging="804"/>
        <w:spacing w:after="0" w:line="483" w:lineRule="auto"/>
        <w:rPr>
          <w:sz w:val="20"/>
          <w:szCs w:val="20"/>
          <w:color w:val="auto"/>
        </w:rPr>
      </w:pPr>
      <w:r>
        <w:rPr>
          <w:rFonts w:ascii="Courier New" w:cs="Courier New" w:eastAsia="Courier New" w:hAnsi="Courier New"/>
          <w:sz w:val="15"/>
          <w:szCs w:val="15"/>
          <w:color w:val="auto"/>
        </w:rPr>
        <w:t>for the respective period Total</w:t>
      </w:r>
    </w:p>
    <w:p>
      <w:pPr>
        <w:spacing w:after="0" w:line="20" w:lineRule="exact"/>
        <w:rPr>
          <w:sz w:val="20"/>
          <w:szCs w:val="20"/>
          <w:color w:val="auto"/>
        </w:rPr>
      </w:pPr>
      <w:r>
        <w:rPr>
          <w:sz w:val="20"/>
          <w:szCs w:val="20"/>
          <w:color w:val="auto"/>
        </w:rPr>
        <w:br w:type="column"/>
      </w:r>
    </w:p>
    <w:p>
      <w:pPr>
        <w:ind w:left="800"/>
        <w:spacing w:after="0"/>
        <w:tabs>
          <w:tab w:leader="none" w:pos="2300" w:val="left"/>
          <w:tab w:leader="none" w:pos="3740" w:val="left"/>
        </w:tabs>
        <w:rPr>
          <w:sz w:val="20"/>
          <w:szCs w:val="20"/>
          <w:color w:val="auto"/>
        </w:rPr>
      </w:pPr>
      <w:r>
        <w:rPr>
          <w:rFonts w:ascii="Courier New" w:cs="Courier New" w:eastAsia="Courier New" w:hAnsi="Courier New"/>
          <w:sz w:val="15"/>
          <w:szCs w:val="15"/>
          <w:color w:val="auto"/>
        </w:rPr>
        <w:t>4,575</w:t>
      </w:r>
      <w:r>
        <w:rPr>
          <w:sz w:val="20"/>
          <w:szCs w:val="20"/>
          <w:color w:val="auto"/>
        </w:rPr>
        <w:tab/>
      </w:r>
      <w:r>
        <w:rPr>
          <w:rFonts w:ascii="Courier New" w:cs="Courier New" w:eastAsia="Courier New" w:hAnsi="Courier New"/>
          <w:sz w:val="15"/>
          <w:szCs w:val="15"/>
          <w:color w:val="auto"/>
        </w:rPr>
        <w:t>$11.55</w:t>
      </w:r>
      <w:r>
        <w:rPr>
          <w:sz w:val="20"/>
          <w:szCs w:val="20"/>
          <w:color w:val="auto"/>
        </w:rPr>
        <w:tab/>
      </w:r>
      <w:r>
        <w:rPr>
          <w:rFonts w:ascii="Courier New" w:cs="Courier New" w:eastAsia="Courier New" w:hAnsi="Courier New"/>
          <w:sz w:val="14"/>
          <w:szCs w:val="14"/>
          <w:color w:val="auto"/>
        </w:rPr>
        <w:t>4,433</w:t>
      </w:r>
    </w:p>
    <w:p>
      <w:pPr>
        <w:spacing w:after="0" w:line="2"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800"/>
        <w:spacing w:after="0"/>
        <w:tabs>
          <w:tab w:leader="none" w:pos="3740" w:val="left"/>
        </w:tabs>
        <w:rPr>
          <w:sz w:val="20"/>
          <w:szCs w:val="20"/>
          <w:color w:val="auto"/>
        </w:rPr>
      </w:pPr>
      <w:r>
        <w:rPr>
          <w:rFonts w:ascii="Courier New" w:cs="Courier New" w:eastAsia="Courier New" w:hAnsi="Courier New"/>
          <w:sz w:val="15"/>
          <w:szCs w:val="15"/>
          <w:color w:val="auto"/>
        </w:rPr>
        <w:t>6,989</w:t>
      </w:r>
      <w:r>
        <w:rPr>
          <w:sz w:val="20"/>
          <w:szCs w:val="20"/>
          <w:color w:val="auto"/>
        </w:rPr>
        <w:tab/>
      </w:r>
      <w:r>
        <w:rPr>
          <w:rFonts w:ascii="Courier New" w:cs="Courier New" w:eastAsia="Courier New" w:hAnsi="Courier New"/>
          <w:sz w:val="15"/>
          <w:szCs w:val="15"/>
          <w:color w:val="auto"/>
        </w:rPr>
        <w:t>6,281</w:t>
      </w:r>
    </w:p>
    <w:p>
      <w:pPr>
        <w:spacing w:after="0" w:line="2" w:lineRule="exact"/>
        <w:rPr>
          <w:sz w:val="20"/>
          <w:szCs w:val="20"/>
          <w:color w:val="auto"/>
        </w:rPr>
      </w:pPr>
    </w:p>
    <w:p>
      <w:pPr>
        <w:ind w:left="800"/>
        <w:spacing w:after="0"/>
        <w:tabs>
          <w:tab w:leader="none" w:pos="3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$11.72</w:t>
      </w:r>
    </w:p>
    <w:p>
      <w:pPr>
        <w:spacing w:after="0" w:line="520" w:lineRule="exact"/>
        <w:rPr>
          <w:sz w:val="20"/>
          <w:szCs w:val="20"/>
          <w:color w:val="auto"/>
        </w:rPr>
      </w:pPr>
    </w:p>
    <w:p>
      <w:pPr>
        <w:sectPr>
          <w:pgSz w:w="11900" w:h="16838" w:orient="portrait"/>
          <w:cols w:equalWidth="0" w:num="3">
            <w:col w:w="3308" w:space="720"/>
            <w:col w:w="4560" w:space="720"/>
            <w:col w:w="919"/>
          </w:cols>
          <w:pgMar w:left="232" w:top="633" w:right="1440" w:bottom="1440" w:gutter="0" w:footer="0" w:header="0"/>
          <w:type w:val="continuous"/>
        </w:sectPr>
      </w:pPr>
    </w:p>
    <w:p>
      <w:pPr>
        <w:ind w:left="988"/>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type w:val="continuous"/>
        </w:sectPr>
      </w:pPr>
    </w:p>
    <w:bookmarkStart w:id="9" w:name="page10"/>
    <w:bookmarkEnd w:id="9"/>
    <w:p>
      <w:pPr>
        <w:ind w:right="307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6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6"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6" w:lineRule="exact"/>
        <w:rPr>
          <w:sz w:val="20"/>
          <w:szCs w:val="20"/>
          <w:color w:val="auto"/>
        </w:rPr>
      </w:pPr>
    </w:p>
    <w:p>
      <w:pPr>
        <w:ind w:left="1340" w:right="3079" w:hanging="543"/>
        <w:spacing w:after="0" w:line="241" w:lineRule="auto"/>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AXOKINE(Registered) second generation ciliary neurotrophic factor for the treatment of Type II diabetes in obese patients and uncomplicated obesity.</w:t>
      </w:r>
    </w:p>
    <w:p>
      <w:pPr>
        <w:spacing w:after="0" w:line="176" w:lineRule="exact"/>
        <w:rPr>
          <w:rFonts w:ascii="Courier New" w:cs="Courier New" w:eastAsia="Courier New" w:hAnsi="Courier New"/>
          <w:sz w:val="15"/>
          <w:szCs w:val="15"/>
          <w:color w:val="auto"/>
        </w:rPr>
      </w:pPr>
    </w:p>
    <w:p>
      <w:pPr>
        <w:ind w:left="1340" w:right="3259" w:hanging="543"/>
        <w:spacing w:after="0" w:line="241" w:lineRule="auto"/>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6" w:lineRule="exact"/>
        <w:rPr>
          <w:rFonts w:ascii="Courier New" w:cs="Courier New" w:eastAsia="Courier New" w:hAnsi="Courier New"/>
          <w:sz w:val="15"/>
          <w:szCs w:val="15"/>
          <w:color w:val="auto"/>
        </w:rPr>
      </w:pPr>
    </w:p>
    <w:p>
      <w:pPr>
        <w:ind w:left="1340" w:right="3779" w:hanging="543"/>
        <w:spacing w:after="0"/>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constipating conditions,</w:t>
      </w:r>
    </w:p>
    <w:p>
      <w:pPr>
        <w:spacing w:after="0" w:line="176" w:lineRule="exact"/>
        <w:rPr>
          <w:rFonts w:ascii="Courier New" w:cs="Courier New" w:eastAsia="Courier New" w:hAnsi="Courier New"/>
          <w:sz w:val="15"/>
          <w:szCs w:val="15"/>
          <w:color w:val="auto"/>
        </w:rPr>
      </w:pPr>
    </w:p>
    <w:p>
      <w:pPr>
        <w:ind w:left="1340" w:right="3519" w:hanging="543"/>
        <w:spacing w:after="0" w:line="242" w:lineRule="auto"/>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Angiogenesis, including stimulating blood vessel growth in settings where more blood flow is desired and blocking blood vessel growth in abnormal conditions such as cancer. The angiogenesis program is based on Regeneron's discovery of Angiopoietins, a new family of ligands (and their receptors, called the TIE family of receptors) that appears to regulate blood vessel formation,</w:t>
      </w:r>
    </w:p>
    <w:p>
      <w:pPr>
        <w:spacing w:after="0" w:line="176" w:lineRule="exact"/>
        <w:rPr>
          <w:rFonts w:ascii="Courier New" w:cs="Courier New" w:eastAsia="Courier New" w:hAnsi="Courier New"/>
          <w:sz w:val="15"/>
          <w:szCs w:val="15"/>
          <w:color w:val="auto"/>
        </w:rPr>
      </w:pPr>
    </w:p>
    <w:p>
      <w:pPr>
        <w:ind w:left="1340" w:right="3079" w:hanging="543"/>
        <w:spacing w:after="0" w:line="242" w:lineRule="auto"/>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interleukin-1 ("IL-1"), interleukin-4 ("IL-4") and interleukin-6 ("IL-6") as potential treatment of inflammatory diseases, allergic disorders, and cancer,</w:t>
      </w:r>
    </w:p>
    <w:p>
      <w:pPr>
        <w:spacing w:after="0" w:line="174" w:lineRule="exact"/>
        <w:rPr>
          <w:rFonts w:ascii="Courier New" w:cs="Courier New" w:eastAsia="Courier New" w:hAnsi="Courier New"/>
          <w:sz w:val="15"/>
          <w:szCs w:val="15"/>
          <w:color w:val="auto"/>
        </w:rPr>
      </w:pPr>
    </w:p>
    <w:p>
      <w:pPr>
        <w:ind w:left="1340" w:right="3259" w:hanging="543"/>
        <w:spacing w:after="0"/>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 for the treatment of retinal diseases such as retinitis pigmentosa,</w:t>
      </w:r>
    </w:p>
    <w:p>
      <w:pPr>
        <w:spacing w:after="0" w:line="176" w:lineRule="exact"/>
        <w:rPr>
          <w:rFonts w:ascii="Courier New" w:cs="Courier New" w:eastAsia="Courier New" w:hAnsi="Courier New"/>
          <w:sz w:val="15"/>
          <w:szCs w:val="15"/>
          <w:color w:val="auto"/>
        </w:rPr>
      </w:pPr>
    </w:p>
    <w:p>
      <w:pPr>
        <w:ind w:left="1340" w:right="3439" w:hanging="543"/>
        <w:spacing w:after="0"/>
        <w:tabs>
          <w:tab w:leader="none" w:pos="13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using a variety of approaches to identify and validate drug targets, and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7" w:right="1440" w:bottom="1440" w:gutter="0" w:footer="0" w:header="0"/>
        </w:sectPr>
      </w:pPr>
    </w:p>
    <w:bookmarkStart w:id="10" w:name="page11"/>
    <w:bookmarkEnd w:id="10"/>
    <w:p>
      <w:pPr>
        <w:ind w:left="1340" w:right="3079" w:hanging="543"/>
        <w:spacing w:after="0" w:line="241" w:lineRule="auto"/>
        <w:tabs>
          <w:tab w:leader="none" w:pos="13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Discussion of First Quarter 1999 Activities. In the first quarter of 1999, the Company continued to develop AXOKINE under the Company's collaboration agreement ("the P&amp;G Agreement") with The Procter &amp; Gamble Company ("Procter &amp; Gamble"). The Company and Procter &amp; Gamble filed an Investigational New Drug application ("IND") with the United States Food and Drug Administration ("FDA") in the first quarter of 1999 and commenced a Phase I clinical study to determine the safety of AXOKINE administered subcutaneously for a short duration to mildly to moderately obese healthy volunteers. AXOKINE is being developed for the treatment of Type II diabetes in obese patients and uncomplicated obesity. No assurance can be made regarding the timing or result of this or any further clinical trial of AXOKINE. AXOKINE has never been administered to people. Its safety and efficacy in the treatment of any human condition have not been established and can not be predicted. Previous clinical studies of ciliary neurotrophic factor ("CNTF"), the parent molecule of AXOKINE, resulted in the creation of antibodies and adverse events (side effects) in patients, including weight loss, cough, nausea, and malaise. While certain aspects of the development of AXOKINE by the Company and Procter &amp; Gamble have focused on attempting to avoid or minimize antibody production or adverse events, no assurance may be given that these problems will be avoided or minimized or that they will not lead to the failure, delay, or additional difficulty in conducting AXOKINE clinical trials.</w:t>
      </w:r>
    </w:p>
    <w:p>
      <w:pPr>
        <w:spacing w:after="0" w:line="18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and Procter &amp; Gamble also continued to collaborate in research and development in the fields of angiogenesis, bone growth and related areas, muscle injury and atrophy, and small molecule (orally active) drugs. The majority of the Company's scientific resources are devoted to its collaborative activities with Procter &amp; Gamble.</w:t>
      </w:r>
    </w:p>
    <w:p>
      <w:pPr>
        <w:spacing w:after="0" w:line="175"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The Company continued independently to develop AXOKINE for use in treating retinitis pigmentosa.</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During the first quarter of 1999, the Company continued to develop independent of any corporate collaboration its proprietary cytokine traps for the potential treatment of asthma, inflammatory disease, cancer, and rheumatoid arthritis. In addition, the Company continued to conduct research with Pharmacopeia, Inc. in the area of small molecule (orally active) drugs.</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During the first quarter of 1999, Amgen-Regeneron Partners, the partnership equally owned by Regeneron and Amgen Inc. ("Amgen"), continued to develop BDNF and NT-3. BDNF is currently being developed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w:t>
      </w:r>
    </w:p>
    <w:p>
      <w:pPr>
        <w:spacing w:after="0" w:line="3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7" w:right="1440" w:bottom="1440" w:gutter="0" w:footer="0" w:header="0"/>
        </w:sectPr>
      </w:pPr>
    </w:p>
    <w:bookmarkStart w:id="11" w:name="page12"/>
    <w:bookmarkEnd w:id="11"/>
    <w:p>
      <w:pPr>
        <w:ind w:right="3519"/>
        <w:spacing w:after="0"/>
        <w:rPr>
          <w:sz w:val="20"/>
          <w:szCs w:val="20"/>
          <w:color w:val="auto"/>
        </w:rPr>
      </w:pPr>
      <w:r>
        <w:rPr>
          <w:rFonts w:ascii="Courier New" w:cs="Courier New" w:eastAsia="Courier New" w:hAnsi="Courier New"/>
          <w:sz w:val="15"/>
          <w:szCs w:val="15"/>
          <w:color w:val="auto"/>
        </w:rPr>
        <w:t>BDNF treatment. A multi-center study of more than 200 ALS patients who will receive BDNF subcutaneously is expected to begin later in 1999.</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and Sumitomo Pharmaceuticals Co., Ltd. ("Sumitomo Pharmaceuticals") are collaborating in the development of BDNF in Japan, initially for the treatment of ALS. In March 1998, Sumitomo Pharmaceuticals commenced a Phase I safety assessment of BDNF delivered subcutaneously to normal volunteers. In August 1998, Sumitomo Pharmaceuticals signed a license agreement for the development of BDNF in Japan. Pursuant to the license agreement, Sumitomo Pharmaceuticals made a $5.0 million research progress payment (reduced by $0.5 million of Japanese withholding tax) to Regeneron in August 1998 and will be required to make additional payments upon the achievement of specified milestones. Sumitomo Pharmaceuticals will also be required to pay a royalty on sales of BDNF in Japan.</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continued through the first quarter of 1999 in patients who suffer from constipation associated with conditions such as spinal cord injury and Parkinson's disease.</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NT-3, and other programs or areas of research or development do not necessarily predict the results or success of current or future activities including, but not limited to, any additional preclinical or clinical studies. The Company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7" w:right="1440" w:bottom="1440" w:gutter="0" w:footer="0" w:header="0"/>
        </w:sectPr>
      </w:pPr>
    </w:p>
    <w:bookmarkStart w:id="12" w:name="page13"/>
    <w:bookmarkEnd w:id="12"/>
    <w:p>
      <w:pPr>
        <w:ind w:right="3079" w:firstLine="805"/>
        <w:spacing w:after="0" w:line="262" w:lineRule="auto"/>
        <w:rPr>
          <w:sz w:val="20"/>
          <w:szCs w:val="20"/>
          <w:color w:val="auto"/>
        </w:rPr>
      </w:pPr>
      <w:r>
        <w:rPr>
          <w:rFonts w:ascii="Courier New" w:cs="Courier New" w:eastAsia="Courier New" w:hAnsi="Courier New"/>
          <w:sz w:val="14"/>
          <w:szCs w:val="14"/>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6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From inception on January 8, 1988 through March 31, 1999, Regeneron had a cumulative loss of $186.2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Three months ended March 31, 1999 and 1998. The Company's total revenue decreased to $6.9 million for the first quarter of 1999 from $8.3 million for the same period in 1998. Contract research and development revenue decreased to $3.3 million for the first quarter of 1999 from $4.6 million for the same period in 1998. The Company earned higher contract research and development revenue related to the P&amp;G Agreement in the first quarter of 1999 versus the same period in 1998. This was more than offset by nominal revenue in the first quarter of 1999 from the Company's ongoing collaboration with Sumitomo Pharmaceuticals, versus revenue of $1.8 million for the same period in 1998, as revenue from research payments under the Company's collaboration agreement with Sumitomo Pharmaceuticals ended in 1998, and because the Company did not supply any BDNF to Sumitomo Pharmaceuticals for preclinical and clinical use in the first quarter of 1999. Contract manufacturing revenue related to the Company's 1995 manufacturing agreement (the "Merck Agreement") with Merck &amp; Co., Inc. ("Merck") increased to $2.1 million for the first quarter of 1999 compared to $1.9 million for the same period in 1998 as a result of increased activity in preparation for manufacturing a product for Merck at the Company's Rensselaer facility. The Company's investment income decreased to $1.5 million in the first quarter of 1999 from $1.8 million for the same period in 1998 due primarily to lower levels of interest-bearing investments as the Company funds its operations.</w:t>
      </w:r>
    </w:p>
    <w:p>
      <w:pPr>
        <w:spacing w:after="0" w:line="33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Company's total operating expenses increased to $15.8 million in the first quarter of 1999 from $12.1 million for the same period in 1998. Research and development expenses increased to $11.2 million in the first quarter of 1999 from $8.2 million for the same period in 1998, primarily as a result of higher staffing and increased activity in the Company's preclinical and clinical research programs. The Company's share of the loss in Amgen-Regeneron Partners increased to $1.0 million in the first quarter of 1999 from $0.7 million for the same period in 1998 as a result of the partnership's increased clinical trial activity on BDNF and NT-3. Research and development expenses (including loss in Amgen-Regeneron Partners) were approximately 77% of total operating expenses in the first quarter of 1999, compared to 73% for the same period in 1998.</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7" w:right="1440" w:bottom="1440" w:gutter="0" w:footer="0" w:header="0"/>
        </w:sectPr>
      </w:pPr>
    </w:p>
    <w:bookmarkStart w:id="13" w:name="page14"/>
    <w:bookmarkEnd w:id="13"/>
    <w:p>
      <w:pPr>
        <w:ind w:right="3259" w:firstLine="805"/>
        <w:spacing w:after="0" w:line="242" w:lineRule="auto"/>
        <w:rPr>
          <w:sz w:val="20"/>
          <w:szCs w:val="20"/>
          <w:color w:val="auto"/>
        </w:rPr>
      </w:pPr>
      <w:r>
        <w:rPr>
          <w:rFonts w:ascii="Courier New" w:cs="Courier New" w:eastAsia="Courier New" w:hAnsi="Courier New"/>
          <w:sz w:val="15"/>
          <w:szCs w:val="15"/>
          <w:color w:val="auto"/>
        </w:rPr>
        <w:t>General and administrative expenses increased to $1.6 million in the first quarter of 1999 from $1.4 million for the same period of 1998, primarily to support the Company's increased research and development and manufacturing activities. Depreciation and amortization expense decreased to $0.7 million in the first quarter of 1999 from $0.9 million in the first quarter of 1998, as certain laboratory equipment and leasehold improvements became fully depreciated. Contract manufacturing expenses, which are expenses directly related to the Merck Agreement and are reimbursed by Merck, increased to $1.3 million in the first quarter of 1999 from $0.9 million in the same period of 1998, primarily due to increased activity in preparation for manufacturing a product for Merck. Interest expense was $0.1 million for the first quarter of both 1999 and 1998.</w:t>
      </w:r>
    </w:p>
    <w:p>
      <w:pPr>
        <w:spacing w:after="0" w:line="180" w:lineRule="exact"/>
        <w:rPr>
          <w:sz w:val="20"/>
          <w:szCs w:val="20"/>
          <w:color w:val="auto"/>
        </w:rPr>
      </w:pPr>
    </w:p>
    <w:p>
      <w:pPr>
        <w:jc w:val="both"/>
        <w:ind w:right="3159" w:firstLine="805"/>
        <w:spacing w:after="0" w:line="267" w:lineRule="auto"/>
        <w:rPr>
          <w:sz w:val="20"/>
          <w:szCs w:val="20"/>
          <w:color w:val="auto"/>
        </w:rPr>
      </w:pPr>
      <w:r>
        <w:rPr>
          <w:rFonts w:ascii="Courier New" w:cs="Courier New" w:eastAsia="Courier New" w:hAnsi="Courier New"/>
          <w:sz w:val="14"/>
          <w:szCs w:val="14"/>
          <w:color w:val="auto"/>
        </w:rPr>
        <w:t>The Company's net loss for the first quarter of 1999 was $8.9 million, or $0.29 per share (basic and diluted), compared to a net loss of $3.8 million, or $0.12 per share (basic and diluted), for the same period in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May 1997, the Company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(of which $7.7 million was received through March 31, 1999). During the second five years of the P&amp;G Agreement, the companies will share all research costs equally. Clinical testing and commercialization expenses for jointly developed products will generally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if a defined event of default occurs.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$5.0 million was paid in 1998. Beginning in the third quarter of 1999, research support provided from Procter &amp; Gamble, in addition to amounts paid to support development of AXOKINE (which vary from quarter to quarter), will increase from the current rate of $1.1 million per quarter to at least $6.3 million per quarter for the following three years of the companies' collaboration agreement.</w:t>
      </w:r>
    </w:p>
    <w:p>
      <w:pPr>
        <w:spacing w:after="0" w:line="189" w:lineRule="exact"/>
        <w:rPr>
          <w:sz w:val="20"/>
          <w:szCs w:val="20"/>
          <w:color w:val="auto"/>
        </w:rPr>
      </w:pPr>
    </w:p>
    <w:p>
      <w:pPr>
        <w:ind w:right="3079" w:firstLine="805"/>
        <w:spacing w:after="0" w:line="267" w:lineRule="auto"/>
        <w:rPr>
          <w:sz w:val="20"/>
          <w:szCs w:val="20"/>
          <w:color w:val="auto"/>
        </w:rPr>
      </w:pPr>
      <w:r>
        <w:rPr>
          <w:rFonts w:ascii="Courier New" w:cs="Courier New" w:eastAsia="Courier New" w:hAnsi="Courier New"/>
          <w:sz w:val="14"/>
          <w:szCs w:val="14"/>
          <w:color w:val="auto"/>
        </w:rPr>
        <w:t>In connection with the Company's agreement to collaborate with Sumitomo Pharmaceuticals in the research and development of BDNF in Japan, Sumitomo Pharmaceuticals paid the Company $25.0 million through December 1997. The</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7" w:right="1440" w:bottom="1440" w:gutter="0" w:footer="0" w:header="0"/>
        </w:sectPr>
      </w:pPr>
    </w:p>
    <w:bookmarkStart w:id="14" w:name="page15"/>
    <w:bookmarkEnd w:id="14"/>
    <w:p>
      <w:pPr>
        <w:ind w:right="3159"/>
        <w:spacing w:after="0" w:line="242" w:lineRule="auto"/>
        <w:rPr>
          <w:sz w:val="20"/>
          <w:szCs w:val="20"/>
          <w:color w:val="auto"/>
        </w:rPr>
      </w:pPr>
      <w:r>
        <w:rPr>
          <w:rFonts w:ascii="Courier New" w:cs="Courier New" w:eastAsia="Courier New" w:hAnsi="Courier New"/>
          <w:sz w:val="15"/>
          <w:szCs w:val="15"/>
          <w:color w:val="auto"/>
        </w:rPr>
        <w:t>Company also received a $5.0 million research progress payment from Sumitomo Pharmaceuticals (reduced by $0.5 million of Japanese withholding tax) in August 1998. In addition, Sumitomo Pharmaceuticals has paid the Company $27.4 million through March 31, 1999 in connection with supplying BDNF for preclinical and clinical use. Regeneron expects to resume supplying BDNF to Sumitomo Pharmaceuticals later in 1999.</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$50.4 million to Amgen-Regeneron Partners from the partnership's inception in June 1993 through March 31, 1999. The Company expects that its capital contributions in 1999 will total at least $3.0 million for the full year. These contributions could increase or decrease, depending upon (among other things) the nature and cost of BDNF and NT-3 studies that Amgen-Regeneron Partners may conduct and the outcomes of those studies.</w:t>
      </w:r>
    </w:p>
    <w:p>
      <w:pPr>
        <w:spacing w:after="0" w:line="16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From its inception in January 1988 through March 31, 1999, the Company invested approximately $61.6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$1.7 million is outstanding. Under the terms of such financing, the Company is not permitted to declare or pay dividends on its equity securities.</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 Synergen in 1994. In March 1998, the Company and Amgen entered into a covenant not to sue each other which, among other things, resolved their patent interference and related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8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of March 31, 1999,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8"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At March 31, 1999, the Company had $104.6 million in cash, cash equivalents, and marketable securities. The Company expects to incur substantial funding</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7" w:right="1440" w:bottom="1440" w:gutter="0" w:footer="0" w:header="0"/>
        </w:sectPr>
      </w:pPr>
    </w:p>
    <w:bookmarkStart w:id="15" w:name="page16"/>
    <w:bookmarkEnd w:id="15"/>
    <w:p>
      <w:pPr>
        <w:ind w:right="3079"/>
        <w:spacing w:after="0" w:line="242" w:lineRule="auto"/>
        <w:rPr>
          <w:sz w:val="20"/>
          <w:szCs w:val="20"/>
          <w:color w:val="auto"/>
        </w:rPr>
      </w:pPr>
      <w:r>
        <w:rPr>
          <w:rFonts w:ascii="Courier New" w:cs="Courier New" w:eastAsia="Courier New" w:hAnsi="Courier New"/>
          <w:sz w:val="15"/>
          <w:szCs w:val="15"/>
          <w:color w:val="auto"/>
        </w:rPr>
        <w:t>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In 1999, the Company expects further increases in the level of quarterly research and development expenses as the Company continues to add staff and increases its clinical activity.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78" w:lineRule="exact"/>
        <w:rPr>
          <w:sz w:val="20"/>
          <w:szCs w:val="20"/>
          <w:color w:val="auto"/>
        </w:rPr>
      </w:pPr>
    </w:p>
    <w:p>
      <w:pPr>
        <w:ind w:left="800" w:right="3079" w:hanging="450"/>
        <w:spacing w:after="0" w:line="242"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4" w:lineRule="exact"/>
        <w:rPr>
          <w:rFonts w:ascii="Courier New" w:cs="Courier New" w:eastAsia="Courier New" w:hAnsi="Courier New"/>
          <w:sz w:val="15"/>
          <w:szCs w:val="15"/>
          <w:color w:val="auto"/>
        </w:rPr>
      </w:pPr>
    </w:p>
    <w:p>
      <w:pPr>
        <w:ind w:left="800" w:right="3079" w:hanging="450"/>
        <w:spacing w:after="0" w:line="242"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6" w:lineRule="exact"/>
        <w:rPr>
          <w:rFonts w:ascii="Courier New" w:cs="Courier New" w:eastAsia="Courier New" w:hAnsi="Courier New"/>
          <w:sz w:val="15"/>
          <w:szCs w:val="15"/>
          <w:color w:val="auto"/>
        </w:rPr>
      </w:pPr>
    </w:p>
    <w:p>
      <w:pPr>
        <w:ind w:left="800" w:right="3079" w:hanging="450"/>
        <w:spacing w:after="0" w:line="242" w:lineRule="auto"/>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the creation of antibodies (in the case of protein-based therapeutics) that weaken or neutralize the effect of the product candidate (and possibly could have other adverse effects on patients), the failure of clinical investigators, trial monitors and other consultants, or trial subjects to comply with the trial plan or protocol.</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7" w:right="1440" w:bottom="1440" w:gutter="0" w:footer="0" w:header="0"/>
        </w:sectPr>
      </w:pPr>
    </w:p>
    <w:bookmarkStart w:id="16" w:name="page17"/>
    <w:bookmarkEnd w:id="16"/>
    <w:p>
      <w:pPr>
        <w:ind w:left="450" w:right="307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5" w:lineRule="exact"/>
        <w:rPr>
          <w:rFonts w:ascii="Courier New" w:cs="Courier New" w:eastAsia="Courier New" w:hAnsi="Courier New"/>
          <w:sz w:val="15"/>
          <w:szCs w:val="15"/>
          <w:color w:val="auto"/>
        </w:rPr>
      </w:pPr>
    </w:p>
    <w:p>
      <w:pPr>
        <w:ind w:left="450" w:right="3259" w:hanging="450"/>
        <w:spacing w:after="0" w:line="241"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6" w:lineRule="exact"/>
        <w:rPr>
          <w:rFonts w:ascii="Courier New" w:cs="Courier New" w:eastAsia="Courier New" w:hAnsi="Courier New"/>
          <w:sz w:val="15"/>
          <w:szCs w:val="15"/>
          <w:color w:val="auto"/>
        </w:rPr>
      </w:pPr>
    </w:p>
    <w:p>
      <w:pPr>
        <w:ind w:left="450" w:right="3259" w:hanging="450"/>
        <w:spacing w:after="0" w:line="274"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or market factors that may cause use of the Company's products to be limited or otherwise fail to achieve broad acceptance.</w:t>
      </w:r>
    </w:p>
    <w:p>
      <w:pPr>
        <w:spacing w:after="0" w:line="153" w:lineRule="exact"/>
        <w:rPr>
          <w:rFonts w:ascii="Courier New" w:cs="Courier New" w:eastAsia="Courier New" w:hAnsi="Courier New"/>
          <w:sz w:val="14"/>
          <w:szCs w:val="14"/>
          <w:color w:val="auto"/>
        </w:rPr>
      </w:pPr>
    </w:p>
    <w:p>
      <w:pPr>
        <w:ind w:left="450" w:right="333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4" w:lineRule="exact"/>
        <w:rPr>
          <w:rFonts w:ascii="Courier New" w:cs="Courier New" w:eastAsia="Courier New" w:hAnsi="Courier New"/>
          <w:sz w:val="15"/>
          <w:szCs w:val="15"/>
          <w:color w:val="auto"/>
        </w:rPr>
      </w:pPr>
    </w:p>
    <w:p>
      <w:pPr>
        <w:ind w:left="450" w:right="3159" w:hanging="450"/>
        <w:spacing w:after="0" w:line="265"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59" w:lineRule="exact"/>
        <w:rPr>
          <w:rFonts w:ascii="Courier New" w:cs="Courier New" w:eastAsia="Courier New" w:hAnsi="Courier New"/>
          <w:sz w:val="14"/>
          <w:szCs w:val="14"/>
          <w:color w:val="auto"/>
        </w:rPr>
      </w:pPr>
    </w:p>
    <w:p>
      <w:pPr>
        <w:ind w:left="450" w:right="315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4" w:lineRule="exact"/>
        <w:rPr>
          <w:rFonts w:ascii="Courier New" w:cs="Courier New" w:eastAsia="Courier New" w:hAnsi="Courier New"/>
          <w:sz w:val="15"/>
          <w:szCs w:val="15"/>
          <w:color w:val="auto"/>
        </w:rPr>
      </w:pPr>
    </w:p>
    <w:p>
      <w:pPr>
        <w:ind w:left="450" w:right="315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5" w:lineRule="exact"/>
        <w:rPr>
          <w:rFonts w:ascii="Courier New" w:cs="Courier New" w:eastAsia="Courier New" w:hAnsi="Courier New"/>
          <w:sz w:val="15"/>
          <w:szCs w:val="15"/>
          <w:color w:val="auto"/>
        </w:rPr>
      </w:pPr>
    </w:p>
    <w:p>
      <w:pPr>
        <w:ind w:left="450" w:right="307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5" w:lineRule="exact"/>
        <w:rPr>
          <w:rFonts w:ascii="Courier New" w:cs="Courier New" w:eastAsia="Courier New" w:hAnsi="Courier New"/>
          <w:sz w:val="15"/>
          <w:szCs w:val="15"/>
          <w:color w:val="auto"/>
        </w:rPr>
      </w:pPr>
    </w:p>
    <w:p>
      <w:pPr>
        <w:ind w:left="450" w:right="3699"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6" w:lineRule="exact"/>
        <w:rPr>
          <w:rFonts w:ascii="Courier New" w:cs="Courier New" w:eastAsia="Courier New" w:hAnsi="Courier New"/>
          <w:sz w:val="15"/>
          <w:szCs w:val="15"/>
          <w:color w:val="auto"/>
        </w:rPr>
      </w:pPr>
    </w:p>
    <w:p>
      <w:pPr>
        <w:ind w:left="450" w:right="3159" w:hanging="450"/>
        <w:spacing w:after="0" w:line="242"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349" w:lineRule="exact"/>
        <w:rPr>
          <w:sz w:val="20"/>
          <w:szCs w:val="20"/>
          <w:color w:val="auto"/>
        </w:rPr>
      </w:pPr>
    </w:p>
    <w:p>
      <w:pPr>
        <w:ind w:left="31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0"/>
          </w:cols>
          <w:pgMar w:left="590" w:top="807" w:right="1440" w:bottom="1440" w:gutter="0" w:footer="0" w:header="0"/>
        </w:sectPr>
      </w:pPr>
    </w:p>
    <w:bookmarkStart w:id="17" w:name="page18"/>
    <w:bookmarkEnd w:id="17"/>
    <w:p>
      <w:pPr>
        <w:ind w:left="800" w:right="3079" w:hanging="450"/>
        <w:spacing w:after="0" w:line="242" w:lineRule="auto"/>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5" w:lineRule="exact"/>
        <w:rPr>
          <w:rFonts w:ascii="Courier New" w:cs="Courier New" w:eastAsia="Courier New" w:hAnsi="Courier New"/>
          <w:sz w:val="15"/>
          <w:szCs w:val="15"/>
          <w:color w:val="auto"/>
        </w:rPr>
      </w:pPr>
    </w:p>
    <w:p>
      <w:pPr>
        <w:ind w:left="800" w:right="3339" w:hanging="450"/>
        <w:spacing w:after="0" w:line="274" w:lineRule="auto"/>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2" w:lineRule="exact"/>
        <w:rPr>
          <w:rFonts w:ascii="Courier New" w:cs="Courier New" w:eastAsia="Courier New" w:hAnsi="Courier New"/>
          <w:sz w:val="14"/>
          <w:szCs w:val="14"/>
          <w:color w:val="auto"/>
        </w:rPr>
      </w:pPr>
    </w:p>
    <w:p>
      <w:pPr>
        <w:ind w:left="800" w:hanging="450"/>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 expertise or external collaborations in areas in which it currently does not have substantial resources and personnel.</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is evaluating its operations to determine the impact, if any, that Year 2000 problems may have.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Like many corporations, Regeneron does not have any previous experience with an issue like the Year 2000 problem.</w:t>
      </w:r>
    </w:p>
    <w:p>
      <w:pPr>
        <w:spacing w:after="0" w:line="17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Year 2000 problem could affect Regeneron's ability to conduct its normal operations that are date sensitive or depend on computers or equipment that contain embedded chips that are date sensitive. It could adversely affect Regeneron's ability to maintain or operate its facilities in a safe and effective manner or undertake other activities necessary and customary to carrying out its business. In addition, the Year 2000 problem could have material adverse effects on the operations or financial condition of the Company's licensees, licensors, collaborators, suppliers, vendors, and others, and, in particular, utility companies that provide energy to the Company's facilities and equipment, which could, in turn, have a material direct or indirect effect on Regeneron.</w:t>
      </w:r>
    </w:p>
    <w:p>
      <w:pPr>
        <w:spacing w:after="0" w:line="179"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Company's Year 2000 review includes its computer systems and software, embedded systems in non-computer equipment, and vendor operations. The Company has appointed a Year 2000 task force with representatives from each department of the Company and has retained independent consultants to facilitate its review. To date, the Company has not learned of any material Year 2000 issue with respect to its computer systems and software. The Company is in the process of analyzing its laboratory and manufacturing equipment with embedded systems. This analysis is incomplete. The Company is also in the process of surveying its vendors who support critical business processes to determine their level of readiness with respect to Year 2000 issues. While many vendors indicate that they believe they are or will be Year 2000 compliant, many others state that they can not represent that they have achieved compliance or guarantee the efficacy of their remediation efforts. Many vendors state that the problem is too complex for such a claim to have legitimacy; that efforts to solve Year 2000 problems are merely in the nature of risk mitigation; and that success in such efforts will be measured, with hindsight, by the minimization of the level of technical failures and by the prompt identification and repair of failures.</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7" w:right="1440" w:bottom="1440" w:gutter="0" w:footer="0" w:header="0"/>
        </w:sectPr>
      </w:pPr>
    </w:p>
    <w:bookmarkStart w:id="18" w:name="page19"/>
    <w:bookmarkEnd w:id="18"/>
    <w:p>
      <w:pPr>
        <w:ind w:right="3079" w:firstLine="805"/>
        <w:spacing w:after="0" w:line="261" w:lineRule="auto"/>
        <w:rPr>
          <w:sz w:val="20"/>
          <w:szCs w:val="20"/>
          <w:color w:val="auto"/>
        </w:rPr>
      </w:pPr>
      <w:r>
        <w:rPr>
          <w:rFonts w:ascii="Courier New" w:cs="Courier New" w:eastAsia="Courier New" w:hAnsi="Courier New"/>
          <w:sz w:val="14"/>
          <w:szCs w:val="14"/>
          <w:color w:val="auto"/>
        </w:rPr>
        <w:t>The analysis of the Company's embedded systems and the information collected regarding vendor readiness will be used to formulate a contingency plan with respect to reasonably identifiable items of equipment and supply of materials that are critical to the Company's operations. These analyses and plans are not complete. No assurance can be made that the Company's computer systems and software, embedded systems in non-computer equipment, and vendors will be Year 2000 compliant in a timely or cost-effective manner. The failure of certain third parties (such as Procter &amp; Gamble, Amgen, Sumitomo Pharmaceuticals, Merck,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 2000 compliant even though these third parties do not directly conduct business with Regeneron. It is not possible to guarantee that the Company's Year 2000 contingency plan will succeed or be timely.</w:t>
      </w:r>
    </w:p>
    <w:p>
      <w:pPr>
        <w:spacing w:after="0" w:line="16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costs of addressing Year 2000 issues have been minor to date, but may increase if substantial consultant or personnel resources are required or if operationally-critical equipment must be remediated or replaced, or if back-up energy sources must be secured (assuming such personnel, equipment, or back-up energy sources are reasonably available). Because the Company's analysis of Year 2000 issues is incomplete, at this time management cannot estimate the total expected costs of the Year 2000 problem. The risks that Year 2000 problems could present to the Company include, without limitation, disruption, delay, or cessation of manufacturing or other operations, including operations that are subject to regulatory compliance, and loss of research and manufacturing material and experiments that are difficult, costly, or impossible to replace. In each case, the correction of the problem could result in substantial expense and disruption or delay of the Company's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7" w:right="1440" w:bottom="1440" w:gutter="0" w:footer="0" w:header="0"/>
        </w:sectPr>
      </w:pPr>
    </w:p>
    <w:bookmarkStart w:id="19" w:name="page20"/>
    <w:bookmarkEnd w:id="19"/>
    <w:p>
      <w:pPr>
        <w:ind w:left="8"/>
        <w:spacing w:after="0"/>
        <w:rPr>
          <w:sz w:val="20"/>
          <w:szCs w:val="20"/>
          <w:color w:val="auto"/>
        </w:rPr>
      </w:pPr>
      <w:r>
        <w:rPr>
          <w:rFonts w:ascii="Courier New" w:cs="Courier New" w:eastAsia="Courier New" w:hAnsi="Courier New"/>
          <w:sz w:val="15"/>
          <w:szCs w:val="15"/>
          <w:color w:val="auto"/>
        </w:rPr>
        <w:t>PART II. OTHER INFORMATION</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8" w:hanging="808"/>
        <w:spacing w:after="0"/>
        <w:tabs>
          <w:tab w:leader="none" w:pos="80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ind w:left="1608"/>
        <w:spacing w:after="0"/>
        <w:tabs>
          <w:tab w:leader="none" w:pos="2388"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74" w:lineRule="exact"/>
        <w:rPr>
          <w:sz w:val="20"/>
          <w:szCs w:val="20"/>
          <w:color w:val="auto"/>
        </w:rPr>
      </w:pPr>
    </w:p>
    <w:p>
      <w:pPr>
        <w:ind w:left="808" w:hanging="808"/>
        <w:spacing w:after="0"/>
        <w:tabs>
          <w:tab w:leader="none" w:pos="80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6" w:lineRule="exact"/>
        <w:rPr>
          <w:sz w:val="20"/>
          <w:szCs w:val="20"/>
          <w:color w:val="auto"/>
        </w:rPr>
      </w:pPr>
    </w:p>
    <w:p>
      <w:pPr>
        <w:ind w:left="1608" w:right="3079"/>
        <w:spacing w:after="0"/>
        <w:rPr>
          <w:sz w:val="20"/>
          <w:szCs w:val="20"/>
          <w:color w:val="auto"/>
        </w:rPr>
      </w:pPr>
      <w:r>
        <w:rPr>
          <w:rFonts w:ascii="Courier New" w:cs="Courier New" w:eastAsia="Courier New" w:hAnsi="Courier New"/>
          <w:sz w:val="15"/>
          <w:szCs w:val="15"/>
          <w:color w:val="auto"/>
        </w:rPr>
        <w:t>No reports on Form 8-K were filed by the Registrant during the quarter ended March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805" w:right="1440" w:bottom="1440" w:gutter="0" w:footer="0" w:header="0"/>
        </w:sectPr>
      </w:pPr>
    </w:p>
    <w:bookmarkStart w:id="20" w:name="page21"/>
    <w:bookmarkEnd w:id="20"/>
    <w:p>
      <w:pPr>
        <w:ind w:left="3220"/>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0" w:type="dxa"/>
            <w:vAlign w:val="bottom"/>
          </w:tcPr>
          <w:p>
            <w:pPr>
              <w:ind w:left="940"/>
              <w:spacing w:after="0"/>
              <w:rPr>
                <w:sz w:val="20"/>
                <w:szCs w:val="20"/>
                <w:color w:val="auto"/>
              </w:rPr>
            </w:pPr>
            <w:r>
              <w:rPr>
                <w:rFonts w:ascii="Courier New" w:cs="Courier New" w:eastAsia="Courier New" w:hAnsi="Courier New"/>
                <w:sz w:val="15"/>
                <w:szCs w:val="15"/>
                <w:color w:val="auto"/>
              </w:rPr>
              <w:t>Regeneron</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Pharmaceuticals, Inc.</w:t>
            </w:r>
          </w:p>
        </w:tc>
      </w:tr>
      <w:tr>
        <w:trPr>
          <w:trHeight w:val="344"/>
        </w:trPr>
        <w:tc>
          <w:tcPr>
            <w:tcW w:w="7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May 14, 1999</w:t>
            </w:r>
          </w:p>
        </w:tc>
        <w:tc>
          <w:tcPr>
            <w:tcW w:w="1800" w:type="dxa"/>
            <w:vAlign w:val="bottom"/>
          </w:tcPr>
          <w:p>
            <w:pPr>
              <w:ind w:left="940"/>
              <w:spacing w:after="0"/>
              <w:rPr>
                <w:sz w:val="20"/>
                <w:szCs w:val="20"/>
                <w:color w:val="auto"/>
              </w:rPr>
            </w:pPr>
            <w:r>
              <w:rPr>
                <w:rFonts w:ascii="Courier New" w:cs="Courier New" w:eastAsia="Courier New" w:hAnsi="Courier New"/>
                <w:sz w:val="15"/>
                <w:szCs w:val="15"/>
                <w:color w:val="auto"/>
              </w:rPr>
              <w:t>By:</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w w:val="97"/>
              </w:rPr>
              <w:t>/s/ Murray A. Goldberg</w:t>
            </w:r>
          </w:p>
        </w:tc>
      </w:tr>
    </w:tbl>
    <w:p>
      <w:pPr>
        <w:spacing w:after="0" w:line="4" w:lineRule="exact"/>
        <w:rPr>
          <w:sz w:val="20"/>
          <w:szCs w:val="20"/>
          <w:color w:val="auto"/>
        </w:rPr>
      </w:pPr>
    </w:p>
    <w:p>
      <w:pPr>
        <w:ind w:left="440"/>
        <w:spacing w:after="0"/>
        <w:tabs>
          <w:tab w:leader="none" w:pos="4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Murray A. Goldberg</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Vice President, Finance &amp;</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Administration, Chief</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Financial Officer, and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0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right"/>
        <w:ind w:right="7339"/>
        <w:spacing w:after="0"/>
        <w:rPr>
          <w:sz w:val="20"/>
          <w:szCs w:val="20"/>
          <w:color w:val="auto"/>
        </w:rPr>
      </w:pPr>
      <w:r>
        <w:rPr>
          <w:rFonts w:ascii="Courier New" w:cs="Courier New" w:eastAsia="Courier New" w:hAnsi="Courier New"/>
          <w:sz w:val="15"/>
          <w:szCs w:val="15"/>
          <w:color w:val="auto"/>
        </w:rPr>
        <w:t>Regeneron Pharmaceuticals, Inc.</w:t>
      </w:r>
    </w:p>
    <w:p>
      <w:pPr>
        <w:spacing w:after="0" w:line="2" w:lineRule="exact"/>
        <w:rPr>
          <w:sz w:val="20"/>
          <w:szCs w:val="20"/>
          <w:color w:val="auto"/>
        </w:rPr>
      </w:pPr>
    </w:p>
    <w:p>
      <w:pPr>
        <w:jc w:val="right"/>
        <w:ind w:right="7339"/>
        <w:spacing w:after="0"/>
        <w:rPr>
          <w:sz w:val="20"/>
          <w:szCs w:val="20"/>
          <w:color w:val="auto"/>
        </w:rPr>
      </w:pPr>
      <w:r>
        <w:rPr>
          <w:rFonts w:ascii="Courier New" w:cs="Courier New" w:eastAsia="Courier New" w:hAnsi="Courier New"/>
          <w:sz w:val="15"/>
          <w:szCs w:val="15"/>
          <w:color w:val="auto"/>
        </w:rPr>
        <w:t>March 31, 1999 Form 10Q</w:t>
      </w:r>
    </w:p>
    <w:p>
      <w:pPr>
        <w:spacing w:after="0" w:line="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DEC-31-1999</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JAN-01-1999</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MAR-31-1999</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21,777</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82,794</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6,895</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76,189</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61,578</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27,339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149,329</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9,859</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28</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123,408</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149,329</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6,918</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15,759</w:t>
      </w:r>
    </w:p>
    <w:p>
      <w:pPr>
        <w:spacing w:after="0" w:line="2" w:lineRule="exact"/>
        <w:rPr>
          <w:sz w:val="20"/>
          <w:szCs w:val="20"/>
          <w:color w:val="auto"/>
        </w:rPr>
      </w:pPr>
    </w:p>
    <w:p>
      <w:pPr>
        <w:jc w:val="right"/>
        <w:ind w:right="681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(8,930)</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(8,930)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(8,930)</w:t>
      </w:r>
    </w:p>
    <w:p>
      <w:pPr>
        <w:spacing w:after="0" w:line="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(.29)</w:t>
      </w:r>
    </w:p>
    <w:p>
      <w:pPr>
        <w:spacing w:after="0" w:line="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(.29)</w:t>
      </w:r>
    </w:p>
    <w:sectPr>
      <w:pgSz w:w="11900" w:h="16838" w:orient="portrait"/>
      <w:cols w:equalWidth="0" w:num="1">
        <w:col w:w="10139"/>
      </w:cols>
      <w:pgMar w:left="320" w:top="6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o"/>
      <w:numFmt w:val="bullet"/>
      <w:start w:val="1"/>
    </w:lvl>
  </w:abstractNum>
  <w:abstractNum w:abstractNumId="9">
    <w:nsid w:val="1190CDE7"/>
    <w:multiLevelType w:val="hybridMultilevel"/>
    <w:lvl w:ilvl="0">
      <w:lvlJc w:val="left"/>
      <w:lvlText w:val="o"/>
      <w:numFmt w:val="bullet"/>
      <w:start w:val="1"/>
    </w:lvl>
  </w:abstractNum>
  <w:abstractNum w:abstractNumId="10">
    <w:nsid w:val="66EF438D"/>
    <w:multiLevelType w:val="hybridMultilevel"/>
    <w:lvl w:ilvl="0">
      <w:lvlJc w:val="left"/>
      <w:lvlText w:val="o"/>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2019-12-19T23:21:20Z</dcterms:created>
  <dcterms:modified xsi:type="dcterms:W3CDTF">2019-12-19T23:21:20Z</dcterms:modified>
</cp:coreProperties>
</file>