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383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383145"/>
                    </a:xfrm>
                    <a:prstGeom prst="rect">
                      <a:avLst/>
                    </a:prstGeom>
                    <a:noFill/>
                  </pic:spPr>
                </pic:pic>
              </a:graphicData>
            </a:graphic>
          </wp:anchor>
        </w:drawing>
      </w:r>
    </w:p>
    <w:p>
      <w:pPr>
        <w:spacing w:after="0" w:line="32" w:lineRule="exact"/>
        <w:rPr>
          <w:sz w:val="24"/>
          <w:szCs w:val="24"/>
          <w:color w:val="auto"/>
        </w:rPr>
      </w:pPr>
    </w:p>
    <w:p>
      <w:pPr>
        <w:sectPr>
          <w:pgSz w:w="11900" w:h="16869" w:orient="portrait"/>
          <w:cols w:equalWidth="0" w:num="2">
            <w:col w:w="2380" w:space="240"/>
            <w:col w:w="8900"/>
          </w:cols>
          <w:pgMar w:left="240" w:top="226"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line="155" w:lineRule="exact"/>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8"/>
                <w:szCs w:val="18"/>
                <w:color w:val="0000FF"/>
              </w:rPr>
              <w:t>VP Strategy and Investor Relat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vMerge w:val="restart"/>
          </w:tcPr>
          <w:p>
            <w:pPr>
              <w:ind w:left="240"/>
              <w:spacing w:after="0"/>
              <w:rPr>
                <w:sz w:val="20"/>
                <w:szCs w:val="20"/>
                <w:color w:val="auto"/>
              </w:rPr>
            </w:pPr>
            <w:r>
              <w:rPr>
                <w:rFonts w:ascii="Arial" w:cs="Arial" w:eastAsia="Arial" w:hAnsi="Arial"/>
                <w:sz w:val="18"/>
                <w:szCs w:val="18"/>
                <w:color w:val="0000FF"/>
              </w:rPr>
              <w:t>11/29/2012</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40" w:type="dxa"/>
            <w:vAlign w:val="bottom"/>
            <w:gridSpan w:val="7"/>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80" w:type="dxa"/>
            <w:vAlign w:val="bottom"/>
            <w:gridSpan w:val="5"/>
          </w:tcPr>
          <w:p>
            <w:pPr>
              <w:jc w:val="center"/>
              <w:ind w:left="524"/>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4"/>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11/29/2012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8,334</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9"/>
              </w:rPr>
              <w:t>A</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26"/>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18,834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11/29/2012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1,097</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17,737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11/29/2012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3,333</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182.2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14,404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11/30/2012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43"/>
              <w:spacing w:after="0"/>
              <w:rPr>
                <w:sz w:val="20"/>
                <w:szCs w:val="20"/>
                <w:color w:val="auto"/>
              </w:rPr>
            </w:pPr>
            <w:r>
              <w:rPr>
                <w:rFonts w:ascii="Arial" w:cs="Arial" w:eastAsia="Arial" w:hAnsi="Arial"/>
                <w:sz w:val="18"/>
                <w:szCs w:val="18"/>
                <w:color w:val="0000FF"/>
                <w:w w:val="88"/>
              </w:rPr>
              <w:t>3,004</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180.08</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11,400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11/30/2012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400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181.59</w:t>
            </w:r>
            <w:r>
              <w:rPr>
                <w:rFonts w:ascii="Arial" w:cs="Arial" w:eastAsia="Arial" w:hAnsi="Arial"/>
                <w:sz w:val="22"/>
                <w:szCs w:val="22"/>
                <w:color w:val="008000"/>
                <w:w w:val="84"/>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11,000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11/30/2012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200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182.39</w:t>
            </w:r>
            <w:r>
              <w:rPr>
                <w:rFonts w:ascii="Arial" w:cs="Arial" w:eastAsia="Arial" w:hAnsi="Arial"/>
                <w:sz w:val="22"/>
                <w:szCs w:val="22"/>
                <w:color w:val="008000"/>
                <w:w w:val="84"/>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10,800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11/30/2012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200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183.77</w:t>
            </w:r>
            <w:r>
              <w:rPr>
                <w:rFonts w:ascii="Arial" w:cs="Arial" w:eastAsia="Arial" w:hAnsi="Arial"/>
                <w:sz w:val="22"/>
                <w:szCs w:val="22"/>
                <w:color w:val="008000"/>
                <w:w w:val="84"/>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10,600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44"/>
              <w:spacing w:after="0"/>
              <w:rPr>
                <w:sz w:val="20"/>
                <w:szCs w:val="20"/>
                <w:color w:val="auto"/>
              </w:rPr>
            </w:pPr>
            <w:r>
              <w:rPr>
                <w:rFonts w:ascii="Arial" w:cs="Arial" w:eastAsia="Arial" w:hAnsi="Arial"/>
                <w:sz w:val="18"/>
                <w:szCs w:val="18"/>
                <w:color w:val="0000FF"/>
                <w:w w:val="86"/>
              </w:rPr>
              <w:t>11/30/2012</w:t>
            </w: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ind w:left="23"/>
              <w:spacing w:after="0"/>
              <w:rPr>
                <w:sz w:val="20"/>
                <w:szCs w:val="20"/>
                <w:color w:val="auto"/>
              </w:rPr>
            </w:pPr>
            <w:r>
              <w:rPr>
                <w:rFonts w:ascii="Arial" w:cs="Arial" w:eastAsia="Arial" w:hAnsi="Arial"/>
                <w:sz w:val="18"/>
                <w:szCs w:val="18"/>
                <w:color w:val="0000FF"/>
                <w:w w:val="86"/>
              </w:rPr>
              <w:t>100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184</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287</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40" w:type="dxa"/>
            <w:vAlign w:val="bottom"/>
            <w:gridSpan w:val="16"/>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6"/>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11/29/2012</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8,334</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03/22/2020</w:t>
            </w: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0000FF"/>
                <w:w w:val="87"/>
              </w:rPr>
              <w:t>Common</w:t>
            </w:r>
          </w:p>
        </w:tc>
        <w:tc>
          <w:tcPr>
            <w:tcW w:w="20" w:type="dxa"/>
            <w:vAlign w:val="bottom"/>
          </w:tcPr>
          <w:p>
            <w:pPr>
              <w:spacing w:after="0"/>
              <w:rPr>
                <w:sz w:val="17"/>
                <w:szCs w:val="17"/>
                <w:color w:val="auto"/>
              </w:rPr>
            </w:pP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8,334</w:t>
            </w:r>
          </w:p>
        </w:tc>
        <w:tc>
          <w:tcPr>
            <w:tcW w:w="200" w:type="dxa"/>
            <w:vAlign w:val="bottom"/>
          </w:tcPr>
          <w:p>
            <w:pPr>
              <w:spacing w:after="0"/>
              <w:rPr>
                <w:sz w:val="17"/>
                <w:szCs w:val="17"/>
                <w:color w:val="auto"/>
              </w:rPr>
            </w:pPr>
          </w:p>
        </w:tc>
        <w:tc>
          <w:tcPr>
            <w:tcW w:w="600" w:type="dxa"/>
            <w:vAlign w:val="bottom"/>
          </w:tcPr>
          <w:p>
            <w:pPr>
              <w:ind w:left="100"/>
              <w:spacing w:after="0"/>
              <w:rPr>
                <w:sz w:val="20"/>
                <w:szCs w:val="20"/>
                <w:color w:val="auto"/>
              </w:rPr>
            </w:pPr>
            <w:r>
              <w:rPr>
                <w:rFonts w:ascii="Arial" w:cs="Arial" w:eastAsia="Arial" w:hAnsi="Arial"/>
                <w:sz w:val="11"/>
                <w:szCs w:val="11"/>
                <w:color w:val="008000"/>
              </w:rPr>
              <w:t>(7)</w:t>
            </w:r>
          </w:p>
        </w:tc>
        <w:tc>
          <w:tcPr>
            <w:tcW w:w="620" w:type="dxa"/>
            <w:vAlign w:val="bottom"/>
          </w:tcPr>
          <w:p>
            <w:pPr>
              <w:ind w:left="220"/>
              <w:spacing w:after="0"/>
              <w:rPr>
                <w:sz w:val="20"/>
                <w:szCs w:val="20"/>
                <w:color w:val="auto"/>
              </w:rPr>
            </w:pPr>
            <w:r>
              <w:rPr>
                <w:rFonts w:ascii="Arial" w:cs="Arial" w:eastAsia="Arial" w:hAnsi="Arial"/>
                <w:sz w:val="14"/>
                <w:szCs w:val="14"/>
                <w:color w:val="0000FF"/>
                <w:w w:val="88"/>
              </w:rPr>
              <w:t>50,002</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4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3,004 shares of Company stock on November 30, 2012 at prices ranging from $180.00 to $180.97. Upon request by the Commission staff, the Company, or a security holder of the Company, the reporting person will provide full information regarding the number of shares sold by the reporting person on November 30, 2012 at each separate price.</w:t>
      </w:r>
    </w:p>
    <w:p>
      <w:pPr>
        <w:ind w:left="40" w:right="2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400 shares of Company stock on November 30, 2012 at prices ranging from $181.29 to $181.76. Upon request by the Commission staff, the Company, or a security holder of the Company, the reporting person will provide full information regarding the number of shares sold by the reporting person on November 30, 2012 at each separate price.</w:t>
      </w:r>
    </w:p>
    <w:p>
      <w:pPr>
        <w:ind w:left="40" w:right="2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 shares of Company stock on November 30, 2012 at prices ranging from $182.38 to $182.40. Upon request by the Commission staff, the Company, or a security holder of the Company, the reporting person will provide full information regarding the number of shares sold by the reporting person on November 30, 2012 at each separate price.</w:t>
      </w:r>
    </w:p>
    <w:p>
      <w:pPr>
        <w:ind w:left="40" w:right="2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200 shares of Company stock on November 30, 2012 at prices ranging from $183.64 to $183.89. Upon request by the Commission staff, the Company, or a security holder of the Company, the reporting person will provide full information regarding the number of shares sold by the reporting person on November 30, 2012 at each separate price.</w:t>
      </w:r>
    </w:p>
    <w:p>
      <w:pPr>
        <w:ind w:left="40" w:right="3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date, exercise date, exercise price, purchase price, sales price, and/or expiration date is/are not applicable in this case.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/s/**Michael S. Aberman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11/30/2012</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69"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2019-12-18T10:54:47Z</dcterms:created>
  <dcterms:modified xsi:type="dcterms:W3CDTF">2019-12-18T10:54:47Z</dcterms:modified>
</cp:coreProperties>
</file>