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jc w:val="both"/>
        <w:ind w:left="320" w:right="320" w:hanging="248"/>
        <w:spacing w:after="0" w:line="192" w:lineRule="auto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-237490</wp:posOffset>
            </wp:positionV>
            <wp:extent cx="109220" cy="1562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18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5232400</wp:posOffset>
            </wp:positionH>
            <wp:positionV relativeFrom="paragraph">
              <wp:posOffset>-577215</wp:posOffset>
            </wp:positionV>
            <wp:extent cx="7620" cy="577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-584835</wp:posOffset>
            </wp:positionV>
            <wp:extent cx="762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3943985</wp:posOffset>
            </wp:positionH>
            <wp:positionV relativeFrom="paragraph">
              <wp:posOffset>-561975</wp:posOffset>
            </wp:positionV>
            <wp:extent cx="1273175" cy="539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53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-1702435</wp:posOffset>
            </wp:positionH>
            <wp:positionV relativeFrom="paragraph">
              <wp:posOffset>29845</wp:posOffset>
            </wp:positionV>
            <wp:extent cx="6974205" cy="1804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180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56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REGENERON PHARMACEUTICALS,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Decibel Therapeutics,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DBTX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4"/>
                </w:rPr>
                <w:t>INC.</w:t>
              </w:r>
            </w:hyperlink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640" w:type="dxa"/>
            <w:vAlign w:val="bottom"/>
          </w:tcPr>
          <w:p>
            <w:pPr>
              <w:ind w:left="5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02/17/2021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REGENERON PHARMACEUTICALS, INC.</w:t>
            </w: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777 OLD SAW MILL RIVER ROAD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TARRYTOWN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10591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62865</wp:posOffset>
            </wp:positionV>
            <wp:extent cx="6974205" cy="1038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02/17/2021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2,097,314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2,097,314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00" w:type="dxa"/>
            <w:vAlign w:val="bottom"/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B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989,299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12,500,000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C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1,108,015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14,000,000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-1896745</wp:posOffset>
            </wp:positionV>
            <wp:extent cx="7037070" cy="19367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070" cy="193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00" w:hanging="5"/>
        <w:spacing w:after="0" w:line="2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Series B Preferred Stock and Series C Preferred Stock converted into shares of common stock of Decibel Therapeutics, Inc. ("Decibel") on an approximately one-for-0.079 basis upon the closing of Decibel's initial public offering, which occurred on February 17, 2021. The Series B Preferred Stock and Series C Preferred Stock had no expiration date. The reported number of shares of underlying common stock and the conversion ratio give effect to Decibel's one-for-5.3 reverse stock split, which became effective on February 5, 2021.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Richard Gluckselig,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-8890</wp:posOffset>
            </wp:positionV>
            <wp:extent cx="136461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Director, Assistant General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02/18/2021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86055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Counsel and Assistant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31127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19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0872589" TargetMode="External"/><Relationship Id="rId14" Type="http://schemas.openxmlformats.org/officeDocument/2006/relationships/hyperlink" Target="http://www.sec.gov/cgi-bin/browse-edgar?action=getcompany&amp;CIK=0001656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2021-02-18T15:02:56Z</dcterms:created>
  <dcterms:modified xsi:type="dcterms:W3CDTF">2021-02-18T15:02:56Z</dcterms:modified>
</cp:coreProperties>
</file>