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5, 2015 (February 27, 2015)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562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6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8"/>
              </w:rPr>
              <w:t>(Commission</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62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File Number)</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41"/>
        </w:trPr>
        <w:tc>
          <w:tcPr>
            <w:tcW w:w="562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4"/>
        </w:trPr>
        <w:tc>
          <w:tcPr>
            <w:tcW w:w="562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847-7000</w:t>
      </w:r>
    </w:p>
    <w:p>
      <w:pPr>
        <w:spacing w:after="0" w:line="22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4"/>
          <w:szCs w:val="24"/>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February 27, 2015,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the Third Amendment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to the Master Terms and Conditions for Warrants, dated as of October 18, 2011 (the “</w:t>
      </w:r>
      <w:r>
        <w:rPr>
          <w:rFonts w:ascii="Times New Roman" w:cs="Times New Roman" w:eastAsia="Times New Roman" w:hAnsi="Times New Roman"/>
          <w:sz w:val="18"/>
          <w:szCs w:val="18"/>
          <w:u w:val="single" w:color="auto"/>
          <w:color w:val="auto"/>
        </w:rPr>
        <w:t>Master Terms</w:t>
      </w:r>
      <w:r>
        <w:rPr>
          <w:rFonts w:ascii="Times New Roman" w:cs="Times New Roman" w:eastAsia="Times New Roman" w:hAnsi="Times New Roman"/>
          <w:sz w:val="18"/>
          <w:szCs w:val="18"/>
          <w:color w:val="auto"/>
        </w:rPr>
        <w:t>”), as supplemented by a confirmation dated October 18, 2011 (the “</w:t>
      </w:r>
      <w:r>
        <w:rPr>
          <w:rFonts w:ascii="Times New Roman" w:cs="Times New Roman" w:eastAsia="Times New Roman" w:hAnsi="Times New Roman"/>
          <w:sz w:val="18"/>
          <w:szCs w:val="18"/>
          <w:u w:val="single" w:color="auto"/>
          <w:color w:val="auto"/>
        </w:rPr>
        <w:t>Confirmation</w:t>
      </w:r>
      <w:r>
        <w:rPr>
          <w:rFonts w:ascii="Times New Roman" w:cs="Times New Roman" w:eastAsia="Times New Roman" w:hAnsi="Times New Roman"/>
          <w:sz w:val="18"/>
          <w:szCs w:val="18"/>
          <w:color w:val="auto"/>
        </w:rPr>
        <w:t>”) and as amended by the amendment dated May 15, 2014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and the second amendment dated November 25, 2014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with Goldman, Sachs &amp; Co. (“</w:t>
      </w:r>
      <w:r>
        <w:rPr>
          <w:rFonts w:ascii="Times New Roman" w:cs="Times New Roman" w:eastAsia="Times New Roman" w:hAnsi="Times New Roman"/>
          <w:sz w:val="18"/>
          <w:szCs w:val="18"/>
          <w:u w:val="single" w:color="auto"/>
          <w:color w:val="auto"/>
        </w:rPr>
        <w:t>Goldman Sachs</w:t>
      </w:r>
      <w:r>
        <w:rPr>
          <w:rFonts w:ascii="Times New Roman" w:cs="Times New Roman" w:eastAsia="Times New Roman" w:hAnsi="Times New Roman"/>
          <w:sz w:val="18"/>
          <w:szCs w:val="18"/>
          <w:color w:val="auto"/>
        </w:rPr>
        <w:t>”). The Master Terms, as supplemented by the Confirmation and amended by the First Amendment and the Second Amendment, are referred to below as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The Warrant Agreement governed the remaining outstanding warrants issued by the Company to Goldman Sachs in 2011 in connection with the issuance of Regeneron’s 1.875% convertible senior notes and the related hedging transactions.</w:t>
      </w:r>
    </w:p>
    <w:p>
      <w:pPr>
        <w:spacing w:after="0" w:line="189" w:lineRule="exact"/>
        <w:rPr>
          <w:sz w:val="24"/>
          <w:szCs w:val="24"/>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Third Amendment, Regeneron and Goldman Sachs have agreed to reduce the remaining number of warrants held by Goldman Sachs by up to 76,749, or 13%, for an aggregate amount payable by Regeneron not to exceed $24.0 million. The reduction in the number of warrants will be determined on a daily basis based on the number of warrants with respect to which Goldman Sachs has closed out its hedge positions on a trading day during the period starting on March 2, 2015 and ending no later than May 7, 2015 (the “</w:t>
      </w:r>
      <w:r>
        <w:rPr>
          <w:rFonts w:ascii="Times New Roman" w:cs="Times New Roman" w:eastAsia="Times New Roman" w:hAnsi="Times New Roman"/>
          <w:sz w:val="18"/>
          <w:szCs w:val="18"/>
          <w:u w:val="single" w:color="auto"/>
          <w:color w:val="auto"/>
        </w:rPr>
        <w:t>Transaction Period</w:t>
      </w:r>
      <w:r>
        <w:rPr>
          <w:rFonts w:ascii="Times New Roman" w:cs="Times New Roman" w:eastAsia="Times New Roman" w:hAnsi="Times New Roman"/>
          <w:sz w:val="18"/>
          <w:szCs w:val="18"/>
          <w:color w:val="auto"/>
        </w:rPr>
        <w:t>”). Each payment amount (a “</w:t>
      </w:r>
      <w:r>
        <w:rPr>
          <w:rFonts w:ascii="Times New Roman" w:cs="Times New Roman" w:eastAsia="Times New Roman" w:hAnsi="Times New Roman"/>
          <w:sz w:val="18"/>
          <w:szCs w:val="18"/>
          <w:u w:val="single" w:color="auto"/>
          <w:color w:val="auto"/>
        </w:rPr>
        <w:t>Daily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will be based on the volume-weighted average of the per share prices at which Goldman Sachs purchases shares of Regeneron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order to close out its hedge positions in respect of such warrants on a trading day during the Transaction Period, and will be due on the third business day following each such trading day.</w:t>
      </w:r>
    </w:p>
    <w:p>
      <w:pPr>
        <w:spacing w:after="0" w:line="189" w:lineRule="exact"/>
        <w:rPr>
          <w:sz w:val="24"/>
          <w:szCs w:val="24"/>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its sole discretion, Regeneron may satisfy any Daily Amendment Payment in cash or by delivering shares of Common Stock (“</w:t>
      </w:r>
      <w:r>
        <w:rPr>
          <w:rFonts w:ascii="Times New Roman" w:cs="Times New Roman" w:eastAsia="Times New Roman" w:hAnsi="Times New Roman"/>
          <w:sz w:val="18"/>
          <w:szCs w:val="18"/>
          <w:u w:val="single" w:color="auto"/>
          <w:color w:val="auto"/>
        </w:rPr>
        <w:t>Settlement Shares</w:t>
      </w:r>
      <w:r>
        <w:rPr>
          <w:rFonts w:ascii="Times New Roman" w:cs="Times New Roman" w:eastAsia="Times New Roman" w:hAnsi="Times New Roman"/>
          <w:sz w:val="18"/>
          <w:szCs w:val="18"/>
          <w:color w:val="auto"/>
        </w:rPr>
        <w:t>”) to Goldman Sachs (or its designee) with a value equal to such Daily Amendment Payment, as determined by Goldman Sachs in good faith and in commercially reasonable manner (taking into account a commercially reasonable illiquidity discount in the case of any unregistered Settlement Shares). If, following the sale of Settlement Shares by or on behalf of Goldman Sachs on the conditions set forth in the Third Amendment, it is determined that the net proceeds thereof are less than the applicable Daily Amendment Payment, Regeneron will become obligated to cover the shortfall either in cash or by delivery of additional shares of Common Stock (“</w:t>
      </w:r>
      <w:r>
        <w:rPr>
          <w:rFonts w:ascii="Times New Roman" w:cs="Times New Roman" w:eastAsia="Times New Roman" w:hAnsi="Times New Roman"/>
          <w:sz w:val="18"/>
          <w:szCs w:val="18"/>
          <w:u w:val="single" w:color="auto"/>
          <w:color w:val="auto"/>
        </w:rPr>
        <w:t>Makewhole Shares</w:t>
      </w:r>
      <w:r>
        <w:rPr>
          <w:rFonts w:ascii="Times New Roman" w:cs="Times New Roman" w:eastAsia="Times New Roman" w:hAnsi="Times New Roman"/>
          <w:sz w:val="18"/>
          <w:szCs w:val="18"/>
          <w:color w:val="auto"/>
        </w:rPr>
        <w:t>”). The maximum aggregate number of Settlement Shares and Makewhole Shares required to be delivered by Regeneron upon settlement of all Daily Amendment Payments settled in Common Stock may not exceed 250,000 (the “</w:t>
      </w:r>
      <w:r>
        <w:rPr>
          <w:rFonts w:ascii="Times New Roman" w:cs="Times New Roman" w:eastAsia="Times New Roman" w:hAnsi="Times New Roman"/>
          <w:sz w:val="18"/>
          <w:szCs w:val="18"/>
          <w:u w:val="single" w:color="auto"/>
          <w:color w:val="auto"/>
        </w:rPr>
        <w:t>Share Cap</w:t>
      </w:r>
      <w:r>
        <w:rPr>
          <w:rFonts w:ascii="Times New Roman" w:cs="Times New Roman" w:eastAsia="Times New Roman" w:hAnsi="Times New Roman"/>
          <w:sz w:val="18"/>
          <w:szCs w:val="18"/>
          <w:color w:val="auto"/>
        </w:rPr>
        <w:t>”). If Regeneron elects to settle any Daily Amendment Payment in Common Stock and such settlement would otherwise require delivery of shares of Common Stock in excess of the Share Cap, Regeneron will not be required to cover the shortfall in cash or otherwise.</w:t>
      </w:r>
    </w:p>
    <w:p>
      <w:pPr>
        <w:spacing w:after="0" w:line="18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Third Amendment also contains customary representations, warranties and covenants of the Company and Goldman Sachs, respectively.</w:t>
      </w:r>
    </w:p>
    <w:p>
      <w:pPr>
        <w:sectPr>
          <w:pgSz w:w="11900" w:h="16838" w:orient="portrait"/>
          <w:cols w:equalWidth="0" w:num="1">
            <w:col w:w="11420"/>
          </w:cols>
          <w:pgMar w:left="240" w:top="538" w:right="239" w:bottom="0" w:gutter="0" w:footer="0" w:header="0"/>
        </w:sectPr>
      </w:pPr>
    </w:p>
    <w:bookmarkStart w:id="1" w:name="page2"/>
    <w:bookmarkEnd w:id="1"/>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Third Amendment is qualified in its entirety by reference to the full text of the Third Amendment, a copy of which will be filed with the Securities and Exchange Commission as an exhibit to the Company’s Quarterly Report on Form 10-Q for the quarterly period ending March 31, 2015.</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2015</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2019-12-06T06:17:26Z</dcterms:created>
  <dcterms:modified xsi:type="dcterms:W3CDTF">2019-12-06T06:17:26Z</dcterms:modified>
</cp:coreProperties>
</file>