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5, 2020 (November 5, 2020)</w:t>
      </w:r>
    </w:p>
    <w:p>
      <w:pPr>
        <w:spacing w:after="0" w:line="2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540" w:type="dxa"/>
        <w:tblCellMar>
          <w:top w:w="0" w:type="dxa"/>
          <w:left w:w="0" w:type="dxa"/>
          <w:bottom w:w="0" w:type="dxa"/>
          <w:right w:w="0" w:type="dxa"/>
        </w:tblCellMar>
      </w:tblPr>
      <w:tr>
        <w:trPr>
          <w:trHeight w:val="265"/>
        </w:trPr>
        <w:tc>
          <w:tcPr>
            <w:tcW w:w="3840" w:type="dxa"/>
            <w:vAlign w:val="bottom"/>
          </w:tcPr>
          <w:p>
            <w:pPr>
              <w:jc w:val="center"/>
              <w:ind w:right="3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278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193"/>
        </w:trPr>
        <w:tc>
          <w:tcPr>
            <w:tcW w:w="3840" w:type="dxa"/>
            <w:vAlign w:val="bottom"/>
          </w:tcPr>
          <w:p>
            <w:pPr>
              <w:jc w:val="center"/>
              <w:ind w:right="31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780" w:type="dxa"/>
            <w:vAlign w:val="bottom"/>
          </w:tcPr>
          <w:p>
            <w:pPr>
              <w:jc w:val="center"/>
              <w:ind w:right="27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93"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000000"/>
        </w:rPr>
        <w:t>☐</w:t>
      </w:r>
      <w:r>
        <w:rPr>
          <w:sz w:val="20"/>
          <w:szCs w:val="20"/>
          <w:color w:val="auto"/>
        </w:rPr>
        <w:tab/>
      </w:r>
      <w:r>
        <w:rPr>
          <w:rFonts w:ascii="Times New Roman" w:cs="Times New Roman" w:eastAsia="Times New Roman" w:hAnsi="Times New Roman"/>
          <w:sz w:val="17"/>
          <w:szCs w:val="17"/>
          <w:color w:val="231F20"/>
        </w:rPr>
        <w:t>Soliciting material pursuant to Rule 14a-12 under the Exchange Act (17 CFR 240.14a-12)</w:t>
      </w:r>
    </w:p>
    <w:p>
      <w:pPr>
        <w:spacing w:after="0" w:line="266"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000000"/>
        </w:rPr>
        <w:t>☐</w:t>
      </w:r>
      <w:r>
        <w:rPr>
          <w:sz w:val="20"/>
          <w:szCs w:val="20"/>
          <w:color w:val="auto"/>
        </w:rPr>
        <w:tab/>
      </w:r>
      <w:r>
        <w:rPr>
          <w:rFonts w:ascii="Times New Roman" w:cs="Times New Roman" w:eastAsia="Times New Roman" w:hAnsi="Times New Roman"/>
          <w:sz w:val="17"/>
          <w:szCs w:val="17"/>
          <w:color w:val="231F20"/>
        </w:rPr>
        <w:t>Pre-commencement communications pursuant to Rule 14d-2(b) under the Exchange Act (17 CFR 240.14d-2(b))</w:t>
      </w:r>
    </w:p>
    <w:p>
      <w:pPr>
        <w:spacing w:after="0" w:line="279"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000000"/>
        </w:rPr>
        <w:t>☐</w:t>
      </w:r>
      <w:r>
        <w:rPr>
          <w:sz w:val="20"/>
          <w:szCs w:val="20"/>
          <w:color w:val="auto"/>
        </w:rPr>
        <w:tab/>
      </w:r>
      <w:r>
        <w:rPr>
          <w:rFonts w:ascii="Times New Roman" w:cs="Times New Roman" w:eastAsia="Times New Roman" w:hAnsi="Times New Roman"/>
          <w:sz w:val="17"/>
          <w:szCs w:val="17"/>
          <w:color w:val="231F20"/>
        </w:rPr>
        <w:t>Pre-commencement communications pursuant to Rule 13e-4(c) under the Exchange Act (17 CFR 240.13e-4(c))</w:t>
      </w:r>
    </w:p>
    <w:p>
      <w:pPr>
        <w:spacing w:after="0" w:line="2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November 5, 2020, Regeneron Pharmaceuticals, Inc. issued a press release announcing its financial and operating results for the quarter ended September 30, 2020.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40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FF"/>
          </w:rPr>
          <w:t>Press Release, dated November 5, 2020, Reporting Third Quarter 2020 Financial and Operating Results.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30" w:right="55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p>
      <w:pPr>
        <w:ind w:left="2520"/>
        <w:spacing w:after="0"/>
        <w:tabs>
          <w:tab w:leader="none" w:pos="486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7"/>
          <w:szCs w:val="17"/>
          <w:color w:val="auto"/>
        </w:rPr>
        <w:t>REGENERON PHARMACEUTICALS, INC.</w:t>
      </w:r>
    </w:p>
    <w:p>
      <w:pPr>
        <w:spacing w:after="0" w:line="293" w:lineRule="exact"/>
        <w:rPr>
          <w:sz w:val="20"/>
          <w:szCs w:val="20"/>
          <w:color w:val="auto"/>
        </w:rPr>
      </w:pPr>
    </w:p>
    <w:tbl>
      <w:tblPr>
        <w:tblLayout w:type="fixed"/>
        <w:tblInd w:w="48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2020 Financial and Operating Results</w:t>
      </w:r>
    </w:p>
    <w:p>
      <w:pPr>
        <w:spacing w:after="0" w:line="138" w:lineRule="exact"/>
        <w:rPr>
          <w:sz w:val="20"/>
          <w:szCs w:val="20"/>
          <w:color w:val="auto"/>
        </w:rPr>
      </w:pPr>
    </w:p>
    <w:p>
      <w:pPr>
        <w:ind w:left="320" w:hanging="312"/>
        <w:spacing w:after="0"/>
        <w:tabs>
          <w:tab w:leader="none" w:pos="320"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2020 revenues increased 32% to $2.29 billion versus third quarter 2019</w:t>
      </w:r>
      <w:r>
        <w:rPr>
          <w:rFonts w:ascii="Arial" w:cs="Arial" w:eastAsia="Arial" w:hAnsi="Arial"/>
          <w:sz w:val="28"/>
          <w:szCs w:val="28"/>
          <w:i w:val="1"/>
          <w:iCs w:val="1"/>
          <w:color w:val="auto"/>
          <w:vertAlign w:val="superscript"/>
        </w:rPr>
        <w:t>(4)</w:t>
      </w:r>
    </w:p>
    <w:p>
      <w:pPr>
        <w:ind w:left="320" w:hanging="312"/>
        <w:spacing w:after="0" w:line="191" w:lineRule="auto"/>
        <w:tabs>
          <w:tab w:leader="none" w:pos="320"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2020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11% to $1.32 billion versus third quarter 2019</w:t>
      </w:r>
    </w:p>
    <w:p>
      <w:pPr>
        <w:ind w:left="340" w:right="480" w:hanging="332"/>
        <w:spacing w:after="0" w:line="214" w:lineRule="auto"/>
        <w:tabs>
          <w:tab w:leader="none" w:pos="335"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2020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12"/>
          <w:szCs w:val="12"/>
          <w:i w:val="1"/>
          <w:iCs w:val="1"/>
          <w:color w:val="auto"/>
        </w:rPr>
        <w:t>(2)</w:t>
      </w:r>
      <w:r>
        <w:rPr>
          <w:rFonts w:ascii="Arial" w:cs="Arial" w:eastAsia="Arial" w:hAnsi="Arial"/>
          <w:sz w:val="22"/>
          <w:szCs w:val="22"/>
          <w:i w:val="1"/>
          <w:iCs w:val="1"/>
          <w:color w:val="auto"/>
        </w:rPr>
        <w:t>, which are recorded by Sanofi, increased 69% to $1.07 billion versus third quarter 2019</w:t>
      </w:r>
    </w:p>
    <w:p>
      <w:pPr>
        <w:ind w:left="320" w:hanging="312"/>
        <w:spacing w:after="0"/>
        <w:tabs>
          <w:tab w:leader="none" w:pos="320"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2020 GAAP diluted EPS was $7.39 and non-GAAP diluted EPS</w:t>
      </w:r>
      <w:r>
        <w:rPr>
          <w:rFonts w:ascii="Arial" w:cs="Arial" w:eastAsia="Arial" w:hAnsi="Arial"/>
          <w:sz w:val="12"/>
          <w:szCs w:val="12"/>
          <w:i w:val="1"/>
          <w:iCs w:val="1"/>
          <w:color w:val="auto"/>
        </w:rPr>
        <w:t>(1)</w:t>
      </w:r>
      <w:r>
        <w:rPr>
          <w:rFonts w:ascii="Arial" w:cs="Arial" w:eastAsia="Arial" w:hAnsi="Arial"/>
          <w:sz w:val="22"/>
          <w:szCs w:val="22"/>
          <w:i w:val="1"/>
          <w:iCs w:val="1"/>
          <w:color w:val="auto"/>
        </w:rPr>
        <w:t xml:space="preserve"> was $8.36</w:t>
      </w:r>
    </w:p>
    <w:p>
      <w:pPr>
        <w:spacing w:after="0" w:line="3" w:lineRule="exact"/>
        <w:rPr>
          <w:rFonts w:ascii="Arial" w:cs="Arial" w:eastAsia="Arial" w:hAnsi="Arial"/>
          <w:sz w:val="22"/>
          <w:szCs w:val="22"/>
          <w:i w:val="1"/>
          <w:iCs w:val="1"/>
          <w:color w:val="auto"/>
        </w:rPr>
      </w:pPr>
    </w:p>
    <w:p>
      <w:pPr>
        <w:ind w:left="320" w:hanging="312"/>
        <w:spacing w:after="0"/>
        <w:tabs>
          <w:tab w:leader="none" w:pos="320"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REGN-COV2 trial in the COVID-19 outpatient setting met primary and key secondary endpoints</w:t>
      </w:r>
    </w:p>
    <w:p>
      <w:pPr>
        <w:spacing w:after="0" w:line="3" w:lineRule="exact"/>
        <w:rPr>
          <w:rFonts w:ascii="Arial" w:cs="Arial" w:eastAsia="Arial" w:hAnsi="Arial"/>
          <w:sz w:val="22"/>
          <w:szCs w:val="22"/>
          <w:i w:val="1"/>
          <w:iCs w:val="1"/>
          <w:color w:val="auto"/>
        </w:rPr>
      </w:pPr>
    </w:p>
    <w:p>
      <w:pPr>
        <w:ind w:left="340" w:right="460" w:hanging="332"/>
        <w:spacing w:after="0" w:line="214" w:lineRule="auto"/>
        <w:tabs>
          <w:tab w:leader="none" w:pos="335"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FDA accepted for priority review 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(cemiplimab-rwlc) for both advanced non-small cell lung cancer and basal cell carcinoma</w:t>
      </w:r>
    </w:p>
    <w:p>
      <w:pPr>
        <w:ind w:left="320" w:hanging="312"/>
        <w:spacing w:after="0"/>
        <w:tabs>
          <w:tab w:leader="none" w:pos="320"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Inmazeb</w:t>
      </w:r>
      <w:r>
        <w:rPr>
          <w:rFonts w:ascii="Arial" w:cs="Arial" w:eastAsia="Arial" w:hAnsi="Arial"/>
          <w:sz w:val="11"/>
          <w:szCs w:val="11"/>
          <w:i w:val="1"/>
          <w:iCs w:val="1"/>
          <w:color w:val="auto"/>
        </w:rPr>
        <w:t>TM</w:t>
      </w:r>
      <w:r>
        <w:rPr>
          <w:rFonts w:ascii="Arial" w:cs="Arial" w:eastAsia="Arial" w:hAnsi="Arial"/>
          <w:sz w:val="22"/>
          <w:szCs w:val="22"/>
          <w:i w:val="1"/>
          <w:iCs w:val="1"/>
          <w:color w:val="auto"/>
        </w:rPr>
        <w:t xml:space="preserve"> for Ebola (Zaire ebolavirus)</w:t>
      </w:r>
    </w:p>
    <w:p>
      <w:pPr>
        <w:spacing w:after="0" w:line="217" w:lineRule="exact"/>
        <w:rPr>
          <w:sz w:val="20"/>
          <w:szCs w:val="20"/>
          <w:color w:val="auto"/>
        </w:rPr>
      </w:pPr>
    </w:p>
    <w:p>
      <w:pPr>
        <w:ind w:right="40"/>
        <w:spacing w:after="0" w:line="281" w:lineRule="auto"/>
        <w:rPr>
          <w:sz w:val="20"/>
          <w:szCs w:val="20"/>
          <w:color w:val="auto"/>
        </w:rPr>
      </w:pPr>
      <w:r>
        <w:rPr>
          <w:rFonts w:ascii="Arial" w:cs="Arial" w:eastAsia="Arial" w:hAnsi="Arial"/>
          <w:sz w:val="22"/>
          <w:szCs w:val="22"/>
          <w:b w:val="1"/>
          <w:bCs w:val="1"/>
          <w:color w:val="auto"/>
        </w:rPr>
        <w:t xml:space="preserve">Tarrytown, New York (November 5, 2020)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2020 and provided a business update.</w:t>
      </w:r>
    </w:p>
    <w:p>
      <w:pPr>
        <w:spacing w:after="0" w:line="15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"Last week, Regeneron achieved an important milestone in the fight against COVID-19 with prospective Phase 2/3 results showing REGN-COV2 significantly reduced virus levels and the need for further medical attention in non-hospitalized patients; we have shared these important data with regulatory authorities," said Leonard S. Schleifer, M.D., Ph.D., President and Chief Executive Officer of Regeneron. "Even with our intense commitment to fighting COVID-19, Regeneron continues to deliver across all aspects of our business. This quarter we had robust top- and bottom-line growth driven by EYLEA in retinal diseases and Dupixent in atopic dermatitis and asthma. In 2021, we look forward to important potential launches including for our PD-1 inhibitor Libtayo in non-small cell lung cancer and advanced basal cell carcinoma. Lastly, we are proud that our novel antibody cocktail REGN-EB3 recently became the first FDA-approved treatment for Ebola, underscoring the potential of antibody therapies to address deadly infectious diseases."</w:t>
      </w:r>
    </w:p>
    <w:p>
      <w:pPr>
        <w:spacing w:after="0" w:line="196" w:lineRule="exact"/>
        <w:rPr>
          <w:sz w:val="20"/>
          <w:szCs w:val="20"/>
          <w:color w:val="auto"/>
        </w:rPr>
      </w:pPr>
    </w:p>
    <w:p>
      <w:pPr>
        <w:ind w:right="160"/>
        <w:spacing w:after="0" w:line="242" w:lineRule="auto"/>
        <w:rPr>
          <w:sz w:val="20"/>
          <w:szCs w:val="20"/>
          <w:color w:val="auto"/>
        </w:rPr>
      </w:pPr>
      <w:r>
        <w:rPr>
          <w:rFonts w:ascii="Arial" w:cs="Arial" w:eastAsia="Arial" w:hAnsi="Arial"/>
          <w:sz w:val="22"/>
          <w:szCs w:val="22"/>
          <w:color w:val="auto"/>
        </w:rPr>
        <w:t>"We continue to invest in our promising pipeline while delivering meaningful revenue and earnings growth. Our revenue base is becoming more diversified with increasing contribution from Dupixent and Libtayo," said Robert E. Landry, Executive Vice President, Finance and Chief Financial Officer of Regeneron. "This is evidenced by Dupixent achieving in excess of $1 billion in global net sales this quarter."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2020</w:t>
            </w: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2019</w:t>
            </w:r>
          </w:p>
        </w:tc>
        <w:tc>
          <w:tcPr>
            <w:tcW w:w="146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tcBorders>
            <w:shd w:val="clear" w:color="auto" w:fill="CCEEFF"/>
          </w:tcPr>
          <w:p>
            <w:pPr>
              <w:ind w:left="20"/>
              <w:spacing w:after="0" w:line="236" w:lineRule="exact"/>
              <w:rPr>
                <w:sz w:val="20"/>
                <w:szCs w:val="20"/>
                <w:color w:val="auto"/>
              </w:rPr>
            </w:pPr>
            <w:r>
              <w:rPr>
                <w:rFonts w:ascii="Arial" w:cs="Arial" w:eastAsia="Arial" w:hAnsi="Arial"/>
                <w:sz w:val="20"/>
                <w:szCs w:val="20"/>
                <w:color w:val="auto"/>
              </w:rPr>
              <w:t>Total revenues</w:t>
            </w:r>
            <w:r>
              <w:rPr>
                <w:rFonts w:ascii="Arial" w:cs="Arial" w:eastAsia="Arial" w:hAnsi="Arial"/>
                <w:sz w:val="25"/>
                <w:szCs w:val="25"/>
                <w:color w:val="auto"/>
                <w:vertAlign w:val="superscript"/>
              </w:rPr>
              <w:t>(4)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2,294</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1,744</w:t>
            </w: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32 %</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842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670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GAAP net income per share -</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7.39</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5.86</w:t>
            </w:r>
          </w:p>
        </w:tc>
        <w:tc>
          <w:tcPr>
            <w:tcW w:w="1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line="242"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762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Non-GAAP net income per share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8.36</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6.67</w:t>
            </w:r>
          </w:p>
        </w:tc>
        <w:tc>
          <w:tcPr>
            <w:tcW w:w="10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25 %</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180"/>
              <w:spacing w:after="0" w:line="242" w:lineRule="exact"/>
              <w:rPr>
                <w:sz w:val="20"/>
                <w:szCs w:val="20"/>
                <w:color w:val="auto"/>
              </w:rPr>
            </w:pPr>
            <w:r>
              <w:rPr>
                <w:rFonts w:ascii="Arial" w:cs="Arial" w:eastAsia="Arial" w:hAnsi="Arial"/>
                <w:sz w:val="20"/>
                <w:szCs w:val="20"/>
                <w:color w:val="auto"/>
              </w:rPr>
              <w:t>- diluted</w:t>
            </w:r>
            <w:r>
              <w:rPr>
                <w:rFonts w:ascii="Arial" w:cs="Arial" w:eastAsia="Arial" w:hAnsi="Arial"/>
                <w:sz w:val="25"/>
                <w:szCs w:val="25"/>
                <w:color w:val="auto"/>
                <w:vertAlign w:val="superscript"/>
              </w:rPr>
              <w:t>(1)</w:t>
            </w: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4"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Regeneron has more than 20 product candidates in clinical development, including five marketed products for which it is investigating additional indications. Updates from the clinical pipeline include: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(dupilumab)</w:t>
      </w:r>
    </w:p>
    <w:p>
      <w:pPr>
        <w:ind w:left="340" w:hanging="332"/>
        <w:spacing w:after="0" w:line="243"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October 2020, the Company and Sanofi announced that a Phase 3 trial met its primary and all key secondary endpoints in children aged 6 to 11 years with uncontrolled moderate-to-severe asthma. Regulatory submissions in the United States and European Union (EU) are planned by the first quarter of 2021.</w:t>
      </w:r>
    </w:p>
    <w:p>
      <w:pPr>
        <w:spacing w:after="0" w:line="1" w:lineRule="exact"/>
        <w:rPr>
          <w:rFonts w:ascii="Arial" w:cs="Arial" w:eastAsia="Arial" w:hAnsi="Arial"/>
          <w:sz w:val="22"/>
          <w:szCs w:val="22"/>
          <w:color w:val="auto"/>
        </w:rPr>
      </w:pPr>
    </w:p>
    <w:p>
      <w:pPr>
        <w:ind w:left="340" w:right="60" w:hanging="332"/>
        <w:spacing w:after="0" w:line="243"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European Medicines Agency's Committee for Medicinal Products for Human Use (CHMP) adopted a positive opinion for Dupixent, recommending to extend the approval in the EU to include children aged 6 to 11 years with severe atopic dermatitis who are candidates for systemic therapy.</w:t>
      </w:r>
    </w:p>
    <w:p>
      <w:pPr>
        <w:spacing w:after="0" w:line="1" w:lineRule="exact"/>
        <w:rPr>
          <w:rFonts w:ascii="Arial" w:cs="Arial" w:eastAsia="Arial" w:hAnsi="Arial"/>
          <w:sz w:val="22"/>
          <w:szCs w:val="22"/>
          <w:color w:val="auto"/>
        </w:rPr>
      </w:pPr>
    </w:p>
    <w:p>
      <w:pPr>
        <w:ind w:left="340" w:right="380" w:hanging="332"/>
        <w:spacing w:after="0" w:line="253"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U.S. Food and Drug Administration (FDA) granted Breakthrough Therapy designation for the treatment of patients 12 years and older with eosinophilic esophagitis (EoE).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REGN-COV2</w:t>
      </w:r>
      <w:r>
        <w:rPr>
          <w:rFonts w:ascii="Arial" w:cs="Arial" w:eastAsia="Arial" w:hAnsi="Arial"/>
          <w:sz w:val="22"/>
          <w:szCs w:val="22"/>
          <w:color w:val="auto"/>
        </w:rPr>
        <w:t>, a dual antibody therapy to SARS-CoV-2 virus</w:t>
      </w:r>
    </w:p>
    <w:p>
      <w:pPr>
        <w:spacing w:after="0" w:line="32" w:lineRule="exact"/>
        <w:rPr>
          <w:sz w:val="20"/>
          <w:szCs w:val="20"/>
          <w:color w:val="auto"/>
        </w:rPr>
      </w:pPr>
    </w:p>
    <w:p>
      <w:pPr>
        <w:ind w:left="340" w:right="36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2020, the Company submitted a request to the FDA for an Emergency Use Authorization (EUA) for REGN-COV2 in patients with mild-to-moderate COVID-19 who are at risk for poor outcomes.</w:t>
      </w:r>
    </w:p>
    <w:p>
      <w:pPr>
        <w:ind w:left="340" w:right="12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2020, the Company announced positive results from an ongoing Phase 2/3 seamless trial in the COVID-19 outpatient setting showing REGN-COV2 met the primary and key secondary endpoints. REGN-COV2 significantly reduced viral load and patient medical visits (hospitalizations, emergency room, urgent care visits, and/or physician office/telemedicine visits). In September 2020, the Company also reported the first data from a descriptive analysis in this trial.</w:t>
      </w:r>
    </w:p>
    <w:p>
      <w:pPr>
        <w:spacing w:after="0" w:line="1" w:lineRule="exact"/>
        <w:rPr>
          <w:rFonts w:ascii="Arial" w:cs="Arial" w:eastAsia="Arial" w:hAnsi="Arial"/>
          <w:sz w:val="22"/>
          <w:szCs w:val="22"/>
          <w:color w:val="auto"/>
        </w:rPr>
      </w:pPr>
    </w:p>
    <w:p>
      <w:pPr>
        <w:ind w:left="340" w:hanging="332"/>
        <w:spacing w:after="0" w:line="258"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October 2020, the Independent Data Monitoring Committee (IDMC) for the REGN-COV2 treatment trials for COVID-19 recommended that the current hospitalized patient trial be modified. Specifically, based on a potential safety signal and an unfavorable risk/benefit profile at this time, the IDMC recommended that further enrollment of patients requiring high-flow oxygen or mechanical ventilation be placed on hold pending collection and analysis of further data on patients already enrolled. The IDMC also recommended continuing enrollment of hospitalized patients requiring either no or low-flow oxygen as the risk/benefit remains acceptable in these cohorts. Finally, the IDMC recommended continuation of the outpatient trial (described further above) without modification.</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890" w:right="399" w:bottom="1440" w:gutter="0" w:footer="0" w:header="0"/>
        </w:sectPr>
      </w:pPr>
    </w:p>
    <w:bookmarkStart w:id="5" w:name="page6"/>
    <w:bookmarkEnd w:id="5"/>
    <w:p>
      <w:pPr>
        <w:ind w:left="340" w:right="100" w:hanging="332"/>
        <w:spacing w:after="0" w:line="250"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2020, the Company and the University of Oxford announced that the RECOVERY Phase 3 open-label trial in the United Kingdom will evaluate REGN-COV2. This trial, which is being coordinated by researchers at the University of Oxford, is in patients hospitalized with COVID-19 and will compare the effects of adding REGN-COV2 to the usual standard-of-care versus standard-of-care on its own. The RECOVERY IDMC is aware of the IDMC recommendations made in connection with the REGN-COV2 treatment trials (described above), and will be discussing the impact, if any, on the RECOVERY trial.</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w:t>
      </w:r>
    </w:p>
    <w:p>
      <w:pPr>
        <w:spacing w:after="0" w:line="32" w:lineRule="exact"/>
        <w:rPr>
          <w:sz w:val="20"/>
          <w:szCs w:val="20"/>
          <w:color w:val="auto"/>
        </w:rPr>
      </w:pPr>
    </w:p>
    <w:p>
      <w:pPr>
        <w:ind w:left="340" w:right="220" w:hanging="332"/>
        <w:spacing w:after="0" w:line="227"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FDA accepted for priority review, with a target action date of February 28, 2021, the supplemental Biologics License Application (sBLA) for 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(cemiplimab) as monotherapy to treat patients with first-line locally advanced or metastatic non-small cell lung cancer (NSCLC) with ≥50% PD-L1 expression. A regulatory application for Libtayo as monotherapy in first-line NSCLC was also submitted in the EU.</w:t>
      </w:r>
    </w:p>
    <w:p>
      <w:pPr>
        <w:spacing w:after="0" w:line="3" w:lineRule="exact"/>
        <w:rPr>
          <w:rFonts w:ascii="Arial" w:cs="Arial" w:eastAsia="Arial" w:hAnsi="Arial"/>
          <w:sz w:val="22"/>
          <w:szCs w:val="22"/>
          <w:color w:val="auto"/>
        </w:rPr>
      </w:pPr>
    </w:p>
    <w:p>
      <w:pPr>
        <w:ind w:left="340" w:right="14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FDA accepted for priority review, with a target action date of March 3, 2021, the sBLA for Libtayo for the treatment of patients with locally advanced or metastatic basal cell carcinoma (BCC). A regulatory application for Libtayo in advanced BCC was also submitted in the EU.</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Patient enrollment in the Libtayo Phase 3 first-line NSCLC chemotherapy combination study was completed.</w:t>
      </w:r>
    </w:p>
    <w:p>
      <w:pPr>
        <w:spacing w:after="0" w:line="3" w:lineRule="exact"/>
        <w:rPr>
          <w:rFonts w:ascii="Arial" w:cs="Arial" w:eastAsia="Arial" w:hAnsi="Arial"/>
          <w:sz w:val="22"/>
          <w:szCs w:val="22"/>
          <w:color w:val="auto"/>
        </w:rPr>
      </w:pPr>
    </w:p>
    <w:p>
      <w:pPr>
        <w:jc w:val="both"/>
        <w:ind w:left="340" w:right="140" w:hanging="332"/>
        <w:spacing w:after="0" w:line="254" w:lineRule="auto"/>
        <w:tabs>
          <w:tab w:leader="none" w:pos="335"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Company and Sanofi presented positive data from pivotal trials for Libtayo monotherapy in first-line NSCLC and Libtayo monotherapy in BCC at the European Society for Medical Oncology (ESMO) Virtual Congress 2020.</w:t>
      </w:r>
    </w:p>
    <w:p>
      <w:pPr>
        <w:spacing w:after="0" w:line="1" w:lineRule="exact"/>
        <w:rPr>
          <w:rFonts w:ascii="Arial" w:cs="Arial" w:eastAsia="Arial" w:hAnsi="Arial"/>
          <w:sz w:val="21"/>
          <w:szCs w:val="21"/>
          <w:color w:val="auto"/>
        </w:rPr>
      </w:pPr>
    </w:p>
    <w:p>
      <w:pPr>
        <w:ind w:left="320" w:hanging="312"/>
        <w:spacing w:after="0"/>
        <w:tabs>
          <w:tab w:leader="none" w:pos="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A Phase 2 study of REGN5458, a bispecific antibody targeting BCMA and CD3, was initiated in multiple myeloma.</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Inmazeb</w:t>
      </w:r>
      <w:r>
        <w:rPr>
          <w:rFonts w:ascii="Arial" w:cs="Arial" w:eastAsia="Arial" w:hAnsi="Arial"/>
          <w:sz w:val="11"/>
          <w:szCs w:val="11"/>
          <w:color w:val="auto"/>
        </w:rPr>
        <w:t>TM</w:t>
      </w:r>
      <w:r>
        <w:rPr>
          <w:rFonts w:ascii="Arial" w:cs="Arial" w:eastAsia="Arial" w:hAnsi="Arial"/>
          <w:sz w:val="22"/>
          <w:szCs w:val="22"/>
          <w:color w:val="auto"/>
        </w:rPr>
        <w:t xml:space="preserve"> (atoltivimab, maftivimab, and odesivimab-ebgn)</w:t>
      </w:r>
    </w:p>
    <w:p>
      <w:pPr>
        <w:spacing w:after="0" w:line="32" w:lineRule="exact"/>
        <w:rPr>
          <w:sz w:val="20"/>
          <w:szCs w:val="20"/>
          <w:color w:val="auto"/>
        </w:rPr>
      </w:pPr>
    </w:p>
    <w:p>
      <w:pPr>
        <w:jc w:val="both"/>
        <w:ind w:left="340" w:right="860" w:hanging="332"/>
        <w:spacing w:after="0" w:line="248"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In October 2020, the FDA approved Inmazeb (REGN-EB3) for the treatment of infection caused by </w:t>
      </w:r>
      <w:r>
        <w:rPr>
          <w:rFonts w:ascii="Arial" w:cs="Arial" w:eastAsia="Arial" w:hAnsi="Arial"/>
          <w:sz w:val="22"/>
          <w:szCs w:val="22"/>
          <w:i w:val="1"/>
          <w:iCs w:val="1"/>
          <w:color w:val="auto"/>
        </w:rPr>
        <w:t>Zaire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ebolavirus </w:t>
      </w:r>
      <w:r>
        <w:rPr>
          <w:rFonts w:ascii="Arial" w:cs="Arial" w:eastAsia="Arial" w:hAnsi="Arial"/>
          <w:sz w:val="22"/>
          <w:szCs w:val="22"/>
          <w:color w:val="auto"/>
        </w:rPr>
        <w:t>in adult and pediatric patients, including newborns of mothers who have tested positive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infection.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(alirocumab)</w:t>
      </w:r>
    </w:p>
    <w:p>
      <w:pPr>
        <w:ind w:left="340" w:right="380" w:hanging="332"/>
        <w:spacing w:after="0" w:line="25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FDA accepted for review the sBLA for homozygous familial hypercholesterolemia (HoFH) in adults, with a target action date of April 4, 2021.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an antibody to ANGPTL3</w:t>
      </w:r>
    </w:p>
    <w:p>
      <w:pPr>
        <w:spacing w:after="0" w:line="32" w:lineRule="exact"/>
        <w:rPr>
          <w:sz w:val="20"/>
          <w:szCs w:val="20"/>
          <w:color w:val="auto"/>
        </w:rPr>
      </w:pPr>
    </w:p>
    <w:p>
      <w:pPr>
        <w:ind w:left="340" w:right="220" w:hanging="332"/>
        <w:spacing w:after="0" w:line="243"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FDA accepted for priority review the BLA for HoFH, with a target action date of February 11, 2021. An MAA for HoFH has also been submitted in the EU.</w:t>
      </w:r>
    </w:p>
    <w:p>
      <w:pPr>
        <w:ind w:left="340" w:right="80" w:hanging="332"/>
        <w:spacing w:after="0" w:line="248"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(NEJM) published positive results from the Phase 3 trial in HoFH, showing that adding evinacumab to other lipid-lowering therapies cut bad cholesterol levels in half in patients with HoFH, including the most difficult to treat patients who had nearly non-existent LDL-receptor activity.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8"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Corporate and Business Development Update</w:t>
      </w:r>
    </w:p>
    <w:p>
      <w:pPr>
        <w:spacing w:after="0" w:line="34" w:lineRule="exact"/>
        <w:rPr>
          <w:sz w:val="20"/>
          <w:szCs w:val="20"/>
          <w:color w:val="auto"/>
        </w:rPr>
      </w:pPr>
    </w:p>
    <w:p>
      <w:pPr>
        <w:ind w:left="340" w:right="40" w:hanging="332"/>
        <w:spacing w:after="0" w:line="24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July 2020, the Company announced an agreement whereby the Company was awarded a $450 million contract to manufacture and supply REGN-COV2 to the U.S. government. The Company commenced delivery of REGN-COV2 drug product under the agreement during the third quarter of 2020. The Company continues to ramp up production for REGN-COV2 and now expects to have approximately 80,000 doses available by the end of November, approximately 200,000 total doses ready by the first week of January 2021, and approximately 300,000 total doses ready by the end of January 2021.</w:t>
      </w:r>
    </w:p>
    <w:p>
      <w:pPr>
        <w:spacing w:after="0" w:line="2" w:lineRule="exact"/>
        <w:rPr>
          <w:rFonts w:ascii="Arial" w:cs="Arial" w:eastAsia="Arial" w:hAnsi="Arial"/>
          <w:sz w:val="22"/>
          <w:szCs w:val="22"/>
          <w:color w:val="auto"/>
        </w:rPr>
      </w:pPr>
    </w:p>
    <w:p>
      <w:pPr>
        <w:ind w:left="340" w:hanging="332"/>
        <w:spacing w:after="0" w:line="24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August 2020, the Company entered into a collaboration agreement with Roche to develop, manufacture, and distribute REGN-COV2. Each company has committed to dedicate a certain amount of manufacturing capacity to REGN-COV2 each year, and the collaboration is expected to substantially increase supply of REGN-COV2. Under the terms of the agreement, Regeneron will distribute and record sales for REGN-COV2 in the United States and Roche will be responsible for distribution outside the United States.</w:t>
      </w:r>
    </w:p>
    <w:p>
      <w:pPr>
        <w:spacing w:after="0" w:line="1" w:lineRule="exact"/>
        <w:rPr>
          <w:rFonts w:ascii="Arial" w:cs="Arial" w:eastAsia="Arial" w:hAnsi="Arial"/>
          <w:sz w:val="22"/>
          <w:szCs w:val="22"/>
          <w:color w:val="auto"/>
        </w:rPr>
      </w:pPr>
    </w:p>
    <w:p>
      <w:pPr>
        <w:ind w:left="340" w:right="200" w:hanging="332"/>
        <w:spacing w:after="0" w:line="24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July 2020, the U.S. Department of Health and Human Services (HHS) exercised its option under the existing agreement for the treatment of Ebola virus infection to provide additional funding for the manufacture and supply of Inmazeb, pursuant to which Regeneron expects to deliver a pre-specified number of treatment doses over the course of approximately six years.</w:t>
      </w:r>
    </w:p>
    <w:p>
      <w:pPr>
        <w:spacing w:after="0" w:line="1" w:lineRule="exact"/>
        <w:rPr>
          <w:rFonts w:ascii="Arial" w:cs="Arial" w:eastAsia="Arial" w:hAnsi="Arial"/>
          <w:sz w:val="22"/>
          <w:szCs w:val="22"/>
          <w:color w:val="auto"/>
        </w:rPr>
      </w:pPr>
    </w:p>
    <w:p>
      <w:pPr>
        <w:ind w:left="340" w:right="120" w:hanging="332"/>
        <w:spacing w:after="0" w:line="253"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August 2020, the Company issued and sold $2.0 billion aggregate principal amount of senior unsecured notes. See further details in the "</w:t>
      </w:r>
      <w:r>
        <w:rPr>
          <w:rFonts w:ascii="Arial" w:cs="Arial" w:eastAsia="Arial" w:hAnsi="Arial"/>
          <w:sz w:val="22"/>
          <w:szCs w:val="22"/>
          <w:i w:val="1"/>
          <w:iCs w:val="1"/>
          <w:color w:val="auto"/>
        </w:rPr>
        <w:t>Other Financial Information</w:t>
      </w:r>
      <w:r>
        <w:rPr>
          <w:rFonts w:ascii="Arial" w:cs="Arial" w:eastAsia="Arial" w:hAnsi="Arial"/>
          <w:sz w:val="22"/>
          <w:szCs w:val="22"/>
          <w:color w:val="auto"/>
        </w:rPr>
        <w:t>" section below.</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2020 Financial Results</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Effective January 1, 2020, Regeneron implemented changes in the presentation of its financial statements related to certain reimbursements and other payments for products developed and commercialized with collaborators. The Company made these changes in presentation to better reflect the nature of the Company’s costs incurred and revenues earned pursuant to arrangements with collaborators and to enhance the comparability of Regeneron's financial statements with industry peers. The change in presentation has been applied retrospectively. See note (4) below for further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37" w:lineRule="exact"/>
        <w:rPr>
          <w:sz w:val="20"/>
          <w:szCs w:val="20"/>
          <w:color w:val="auto"/>
        </w:rPr>
      </w:pPr>
    </w:p>
    <w:p>
      <w:pPr>
        <w:ind w:right="160"/>
        <w:spacing w:after="0" w:line="279" w:lineRule="auto"/>
        <w:rPr>
          <w:sz w:val="20"/>
          <w:szCs w:val="20"/>
          <w:color w:val="auto"/>
        </w:rPr>
      </w:pPr>
      <w:r>
        <w:rPr>
          <w:rFonts w:ascii="Arial" w:cs="Arial" w:eastAsia="Arial" w:hAnsi="Arial"/>
          <w:sz w:val="22"/>
          <w:szCs w:val="22"/>
          <w:color w:val="auto"/>
        </w:rPr>
        <w:t>Total revenues increased by 32% to $2.294 billion in the third quarter of 2020, compared to $1.744 billion in the third quarter of 2019.</w:t>
      </w:r>
    </w:p>
    <w:p>
      <w:pPr>
        <w:spacing w:after="0" w:line="73"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EYLEA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net product sales in the United States increased to $1.318 billion in the third quarter of 2020, compared to $1.188 billion in the third quarter of 2019. Overall distributor inventory levels for EYLEA in the United States remained within the Company's one-to-two-week targeted range.</w:t>
      </w:r>
    </w:p>
    <w:p>
      <w:pPr>
        <w:spacing w:after="0" w:line="115" w:lineRule="exact"/>
        <w:rPr>
          <w:sz w:val="20"/>
          <w:szCs w:val="20"/>
          <w:color w:val="auto"/>
        </w:rPr>
      </w:pPr>
    </w:p>
    <w:p>
      <w:pPr>
        <w:ind w:right="180"/>
        <w:spacing w:after="0" w:line="249" w:lineRule="auto"/>
        <w:rPr>
          <w:sz w:val="20"/>
          <w:szCs w:val="20"/>
          <w:color w:val="auto"/>
        </w:rPr>
      </w:pPr>
      <w:r>
        <w:rPr>
          <w:rFonts w:ascii="Arial" w:cs="Arial" w:eastAsia="Arial" w:hAnsi="Arial"/>
          <w:sz w:val="22"/>
          <w:szCs w:val="22"/>
          <w:color w:val="auto"/>
        </w:rPr>
        <w:t>Total revenues also include Sanofi and Bayer collaboration revenues</w:t>
      </w:r>
      <w:r>
        <w:rPr>
          <w:rFonts w:ascii="Arial" w:cs="Arial" w:eastAsia="Arial" w:hAnsi="Arial"/>
          <w:sz w:val="12"/>
          <w:szCs w:val="12"/>
          <w:color w:val="auto"/>
        </w:rPr>
        <w:t>(2)</w:t>
      </w:r>
      <w:r>
        <w:rPr>
          <w:rFonts w:ascii="Arial" w:cs="Arial" w:eastAsia="Arial" w:hAnsi="Arial"/>
          <w:sz w:val="22"/>
          <w:szCs w:val="22"/>
          <w:color w:val="auto"/>
        </w:rPr>
        <w:t xml:space="preserve"> of $653 million in the third quarter of 2020, compared to $469 million in the third quarter of 2019. Sanofi collaboration revenue increased primarily due to the Company's share of profits from commercialization of antibodies, which increased to $213 million in the third quarter of 2020 from $94 million in the third quarter of 2019. The change in the Company's share of profits from commercialization of antibodies was primarily driven by higher Dupixent profits. In addition, in the third quarter of 2020, the Company earned the first $50 million sales-based milestone from Sanofi, upon annual sales of antibodies outside the United States exceeding $1.0 billion on a rolling twelve-month basis.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39" w:lineRule="exact"/>
        <w:rPr>
          <w:sz w:val="20"/>
          <w:szCs w:val="20"/>
          <w:color w:val="auto"/>
        </w:rPr>
      </w:pPr>
    </w:p>
    <w:p>
      <w:pPr>
        <w:ind w:right="940"/>
        <w:spacing w:after="0" w:line="304" w:lineRule="auto"/>
        <w:rPr>
          <w:sz w:val="20"/>
          <w:szCs w:val="20"/>
          <w:color w:val="auto"/>
        </w:rPr>
      </w:pPr>
      <w:r>
        <w:rPr>
          <w:rFonts w:ascii="Arial" w:cs="Arial" w:eastAsia="Arial" w:hAnsi="Arial"/>
          <w:sz w:val="21"/>
          <w:szCs w:val="21"/>
          <w:color w:val="auto"/>
        </w:rPr>
        <w:t>Other revenues in the third quarter of 2020 include recognition of revenue in connection with the Company's agreements with BARDA related to funding of certain REGN-COV2 and Inmazeb development activities.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2020</w:t>
            </w:r>
          </w:p>
        </w:tc>
        <w:tc>
          <w:tcPr>
            <w:tcW w:w="1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20"/>
                <w:szCs w:val="20"/>
                <w:b w:val="1"/>
                <w:bCs w:val="1"/>
                <w:color w:val="auto"/>
                <w:w w:val="98"/>
              </w:rPr>
              <w:t>Q3 2019</w:t>
            </w:r>
          </w:p>
        </w:tc>
        <w:tc>
          <w:tcPr>
            <w:tcW w:w="10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 Change</w:t>
            </w:r>
          </w:p>
        </w:tc>
        <w:tc>
          <w:tcPr>
            <w:tcW w:w="16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2020</w:t>
            </w:r>
          </w:p>
        </w:tc>
        <w:tc>
          <w:tcPr>
            <w:tcW w:w="1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20"/>
                <w:szCs w:val="20"/>
                <w:b w:val="1"/>
                <w:bCs w:val="1"/>
                <w:color w:val="auto"/>
                <w:w w:val="98"/>
              </w:rPr>
              <w:t>Q3 2019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6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526</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22"/>
                <w:szCs w:val="22"/>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629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466</w:t>
            </w:r>
          </w:p>
        </w:tc>
        <w:tc>
          <w:tcPr>
            <w:tcW w:w="12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327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304</w:t>
            </w:r>
          </w:p>
        </w:tc>
        <w:tc>
          <w:tcPr>
            <w:tcW w:w="1200" w:type="dxa"/>
            <w:vAlign w:val="bottom"/>
            <w:gridSpan w:val="2"/>
            <w:vMerge w:val="restart"/>
          </w:tcPr>
          <w:p>
            <w:pPr>
              <w:jc w:val="right"/>
              <w:ind w:right="17"/>
              <w:spacing w:after="0"/>
              <w:rPr>
                <w:sz w:val="20"/>
                <w:szCs w:val="20"/>
                <w:color w:val="auto"/>
              </w:rPr>
            </w:pPr>
            <w:r>
              <w:rPr>
                <w:rFonts w:ascii="Arial" w:cs="Arial" w:eastAsia="Arial" w:hAnsi="Arial"/>
                <w:sz w:val="22"/>
                <w:szCs w:val="22"/>
                <w:color w:val="auto"/>
              </w:rPr>
              <w:t>8%</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291</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264</w:t>
            </w:r>
          </w:p>
        </w:tc>
        <w:tc>
          <w:tcPr>
            <w:tcW w:w="1220" w:type="dxa"/>
            <w:vAlign w:val="bottom"/>
            <w:gridSpan w:val="2"/>
            <w:vMerge w:val="restart"/>
          </w:tcPr>
          <w:p>
            <w:pPr>
              <w:jc w:val="right"/>
              <w:ind w:right="14"/>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20"/>
                <w:szCs w:val="20"/>
                <w:color w:val="auto"/>
              </w:rPr>
              <w:t>(SG&amp;A)</w:t>
            </w: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 of goods sold (COGS)</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116</w:t>
            </w:r>
          </w:p>
        </w:tc>
        <w:tc>
          <w:tcPr>
            <w:tcW w:w="1200" w:type="dxa"/>
            <w:vAlign w:val="bottom"/>
            <w:gridSpan w:val="2"/>
            <w:shd w:val="clear" w:color="auto" w:fill="CCEEFF"/>
          </w:tcPr>
          <w:p>
            <w:pPr>
              <w:jc w:val="right"/>
              <w:ind w:right="17"/>
              <w:spacing w:after="0"/>
              <w:rPr>
                <w:sz w:val="20"/>
                <w:szCs w:val="20"/>
                <w:color w:val="auto"/>
              </w:rPr>
            </w:pPr>
            <w:r>
              <w:rPr>
                <w:rFonts w:ascii="Arial" w:cs="Arial" w:eastAsia="Arial" w:hAnsi="Arial"/>
                <w:sz w:val="22"/>
                <w:szCs w:val="22"/>
                <w:color w:val="auto"/>
              </w:rPr>
              <w:t>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w:t>
            </w:r>
          </w:p>
        </w:tc>
        <w:tc>
          <w:tcPr>
            <w:tcW w:w="1220" w:type="dxa"/>
            <w:vAlign w:val="bottom"/>
            <w:gridSpan w:val="2"/>
            <w:shd w:val="clear" w:color="auto" w:fill="CCEEFF"/>
          </w:tcPr>
          <w:p>
            <w:pPr>
              <w:jc w:val="right"/>
              <w:ind w:right="14"/>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143</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110</w:t>
            </w:r>
          </w:p>
        </w:tc>
        <w:tc>
          <w:tcPr>
            <w:tcW w:w="1200" w:type="dxa"/>
            <w:vAlign w:val="bottom"/>
            <w:gridSpan w:val="2"/>
            <w:vMerge w:val="restart"/>
          </w:tcPr>
          <w:p>
            <w:pPr>
              <w:jc w:val="right"/>
              <w:ind w:right="17"/>
              <w:spacing w:after="0"/>
              <w:rPr>
                <w:sz w:val="20"/>
                <w:szCs w:val="20"/>
                <w:color w:val="auto"/>
              </w:rPr>
            </w:pPr>
            <w:r>
              <w:rPr>
                <w:rFonts w:ascii="Arial" w:cs="Arial" w:eastAsia="Arial" w:hAnsi="Arial"/>
                <w:sz w:val="22"/>
                <w:szCs w:val="22"/>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20"/>
                <w:szCs w:val="20"/>
                <w:color w:val="auto"/>
              </w:rPr>
              <w:t>manufacturing (COCM)</w:t>
            </w: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w:t>
            </w:r>
          </w:p>
        </w:tc>
        <w:tc>
          <w:tcPr>
            <w:tcW w:w="1200" w:type="dxa"/>
            <w:vAlign w:val="bottom"/>
            <w:gridSpan w:val="2"/>
            <w:shd w:val="clear" w:color="auto" w:fill="CCEEFF"/>
          </w:tcPr>
          <w:p>
            <w:pPr>
              <w:jc w:val="right"/>
              <w:ind w:right="17"/>
              <w:spacing w:after="0"/>
              <w:rPr>
                <w:sz w:val="20"/>
                <w:szCs w:val="20"/>
                <w:color w:val="auto"/>
              </w:rPr>
            </w:pPr>
            <w:r>
              <w:rPr>
                <w:rFonts w:ascii="Arial" w:cs="Arial" w:eastAsia="Arial" w:hAnsi="Arial"/>
                <w:sz w:val="22"/>
                <w:szCs w:val="22"/>
                <w:color w:val="auto"/>
              </w:rPr>
              <w:t>(12%)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hanging="112"/>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recorded</w:t>
      </w:r>
    </w:p>
    <w:p>
      <w:pPr>
        <w:spacing w:after="0" w:line="150" w:lineRule="exact"/>
        <w:rPr>
          <w:rFonts w:ascii="Arial" w:cs="Arial" w:eastAsia="Arial" w:hAnsi="Arial"/>
          <w:sz w:val="16"/>
          <w:szCs w:val="16"/>
          <w:color w:val="auto"/>
        </w:rPr>
      </w:pPr>
    </w:p>
    <w:p>
      <w:pPr>
        <w:ind w:left="660" w:right="160" w:hanging="328"/>
        <w:spacing w:after="0" w:line="261"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higher GAAP and non-GAAP R&amp;D expenses in the third quarter of 2020 were primarily due to additional costs incurred in connection with COVID-19 related development activities, higher headcount and headcount-related costs, and an increase in clinical manufacturing activities.</w:t>
      </w:r>
    </w:p>
    <w:p>
      <w:pPr>
        <w:spacing w:after="0" w:line="25" w:lineRule="exact"/>
        <w:rPr>
          <w:rFonts w:ascii="Arial" w:cs="Arial" w:eastAsia="Arial" w:hAnsi="Arial"/>
          <w:sz w:val="22"/>
          <w:szCs w:val="22"/>
          <w:color w:val="auto"/>
        </w:rPr>
      </w:pPr>
    </w:p>
    <w:p>
      <w:pPr>
        <w:ind w:left="660" w:right="1080" w:hanging="328"/>
        <w:spacing w:after="0" w:line="275"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higher GAAP and non-GAAP SG&amp;A expenses in the third quarter of 2020 were primarily due to commercialization-related costs for EYLEA and Praluent, and higher headcount-related costs.</w:t>
      </w:r>
    </w:p>
    <w:p>
      <w:pPr>
        <w:ind w:left="660" w:right="120" w:hanging="328"/>
        <w:spacing w:after="0" w:line="261"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increase in cost of collaboration and contract manufacturing in the third quarter of 2020 was primarily due to the recognition of manufacturing costs associated with higher sales of Dupixent and recognition of costs in connection with manufacturing ex-U.S. commercial supplies of Praluent for Sanofi.</w:t>
      </w:r>
    </w:p>
    <w:p>
      <w:pPr>
        <w:spacing w:after="0" w:line="11" w:lineRule="exact"/>
        <w:rPr>
          <w:rFonts w:ascii="Arial" w:cs="Arial" w:eastAsia="Arial" w:hAnsi="Arial"/>
          <w:sz w:val="22"/>
          <w:szCs w:val="22"/>
          <w:color w:val="auto"/>
        </w:rPr>
      </w:pPr>
    </w:p>
    <w:p>
      <w:pPr>
        <w:ind w:left="660" w:right="140" w:hanging="328"/>
        <w:spacing w:after="0" w:line="261" w:lineRule="auto"/>
        <w:tabs>
          <w:tab w:leader="none" w:pos="655" w:val="left"/>
        </w:tabs>
        <w:numPr>
          <w:ilvl w:val="1"/>
          <w:numId w:val="10"/>
        </w:numPr>
        <w:rPr>
          <w:rFonts w:ascii="Arial" w:cs="Arial" w:eastAsia="Arial" w:hAnsi="Arial"/>
          <w:sz w:val="22"/>
          <w:szCs w:val="22"/>
          <w:color w:val="auto"/>
        </w:rPr>
      </w:pPr>
      <w:r>
        <w:rPr>
          <w:rFonts w:ascii="Arial" w:cs="Arial" w:eastAsia="Arial" w:hAnsi="Arial"/>
          <w:sz w:val="22"/>
          <w:szCs w:val="22"/>
          <w:color w:val="auto"/>
        </w:rPr>
        <w:t>Other operating (income) expense, net, includes recognition of a portion of amounts previously deferred in connection with up-front and development milestone payments, as applicable, received in connection with the Company's collaborative arrangements.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0" w:lineRule="exact"/>
        <w:rPr>
          <w:sz w:val="20"/>
          <w:szCs w:val="20"/>
          <w:color w:val="auto"/>
        </w:rPr>
      </w:pPr>
    </w:p>
    <w:p>
      <w:pPr>
        <w:ind w:right="400"/>
        <w:spacing w:after="0" w:line="279" w:lineRule="auto"/>
        <w:rPr>
          <w:sz w:val="20"/>
          <w:szCs w:val="20"/>
          <w:color w:val="auto"/>
        </w:rPr>
      </w:pPr>
      <w:r>
        <w:rPr>
          <w:rFonts w:ascii="Arial" w:cs="Arial" w:eastAsia="Arial" w:hAnsi="Arial"/>
          <w:sz w:val="22"/>
          <w:szCs w:val="22"/>
          <w:color w:val="auto"/>
        </w:rPr>
        <w:t>GAAP other income (expense), net, includes the recognition of net losses on equity securities of $37 million in the third quarter of 2020, compared to net gains of $3 million in the third quarter of 2019.</w:t>
      </w:r>
    </w:p>
    <w:p>
      <w:pPr>
        <w:spacing w:after="0" w:line="60"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In the third quarter of 2020, the Company's GAAP effective tax rate was 15.6%, compared to 12.9% in the third quarter of 2019. The GAAP effective tax rate for the third quarter of 2020 was positively impacted, compared to the U.S. federal statutory rate, primarily by stock-based compensation, and, to a lesser extent, income earned in foreign jurisdictions with tax rates lower than the U.S. federal statutory rate and federal tax credits for research activities. In the third quarter of 2020, the non-GAAP effective tax rate was 16.3%, compared to 13.6% in the third quarter of 2019.</w:t>
      </w:r>
    </w:p>
    <w:p>
      <w:pPr>
        <w:spacing w:after="0" w:line="88" w:lineRule="exact"/>
        <w:rPr>
          <w:sz w:val="20"/>
          <w:szCs w:val="20"/>
          <w:color w:val="auto"/>
        </w:rPr>
      </w:pPr>
    </w:p>
    <w:p>
      <w:pPr>
        <w:ind w:right="40"/>
        <w:spacing w:after="0" w:line="279" w:lineRule="auto"/>
        <w:rPr>
          <w:sz w:val="20"/>
          <w:szCs w:val="20"/>
          <w:color w:val="auto"/>
        </w:rPr>
      </w:pPr>
      <w:r>
        <w:rPr>
          <w:rFonts w:ascii="Arial" w:cs="Arial" w:eastAsia="Arial" w:hAnsi="Arial"/>
          <w:sz w:val="22"/>
          <w:szCs w:val="22"/>
          <w:color w:val="auto"/>
        </w:rPr>
        <w:t>GAAP net income per diluted share was $7.39 in the third quarter of 2020, compared to GAAP net income per diluted share of $5.86 in the third quarter of 2019. Non-GAAP net income per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37" w:right="339" w:bottom="1440" w:gutter="0" w:footer="0" w:header="0"/>
        </w:sectPr>
      </w:pPr>
    </w:p>
    <w:bookmarkStart w:id="8" w:name="page9"/>
    <w:bookmarkEnd w:id="8"/>
    <w:p>
      <w:pPr>
        <w:ind w:right="60"/>
        <w:spacing w:after="0" w:line="261" w:lineRule="auto"/>
        <w:rPr>
          <w:sz w:val="20"/>
          <w:szCs w:val="20"/>
          <w:color w:val="auto"/>
        </w:rPr>
      </w:pPr>
      <w:r>
        <w:rPr>
          <w:rFonts w:ascii="Arial" w:cs="Arial" w:eastAsia="Arial" w:hAnsi="Arial"/>
          <w:sz w:val="22"/>
          <w:szCs w:val="22"/>
          <w:color w:val="auto"/>
        </w:rPr>
        <w:t>diluted share was $8.36 in the third quarter of 2020, compared to non-GAAP net income per diluted share of $6.67 in the third quarter of 2019. A reconciliation of the Company's GAAP to non-GAAP results is included in Table 3 of this press release.</w:t>
      </w:r>
    </w:p>
    <w:p>
      <w:pPr>
        <w:spacing w:after="0" w:line="79" w:lineRule="exact"/>
        <w:rPr>
          <w:sz w:val="20"/>
          <w:szCs w:val="20"/>
          <w:color w:val="auto"/>
        </w:rPr>
      </w:pPr>
    </w:p>
    <w:p>
      <w:pPr>
        <w:ind w:right="40"/>
        <w:spacing w:after="0" w:line="252" w:lineRule="auto"/>
        <w:rPr>
          <w:sz w:val="20"/>
          <w:szCs w:val="20"/>
          <w:color w:val="auto"/>
        </w:rPr>
      </w:pPr>
      <w:r>
        <w:rPr>
          <w:rFonts w:ascii="Arial" w:cs="Arial" w:eastAsia="Arial" w:hAnsi="Arial"/>
          <w:sz w:val="22"/>
          <w:szCs w:val="22"/>
          <w:color w:val="auto"/>
        </w:rPr>
        <w:t>In August 2020, the Company issued and sold $1.250 billion aggregate principal amount of 1.750% senior unsecured notes due 2030 and $750 million aggregate principal amount of 2.800% senior unsecured notes due 2050. Net proceeds to the Company from the issuance and sale of the notes were used in part to repay the $1.5 billion bridge loan facility, which was previously entered into in May 2020 in connection with the Company's purchase of shares of its common stock held by Sanofi.</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22"/>
          <w:szCs w:val="22"/>
          <w:color w:val="auto"/>
        </w:rPr>
        <w:t>Net cash used in operating activities in the third quarter of 2020 was $254 million, compared to $557 million in net cash provided by operating activities in the third quarter of 2019, which led to $(408) million in free cash flow for the third quarter of 2020, compared to $436 million for the third quarter of 2019. The decrease in cash from operating activities primarily resulted from an increase in trade accounts receivable in connection with extending payment terms to certain of the Company's EYLEA customers due to the COVID-19 pandemic.</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Financial Guidance</w:t>
      </w:r>
      <w:r>
        <w:rPr>
          <w:rFonts w:ascii="Arial" w:cs="Arial" w:eastAsia="Arial" w:hAnsi="Arial"/>
          <w:sz w:val="12"/>
          <w:szCs w:val="12"/>
          <w:b w:val="1"/>
          <w:bCs w:val="1"/>
          <w:i w:val="1"/>
          <w:iCs w:val="1"/>
          <w:color w:val="auto"/>
        </w:rPr>
        <w:t>(3)</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2020 financial guidance consists of the following components: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60" w:type="dxa"/>
            <w:vAlign w:val="bottom"/>
          </w:tcPr>
          <w:p>
            <w:pPr>
              <w:spacing w:after="0"/>
              <w:rPr>
                <w:sz w:val="24"/>
                <w:szCs w:val="24"/>
                <w:color w:val="auto"/>
              </w:rPr>
            </w:pPr>
          </w:p>
        </w:tc>
        <w:tc>
          <w:tcPr>
            <w:tcW w:w="3280" w:type="dxa"/>
            <w:vAlign w:val="bottom"/>
            <w:gridSpan w:val="2"/>
          </w:tcPr>
          <w:p>
            <w:pPr>
              <w:ind w:left="1300"/>
              <w:spacing w:after="0"/>
              <w:rPr>
                <w:sz w:val="20"/>
                <w:szCs w:val="20"/>
                <w:color w:val="auto"/>
              </w:rPr>
            </w:pPr>
            <w:r>
              <w:rPr>
                <w:rFonts w:ascii="Arial" w:cs="Arial" w:eastAsia="Arial" w:hAnsi="Arial"/>
                <w:sz w:val="20"/>
                <w:szCs w:val="20"/>
                <w:b w:val="1"/>
                <w:bCs w:val="1"/>
                <w:color w:val="auto"/>
              </w:rPr>
              <w:t>GAAP</w:t>
            </w:r>
          </w:p>
        </w:tc>
        <w:tc>
          <w:tcPr>
            <w:tcW w:w="3200" w:type="dxa"/>
            <w:vAlign w:val="bottom"/>
          </w:tcPr>
          <w:p>
            <w:pPr>
              <w:ind w:left="102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r>
      <w:tr>
        <w:trPr>
          <w:trHeight w:val="183"/>
        </w:trPr>
        <w:tc>
          <w:tcPr>
            <w:tcW w:w="33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20"/>
                <w:szCs w:val="20"/>
                <w:color w:val="auto"/>
              </w:rPr>
              <w:t>R&amp;D</w:t>
            </w:r>
          </w:p>
        </w:tc>
        <w:tc>
          <w:tcPr>
            <w:tcW w:w="318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20"/>
                <w:szCs w:val="20"/>
                <w:color w:val="auto"/>
              </w:rPr>
              <w:t>$2.750 billion–$2.820 billion</w:t>
            </w:r>
          </w:p>
        </w:tc>
        <w:tc>
          <w:tcPr>
            <w:tcW w:w="10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20"/>
                <w:szCs w:val="20"/>
                <w:color w:val="auto"/>
              </w:rPr>
              <w:t>$2.420 billion–$2.470 billion</w:t>
            </w:r>
          </w:p>
        </w:tc>
      </w:tr>
      <w:tr>
        <w:trPr>
          <w:trHeight w:val="189"/>
        </w:trPr>
        <w:tc>
          <w:tcPr>
            <w:tcW w:w="336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$2.605 billion–$2.725</w:t>
            </w:r>
          </w:p>
        </w:tc>
        <w:tc>
          <w:tcPr>
            <w:tcW w:w="32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$2.270 billion–$2.370</w:t>
            </w:r>
          </w:p>
        </w:tc>
      </w:tr>
      <w:tr>
        <w:trPr>
          <w:trHeight w:val="243"/>
        </w:trPr>
        <w:tc>
          <w:tcPr>
            <w:tcW w:w="336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billion)</w:t>
            </w:r>
          </w:p>
        </w:tc>
        <w:tc>
          <w:tcPr>
            <w:tcW w:w="320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billion)</w:t>
            </w:r>
          </w:p>
        </w:tc>
      </w:tr>
      <w:tr>
        <w:trPr>
          <w:trHeight w:val="189"/>
        </w:trPr>
        <w:tc>
          <w:tcPr>
            <w:tcW w:w="3360" w:type="dxa"/>
            <w:vAlign w:val="bottom"/>
          </w:tcPr>
          <w:p>
            <w:pPr>
              <w:ind w:left="20"/>
              <w:spacing w:after="0" w:line="189" w:lineRule="exact"/>
              <w:rPr>
                <w:sz w:val="20"/>
                <w:szCs w:val="20"/>
                <w:color w:val="auto"/>
              </w:rPr>
            </w:pPr>
            <w:r>
              <w:rPr>
                <w:rFonts w:ascii="Arial" w:cs="Arial" w:eastAsia="Arial" w:hAnsi="Arial"/>
                <w:sz w:val="20"/>
                <w:szCs w:val="20"/>
                <w:color w:val="auto"/>
              </w:rPr>
              <w:t>SG&amp;A</w:t>
            </w:r>
          </w:p>
        </w:tc>
        <w:tc>
          <w:tcPr>
            <w:tcW w:w="328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$1.425 billion–$1.475 billion</w:t>
            </w:r>
          </w:p>
        </w:tc>
        <w:tc>
          <w:tcPr>
            <w:tcW w:w="3200" w:type="dxa"/>
            <w:vAlign w:val="bottom"/>
          </w:tcPr>
          <w:p>
            <w:pPr>
              <w:ind w:left="20"/>
              <w:spacing w:after="0" w:line="189" w:lineRule="exact"/>
              <w:rPr>
                <w:sz w:val="20"/>
                <w:szCs w:val="20"/>
                <w:color w:val="auto"/>
              </w:rPr>
            </w:pPr>
            <w:r>
              <w:rPr>
                <w:rFonts w:ascii="Arial" w:cs="Arial" w:eastAsia="Arial" w:hAnsi="Arial"/>
                <w:sz w:val="20"/>
                <w:szCs w:val="20"/>
                <w:color w:val="auto"/>
              </w:rPr>
              <w:t>$1.235 billion–$1.265 billion</w:t>
            </w:r>
          </w:p>
        </w:tc>
      </w:tr>
      <w:tr>
        <w:trPr>
          <w:trHeight w:val="189"/>
        </w:trPr>
        <w:tc>
          <w:tcPr>
            <w:tcW w:w="3360" w:type="dxa"/>
            <w:vAlign w:val="bottom"/>
          </w:tcPr>
          <w:p>
            <w:pPr>
              <w:spacing w:after="0"/>
              <w:rPr>
                <w:sz w:val="16"/>
                <w:szCs w:val="16"/>
                <w:color w:val="auto"/>
              </w:rPr>
            </w:pPr>
          </w:p>
        </w:tc>
        <w:tc>
          <w:tcPr>
            <w:tcW w:w="328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$1.400 billion–$1.480</w:t>
            </w:r>
          </w:p>
        </w:tc>
        <w:tc>
          <w:tcPr>
            <w:tcW w:w="3200" w:type="dxa"/>
            <w:vAlign w:val="bottom"/>
          </w:tcPr>
          <w:p>
            <w:pPr>
              <w:ind w:left="20"/>
              <w:spacing w:after="0" w:line="189" w:lineRule="exact"/>
              <w:rPr>
                <w:sz w:val="20"/>
                <w:szCs w:val="20"/>
                <w:color w:val="auto"/>
              </w:rPr>
            </w:pPr>
            <w:r>
              <w:rPr>
                <w:rFonts w:ascii="Arial" w:cs="Arial" w:eastAsia="Arial" w:hAnsi="Arial"/>
                <w:sz w:val="20"/>
                <w:szCs w:val="20"/>
                <w:i w:val="1"/>
                <w:iCs w:val="1"/>
                <w:color w:val="auto"/>
              </w:rPr>
              <w:t>(previously $1.210 billion–$1.270</w:t>
            </w:r>
          </w:p>
        </w:tc>
      </w:tr>
      <w:tr>
        <w:trPr>
          <w:trHeight w:val="243"/>
        </w:trPr>
        <w:tc>
          <w:tcPr>
            <w:tcW w:w="33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20"/>
                <w:szCs w:val="20"/>
                <w:i w:val="1"/>
                <w:iCs w:val="1"/>
                <w:color w:val="auto"/>
              </w:rPr>
              <w:t>billion)</w:t>
            </w:r>
          </w:p>
        </w:tc>
        <w:tc>
          <w:tcPr>
            <w:tcW w:w="3200" w:type="dxa"/>
            <w:vAlign w:val="bottom"/>
          </w:tcPr>
          <w:p>
            <w:pPr>
              <w:ind w:left="20"/>
              <w:spacing w:after="0"/>
              <w:rPr>
                <w:sz w:val="20"/>
                <w:szCs w:val="20"/>
                <w:color w:val="auto"/>
              </w:rPr>
            </w:pPr>
            <w:r>
              <w:rPr>
                <w:rFonts w:ascii="Arial" w:cs="Arial" w:eastAsia="Arial" w:hAnsi="Arial"/>
                <w:sz w:val="20"/>
                <w:szCs w:val="20"/>
                <w:i w:val="1"/>
                <w:iCs w:val="1"/>
                <w:color w:val="auto"/>
              </w:rPr>
              <w:t>billion)</w:t>
            </w:r>
          </w:p>
        </w:tc>
      </w:tr>
      <w:tr>
        <w:trPr>
          <w:trHeight w:val="189"/>
        </w:trPr>
        <w:tc>
          <w:tcPr>
            <w:tcW w:w="33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COGS</w:t>
            </w:r>
          </w:p>
        </w:tc>
        <w:tc>
          <w:tcPr>
            <w:tcW w:w="3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$485 million–$525 million</w:t>
            </w:r>
          </w:p>
        </w:tc>
        <w:tc>
          <w:tcPr>
            <w:tcW w:w="32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$440 million–$470 million</w:t>
            </w:r>
          </w:p>
        </w:tc>
      </w:tr>
      <w:tr>
        <w:trPr>
          <w:trHeight w:val="189"/>
        </w:trPr>
        <w:tc>
          <w:tcPr>
            <w:tcW w:w="336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$490 million–$540</w:t>
            </w:r>
          </w:p>
        </w:tc>
        <w:tc>
          <w:tcPr>
            <w:tcW w:w="32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$445 million–$485</w:t>
            </w:r>
          </w:p>
        </w:tc>
      </w:tr>
      <w:tr>
        <w:trPr>
          <w:trHeight w:val="243"/>
        </w:trPr>
        <w:tc>
          <w:tcPr>
            <w:tcW w:w="336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million)</w:t>
            </w:r>
          </w:p>
        </w:tc>
      </w:tr>
      <w:tr>
        <w:trPr>
          <w:trHeight w:val="189"/>
        </w:trPr>
        <w:tc>
          <w:tcPr>
            <w:tcW w:w="3360" w:type="dxa"/>
            <w:vAlign w:val="bottom"/>
          </w:tcPr>
          <w:p>
            <w:pPr>
              <w:ind w:left="20"/>
              <w:spacing w:after="0" w:line="189" w:lineRule="exact"/>
              <w:rPr>
                <w:sz w:val="20"/>
                <w:szCs w:val="20"/>
                <w:color w:val="auto"/>
              </w:rPr>
            </w:pPr>
            <w:r>
              <w:rPr>
                <w:rFonts w:ascii="Arial" w:cs="Arial" w:eastAsia="Arial" w:hAnsi="Arial"/>
                <w:sz w:val="17"/>
                <w:szCs w:val="17"/>
                <w:color w:val="auto"/>
              </w:rPr>
              <w:t>COCM</w:t>
            </w:r>
            <w:r>
              <w:rPr>
                <w:rFonts w:ascii="Arial" w:cs="Arial" w:eastAsia="Arial" w:hAnsi="Arial"/>
                <w:sz w:val="21"/>
                <w:szCs w:val="21"/>
                <w:color w:val="auto"/>
                <w:vertAlign w:val="superscript"/>
              </w:rPr>
              <w:t>(5)</w:t>
            </w:r>
          </w:p>
        </w:tc>
        <w:tc>
          <w:tcPr>
            <w:tcW w:w="328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$595 million–$625 million</w:t>
            </w:r>
          </w:p>
        </w:tc>
        <w:tc>
          <w:tcPr>
            <w:tcW w:w="320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360" w:type="dxa"/>
            <w:vAlign w:val="bottom"/>
          </w:tcPr>
          <w:p>
            <w:pPr>
              <w:spacing w:after="0"/>
              <w:rPr>
                <w:sz w:val="16"/>
                <w:szCs w:val="16"/>
                <w:color w:val="auto"/>
              </w:rPr>
            </w:pPr>
          </w:p>
        </w:tc>
        <w:tc>
          <w:tcPr>
            <w:tcW w:w="328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$600 million–$660</w:t>
            </w:r>
          </w:p>
        </w:tc>
        <w:tc>
          <w:tcPr>
            <w:tcW w:w="3200" w:type="dxa"/>
            <w:vAlign w:val="bottom"/>
          </w:tcPr>
          <w:p>
            <w:pPr>
              <w:spacing w:after="0"/>
              <w:rPr>
                <w:sz w:val="16"/>
                <w:szCs w:val="16"/>
                <w:color w:val="auto"/>
              </w:rPr>
            </w:pPr>
          </w:p>
        </w:tc>
      </w:tr>
      <w:tr>
        <w:trPr>
          <w:trHeight w:val="243"/>
        </w:trPr>
        <w:tc>
          <w:tcPr>
            <w:tcW w:w="33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tcPr>
          <w:p>
            <w:pPr>
              <w:spacing w:after="0"/>
              <w:rPr>
                <w:sz w:val="21"/>
                <w:szCs w:val="21"/>
                <w:color w:val="auto"/>
              </w:rPr>
            </w:pPr>
          </w:p>
        </w:tc>
      </w:tr>
      <w:tr>
        <w:trPr>
          <w:trHeight w:val="189"/>
        </w:trPr>
        <w:tc>
          <w:tcPr>
            <w:tcW w:w="33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Other operating (income) expense,</w:t>
            </w:r>
          </w:p>
        </w:tc>
        <w:tc>
          <w:tcPr>
            <w:tcW w:w="3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($180) million–($200) million</w:t>
            </w:r>
          </w:p>
        </w:tc>
        <w:tc>
          <w:tcPr>
            <w:tcW w:w="32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360" w:type="dxa"/>
            <w:vAlign w:val="bottom"/>
            <w:shd w:val="clear" w:color="auto" w:fill="CCEEFF"/>
          </w:tcPr>
          <w:p>
            <w:pPr>
              <w:ind w:left="180"/>
              <w:spacing w:after="0" w:line="189" w:lineRule="exact"/>
              <w:rPr>
                <w:sz w:val="20"/>
                <w:szCs w:val="20"/>
                <w:color w:val="auto"/>
              </w:rPr>
            </w:pPr>
            <w:r>
              <w:rPr>
                <w:rFonts w:ascii="Arial" w:cs="Arial" w:eastAsia="Arial" w:hAnsi="Arial"/>
                <w:sz w:val="20"/>
                <w:szCs w:val="20"/>
                <w:color w:val="auto"/>
              </w:rPr>
              <w:t>net</w:t>
            </w:r>
          </w:p>
        </w:tc>
        <w:tc>
          <w:tcPr>
            <w:tcW w:w="3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($180) million–($205)</w:t>
            </w:r>
          </w:p>
        </w:tc>
        <w:tc>
          <w:tcPr>
            <w:tcW w:w="3200" w:type="dxa"/>
            <w:vAlign w:val="bottom"/>
            <w:shd w:val="clear" w:color="auto" w:fill="CCEEFF"/>
          </w:tcPr>
          <w:p>
            <w:pPr>
              <w:spacing w:after="0"/>
              <w:rPr>
                <w:sz w:val="16"/>
                <w:szCs w:val="16"/>
                <w:color w:val="auto"/>
              </w:rPr>
            </w:pPr>
          </w:p>
        </w:tc>
      </w:tr>
      <w:tr>
        <w:trPr>
          <w:trHeight w:val="243"/>
        </w:trPr>
        <w:tc>
          <w:tcPr>
            <w:tcW w:w="336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shd w:val="clear" w:color="auto" w:fill="CCEEFF"/>
          </w:tcPr>
          <w:p>
            <w:pPr>
              <w:spacing w:after="0"/>
              <w:rPr>
                <w:sz w:val="21"/>
                <w:szCs w:val="21"/>
                <w:color w:val="auto"/>
              </w:rPr>
            </w:pPr>
          </w:p>
        </w:tc>
      </w:tr>
      <w:tr>
        <w:trPr>
          <w:trHeight w:val="189"/>
        </w:trPr>
        <w:tc>
          <w:tcPr>
            <w:tcW w:w="3360" w:type="dxa"/>
            <w:vAlign w:val="bottom"/>
          </w:tcPr>
          <w:p>
            <w:pPr>
              <w:ind w:left="20"/>
              <w:spacing w:after="0" w:line="189" w:lineRule="exact"/>
              <w:rPr>
                <w:sz w:val="20"/>
                <w:szCs w:val="20"/>
                <w:color w:val="auto"/>
              </w:rPr>
            </w:pPr>
            <w:r>
              <w:rPr>
                <w:rFonts w:ascii="Arial" w:cs="Arial" w:eastAsia="Arial" w:hAnsi="Arial"/>
                <w:sz w:val="20"/>
                <w:szCs w:val="20"/>
                <w:color w:val="auto"/>
              </w:rPr>
              <w:t>Capital expenditures</w:t>
            </w:r>
          </w:p>
        </w:tc>
        <w:tc>
          <w:tcPr>
            <w:tcW w:w="328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$570 million–$600 million</w:t>
            </w:r>
          </w:p>
        </w:tc>
        <w:tc>
          <w:tcPr>
            <w:tcW w:w="320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360" w:type="dxa"/>
            <w:vAlign w:val="bottom"/>
          </w:tcPr>
          <w:p>
            <w:pPr>
              <w:spacing w:after="0"/>
              <w:rPr>
                <w:sz w:val="16"/>
                <w:szCs w:val="16"/>
                <w:color w:val="auto"/>
              </w:rPr>
            </w:pPr>
          </w:p>
        </w:tc>
        <w:tc>
          <w:tcPr>
            <w:tcW w:w="328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$540 million–$590</w:t>
            </w:r>
          </w:p>
        </w:tc>
        <w:tc>
          <w:tcPr>
            <w:tcW w:w="3200" w:type="dxa"/>
            <w:vAlign w:val="bottom"/>
          </w:tcPr>
          <w:p>
            <w:pPr>
              <w:spacing w:after="0"/>
              <w:rPr>
                <w:sz w:val="16"/>
                <w:szCs w:val="16"/>
                <w:color w:val="auto"/>
              </w:rPr>
            </w:pPr>
          </w:p>
        </w:tc>
      </w:tr>
      <w:tr>
        <w:trPr>
          <w:trHeight w:val="243"/>
        </w:trPr>
        <w:tc>
          <w:tcPr>
            <w:tcW w:w="33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tcPr>
          <w:p>
            <w:pPr>
              <w:spacing w:after="0"/>
              <w:rPr>
                <w:sz w:val="21"/>
                <w:szCs w:val="2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Effective tax rate (ETR)</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9–11%</w:t>
            </w:r>
          </w:p>
        </w:tc>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10–12%</w:t>
            </w:r>
          </w:p>
        </w:tc>
      </w:tr>
    </w:tbl>
    <w:p>
      <w:pPr>
        <w:spacing w:after="0" w:line="90" w:lineRule="exact"/>
        <w:rPr>
          <w:sz w:val="20"/>
          <w:szCs w:val="20"/>
          <w:color w:val="auto"/>
        </w:rPr>
      </w:pPr>
    </w:p>
    <w:p>
      <w:pPr>
        <w:ind w:left="280" w:hanging="110"/>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037" w:right="35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A reconciliation of full year 2020 GAAP to Non-GAAP financial guidance is included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60" w:type="dxa"/>
            <w:vAlign w:val="bottom"/>
            <w:vMerge w:val="restart"/>
          </w:tcPr>
          <w:p>
            <w:pPr>
              <w:ind w:left="20"/>
              <w:spacing w:after="0"/>
              <w:rPr>
                <w:sz w:val="20"/>
                <w:szCs w:val="20"/>
                <w:color w:val="auto"/>
              </w:rPr>
            </w:pPr>
            <w:r>
              <w:rPr>
                <w:rFonts w:ascii="Arial" w:cs="Arial" w:eastAsia="Arial" w:hAnsi="Arial"/>
                <w:sz w:val="20"/>
                <w:szCs w:val="20"/>
                <w:b w:val="1"/>
                <w:bCs w:val="1"/>
                <w:i w:val="1"/>
                <w:iCs w:val="1"/>
                <w:color w:val="auto"/>
              </w:rPr>
              <w:t>(In millions)</w:t>
            </w:r>
          </w:p>
        </w:tc>
        <w:tc>
          <w:tcPr>
            <w:tcW w:w="3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Projected Range</w:t>
            </w:r>
          </w:p>
        </w:tc>
        <w:tc>
          <w:tcPr>
            <w:tcW w:w="0" w:type="dxa"/>
            <w:vAlign w:val="bottom"/>
          </w:tcPr>
          <w:p>
            <w:pPr>
              <w:spacing w:after="0"/>
              <w:rPr>
                <w:sz w:val="1"/>
                <w:szCs w:val="1"/>
                <w:color w:val="auto"/>
              </w:rPr>
            </w:pPr>
          </w:p>
        </w:tc>
      </w:tr>
      <w:tr>
        <w:trPr>
          <w:trHeight w:val="236"/>
        </w:trPr>
        <w:tc>
          <w:tcPr>
            <w:tcW w:w="4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20"/>
                <w:szCs w:val="20"/>
                <w:b w:val="1"/>
                <w:bCs w:val="1"/>
                <w:color w:val="auto"/>
              </w:rPr>
              <w:t>Low</w:t>
            </w:r>
          </w:p>
        </w:tc>
        <w:tc>
          <w:tcPr>
            <w:tcW w:w="340" w:type="dxa"/>
            <w:vAlign w:val="bottom"/>
          </w:tcPr>
          <w:p>
            <w:pPr>
              <w:spacing w:after="0"/>
              <w:rPr>
                <w:sz w:val="20"/>
                <w:szCs w:val="20"/>
                <w:color w:val="auto"/>
              </w:rPr>
            </w:pPr>
          </w:p>
        </w:tc>
        <w:tc>
          <w:tcPr>
            <w:tcW w:w="1220" w:type="dxa"/>
            <w:vAlign w:val="bottom"/>
          </w:tcPr>
          <w:p>
            <w:pPr>
              <w:jc w:val="right"/>
              <w:ind w:right="46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3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2,750</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2,820</w:t>
            </w:r>
          </w:p>
        </w:tc>
        <w:tc>
          <w:tcPr>
            <w:tcW w:w="0" w:type="dxa"/>
            <w:vAlign w:val="bottom"/>
          </w:tcPr>
          <w:p>
            <w:pPr>
              <w:spacing w:after="0"/>
              <w:rPr>
                <w:sz w:val="1"/>
                <w:szCs w:val="1"/>
                <w:color w:val="auto"/>
              </w:rPr>
            </w:pPr>
          </w:p>
        </w:tc>
      </w:tr>
      <w:tr>
        <w:trPr>
          <w:trHeight w:val="189"/>
        </w:trPr>
        <w:tc>
          <w:tcPr>
            <w:tcW w:w="4760" w:type="dxa"/>
            <w:vAlign w:val="bottom"/>
          </w:tcPr>
          <w:p>
            <w:pPr>
              <w:ind w:left="220"/>
              <w:spacing w:after="0" w:line="189" w:lineRule="exact"/>
              <w:rPr>
                <w:sz w:val="20"/>
                <w:szCs w:val="20"/>
                <w:color w:val="auto"/>
              </w:rPr>
            </w:pPr>
            <w:r>
              <w:rPr>
                <w:rFonts w:ascii="Arial" w:cs="Arial" w:eastAsia="Arial" w:hAnsi="Arial"/>
                <w:sz w:val="20"/>
                <w:szCs w:val="20"/>
                <w:color w:val="auto"/>
              </w:rPr>
              <w:t>R&amp;D: Non-cash share-based compensation</w:t>
            </w: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(245)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(265)</w:t>
            </w:r>
          </w:p>
        </w:tc>
        <w:tc>
          <w:tcPr>
            <w:tcW w:w="0" w:type="dxa"/>
            <w:vAlign w:val="bottom"/>
          </w:tcPr>
          <w:p>
            <w:pPr>
              <w:spacing w:after="0"/>
              <w:rPr>
                <w:sz w:val="1"/>
                <w:szCs w:val="1"/>
                <w:color w:val="auto"/>
              </w:rPr>
            </w:pPr>
          </w:p>
        </w:tc>
      </w:tr>
      <w:tr>
        <w:trPr>
          <w:trHeight w:val="243"/>
        </w:trPr>
        <w:tc>
          <w:tcPr>
            <w:tcW w:w="4760" w:type="dxa"/>
            <w:vAlign w:val="bottom"/>
          </w:tcPr>
          <w:p>
            <w:pPr>
              <w:ind w:left="400"/>
              <w:spacing w:after="0"/>
              <w:rPr>
                <w:sz w:val="20"/>
                <w:szCs w:val="20"/>
                <w:color w:val="auto"/>
              </w:rPr>
            </w:pPr>
            <w:r>
              <w:rPr>
                <w:rFonts w:ascii="Arial" w:cs="Arial" w:eastAsia="Arial" w:hAnsi="Arial"/>
                <w:sz w:val="20"/>
                <w:szCs w:val="20"/>
                <w:color w:val="auto"/>
              </w:rPr>
              <w:t>expense</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R&amp;D: Up-front payments related to license and</w:t>
            </w: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collaboration agreements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2,470</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1,425</w:t>
            </w:r>
          </w:p>
        </w:tc>
        <w:tc>
          <w:tcPr>
            <w:tcW w:w="120" w:type="dxa"/>
            <w:vAlign w:val="bottom"/>
          </w:tcPr>
          <w:p>
            <w:pPr>
              <w:spacing w:after="0"/>
              <w:rPr>
                <w:sz w:val="21"/>
                <w:szCs w:val="21"/>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1,475</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SG&amp;A: Non-cash share-based compensation</w:t>
            </w: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(180)</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expense</w:t>
            </w: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20"/>
              <w:spacing w:after="0" w:line="189" w:lineRule="exact"/>
              <w:rPr>
                <w:sz w:val="20"/>
                <w:szCs w:val="20"/>
                <w:color w:val="auto"/>
              </w:rPr>
            </w:pPr>
            <w:r>
              <w:rPr>
                <w:rFonts w:ascii="Arial" w:cs="Arial" w:eastAsia="Arial" w:hAnsi="Arial"/>
                <w:sz w:val="20"/>
                <w:szCs w:val="20"/>
                <w:color w:val="auto"/>
              </w:rPr>
              <w:t>SG&amp;A: Litigation contingencies and restructuring-</w:t>
            </w: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related expenses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1,265</w:t>
            </w: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COGS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525</w:t>
            </w:r>
          </w:p>
        </w:tc>
        <w:tc>
          <w:tcPr>
            <w:tcW w:w="0" w:type="dxa"/>
            <w:vAlign w:val="bottom"/>
          </w:tcPr>
          <w:p>
            <w:pPr>
              <w:spacing w:after="0"/>
              <w:rPr>
                <w:sz w:val="1"/>
                <w:szCs w:val="1"/>
                <w:color w:val="auto"/>
              </w:rPr>
            </w:pPr>
          </w:p>
        </w:tc>
      </w:tr>
      <w:tr>
        <w:trPr>
          <w:trHeight w:val="189"/>
        </w:trPr>
        <w:tc>
          <w:tcPr>
            <w:tcW w:w="4760" w:type="dxa"/>
            <w:vAlign w:val="bottom"/>
          </w:tcPr>
          <w:p>
            <w:pPr>
              <w:ind w:left="220"/>
              <w:spacing w:after="0" w:line="189" w:lineRule="exact"/>
              <w:rPr>
                <w:sz w:val="20"/>
                <w:szCs w:val="20"/>
                <w:color w:val="auto"/>
              </w:rPr>
            </w:pPr>
            <w:r>
              <w:rPr>
                <w:rFonts w:ascii="Arial" w:cs="Arial" w:eastAsia="Arial" w:hAnsi="Arial"/>
                <w:sz w:val="20"/>
                <w:szCs w:val="20"/>
                <w:color w:val="auto"/>
              </w:rPr>
              <w:t>COGS: Non-cash share-based compensation</w:t>
            </w:r>
          </w:p>
        </w:tc>
        <w:tc>
          <w:tcPr>
            <w:tcW w:w="3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43"/>
        </w:trPr>
        <w:tc>
          <w:tcPr>
            <w:tcW w:w="4760" w:type="dxa"/>
            <w:vAlign w:val="bottom"/>
          </w:tcPr>
          <w:p>
            <w:pPr>
              <w:ind w:left="400"/>
              <w:spacing w:after="0"/>
              <w:rPr>
                <w:sz w:val="20"/>
                <w:szCs w:val="20"/>
                <w:color w:val="auto"/>
              </w:rPr>
            </w:pPr>
            <w:r>
              <w:rPr>
                <w:rFonts w:ascii="Arial" w:cs="Arial" w:eastAsia="Arial" w:hAnsi="Arial"/>
                <w:sz w:val="20"/>
                <w:szCs w:val="20"/>
                <w:color w:val="auto"/>
              </w:rPr>
              <w:t>expense</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COGS: Other</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COGS</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20"/>
                <w:szCs w:val="20"/>
                <w:color w:val="auto"/>
              </w:rPr>
              <w:t>GAAP ETR</w:t>
            </w: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20"/>
                <w:szCs w:val="20"/>
                <w:color w:val="auto"/>
              </w:rPr>
              <w:t>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20"/>
              <w:spacing w:after="0" w:line="189" w:lineRule="exact"/>
              <w:rPr>
                <w:sz w:val="20"/>
                <w:szCs w:val="20"/>
                <w:color w:val="auto"/>
              </w:rPr>
            </w:pPr>
            <w:r>
              <w:rPr>
                <w:rFonts w:ascii="Arial" w:cs="Arial" w:eastAsia="Arial" w:hAnsi="Arial"/>
                <w:sz w:val="20"/>
                <w:szCs w:val="20"/>
                <w:color w:val="auto"/>
              </w:rPr>
              <w:t>Income tax effect of GAAP to non-GAAP</w:t>
            </w: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reconciling items and other</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844"/>
        </w:trPr>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879" w:right="1440" w:bottom="1440" w:gutter="0" w:footer="0" w:header="0"/>
        </w:sectPr>
      </w:pPr>
    </w:p>
    <w:bookmarkStart w:id="10" w:name="page11"/>
    <w:bookmarkEnd w:id="10"/>
    <w:p>
      <w:pPr>
        <w:ind w:left="340" w:right="360" w:hanging="334"/>
        <w:spacing w:after="0" w:line="20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R&amp;D, non-GAAP SG&amp;A, non-GAAP COGS, non-GAAP other income (expense) net, non-GAAP effective tax rate,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w:t>
      </w:r>
    </w:p>
    <w:p>
      <w:pPr>
        <w:spacing w:after="0" w:line="167" w:lineRule="exact"/>
        <w:rPr>
          <w:rFonts w:ascii="Arial" w:cs="Arial" w:eastAsia="Arial" w:hAnsi="Arial"/>
          <w:sz w:val="22"/>
          <w:szCs w:val="22"/>
          <w:color w:val="auto"/>
          <w:vertAlign w:val="superscript"/>
        </w:rPr>
      </w:pPr>
    </w:p>
    <w:p>
      <w:pPr>
        <w:ind w:left="340"/>
        <w:spacing w:after="0" w:line="215"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restructuring-related expenses, including employee separation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55" w:lineRule="exact"/>
        <w:rPr>
          <w:rFonts w:ascii="Arial" w:cs="Arial" w:eastAsia="Arial" w:hAnsi="Arial"/>
          <w:sz w:val="22"/>
          <w:szCs w:val="22"/>
          <w:color w:val="auto"/>
          <w:vertAlign w:val="superscript"/>
        </w:rPr>
      </w:pPr>
    </w:p>
    <w:p>
      <w:pPr>
        <w:ind w:left="340" w:right="20" w:hanging="334"/>
        <w:spacing w:after="0" w:line="212"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-3398520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40" w:top="1028" w:right="37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880"/>
        <w:spacing w:after="0" w:line="239" w:lineRule="auto"/>
        <w:rPr>
          <w:sz w:val="20"/>
          <w:szCs w:val="20"/>
          <w:color w:val="auto"/>
        </w:rPr>
      </w:pPr>
      <w:r>
        <w:rPr>
          <w:rFonts w:ascii="Arial" w:cs="Arial" w:eastAsia="Arial" w:hAnsi="Arial"/>
          <w:sz w:val="20"/>
          <w:szCs w:val="20"/>
          <w:color w:val="auto"/>
        </w:rPr>
        <w:t>The Company's 2020 financial guidance does not assume the completion of any significant business development transactions not completed as of the date of this press release.</w:t>
      </w:r>
    </w:p>
    <w:p>
      <w:pPr>
        <w:spacing w:after="0" w:line="28" w:lineRule="exact"/>
        <w:rPr>
          <w:sz w:val="20"/>
          <w:szCs w:val="20"/>
          <w:color w:val="auto"/>
        </w:rPr>
      </w:pPr>
    </w:p>
    <w:p>
      <w:pPr>
        <w:ind w:right="60"/>
        <w:spacing w:after="0" w:line="218" w:lineRule="auto"/>
        <w:rPr>
          <w:sz w:val="20"/>
          <w:szCs w:val="20"/>
          <w:color w:val="auto"/>
        </w:rPr>
      </w:pPr>
      <w:r>
        <w:rPr>
          <w:rFonts w:ascii="Arial" w:cs="Arial" w:eastAsia="Arial" w:hAnsi="Arial"/>
          <w:sz w:val="19"/>
          <w:szCs w:val="19"/>
          <w:color w:val="auto"/>
        </w:rPr>
        <w:t>Applicable amounts previously reported for the three and nine months ended September 30, 2019 and as of December 31, 2019 have been revised to reflect a change in presentation of cost reimbursements from collaborators who are not deemed to be the Company's customers from collaboration revenue to a reduction of the corresponding operating expense. The Company also changed the presentation of amounts recognized in connection with up-front and development milestone payments received from collaboration revenue to other operating income, as well as the presentation of the corresponding balance sheet accounts. The revisions were reclassifications only and had no impact on the Company's previously reported GAAP and non-GAAP net income and net income per share. Refer to the Company's Form 10-Q for the quarterly period ended September 30, 2020 (Note 1 of the Notes to Condensed Consolidated Financial Statements) for further details.</w:t>
      </w:r>
    </w:p>
    <w:p>
      <w:pPr>
        <w:spacing w:after="0" w:line="32" w:lineRule="exact"/>
        <w:rPr>
          <w:sz w:val="20"/>
          <w:szCs w:val="20"/>
          <w:color w:val="auto"/>
        </w:rPr>
      </w:pPr>
    </w:p>
    <w:p>
      <w:pPr>
        <w:sectPr>
          <w:pgSz w:w="11900" w:h="16838" w:orient="portrait"/>
          <w:cols w:equalWidth="0" w:num="2">
            <w:col w:w="140" w:space="200"/>
            <w:col w:w="10840"/>
          </w:cols>
          <w:pgMar w:left="340" w:top="1028" w:right="379" w:bottom="1440" w:gutter="0" w:footer="0" w:header="0"/>
          <w:type w:val="continuous"/>
        </w:sectPr>
      </w:pPr>
    </w:p>
    <w:p>
      <w:pPr>
        <w:ind w:left="340" w:right="200" w:hanging="334"/>
        <w:spacing w:after="0" w:line="22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40" w:top="1028" w:right="3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49" w:lineRule="exact"/>
        <w:rPr>
          <w:sz w:val="20"/>
          <w:szCs w:val="20"/>
          <w:color w:val="auto"/>
        </w:rPr>
      </w:pPr>
    </w:p>
    <w:p>
      <w:pPr>
        <w:spacing w:after="0" w:line="252" w:lineRule="auto"/>
        <w:rPr>
          <w:sz w:val="20"/>
          <w:szCs w:val="20"/>
          <w:color w:val="auto"/>
        </w:rPr>
      </w:pPr>
      <w:r>
        <w:rPr>
          <w:rFonts w:ascii="Arial" w:cs="Arial" w:eastAsia="Arial" w:hAnsi="Arial"/>
          <w:sz w:val="22"/>
          <w:szCs w:val="22"/>
          <w:color w:val="auto"/>
        </w:rPr>
        <w:t>Regeneron will host a conference call and simultaneous webcast to discuss its third quarter 2020 financial and operating results on Thursday, November 5, 2020, at 8:30 AM. To access this call, dial (888) 660-6127 (U.S.) or (973) 890-8355 (International), conference ID 1535889.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4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eight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pain, infectious diseases, and rare diseases.</w:t>
      </w:r>
    </w:p>
    <w:p>
      <w:pPr>
        <w:spacing w:after="0" w:line="201" w:lineRule="exact"/>
        <w:rPr>
          <w:sz w:val="20"/>
          <w:szCs w:val="20"/>
          <w:color w:val="auto"/>
        </w:rPr>
      </w:pPr>
    </w:p>
    <w:p>
      <w:pPr>
        <w:ind w:right="360"/>
        <w:spacing w:after="0" w:line="251"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49"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Inmazeb</w:t>
      </w:r>
      <w:r>
        <w:rPr>
          <w:rFonts w:ascii="Arial" w:cs="Arial" w:eastAsia="Arial" w:hAnsi="Arial"/>
          <w:sz w:val="12"/>
          <w:szCs w:val="12"/>
          <w:color w:val="auto"/>
        </w:rPr>
        <w:t>TM</w:t>
      </w:r>
      <w:r>
        <w:rPr>
          <w:rFonts w:ascii="Arial" w:cs="Arial" w:eastAsia="Arial" w:hAnsi="Arial"/>
          <w:sz w:val="22"/>
          <w:szCs w:val="22"/>
          <w:color w:val="auto"/>
        </w:rPr>
        <w:t xml:space="preserve"> (atoltivimab, maftivimab, and odesivimab-ebgn), fasinumab, evinacumab, REGN-COV2, Regeneron's oncology programs (including its costimulatory bispecific portfolio), Regeneron's earlier-stage programs, and the use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886" w:right="37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21"/>
          <w:szCs w:val="21"/>
          <w:color w:val="auto"/>
        </w:rPr>
        <w:t>of human genetics in Regeneron's research programs; the likelihood and timing of achieving any of the anticipated milestones described in this press release; safety issues resulting from the administration of Regeneron's Products and product candidates in patients, including serious complications or side effects in connection with the use of Regeneron’s Products and product candidates in clinical trials; the likelihood, timing, and scope of possible regulatory approval and commercial launch of Regeneron's product candidates and new indications for Regeneron's Products, including without limitation EYLEA, Dupixent, Libtayo, Praluent, Kevzara, Inmazeb, evinacumab, fasinumab, REGN-COV2, REGN5458, and REGN6569;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Kevzara, and Inmazeb),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or more cost effective than,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COGS,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as well as Regeneron's agreement with Roche relating to REGN-COV2, to be cancelled or terminated; and risks associated with intellectual property of other parties and pending or future litigation relating thereto (including without limitation the patent litigation and other related proceedings relating to EYLEA, Dupixent, and Praluent),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2019 and its Form 10-Q for the quarterly period ended September 30, 2020. Any forward-looking statements are made based on management's current beliefs and judgment, and the reader is cautioned not to rely on any forward-looking statements made by Regeneron. Regeneron does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8" w:right="339" w:bottom="1440" w:gutter="0" w:footer="0" w:header="0"/>
        </w:sectPr>
      </w:pPr>
    </w:p>
    <w:bookmarkStart w:id="13" w:name="page14"/>
    <w:bookmarkEnd w:id="13"/>
    <w:p>
      <w:pPr>
        <w:ind w:right="280"/>
        <w:spacing w:after="0" w:line="304" w:lineRule="auto"/>
        <w:rPr>
          <w:sz w:val="20"/>
          <w:szCs w:val="20"/>
          <w:color w:val="auto"/>
        </w:rPr>
      </w:pPr>
      <w:r>
        <w:rPr>
          <w:rFonts w:ascii="Arial" w:cs="Arial" w:eastAsia="Arial" w:hAnsi="Arial"/>
          <w:sz w:val="21"/>
          <w:szCs w:val="21"/>
          <w:color w:val="auto"/>
        </w:rPr>
        <w:t>not undertake any obligation to update (publicly or otherwise) any forward-looking statement, including without limitation any financial projection or guidance, whether as a result of new information, future events, or otherwise.</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49"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88" w:right="499" w:bottom="1440" w:gutter="0" w:footer="0" w:header="0"/>
        </w:sectPr>
      </w:pP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 Holko</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914-847-7786</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justin.holko@regeneron.com</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Hala Mirza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914-847-3422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hala.mirza@regeneron.com</w:t>
      </w:r>
    </w:p>
    <w:p>
      <w:pPr>
        <w:spacing w:after="0" w:line="211" w:lineRule="exact"/>
        <w:rPr>
          <w:sz w:val="20"/>
          <w:szCs w:val="20"/>
          <w:color w:val="auto"/>
        </w:rPr>
      </w:pPr>
    </w:p>
    <w:p>
      <w:pPr>
        <w:sectPr>
          <w:pgSz w:w="11900" w:h="16838" w:orient="portrait"/>
          <w:cols w:equalWidth="0" w:num="2">
            <w:col w:w="6100" w:space="720"/>
            <w:col w:w="4260"/>
          </w:cols>
          <w:pgMar w:left="320" w:top="888" w:right="49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888" w:right="49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1</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80"/>
        </w:trPr>
        <w:tc>
          <w:tcPr>
            <w:tcW w:w="80" w:type="dxa"/>
            <w:vAlign w:val="bottom"/>
          </w:tcPr>
          <w:p>
            <w:pPr>
              <w:spacing w:after="0"/>
              <w:rPr>
                <w:sz w:val="24"/>
                <w:szCs w:val="24"/>
                <w:color w:val="auto"/>
              </w:rPr>
            </w:pPr>
          </w:p>
        </w:tc>
        <w:tc>
          <w:tcPr>
            <w:tcW w:w="804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820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80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1"/>
        </w:trPr>
        <w:tc>
          <w:tcPr>
            <w:tcW w:w="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0"/>
        </w:trPr>
        <w:tc>
          <w:tcPr>
            <w:tcW w:w="80" w:type="dxa"/>
            <w:vAlign w:val="bottom"/>
          </w:tcPr>
          <w:p>
            <w:pPr>
              <w:spacing w:after="0"/>
              <w:rPr>
                <w:sz w:val="20"/>
                <w:szCs w:val="20"/>
                <w:color w:val="auto"/>
              </w:rPr>
            </w:pPr>
          </w:p>
        </w:tc>
        <w:tc>
          <w:tcPr>
            <w:tcW w:w="8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line="240"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r>
      <w:tr>
        <w:trPr>
          <w:trHeight w:val="210"/>
        </w:trPr>
        <w:tc>
          <w:tcPr>
            <w:tcW w:w="80" w:type="dxa"/>
            <w:vAlign w:val="bottom"/>
          </w:tcPr>
          <w:p>
            <w:pPr>
              <w:spacing w:after="0"/>
              <w:rPr>
                <w:sz w:val="18"/>
                <w:szCs w:val="18"/>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6,471.1</w:t>
            </w: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30"/>
        </w:trPr>
        <w:tc>
          <w:tcPr>
            <w:tcW w:w="8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 Sanofi and other</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r>
      <w:tr>
        <w:trPr>
          <w:trHeight w:val="230"/>
        </w:trPr>
        <w:tc>
          <w:tcPr>
            <w:tcW w:w="8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2,890.4</w:t>
            </w: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r>
      <w:tr>
        <w:trPr>
          <w:trHeight w:val="229"/>
        </w:trPr>
        <w:tc>
          <w:tcPr>
            <w:tcW w:w="80" w:type="dxa"/>
            <w:vAlign w:val="bottom"/>
          </w:tcPr>
          <w:p>
            <w:pPr>
              <w:spacing w:after="0"/>
              <w:rPr>
                <w:sz w:val="19"/>
                <w:szCs w:val="19"/>
                <w:color w:val="auto"/>
              </w:rPr>
            </w:pPr>
          </w:p>
        </w:tc>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48"/>
        </w:trPr>
        <w:tc>
          <w:tcPr>
            <w:tcW w:w="8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2,514.2</w:t>
            </w: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29"/>
        </w:trPr>
        <w:tc>
          <w:tcPr>
            <w:tcW w:w="80" w:type="dxa"/>
            <w:vAlign w:val="bottom"/>
          </w:tcPr>
          <w:p>
            <w:pPr>
              <w:spacing w:after="0"/>
              <w:rPr>
                <w:sz w:val="19"/>
                <w:szCs w:val="19"/>
                <w:color w:val="auto"/>
              </w:rPr>
            </w:pPr>
          </w:p>
        </w:tc>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29"/>
        </w:trPr>
        <w:tc>
          <w:tcPr>
            <w:tcW w:w="80" w:type="dxa"/>
            <w:vAlign w:val="bottom"/>
          </w:tcPr>
          <w:p>
            <w:pPr>
              <w:spacing w:after="0"/>
              <w:rPr>
                <w:sz w:val="19"/>
                <w:szCs w:val="19"/>
                <w:color w:val="auto"/>
              </w:rPr>
            </w:pPr>
          </w:p>
        </w:tc>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11,089.7</w:t>
            </w:r>
          </w:p>
        </w:tc>
      </w:tr>
      <w:tr>
        <w:trPr>
          <w:trHeight w:val="248"/>
        </w:trPr>
        <w:tc>
          <w:tcPr>
            <w:tcW w:w="8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hanging="124"/>
        <w:spacing w:after="0"/>
        <w:tabs>
          <w:tab w:leader="none" w:pos="4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revisions have been made to the previously reported December 31, 2019 amounts. See note (4) above.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891" w:right="3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2</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80"/>
        </w:trPr>
        <w:tc>
          <w:tcPr>
            <w:tcW w:w="260" w:type="dxa"/>
            <w:vAlign w:val="bottom"/>
          </w:tcPr>
          <w:p>
            <w:pPr>
              <w:spacing w:after="0"/>
              <w:rPr>
                <w:sz w:val="24"/>
                <w:szCs w:val="24"/>
                <w:color w:val="auto"/>
              </w:rPr>
            </w:pPr>
          </w:p>
        </w:tc>
        <w:tc>
          <w:tcPr>
            <w:tcW w:w="7320" w:type="dxa"/>
            <w:vAlign w:val="bottom"/>
            <w:gridSpan w:val="6"/>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8640" w:type="dxa"/>
            <w:vAlign w:val="bottom"/>
            <w:gridSpan w:val="9"/>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1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24"/>
                <w:szCs w:val="24"/>
                <w:color w:val="auto"/>
              </w:rPr>
            </w:pPr>
          </w:p>
        </w:tc>
        <w:tc>
          <w:tcPr>
            <w:tcW w:w="21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19"/>
                <w:szCs w:val="19"/>
                <w:color w:val="auto"/>
              </w:rPr>
            </w:pPr>
          </w:p>
        </w:tc>
        <w:tc>
          <w:tcPr>
            <w:tcW w:w="21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260" w:type="dxa"/>
            <w:vAlign w:val="bottom"/>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r>
      <w:tr>
        <w:trPr>
          <w:trHeight w:val="209"/>
        </w:trPr>
        <w:tc>
          <w:tcPr>
            <w:tcW w:w="2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3,548.0</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30"/>
        </w:trPr>
        <w:tc>
          <w:tcPr>
            <w:tcW w:w="2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260" w:type="dxa"/>
            <w:vAlign w:val="bottom"/>
          </w:tcPr>
          <w:p>
            <w:pPr>
              <w:spacing w:after="0"/>
              <w:rPr>
                <w:sz w:val="19"/>
                <w:szCs w:val="19"/>
                <w:color w:val="auto"/>
              </w:rPr>
            </w:pPr>
          </w:p>
        </w:tc>
        <w:tc>
          <w:tcPr>
            <w:tcW w:w="39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4,694.1</w:t>
            </w:r>
          </w:p>
        </w:tc>
      </w:tr>
      <w:tr>
        <w:trPr>
          <w:trHeight w:val="209"/>
        </w:trPr>
        <w:tc>
          <w:tcPr>
            <w:tcW w:w="2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6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w:t>
            </w: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r>
      <w:tr>
        <w:trPr>
          <w:trHeight w:val="229"/>
        </w:trPr>
        <w:tc>
          <w:tcPr>
            <w:tcW w:w="26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30"/>
        </w:trPr>
        <w:tc>
          <w:tcPr>
            <w:tcW w:w="260" w:type="dxa"/>
            <w:vAlign w:val="bottom"/>
          </w:tcPr>
          <w:p>
            <w:pPr>
              <w:spacing w:after="0"/>
              <w:rPr>
                <w:sz w:val="19"/>
                <w:szCs w:val="19"/>
                <w:color w:val="auto"/>
              </w:rPr>
            </w:pPr>
          </w:p>
        </w:tc>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23"/>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r>
      <w:tr>
        <w:trPr>
          <w:trHeight w:val="250"/>
        </w:trPr>
        <w:tc>
          <w:tcPr>
            <w:tcW w:w="260" w:type="dxa"/>
            <w:vAlign w:val="bottom"/>
          </w:tcPr>
          <w:p>
            <w:pPr>
              <w:spacing w:after="0"/>
              <w:rPr>
                <w:sz w:val="21"/>
                <w:szCs w:val="21"/>
                <w:color w:val="auto"/>
              </w:rPr>
            </w:pPr>
          </w:p>
        </w:tc>
        <w:tc>
          <w:tcPr>
            <w:tcW w:w="390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r>
      <w:tr>
        <w:trPr>
          <w:trHeight w:val="270"/>
        </w:trPr>
        <w:tc>
          <w:tcPr>
            <w:tcW w:w="26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r>
      <w:tr>
        <w:trPr>
          <w:trHeight w:val="20"/>
        </w:trPr>
        <w:tc>
          <w:tcPr>
            <w:tcW w:w="2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30"/>
        </w:trPr>
        <w:tc>
          <w:tcPr>
            <w:tcW w:w="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70"/>
        </w:trPr>
        <w:tc>
          <w:tcPr>
            <w:tcW w:w="260" w:type="dxa"/>
            <w:vAlign w:val="bottom"/>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bl>
    <w:p>
      <w:pPr>
        <w:spacing w:after="0" w:line="94" w:lineRule="exact"/>
        <w:rPr>
          <w:sz w:val="20"/>
          <w:szCs w:val="20"/>
          <w:color w:val="auto"/>
        </w:rPr>
      </w:pPr>
    </w:p>
    <w:p>
      <w:pPr>
        <w:ind w:left="600" w:hanging="129"/>
        <w:spacing w:after="0"/>
        <w:tabs>
          <w:tab w:leader="none" w:pos="6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revisions have been made to the previously reported September 30, 2019 amounts. See note (4) above.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320" w:top="891" w:right="5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240" w:type="dxa"/>
            <w:vAlign w:val="bottom"/>
          </w:tcPr>
          <w:p>
            <w:pPr>
              <w:spacing w:after="0"/>
              <w:rPr>
                <w:sz w:val="24"/>
                <w:szCs w:val="24"/>
                <w:color w:val="auto"/>
              </w:rPr>
            </w:pPr>
          </w:p>
        </w:tc>
        <w:tc>
          <w:tcPr>
            <w:tcW w:w="7240" w:type="dxa"/>
            <w:vAlign w:val="bottom"/>
            <w:gridSpan w:val="6"/>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540" w:type="dxa"/>
            <w:vAlign w:val="bottom"/>
            <w:gridSpan w:val="11"/>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INFORMATION (Unaudited)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6900" w:type="dxa"/>
            <w:vAlign w:val="bottom"/>
            <w:gridSpan w:val="5"/>
          </w:tcPr>
          <w:p>
            <w:pPr>
              <w:jc w:val="center"/>
              <w:ind w:left="377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23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R&amp;D</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1,897.6</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R&amp;D: Non-cash share-based compensation expense</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5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R&amp;D: Up-front payments related to license and collaboration</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agreements</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Non-GAAP R&amp;D</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1,319.6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GAAP SG&amp;A</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SG&amp;A: Non-cash share-based compensation expense</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Litigation contingencies and restructuring-related expenses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SG&amp;A</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COGS</w:t>
            </w: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COGS: Non-cash share-based compensation expense</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COGS: Other</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Non-GAAP COGS</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GAAP other income (expense), net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income/expense: Losses (gains) on investments</w:t>
            </w: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Other</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other income (expense), net</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of GAAP to non-GAAP reconciling items above</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811.5</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1,969.5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GAAP effective tax rate</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3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Non-GAAP effective tax rate</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Free cash flow reconciliation:</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1,642.6</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1,352.0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891" w:right="5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220" w:type="dxa"/>
            <w:vAlign w:val="bottom"/>
          </w:tcPr>
          <w:p>
            <w:pPr>
              <w:spacing w:after="0"/>
              <w:rPr>
                <w:sz w:val="24"/>
                <w:szCs w:val="24"/>
                <w:color w:val="auto"/>
              </w:rPr>
            </w:pPr>
          </w:p>
        </w:tc>
        <w:tc>
          <w:tcPr>
            <w:tcW w:w="7220" w:type="dxa"/>
            <w:vAlign w:val="bottom"/>
            <w:gridSpan w:val="4"/>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220" w:type="dxa"/>
            <w:vAlign w:val="bottom"/>
            <w:gridSpan w:val="4"/>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COLLABORATION REVENUE (Unaudited)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5980" w:type="dxa"/>
            <w:vAlign w:val="bottom"/>
          </w:tcPr>
          <w:p>
            <w:pPr>
              <w:jc w:val="center"/>
              <w:ind w:left="475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3"/>
                <w:szCs w:val="23"/>
                <w:b w:val="1"/>
                <w:bCs w:val="1"/>
                <w:color w:val="auto"/>
                <w:vertAlign w:val="superscript"/>
              </w:rPr>
              <w: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Antibody: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59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antibodies</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Immuno-oncology: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9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share of losses in connection with commercialization of Libtayo</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5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Regeneron's net profit in connection with commercialization of EYLEA</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80" w:hanging="122"/>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revisions have been made to the previously reported September 30, 2019 amounts. See note (4) above.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891" w:right="5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5</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1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360" w:type="dxa"/>
            <w:vAlign w:val="bottom"/>
            <w:gridSpan w:val="19"/>
          </w:tcPr>
          <w:p>
            <w:pPr>
              <w:jc w:val="center"/>
              <w:ind w:left="555"/>
              <w:spacing w:after="0"/>
              <w:rPr>
                <w:sz w:val="20"/>
                <w:szCs w:val="20"/>
                <w:color w:val="auto"/>
              </w:rPr>
            </w:pPr>
            <w:r>
              <w:rPr>
                <w:rFonts w:ascii="Times New Roman" w:cs="Times New Roman" w:eastAsia="Times New Roman" w:hAnsi="Times New Roman"/>
                <w:sz w:val="18"/>
                <w:szCs w:val="18"/>
                <w:b w:val="1"/>
                <w:bCs w:val="1"/>
                <w:color w:val="auto"/>
                <w:w w:val="99"/>
              </w:rPr>
              <w:t>NET PRODUCT SALES OF REGENERON-DISCOVERED PRODUCTS (Unaudited)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Net Product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gridSpan w:val="2"/>
            <w:vMerge w:val="restart"/>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Sales Recorded</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7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ROW</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30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by Regeneron</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Dupixent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(b)</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(c)</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Kevzara</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REGN-COV2</w:t>
            </w:r>
            <w:r>
              <w:rPr>
                <w:rFonts w:ascii="Times New Roman" w:cs="Times New Roman" w:eastAsia="Times New Roman" w:hAnsi="Times New Roman"/>
                <w:sz w:val="23"/>
                <w:szCs w:val="23"/>
                <w:color w:val="auto"/>
                <w:vertAlign w:val="superscript"/>
              </w:rPr>
              <w:t>(d)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ARCALYST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Net Product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80" w:type="dxa"/>
            <w:vAlign w:val="bottom"/>
            <w:gridSpan w:val="2"/>
            <w:vMerge w:val="restart"/>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Sales Recorded</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7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ROW</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line="20" w:lineRule="exact"/>
              <w:rPr>
                <w:sz w:val="1"/>
                <w:szCs w:val="1"/>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30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by Regeneron</w:t>
            </w: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58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Dupixent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(b)</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(c)</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Kevzara</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REGN-COV2</w:t>
            </w:r>
            <w:r>
              <w:rPr>
                <w:rFonts w:ascii="Times New Roman" w:cs="Times New Roman" w:eastAsia="Times New Roman" w:hAnsi="Times New Roman"/>
                <w:sz w:val="23"/>
                <w:szCs w:val="23"/>
                <w:color w:val="auto"/>
                <w:vertAlign w:val="superscript"/>
              </w:rPr>
              <w:t>(d)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ARCALYST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right="160" w:firstLine="2"/>
        <w:spacing w:after="0" w:line="222" w:lineRule="auto"/>
        <w:tabs>
          <w:tab w:leader="none" w:pos="417"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5" w:lineRule="exact"/>
        <w:rPr>
          <w:rFonts w:ascii="Times New Roman" w:cs="Times New Roman" w:eastAsia="Times New Roman" w:hAnsi="Times New Roman"/>
          <w:sz w:val="20"/>
          <w:szCs w:val="20"/>
          <w:color w:val="auto"/>
          <w:vertAlign w:val="superscript"/>
        </w:rPr>
      </w:pPr>
    </w:p>
    <w:p>
      <w:pPr>
        <w:ind w:left="260" w:right="40" w:firstLine="2"/>
        <w:spacing w:after="0" w:line="223" w:lineRule="auto"/>
        <w:tabs>
          <w:tab w:leader="none" w:pos="42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Regeneron records net product sales of Libtayo in the United States. Sanofi records net product sales of Libtayo outside the United States and global net product sales of Dupixent, Kevzara, and ZALTRAP. The Company records its share of profits/losses in connection with (i) sales of Libtayo outside the United States, and (ii) global sales of Dupixent and Kevzara, within collaboration revenue (see Table 4). Sanofi pays the Company a percentage of net sales of ZALTRAP.</w:t>
      </w:r>
    </w:p>
    <w:p>
      <w:pPr>
        <w:spacing w:after="0" w:line="5" w:lineRule="exact"/>
        <w:rPr>
          <w:rFonts w:ascii="Times New Roman" w:cs="Times New Roman" w:eastAsia="Times New Roman" w:hAnsi="Times New Roman"/>
          <w:sz w:val="20"/>
          <w:szCs w:val="20"/>
          <w:color w:val="auto"/>
          <w:vertAlign w:val="superscript"/>
        </w:rPr>
      </w:pPr>
    </w:p>
    <w:p>
      <w:pPr>
        <w:ind w:left="260" w:right="340" w:firstLine="2"/>
        <w:spacing w:after="0" w:line="223" w:lineRule="auto"/>
        <w:tabs>
          <w:tab w:leader="none" w:pos="417"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w:t>
      </w:r>
    </w:p>
    <w:p>
      <w:pPr>
        <w:ind w:left="420" w:hanging="158"/>
        <w:spacing w:after="0" w:line="225" w:lineRule="auto"/>
        <w:tabs>
          <w:tab w:leader="none" w:pos="42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Regeneron records net product sales of REGN-COV2 in connection with our agreement with the U.S. government</w:t>
      </w:r>
    </w:p>
    <w:p>
      <w:pPr>
        <w:spacing w:after="0" w:line="24" w:lineRule="exact"/>
        <w:rPr>
          <w:rFonts w:ascii="Times New Roman" w:cs="Times New Roman" w:eastAsia="Times New Roman" w:hAnsi="Times New Roman"/>
          <w:sz w:val="20"/>
          <w:szCs w:val="20"/>
          <w:color w:val="auto"/>
          <w:vertAlign w:val="superscript"/>
        </w:rPr>
      </w:pPr>
    </w:p>
    <w:p>
      <w:pPr>
        <w:ind w:left="420" w:hanging="158"/>
        <w:spacing w:after="0" w:line="191" w:lineRule="auto"/>
        <w:tabs>
          <w:tab w:leader="none" w:pos="4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2020-11-05T06:33:24Z</dcterms:created>
  <dcterms:modified xsi:type="dcterms:W3CDTF">2020-11-05T06:33:24Z</dcterms:modified>
</cp:coreProperties>
</file>