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19, 2015 (November 13, 2015)</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00" w:right="280" w:hanging="89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324"/>
        <w:spacing w:after="0" w:line="257" w:lineRule="auto"/>
        <w:rPr>
          <w:sz w:val="20"/>
          <w:szCs w:val="20"/>
          <w:color w:val="auto"/>
        </w:rPr>
      </w:pPr>
      <w:r>
        <w:rPr>
          <w:rFonts w:ascii="Arial" w:cs="Arial" w:eastAsia="Arial" w:hAnsi="Arial"/>
          <w:sz w:val="18"/>
          <w:szCs w:val="18"/>
          <w:color w:val="auto"/>
        </w:rPr>
        <w:t>On November 13, 2015, the Compensation Committee of the Board of Directors of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approved revised forms of award agreements under the Regeneron Pharmaceuticals, Inc. 2014 Long-Term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non-qualified stock options, incentive stock options and shares of restricted stock may be awarded to the Company’s executive officers, including its named executive officers (collectively, the “</w:t>
      </w:r>
      <w:r>
        <w:rPr>
          <w:rFonts w:ascii="Arial" w:cs="Arial" w:eastAsia="Arial" w:hAnsi="Arial"/>
          <w:sz w:val="18"/>
          <w:szCs w:val="18"/>
          <w:u w:val="single" w:color="auto"/>
          <w:color w:val="auto"/>
        </w:rPr>
        <w:t>Revised Award Agreements</w:t>
      </w:r>
      <w:r>
        <w:rPr>
          <w:rFonts w:ascii="Arial" w:cs="Arial" w:eastAsia="Arial" w:hAnsi="Arial"/>
          <w:sz w:val="18"/>
          <w:szCs w:val="18"/>
          <w:color w:val="auto"/>
        </w:rPr>
        <w:t>”). The Revised Award Agreements will be used commencing with the 2015 annual equity awards expected to be made in December 2015.</w:t>
      </w:r>
    </w:p>
    <w:p>
      <w:pPr>
        <w:spacing w:after="0" w:line="188" w:lineRule="exact"/>
        <w:rPr>
          <w:sz w:val="24"/>
          <w:szCs w:val="24"/>
          <w:color w:val="auto"/>
        </w:rPr>
      </w:pPr>
    </w:p>
    <w:p>
      <w:pPr>
        <w:ind w:right="20" w:firstLine="324"/>
        <w:spacing w:after="0" w:line="269" w:lineRule="auto"/>
        <w:rPr>
          <w:sz w:val="20"/>
          <w:szCs w:val="20"/>
          <w:color w:val="auto"/>
        </w:rPr>
      </w:pPr>
      <w:r>
        <w:rPr>
          <w:rFonts w:ascii="Arial" w:cs="Arial" w:eastAsia="Arial" w:hAnsi="Arial"/>
          <w:sz w:val="17"/>
          <w:szCs w:val="17"/>
          <w:color w:val="auto"/>
        </w:rPr>
        <w:t>The Revised Award Agreements are generally consistent with the existing forms of award agreements under the Plan (previously filed as Exhibits 10.1, 10.2 and 10.3 to the Company’s Current Report on Form 8-K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June 18, 2014) and the description thereof set forth on page 54 (under the heading “Annual Stock Option Awards”) and page 57 (under the heading “Potential Severance Benefits”) of the Company’s Definitive Proxy Statement on Schedule 14A filed with the SEC on April 21, 2015, subject to the qualification in the following sentence. The Revised Award Agreements applicable to future awards to George D. Yancopoulos, M.D., Ph.D., President, Regeneron Laboratories and Chief Scientific Officer of the Company, provide, solely for purposes of the Revised Award Agreements, that Dr. Yancopoulos would have a “Good Reason” for terminating his employment with Regeneron upon or within two years after the occurrence of a Change in Control (as defined in the Plan) and, therefore, would be entitled to acceleration of the awards thereunder if the employment of Leonard S. Schleifer, M.D., Ph.D., the Company’s President and Chief Executive Officer, has ended due to Dr. Schleifer’s “Involuntary Termination” (as defined in the Amended and Restated Employment Agreement, dated as of November 14, 2008, by and between Dr. Schleifer and the Company, as in effect from time to time (previously filed with the SEC as Exhibit 10.3 to the Company’s Annual Report on Form 10-K for the year ended December 31, 2008)).</w:t>
      </w:r>
    </w:p>
    <w:p>
      <w:pPr>
        <w:spacing w:after="0" w:line="183"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The foregoing description of the Revised Award Agreements is qualified in its entirety by reference to the full text of the Revised Award Agreements, which are filed as Exhibits 10.1, 10.2 and 10.3 to this Current Report on Form 8-K and are incorporated herein by reference.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360"/>
          </w:cols>
          <w:pgMar w:left="240" w:top="544" w:right="299" w:bottom="0" w:gutter="0" w:footer="0" w:header="0"/>
        </w:sectPr>
      </w:pPr>
    </w:p>
    <w:bookmarkStart w:id="1" w:name="page2"/>
    <w:bookmarkEnd w:id="1"/>
    <w:p>
      <w:pPr>
        <w:ind w:left="640" w:right="620" w:hanging="647"/>
        <w:spacing w:after="0" w:line="27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stock option agreement and related notice of grant for use in connection with the grant of non-qualified stock options to Regeneron’s executive officers under the Regeneron Pharmaceuticals, Inc. 2014 Long-Term Incentive Plan (revised).</w:t>
      </w:r>
    </w:p>
    <w:p>
      <w:pPr>
        <w:spacing w:after="0" w:line="170"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stock option agreement and related notice of grant for use in connection with the grant of incentive stock options to Regeneron’s executive officers under the Regeneron Pharmaceuticals, Inc. 2014 Long-Term Incentive Plan (revised).</w:t>
      </w:r>
    </w:p>
    <w:p>
      <w:pPr>
        <w:spacing w:after="0" w:line="170" w:lineRule="exact"/>
        <w:rPr>
          <w:sz w:val="20"/>
          <w:szCs w:val="20"/>
          <w:color w:val="auto"/>
        </w:rPr>
      </w:pPr>
    </w:p>
    <w:p>
      <w:pPr>
        <w:ind w:left="640" w:right="260" w:hanging="647"/>
        <w:spacing w:after="0" w:line="277" w:lineRule="auto"/>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restricted stock award agreement and related notice of grant for use in connection with the grant of restricted stock awards to Regeneron’s executive officers under the Regeneron Pharmaceuticals, Inc. 2014 Long-Term Incentive Plan (revised).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color w:val="auto"/>
              </w:rPr>
              <w:t>Date: November 19, 2015</w:t>
            </w: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REGENERON PHARMACEUTICALS, INC.</w:t>
            </w:r>
          </w:p>
        </w:tc>
        <w:tc>
          <w:tcPr>
            <w:tcW w:w="40" w:type="dxa"/>
            <w:vAlign w:val="bottom"/>
          </w:tcPr>
          <w:p>
            <w:pPr>
              <w:spacing w:after="0"/>
              <w:rPr>
                <w:sz w:val="20"/>
                <w:szCs w:val="20"/>
                <w:color w:val="auto"/>
              </w:rPr>
            </w:pPr>
          </w:p>
        </w:tc>
      </w:tr>
      <w:tr>
        <w:trPr>
          <w:trHeight w:val="648"/>
        </w:trPr>
        <w:tc>
          <w:tcPr>
            <w:tcW w:w="3780" w:type="dxa"/>
            <w:vAlign w:val="bottom"/>
          </w:tcPr>
          <w:p>
            <w:pPr>
              <w:spacing w:after="0"/>
              <w:rPr>
                <w:sz w:val="24"/>
                <w:szCs w:val="24"/>
                <w:color w:val="auto"/>
              </w:rPr>
            </w:pPr>
          </w:p>
        </w:tc>
        <w:tc>
          <w:tcPr>
            <w:tcW w:w="2680" w:type="dxa"/>
            <w:vAlign w:val="bottom"/>
          </w:tcPr>
          <w:p>
            <w:pPr>
              <w:ind w:left="19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68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c>
          <w:tcPr>
            <w:tcW w:w="4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680" w:type="dxa"/>
            <w:vAlign w:val="bottom"/>
          </w:tcPr>
          <w:p>
            <w:pPr>
              <w:ind w:left="194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c>
          <w:tcPr>
            <w:tcW w:w="4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Form of stock option agreement and related notice of grant for use in connection with the grant of non-qualified stock options to Regeneron’s</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officers under the Regeneron Pharmaceuticals, Inc. 2014 Long-Term Incentive Plan (revised).</w:t>
            </w:r>
          </w:p>
        </w:tc>
        <w:tc>
          <w:tcPr>
            <w:tcW w:w="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stock option agreement and related notice of grant for use in connection with the grant of incentive stock options to Regeneron’s</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officers under the Regeneron Pharmaceuticals, Inc. 2014 Long-Term Incentive Plan (revised).</w:t>
            </w:r>
          </w:p>
        </w:tc>
        <w:tc>
          <w:tcPr>
            <w:tcW w:w="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restricted stock award agreement and related notice of grant for use in connection with the grant of restricted stock awards to</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Regeneron’s executive officers under the Regeneron Pharmaceuticals, Inc. 2014 Long-Term Incentive Plan (revised).</w:t>
            </w:r>
          </w:p>
        </w:tc>
        <w:tc>
          <w:tcPr>
            <w:tcW w:w="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60" w:type="dxa"/>
            <w:vAlign w:val="bottom"/>
          </w:tcPr>
          <w:p>
            <w:pPr>
              <w:ind w:left="45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9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414"/>
        </w:trPr>
        <w:tc>
          <w:tcPr>
            <w:tcW w:w="4720" w:type="dxa"/>
            <w:vAlign w:val="bottom"/>
          </w:tcPr>
          <w:p>
            <w:pPr>
              <w:spacing w:after="0"/>
              <w:rPr>
                <w:sz w:val="24"/>
                <w:szCs w:val="24"/>
                <w:color w:val="auto"/>
              </w:rPr>
            </w:pPr>
          </w:p>
        </w:tc>
        <w:tc>
          <w:tcPr>
            <w:tcW w:w="6700" w:type="dxa"/>
            <w:vAlign w:val="bottom"/>
            <w:gridSpan w:val="4"/>
          </w:tcPr>
          <w:p>
            <w:pPr>
              <w:ind w:left="1080"/>
              <w:spacing w:after="0"/>
              <w:rPr>
                <w:sz w:val="20"/>
                <w:szCs w:val="20"/>
                <w:color w:val="auto"/>
              </w:rPr>
            </w:pPr>
            <w:r>
              <w:rPr>
                <w:rFonts w:ascii="Arial" w:cs="Arial" w:eastAsia="Arial" w:hAnsi="Arial"/>
                <w:sz w:val="18"/>
                <w:szCs w:val="18"/>
                <w:b w:val="1"/>
                <w:bCs w:val="1"/>
                <w:color w:val="auto"/>
              </w:rPr>
              <w:t>Regeneron Pharmaceuticals, Inc.</w:t>
            </w:r>
          </w:p>
        </w:tc>
        <w:tc>
          <w:tcPr>
            <w:tcW w:w="0" w:type="dxa"/>
            <w:vAlign w:val="bottom"/>
          </w:tcPr>
          <w:p>
            <w:pPr>
              <w:spacing w:after="0"/>
              <w:rPr>
                <w:sz w:val="1"/>
                <w:szCs w:val="1"/>
                <w:color w:val="auto"/>
              </w:rPr>
            </w:pPr>
          </w:p>
        </w:tc>
      </w:tr>
      <w:tr>
        <w:trPr>
          <w:trHeight w:val="2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1720" w:type="dxa"/>
            <w:vAlign w:val="bottom"/>
          </w:tcPr>
          <w:p>
            <w:pPr>
              <w:ind w:left="108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20" w:type="dxa"/>
            <w:vAlign w:val="bottom"/>
            <w:vMerge w:val="continue"/>
          </w:tcPr>
          <w:p>
            <w:pPr>
              <w:spacing w:after="0"/>
              <w:rPr>
                <w:sz w:val="18"/>
                <w:szCs w:val="18"/>
                <w:color w:val="auto"/>
              </w:rPr>
            </w:pPr>
          </w:p>
        </w:tc>
        <w:tc>
          <w:tcPr>
            <w:tcW w:w="3280" w:type="dxa"/>
            <w:vAlign w:val="bottom"/>
            <w:gridSpan w:val="3"/>
          </w:tcPr>
          <w:p>
            <w:pPr>
              <w:ind w:left="1080"/>
              <w:spacing w:after="0"/>
              <w:rPr>
                <w:sz w:val="20"/>
                <w:szCs w:val="20"/>
                <w:color w:val="auto"/>
              </w:rPr>
            </w:pPr>
            <w:r>
              <w:rPr>
                <w:rFonts w:ascii="Arial" w:cs="Arial" w:eastAsia="Arial" w:hAnsi="Arial"/>
                <w:sz w:val="18"/>
                <w:szCs w:val="18"/>
                <w:color w:val="auto"/>
                <w:w w:val="94"/>
              </w:rPr>
              <w:t>777 Old Saw Mill River Road</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and Option Agreement for Time-Based Vesting</w:t>
            </w:r>
          </w:p>
        </w:tc>
        <w:tc>
          <w:tcPr>
            <w:tcW w:w="3280" w:type="dxa"/>
            <w:vAlign w:val="bottom"/>
            <w:gridSpan w:val="3"/>
          </w:tcPr>
          <w:p>
            <w:pPr>
              <w:ind w:left="1080"/>
              <w:spacing w:after="0"/>
              <w:rPr>
                <w:sz w:val="20"/>
                <w:szCs w:val="20"/>
                <w:color w:val="auto"/>
              </w:rPr>
            </w:pPr>
            <w:r>
              <w:rPr>
                <w:rFonts w:ascii="Arial" w:cs="Arial" w:eastAsia="Arial" w:hAnsi="Arial"/>
                <w:sz w:val="18"/>
                <w:szCs w:val="18"/>
                <w:color w:val="auto"/>
                <w:w w:val="97"/>
              </w:rPr>
              <w:t>Tarrytown, New York 10591</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2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560" w:type="dxa"/>
            <w:vAlign w:val="bottom"/>
            <w:gridSpan w:val="2"/>
          </w:tcPr>
          <w:p>
            <w:pPr>
              <w:ind w:left="1080"/>
              <w:spacing w:after="0"/>
              <w:rPr>
                <w:sz w:val="20"/>
                <w:szCs w:val="20"/>
                <w:color w:val="auto"/>
              </w:rPr>
            </w:pPr>
            <w:r>
              <w:rPr>
                <w:rFonts w:ascii="Arial" w:cs="Arial" w:eastAsia="Arial" w:hAnsi="Arial"/>
                <w:sz w:val="18"/>
                <w:szCs w:val="18"/>
                <w:b w:val="1"/>
                <w:bCs w:val="1"/>
                <w:color w:val="auto"/>
              </w:rPr>
              <w:t>Option Number:</w:t>
            </w: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3420" w:type="dxa"/>
            <w:vAlign w:val="bottom"/>
          </w:tcPr>
          <w:p>
            <w:pPr>
              <w:jc w:val="right"/>
              <w:ind w:right="32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720" w:type="dxa"/>
            <w:vAlign w:val="bottom"/>
          </w:tcPr>
          <w:p>
            <w:pPr>
              <w:ind w:left="1080"/>
              <w:spacing w:after="0"/>
              <w:rPr>
                <w:sz w:val="20"/>
                <w:szCs w:val="20"/>
                <w:color w:val="auto"/>
              </w:rPr>
            </w:pPr>
            <w:r>
              <w:rPr>
                <w:rFonts w:ascii="Arial" w:cs="Arial" w:eastAsia="Arial" w:hAnsi="Arial"/>
                <w:sz w:val="18"/>
                <w:szCs w:val="18"/>
                <w:b w:val="1"/>
                <w:bCs w:val="1"/>
                <w:color w:val="auto"/>
              </w:rPr>
              <w:t>Plan:</w:t>
            </w:r>
          </w:p>
        </w:tc>
        <w:tc>
          <w:tcPr>
            <w:tcW w:w="840" w:type="dxa"/>
            <w:vAlign w:val="bottom"/>
          </w:tcPr>
          <w:p>
            <w:pPr>
              <w:spacing w:after="0"/>
              <w:rPr>
                <w:sz w:val="18"/>
                <w:szCs w:val="18"/>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3420" w:type="dxa"/>
            <w:vAlign w:val="bottom"/>
          </w:tcPr>
          <w:p>
            <w:pPr>
              <w:jc w:val="right"/>
              <w:ind w:right="32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1720" w:type="dxa"/>
            <w:vAlign w:val="bottom"/>
          </w:tcPr>
          <w:p>
            <w:pPr>
              <w:ind w:left="1080"/>
              <w:spacing w:after="0"/>
              <w:rPr>
                <w:sz w:val="20"/>
                <w:szCs w:val="20"/>
                <w:color w:val="auto"/>
              </w:rPr>
            </w:pPr>
            <w:r>
              <w:rPr>
                <w:rFonts w:ascii="Arial" w:cs="Arial" w:eastAsia="Arial" w:hAnsi="Arial"/>
                <w:sz w:val="18"/>
                <w:szCs w:val="18"/>
                <w:b w:val="1"/>
                <w:bCs w:val="1"/>
                <w:color w:val="auto"/>
              </w:rPr>
              <w:t>ID</w:t>
            </w:r>
          </w:p>
        </w:tc>
        <w:tc>
          <w:tcPr>
            <w:tcW w:w="84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3420" w:type="dxa"/>
            <w:vAlign w:val="bottom"/>
          </w:tcPr>
          <w:p>
            <w:pPr>
              <w:jc w:val="right"/>
              <w:ind w:right="32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170" w:lineRule="exact"/>
        <w:rPr>
          <w:sz w:val="20"/>
          <w:szCs w:val="20"/>
          <w:color w:val="auto"/>
        </w:rPr>
      </w:pPr>
    </w:p>
    <w:p>
      <w:pPr>
        <w:spacing w:after="0"/>
        <w:tabs>
          <w:tab w:leader="none" w:pos="362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Shares</w:t>
            </w:r>
          </w:p>
        </w:tc>
        <w:tc>
          <w:tcPr>
            <w:tcW w:w="18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Vest Type</w:t>
            </w:r>
          </w:p>
        </w:tc>
        <w:tc>
          <w:tcPr>
            <w:tcW w:w="68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Full Vest</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ind w:right="313"/>
              <w:spacing w:after="0"/>
              <w:rPr>
                <w:sz w:val="20"/>
                <w:szCs w:val="20"/>
                <w:color w:val="auto"/>
              </w:rPr>
            </w:pPr>
            <w:r>
              <w:rPr>
                <w:rFonts w:ascii="Arial" w:cs="Arial" w:eastAsia="Arial" w:hAnsi="Arial"/>
                <w:sz w:val="18"/>
                <w:szCs w:val="18"/>
                <w:color w:val="auto"/>
                <w:w w:val="88"/>
              </w:rPr>
              <w:t>On Vest Date</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8"/>
              </w:rPr>
              <w:t>On Vest Date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88"/>
              </w:rPr>
              <w:t>On Vest Date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88"/>
              </w:rPr>
              <w:t>On Vest Date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418"/>
        </w:trPr>
        <w:tc>
          <w:tcPr>
            <w:tcW w:w="3340" w:type="dxa"/>
            <w:vAlign w:val="bottom"/>
            <w:gridSpan w:val="3"/>
          </w:tcPr>
          <w:p>
            <w:pPr>
              <w:spacing w:after="0"/>
              <w:rPr>
                <w:sz w:val="20"/>
                <w:szCs w:val="20"/>
                <w:color w:val="auto"/>
              </w:rPr>
            </w:pPr>
            <w:r>
              <w:rPr>
                <w:rFonts w:ascii="Arial" w:cs="Arial" w:eastAsia="Arial" w:hAnsi="Arial"/>
                <w:sz w:val="18"/>
                <w:szCs w:val="18"/>
                <w:color w:val="auto"/>
                <w:w w:val="94"/>
              </w:rPr>
              <w:t>The Non-Qualified Stock Option expires on [</w:t>
            </w:r>
          </w:p>
        </w:tc>
        <w:tc>
          <w:tcPr>
            <w:tcW w:w="2660" w:type="dxa"/>
            <w:vAlign w:val="bottom"/>
            <w:gridSpan w:val="4"/>
          </w:tcPr>
          <w:p>
            <w:pPr>
              <w:jc w:val="right"/>
              <w:ind w:right="34"/>
              <w:spacing w:after="0"/>
              <w:rPr>
                <w:sz w:val="20"/>
                <w:szCs w:val="20"/>
                <w:color w:val="auto"/>
              </w:rPr>
            </w:pPr>
            <w:r>
              <w:rPr>
                <w:rFonts w:ascii="Arial" w:cs="Arial" w:eastAsia="Arial" w:hAnsi="Arial"/>
                <w:sz w:val="18"/>
                <w:szCs w:val="18"/>
                <w:color w:val="auto"/>
              </w:rPr>
              <w:t>]*** (the “Expiration Date”).</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3" w:lineRule="exact"/>
        <w:rPr>
          <w:sz w:val="20"/>
          <w:szCs w:val="20"/>
          <w:color w:val="auto"/>
        </w:rPr>
      </w:pPr>
    </w:p>
    <w:p>
      <w:pPr>
        <w:ind w:left="460" w:right="40" w:hanging="452"/>
        <w:spacing w:after="0" w:line="277" w:lineRule="auto"/>
        <w:tabs>
          <w:tab w:leader="none" w:pos="456" w:val="left"/>
        </w:tabs>
        <w:numPr>
          <w:ilvl w:val="0"/>
          <w:numId w:val="1"/>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LONG-TERM INCENTIVE PLAN</w:t>
      </w:r>
    </w:p>
    <w:p>
      <w:pPr>
        <w:spacing w:after="0" w:line="211" w:lineRule="exact"/>
        <w:rPr>
          <w:sz w:val="20"/>
          <w:szCs w:val="20"/>
          <w:color w:val="auto"/>
        </w:rPr>
      </w:pPr>
    </w:p>
    <w:p>
      <w:pPr>
        <w:ind w:right="360"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166"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181" w:lineRule="exact"/>
        <w:rPr>
          <w:sz w:val="20"/>
          <w:szCs w:val="20"/>
          <w:color w:val="auto"/>
        </w:rPr>
      </w:pPr>
    </w:p>
    <w:p>
      <w:pPr>
        <w:jc w:val="both"/>
        <w:ind w:right="40" w:firstLine="1297"/>
        <w:spacing w:after="0" w:line="312" w:lineRule="auto"/>
        <w:rPr>
          <w:sz w:val="20"/>
          <w:szCs w:val="20"/>
          <w:color w:val="auto"/>
        </w:rPr>
      </w:pPr>
      <w:r>
        <w:rPr>
          <w:rFonts w:ascii="Arial" w:cs="Arial" w:eastAsia="Arial" w:hAnsi="Arial"/>
          <w:sz w:val="16"/>
          <w:szCs w:val="16"/>
          <w:color w:val="auto"/>
        </w:rPr>
        <w:t>WHEREAS, the Committee administering the Regeneron Pharmaceuticals, Inc. 2014 Long-Term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has granted (as of the effective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Grantee a Stock Option to purchase the number of shares of the Company’s common stock, $0.001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as set forth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21" w:lineRule="exact"/>
        <w:rPr>
          <w:sz w:val="20"/>
          <w:szCs w:val="20"/>
          <w:color w:val="auto"/>
        </w:rPr>
      </w:pPr>
    </w:p>
    <w:p>
      <w:pPr>
        <w:ind w:right="60" w:firstLine="656"/>
        <w:spacing w:after="0" w:line="281" w:lineRule="auto"/>
        <w:tabs>
          <w:tab w:leader="none" w:pos="129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164" w:lineRule="exact"/>
        <w:rPr>
          <w:rFonts w:ascii="Arial" w:cs="Arial" w:eastAsia="Arial" w:hAnsi="Arial"/>
          <w:sz w:val="17"/>
          <w:szCs w:val="17"/>
          <w:b w:val="1"/>
          <w:bCs w:val="1"/>
          <w:color w:val="auto"/>
        </w:rPr>
      </w:pPr>
    </w:p>
    <w:p>
      <w:pPr>
        <w:ind w:firstLine="656"/>
        <w:spacing w:after="0" w:line="289" w:lineRule="auto"/>
        <w:tabs>
          <w:tab w:leader="none" w:pos="129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is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ectPr>
          <w:pgSz w:w="11900" w:h="16838" w:orient="portrait"/>
          <w:cols w:equalWidth="0" w:num="1">
            <w:col w:w="11420"/>
          </w:cols>
          <w:pgMar w:left="240" w:top="121" w:right="239" w:bottom="0" w:gutter="0" w:footer="0" w:header="0"/>
        </w:sectPr>
      </w:pPr>
    </w:p>
    <w:bookmarkStart w:id="3" w:name="page4"/>
    <w:bookmarkEnd w:id="3"/>
    <w:p>
      <w:pPr>
        <w:spacing w:after="0" w:line="127" w:lineRule="exact"/>
        <w:rPr>
          <w:sz w:val="20"/>
          <w:szCs w:val="20"/>
          <w:color w:val="auto"/>
        </w:rPr>
      </w:pPr>
    </w:p>
    <w:p>
      <w:pPr>
        <w:ind w:left="80" w:firstLine="576"/>
        <w:spacing w:after="0" w:line="270" w:lineRule="auto"/>
        <w:tabs>
          <w:tab w:leader="none" w:pos="1144"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 entitled to exercise the Option with respect to the number of shares of Common Stock granted as indicated provided that the Grantee has not incurred a termination of employment or service with the Company and all Subsidiaries (the Company and all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No vesting shall occur after such date as the Grantee ceases to be employed by or provide services to the Employer and the entire unvested portion of the Option shall be forfeited at such time. The provisions of this Section 2(b) are subject to (i) the provisions set forth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Options </w:t>
      </w:r>
      <w:r>
        <w:rPr>
          <w:rFonts w:ascii="Arial" w:cs="Arial" w:eastAsia="Arial" w:hAnsi="Arial"/>
          <w:sz w:val="17"/>
          <w:szCs w:val="17"/>
          <w:color w:val="auto"/>
        </w:rPr>
        <w:t>and (ii) the Committee’s determination in accordance with Section 7(e) of the Plan.</w:t>
      </w:r>
    </w:p>
    <w:p>
      <w:pPr>
        <w:spacing w:after="0" w:line="177" w:lineRule="exact"/>
        <w:rPr>
          <w:rFonts w:ascii="Arial" w:cs="Arial" w:eastAsia="Arial" w:hAnsi="Arial"/>
          <w:sz w:val="17"/>
          <w:szCs w:val="17"/>
          <w:color w:val="auto"/>
        </w:rPr>
      </w:pPr>
    </w:p>
    <w:p>
      <w:pPr>
        <w:ind w:left="80" w:right="140" w:firstLine="654"/>
        <w:spacing w:after="0" w:line="264" w:lineRule="auto"/>
        <w:tabs>
          <w:tab w:leader="none" w:pos="1108"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Notwithstanding anything herein (except the following sentence) or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contrary, but subject to the provisions of any employment agreement, consulting agreement, change in control agreement or plan, or similar agreement or plan in effect between the Employer and the Grantee (or otherwise applicable to the Grantee)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the Option shall be fully vested on the date of termination of the 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w:t>
      </w:r>
    </w:p>
    <w:p>
      <w:pPr>
        <w:spacing w:after="0" w:line="3" w:lineRule="exact"/>
        <w:rPr>
          <w:sz w:val="20"/>
          <w:szCs w:val="20"/>
          <w:color w:val="auto"/>
        </w:rPr>
      </w:pPr>
    </w:p>
    <w:p>
      <w:pPr>
        <w:ind w:right="2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186" w:lineRule="exact"/>
        <w:rPr>
          <w:rFonts w:ascii="Arial" w:cs="Arial" w:eastAsia="Arial" w:hAnsi="Arial"/>
          <w:sz w:val="18"/>
          <w:szCs w:val="18"/>
          <w:color w:val="auto"/>
        </w:rPr>
      </w:pPr>
    </w:p>
    <w:p>
      <w:pPr>
        <w:ind w:right="60" w:firstLine="656"/>
        <w:spacing w:after="0" w:line="276" w:lineRule="auto"/>
        <w:tabs>
          <w:tab w:leader="none" w:pos="1296"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grant 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long-term disability, (B) the tenth anniversary of this grant if such termination is due to the Grantee’s retirement (as defined in the Company’s employee handbook as in effect on the date hereof) [or the Grantee’s death]</w:t>
      </w:r>
      <w:r>
        <w:rPr>
          <w:rFonts w:ascii="Arial" w:cs="Arial" w:eastAsia="Arial" w:hAnsi="Arial"/>
          <w:sz w:val="20"/>
          <w:szCs w:val="20"/>
          <w:color w:val="auto"/>
          <w:vertAlign w:val="superscript"/>
        </w:rPr>
        <w:t>(1)</w:t>
      </w:r>
      <w:r>
        <w:rPr>
          <w:rFonts w:ascii="Arial" w:cs="Arial" w:eastAsia="Arial" w:hAnsi="Arial"/>
          <w:sz w:val="16"/>
          <w:szCs w:val="16"/>
          <w:color w:val="auto"/>
        </w:rPr>
        <w:t>,</w:t>
      </w:r>
    </w:p>
    <w:p>
      <w:pPr>
        <w:spacing w:after="0" w:line="3" w:lineRule="exact"/>
        <w:rPr>
          <w:rFonts w:ascii="Arial" w:cs="Arial" w:eastAsia="Arial" w:hAnsi="Arial"/>
          <w:sz w:val="16"/>
          <w:szCs w:val="16"/>
          <w:b w:val="1"/>
          <w:bCs w:val="1"/>
          <w:color w:val="auto"/>
        </w:rPr>
      </w:pPr>
    </w:p>
    <w:p>
      <w:pPr>
        <w:ind w:right="220"/>
        <w:spacing w:after="0" w:line="233" w:lineRule="auto"/>
        <w:rPr>
          <w:rFonts w:ascii="Arial" w:cs="Arial" w:eastAsia="Arial" w:hAnsi="Arial"/>
          <w:sz w:val="16"/>
          <w:szCs w:val="16"/>
          <w:b w:val="1"/>
          <w:bCs w:val="1"/>
          <w:color w:val="auto"/>
        </w:rPr>
      </w:pPr>
      <w:r>
        <w:rPr>
          <w:rFonts w:ascii="Arial" w:cs="Arial" w:eastAsia="Arial" w:hAnsi="Arial"/>
          <w:sz w:val="18"/>
          <w:szCs w:val="18"/>
          <w:color w:val="auto"/>
        </w:rPr>
        <w:t>(C) one year after the termination if such termination is due to the Grantee’s [death or]</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205" w:lineRule="exact"/>
        <w:rPr>
          <w:sz w:val="20"/>
          <w:szCs w:val="20"/>
          <w:color w:val="auto"/>
        </w:rPr>
      </w:pPr>
    </w:p>
    <w:p>
      <w:pPr>
        <w:ind w:firstLine="656"/>
        <w:spacing w:after="0" w:line="286" w:lineRule="auto"/>
        <w:tabs>
          <w:tab w:leader="none" w:pos="1304"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367"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Only applicable to Option Agreements for George D. Yancopoulos, M.D., Ph.D.</w:t>
      </w:r>
    </w:p>
    <w:p>
      <w:pPr>
        <w:spacing w:after="0" w:line="1" w:lineRule="exact"/>
        <w:rPr>
          <w:rFonts w:ascii="Arial" w:cs="Arial" w:eastAsia="Arial" w:hAnsi="Arial"/>
          <w:sz w:val="23"/>
          <w:szCs w:val="23"/>
          <w:color w:val="auto"/>
          <w:vertAlign w:val="superscript"/>
        </w:rPr>
      </w:pPr>
    </w:p>
    <w:p>
      <w:pPr>
        <w:ind w:left="240" w:hanging="232"/>
        <w:spacing w:after="0" w:line="194" w:lineRule="auto"/>
        <w:tabs>
          <w:tab w:leader="none" w:pos="2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Not applicable to Option Agreements for 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56"/>
        <w:spacing w:after="0" w:line="312" w:lineRule="auto"/>
        <w:tabs>
          <w:tab w:leader="none" w:pos="1307"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“good reason” (or words</w:t>
      </w:r>
    </w:p>
    <w:p>
      <w:pPr>
        <w:sectPr>
          <w:pgSz w:w="11900" w:h="16966" w:orient="portrait"/>
          <w:cols w:equalWidth="0" w:num="1">
            <w:col w:w="11400"/>
          </w:cols>
          <w:pgMar w:left="240" w:top="341" w:right="259" w:bottom="0" w:gutter="0" w:footer="0" w:header="0"/>
        </w:sectPr>
      </w:pPr>
    </w:p>
    <w:bookmarkStart w:id="4" w:name="page5"/>
    <w:bookmarkEnd w:id="4"/>
    <w:p>
      <w:pPr>
        <w:jc w:val="both"/>
        <w:ind w:right="240"/>
        <w:spacing w:after="0" w:line="288" w:lineRule="auto"/>
        <w:rPr>
          <w:sz w:val="20"/>
          <w:szCs w:val="20"/>
          <w:color w:val="auto"/>
        </w:rPr>
      </w:pPr>
      <w:r>
        <w:rPr>
          <w:rFonts w:ascii="Arial" w:cs="Arial" w:eastAsia="Arial" w:hAnsi="Arial"/>
          <w:sz w:val="16"/>
          <w:szCs w:val="16"/>
          <w:color w:val="auto"/>
        </w:rPr>
        <w:t>of like import)) a termination of employment by the Grantee within one hundred and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w:t>
      </w:r>
    </w:p>
    <w:p>
      <w:pPr>
        <w:jc w:val="both"/>
        <w:ind w:right="20" w:firstLine="8"/>
        <w:spacing w:after="0" w:line="281" w:lineRule="auto"/>
        <w:tabs>
          <w:tab w:leader="none" w:pos="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(1) any material diminution in the Grantee’s duties and responsibilities from those which existed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w:t>
      </w:r>
    </w:p>
    <w:p>
      <w:pPr>
        <w:spacing w:after="0" w:line="2" w:lineRule="exact"/>
        <w:rPr>
          <w:rFonts w:ascii="Arial" w:cs="Arial" w:eastAsia="Arial" w:hAnsi="Arial"/>
          <w:sz w:val="16"/>
          <w:szCs w:val="16"/>
          <w:color w:val="auto"/>
        </w:rPr>
      </w:pPr>
    </w:p>
    <w:p>
      <w:pPr>
        <w:ind w:right="20" w:firstLine="8"/>
        <w:spacing w:after="0" w:line="290" w:lineRule="auto"/>
        <w:tabs>
          <w:tab w:leader="none" w:pos="28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 or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definition 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has ended due to Dr. Schleifer’s Involuntary Termination (as defined in the Employment Agreement)]</w:t>
      </w:r>
      <w:r>
        <w:rPr>
          <w:rFonts w:ascii="Arial" w:cs="Arial" w:eastAsia="Arial" w:hAnsi="Arial"/>
          <w:sz w:val="20"/>
          <w:szCs w:val="20"/>
          <w:color w:val="auto"/>
          <w:vertAlign w:val="superscript"/>
        </w:rPr>
        <w:t>(3)</w:t>
      </w:r>
      <w:r>
        <w:rPr>
          <w:rFonts w:ascii="Arial" w:cs="Arial" w:eastAsia="Arial" w:hAnsi="Arial"/>
          <w:sz w:val="16"/>
          <w:szCs w:val="16"/>
          <w:color w:val="auto"/>
        </w:rPr>
        <w:t>.</w:t>
      </w:r>
    </w:p>
    <w:p>
      <w:pPr>
        <w:spacing w:after="0" w:line="79" w:lineRule="exact"/>
        <w:rPr>
          <w:rFonts w:ascii="Arial" w:cs="Arial" w:eastAsia="Arial" w:hAnsi="Arial"/>
          <w:sz w:val="16"/>
          <w:szCs w:val="16"/>
          <w:color w:val="auto"/>
        </w:rPr>
      </w:pPr>
    </w:p>
    <w:p>
      <w:pPr>
        <w:ind w:firstLine="656"/>
        <w:spacing w:after="0" w:line="254" w:lineRule="auto"/>
        <w:tabs>
          <w:tab w:leader="none" w:pos="1296"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186" w:lineRule="exact"/>
        <w:rPr>
          <w:rFonts w:ascii="Arial" w:cs="Arial" w:eastAsia="Arial" w:hAnsi="Arial"/>
          <w:sz w:val="18"/>
          <w:szCs w:val="18"/>
          <w:b w:val="1"/>
          <w:bCs w:val="1"/>
          <w:color w:val="auto"/>
        </w:rPr>
      </w:pPr>
    </w:p>
    <w:p>
      <w:pPr>
        <w:ind w:right="40" w:firstLine="656"/>
        <w:spacing w:after="0" w:line="281" w:lineRule="auto"/>
        <w:tabs>
          <w:tab w:leader="none" w:pos="1296"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164" w:lineRule="exact"/>
        <w:rPr>
          <w:rFonts w:ascii="Arial" w:cs="Arial" w:eastAsia="Arial" w:hAnsi="Arial"/>
          <w:sz w:val="17"/>
          <w:szCs w:val="17"/>
          <w:b w:val="1"/>
          <w:bCs w:val="1"/>
          <w:color w:val="auto"/>
        </w:rPr>
      </w:pPr>
    </w:p>
    <w:p>
      <w:pPr>
        <w:ind w:right="40" w:firstLine="656"/>
        <w:spacing w:after="0" w:line="270" w:lineRule="auto"/>
        <w:tabs>
          <w:tab w:leader="none" w:pos="1296"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Law and Regulations. </w:t>
      </w:r>
      <w:r>
        <w:rPr>
          <w:rFonts w:ascii="Arial" w:cs="Arial" w:eastAsia="Arial" w:hAnsi="Arial"/>
          <w:sz w:val="17"/>
          <w:szCs w:val="17"/>
          <w:color w:val="auto"/>
        </w:rPr>
        <w:t>This Agreement, the award hereunder and any obligation of the Company hereunder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5660" w:right="5400" w:hanging="5652"/>
        <w:spacing w:after="0" w:line="329" w:lineRule="auto"/>
        <w:tabs>
          <w:tab w:leader="none" w:pos="225"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Only applicable to Option Agreements for George D. Yancopoulos, M.D., Ph.D.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by any applicable federal law, this Agreement shall be construed and administered in accordance with the laws of the State of New York without reference to its principles of conflicts of law.</w:t>
      </w:r>
    </w:p>
    <w:p>
      <w:pPr>
        <w:spacing w:after="0" w:line="166" w:lineRule="exact"/>
        <w:rPr>
          <w:sz w:val="20"/>
          <w:szCs w:val="20"/>
          <w:color w:val="auto"/>
        </w:rPr>
      </w:pPr>
    </w:p>
    <w:p>
      <w:pPr>
        <w:jc w:val="both"/>
        <w:ind w:right="160" w:firstLine="656"/>
        <w:spacing w:after="0" w:line="289" w:lineRule="auto"/>
        <w:tabs>
          <w:tab w:leader="none" w:pos="129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acknowledges receipt of a copy of the Plan and agrees to be bound by all the terms and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158" w:lineRule="exact"/>
        <w:rPr>
          <w:rFonts w:ascii="Arial" w:cs="Arial" w:eastAsia="Arial" w:hAnsi="Arial"/>
          <w:sz w:val="17"/>
          <w:szCs w:val="17"/>
          <w:b w:val="1"/>
          <w:bCs w:val="1"/>
          <w:color w:val="auto"/>
        </w:rPr>
      </w:pPr>
    </w:p>
    <w:p>
      <w:pPr>
        <w:ind w:right="80" w:firstLine="656"/>
        <w:spacing w:after="0" w:line="258" w:lineRule="auto"/>
        <w:tabs>
          <w:tab w:leader="none" w:pos="129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83" w:lineRule="exact"/>
        <w:rPr>
          <w:rFonts w:ascii="Arial" w:cs="Arial" w:eastAsia="Arial" w:hAnsi="Arial"/>
          <w:sz w:val="18"/>
          <w:szCs w:val="18"/>
          <w:b w:val="1"/>
          <w:bCs w:val="1"/>
          <w:color w:val="auto"/>
        </w:rPr>
      </w:pPr>
    </w:p>
    <w:p>
      <w:pPr>
        <w:ind w:right="660" w:firstLine="656"/>
        <w:spacing w:after="0" w:line="282" w:lineRule="auto"/>
        <w:tabs>
          <w:tab w:leader="none" w:pos="129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time period, nor does it modify in any respect the Grantee’s employment or compensation.</w:t>
      </w:r>
    </w:p>
    <w:p>
      <w:pPr>
        <w:spacing w:after="0" w:line="161" w:lineRule="exact"/>
        <w:rPr>
          <w:rFonts w:ascii="Arial" w:cs="Arial" w:eastAsia="Arial" w:hAnsi="Arial"/>
          <w:sz w:val="18"/>
          <w:szCs w:val="18"/>
          <w:b w:val="1"/>
          <w:bCs w:val="1"/>
          <w:color w:val="auto"/>
        </w:rPr>
      </w:pPr>
    </w:p>
    <w:p>
      <w:pPr>
        <w:ind w:right="380" w:firstLine="656"/>
        <w:spacing w:after="0" w:line="261" w:lineRule="auto"/>
        <w:tabs>
          <w:tab w:leader="none" w:pos="129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ectPr>
          <w:pgSz w:w="11900" w:h="16838" w:orient="portrait"/>
          <w:cols w:equalWidth="0" w:num="1">
            <w:col w:w="11420"/>
          </w:cols>
          <w:pgMar w:left="240" w:top="125" w:right="239" w:bottom="314"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4"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3840" w:type="dxa"/>
            <w:vAlign w:val="bottom"/>
            <w:gridSpan w:val="4"/>
          </w:tcPr>
          <w:p>
            <w:pPr>
              <w:ind w:left="1300"/>
              <w:spacing w:after="0"/>
              <w:rPr>
                <w:sz w:val="20"/>
                <w:szCs w:val="20"/>
                <w:color w:val="auto"/>
              </w:rPr>
            </w:pPr>
            <w:r>
              <w:rPr>
                <w:rFonts w:ascii="Arial" w:cs="Arial" w:eastAsia="Arial" w:hAnsi="Arial"/>
                <w:sz w:val="18"/>
                <w:szCs w:val="18"/>
                <w:b w:val="1"/>
                <w:bCs w:val="1"/>
                <w:color w:val="auto"/>
                <w:w w:val="88"/>
              </w:rPr>
              <w:t>Regeneron Pharmaceuticals, Inc.</w:t>
            </w:r>
          </w:p>
        </w:tc>
        <w:tc>
          <w:tcPr>
            <w:tcW w:w="0" w:type="dxa"/>
            <w:vAlign w:val="bottom"/>
          </w:tcPr>
          <w:p>
            <w:pPr>
              <w:spacing w:after="0"/>
              <w:rPr>
                <w:sz w:val="1"/>
                <w:szCs w:val="1"/>
                <w:color w:val="auto"/>
              </w:rPr>
            </w:pPr>
          </w:p>
        </w:tc>
      </w:tr>
      <w:tr>
        <w:trPr>
          <w:trHeight w:val="2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1940" w:type="dxa"/>
            <w:vAlign w:val="bottom"/>
          </w:tcPr>
          <w:p>
            <w:pPr>
              <w:ind w:left="13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20" w:type="dxa"/>
            <w:vAlign w:val="bottom"/>
            <w:vMerge w:val="continue"/>
          </w:tcPr>
          <w:p>
            <w:pPr>
              <w:spacing w:after="0"/>
              <w:rPr>
                <w:sz w:val="18"/>
                <w:szCs w:val="18"/>
                <w:color w:val="auto"/>
              </w:rPr>
            </w:pPr>
          </w:p>
        </w:tc>
        <w:tc>
          <w:tcPr>
            <w:tcW w:w="3480" w:type="dxa"/>
            <w:vAlign w:val="bottom"/>
            <w:gridSpan w:val="3"/>
          </w:tcPr>
          <w:p>
            <w:pPr>
              <w:ind w:left="1300"/>
              <w:spacing w:after="0"/>
              <w:rPr>
                <w:sz w:val="20"/>
                <w:szCs w:val="20"/>
                <w:color w:val="auto"/>
              </w:rPr>
            </w:pPr>
            <w:r>
              <w:rPr>
                <w:rFonts w:ascii="Arial" w:cs="Arial" w:eastAsia="Arial" w:hAnsi="Arial"/>
                <w:sz w:val="18"/>
                <w:szCs w:val="18"/>
                <w:color w:val="auto"/>
                <w:w w:val="93"/>
              </w:rPr>
              <w:t>777 Old Saw Mill River Road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and Option Agreement for Time Vesting</w:t>
            </w:r>
          </w:p>
        </w:tc>
        <w:tc>
          <w:tcPr>
            <w:tcW w:w="3480" w:type="dxa"/>
            <w:vAlign w:val="bottom"/>
            <w:gridSpan w:val="3"/>
          </w:tcPr>
          <w:p>
            <w:pPr>
              <w:ind w:left="1300"/>
              <w:spacing w:after="0"/>
              <w:rPr>
                <w:sz w:val="20"/>
                <w:szCs w:val="20"/>
                <w:color w:val="auto"/>
              </w:rPr>
            </w:pPr>
            <w:r>
              <w:rPr>
                <w:rFonts w:ascii="Arial" w:cs="Arial" w:eastAsia="Arial" w:hAnsi="Arial"/>
                <w:sz w:val="18"/>
                <w:szCs w:val="18"/>
                <w:color w:val="auto"/>
                <w:w w:val="96"/>
              </w:rPr>
              <w:t>Tarrytown, New York 10591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2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760" w:type="dxa"/>
            <w:vAlign w:val="bottom"/>
            <w:gridSpan w:val="2"/>
          </w:tcPr>
          <w:p>
            <w:pPr>
              <w:ind w:left="1300"/>
              <w:spacing w:after="0"/>
              <w:rPr>
                <w:sz w:val="20"/>
                <w:szCs w:val="20"/>
                <w:color w:val="auto"/>
              </w:rPr>
            </w:pPr>
            <w:r>
              <w:rPr>
                <w:rFonts w:ascii="Arial" w:cs="Arial" w:eastAsia="Arial" w:hAnsi="Arial"/>
                <w:sz w:val="18"/>
                <w:szCs w:val="18"/>
                <w:b w:val="1"/>
                <w:bCs w:val="1"/>
                <w:color w:val="auto"/>
              </w:rPr>
              <w:t>Option Number:</w:t>
            </w:r>
          </w:p>
        </w:tc>
        <w:tc>
          <w:tcPr>
            <w:tcW w:w="7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940" w:type="dxa"/>
            <w:vAlign w:val="bottom"/>
          </w:tcPr>
          <w:p>
            <w:pPr>
              <w:ind w:left="1300"/>
              <w:spacing w:after="0"/>
              <w:rPr>
                <w:sz w:val="20"/>
                <w:szCs w:val="20"/>
                <w:color w:val="auto"/>
              </w:rPr>
            </w:pPr>
            <w:r>
              <w:rPr>
                <w:rFonts w:ascii="Arial" w:cs="Arial" w:eastAsia="Arial" w:hAnsi="Arial"/>
                <w:sz w:val="18"/>
                <w:szCs w:val="18"/>
                <w:b w:val="1"/>
                <w:bCs w:val="1"/>
                <w:color w:val="auto"/>
              </w:rPr>
              <w:t>Plan:</w:t>
            </w:r>
          </w:p>
        </w:tc>
        <w:tc>
          <w:tcPr>
            <w:tcW w:w="820" w:type="dxa"/>
            <w:vAlign w:val="bottom"/>
          </w:tcPr>
          <w:p>
            <w:pPr>
              <w:spacing w:after="0"/>
              <w:rPr>
                <w:sz w:val="18"/>
                <w:szCs w:val="18"/>
                <w:color w:val="auto"/>
              </w:rPr>
            </w:pPr>
          </w:p>
        </w:tc>
        <w:tc>
          <w:tcPr>
            <w:tcW w:w="7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1940" w:type="dxa"/>
            <w:vAlign w:val="bottom"/>
          </w:tcPr>
          <w:p>
            <w:pPr>
              <w:ind w:left="1300"/>
              <w:spacing w:after="0"/>
              <w:rPr>
                <w:sz w:val="20"/>
                <w:szCs w:val="20"/>
                <w:color w:val="auto"/>
              </w:rPr>
            </w:pPr>
            <w:r>
              <w:rPr>
                <w:rFonts w:ascii="Arial" w:cs="Arial" w:eastAsia="Arial" w:hAnsi="Arial"/>
                <w:sz w:val="18"/>
                <w:szCs w:val="18"/>
                <w:b w:val="1"/>
                <w:bCs w:val="1"/>
                <w:color w:val="auto"/>
              </w:rPr>
              <w:t>ID</w:t>
            </w:r>
          </w:p>
        </w:tc>
        <w:tc>
          <w:tcPr>
            <w:tcW w:w="820" w:type="dxa"/>
            <w:vAlign w:val="bottom"/>
          </w:tcPr>
          <w:p>
            <w:pPr>
              <w:spacing w:after="0"/>
              <w:rPr>
                <w:sz w:val="20"/>
                <w:szCs w:val="20"/>
                <w:color w:val="auto"/>
              </w:rPr>
            </w:pPr>
          </w:p>
        </w:tc>
        <w:tc>
          <w:tcPr>
            <w:tcW w:w="7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Effective &lt;date&gt; (the “Grant Date”) you have been granted an Incentive Stock Option to buy [ ] shares of Regeneron Pharmaceuticals, Inc. (the “Company”) stock at $[ ] per share.</w:t>
      </w:r>
    </w:p>
    <w:p>
      <w:pPr>
        <w:spacing w:after="0" w:line="170" w:lineRule="exact"/>
        <w:rPr>
          <w:sz w:val="20"/>
          <w:szCs w:val="20"/>
          <w:color w:val="auto"/>
        </w:rPr>
      </w:pPr>
    </w:p>
    <w:p>
      <w:pPr>
        <w:spacing w:after="0"/>
        <w:tabs>
          <w:tab w:leader="none" w:pos="362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266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0"/>
              </w:rPr>
              <w:t>Vest Type</w:t>
            </w:r>
          </w:p>
        </w:tc>
        <w:tc>
          <w:tcPr>
            <w:tcW w:w="20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Full Vest</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On Vest Date</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60" w:type="dxa"/>
            <w:vAlign w:val="bottom"/>
            <w:gridSpan w:val="3"/>
          </w:tcPr>
          <w:p>
            <w:pPr>
              <w:jc w:val="center"/>
              <w:ind w:right="780"/>
              <w:spacing w:after="0"/>
              <w:rPr>
                <w:sz w:val="20"/>
                <w:szCs w:val="20"/>
                <w:color w:val="auto"/>
              </w:rPr>
            </w:pPr>
            <w:r>
              <w:rPr>
                <w:rFonts w:ascii="Arial" w:cs="Arial" w:eastAsia="Arial" w:hAnsi="Arial"/>
                <w:sz w:val="18"/>
                <w:szCs w:val="18"/>
                <w:color w:val="auto"/>
                <w:w w:val="88"/>
              </w:rPr>
              <w:t>On Vest Date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jc w:val="center"/>
              <w:ind w:right="780"/>
              <w:spacing w:after="0"/>
              <w:rPr>
                <w:sz w:val="20"/>
                <w:szCs w:val="20"/>
                <w:color w:val="auto"/>
              </w:rPr>
            </w:pPr>
            <w:r>
              <w:rPr>
                <w:rFonts w:ascii="Arial" w:cs="Arial" w:eastAsia="Arial" w:hAnsi="Arial"/>
                <w:sz w:val="18"/>
                <w:szCs w:val="18"/>
                <w:color w:val="auto"/>
                <w:w w:val="88"/>
              </w:rPr>
              <w:t>On Vest Date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60" w:type="dxa"/>
            <w:vAlign w:val="bottom"/>
            <w:gridSpan w:val="3"/>
          </w:tcPr>
          <w:p>
            <w:pPr>
              <w:jc w:val="center"/>
              <w:ind w:right="780"/>
              <w:spacing w:after="0"/>
              <w:rPr>
                <w:sz w:val="20"/>
                <w:szCs w:val="20"/>
                <w:color w:val="auto"/>
              </w:rPr>
            </w:pPr>
            <w:r>
              <w:rPr>
                <w:rFonts w:ascii="Arial" w:cs="Arial" w:eastAsia="Arial" w:hAnsi="Arial"/>
                <w:sz w:val="18"/>
                <w:szCs w:val="18"/>
                <w:color w:val="auto"/>
                <w:w w:val="88"/>
              </w:rPr>
              <w:t>On Vest Date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418"/>
        </w:trPr>
        <w:tc>
          <w:tcPr>
            <w:tcW w:w="2960" w:type="dxa"/>
            <w:vAlign w:val="bottom"/>
            <w:gridSpan w:val="2"/>
          </w:tcPr>
          <w:p>
            <w:pPr>
              <w:spacing w:after="0"/>
              <w:rPr>
                <w:sz w:val="20"/>
                <w:szCs w:val="20"/>
                <w:color w:val="auto"/>
              </w:rPr>
            </w:pPr>
            <w:r>
              <w:rPr>
                <w:rFonts w:ascii="Arial" w:cs="Arial" w:eastAsia="Arial" w:hAnsi="Arial"/>
                <w:sz w:val="18"/>
                <w:szCs w:val="18"/>
                <w:color w:val="auto"/>
                <w:w w:val="93"/>
              </w:rPr>
              <w:t>The Incentive Stock Option expires on [</w:t>
            </w:r>
          </w:p>
        </w:tc>
        <w:tc>
          <w:tcPr>
            <w:tcW w:w="2660" w:type="dxa"/>
            <w:vAlign w:val="bottom"/>
            <w:gridSpan w:val="3"/>
          </w:tcPr>
          <w:p>
            <w:pPr>
              <w:ind w:left="420"/>
              <w:spacing w:after="0"/>
              <w:rPr>
                <w:sz w:val="20"/>
                <w:szCs w:val="20"/>
                <w:color w:val="auto"/>
              </w:rPr>
            </w:pPr>
            <w:r>
              <w:rPr>
                <w:rFonts w:ascii="Arial" w:cs="Arial" w:eastAsia="Arial" w:hAnsi="Arial"/>
                <w:sz w:val="18"/>
                <w:szCs w:val="18"/>
                <w:color w:val="auto"/>
              </w:rPr>
              <w:t>]*** (the “Expiration Date”).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3" w:lineRule="exact"/>
        <w:rPr>
          <w:sz w:val="20"/>
          <w:szCs w:val="20"/>
          <w:color w:val="auto"/>
        </w:rPr>
      </w:pPr>
    </w:p>
    <w:p>
      <w:pPr>
        <w:ind w:left="460" w:right="40" w:hanging="452"/>
        <w:spacing w:after="0" w:line="277" w:lineRule="auto"/>
        <w:tabs>
          <w:tab w:leader="none" w:pos="4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 PURSUANT TO THE 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LONG-TERM INCENTIVE PLAN</w:t>
      </w:r>
    </w:p>
    <w:p>
      <w:pPr>
        <w:spacing w:after="0" w:line="229" w:lineRule="exact"/>
        <w:rPr>
          <w:sz w:val="20"/>
          <w:szCs w:val="20"/>
          <w:color w:val="auto"/>
        </w:rPr>
      </w:pPr>
    </w:p>
    <w:p>
      <w:pPr>
        <w:ind w:right="360"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166"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181" w:lineRule="exact"/>
        <w:rPr>
          <w:sz w:val="20"/>
          <w:szCs w:val="20"/>
          <w:color w:val="auto"/>
        </w:rPr>
      </w:pPr>
    </w:p>
    <w:p>
      <w:pPr>
        <w:jc w:val="both"/>
        <w:ind w:right="40" w:firstLine="1297"/>
        <w:spacing w:after="0" w:line="312" w:lineRule="auto"/>
        <w:rPr>
          <w:sz w:val="20"/>
          <w:szCs w:val="20"/>
          <w:color w:val="auto"/>
        </w:rPr>
      </w:pPr>
      <w:r>
        <w:rPr>
          <w:rFonts w:ascii="Arial" w:cs="Arial" w:eastAsia="Arial" w:hAnsi="Arial"/>
          <w:sz w:val="16"/>
          <w:szCs w:val="16"/>
          <w:color w:val="auto"/>
        </w:rPr>
        <w:t>WHEREAS, the Committee administering the Regeneron Pharmaceuticals, Inc. 2014 Long-Term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has granted (as of the effective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Grantee a Stock Option to purchase the number of shares of the Company’s common stock, $0.001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as set forth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21" w:lineRule="exact"/>
        <w:rPr>
          <w:sz w:val="20"/>
          <w:szCs w:val="20"/>
          <w:color w:val="auto"/>
        </w:rPr>
      </w:pPr>
    </w:p>
    <w:p>
      <w:pPr>
        <w:ind w:right="20" w:firstLine="656"/>
        <w:spacing w:after="0" w:line="289" w:lineRule="auto"/>
        <w:tabs>
          <w:tab w:leader="none" w:pos="129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further to the terms and conditions set forth herein, the option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to purchase from the Company all or any part of an aggregate of shares of Common Stock at the purchase price per share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The Option is intended to be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Notwithstanding the foregoing, the Option will not qualify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w:t>
      </w:r>
      <w:r>
        <w:rPr>
          <w:rFonts w:ascii="Arial" w:cs="Arial" w:eastAsia="Arial" w:hAnsi="Arial"/>
          <w:sz w:val="16"/>
          <w:szCs w:val="16"/>
          <w:u w:val="single" w:color="auto"/>
          <w:color w:val="auto"/>
        </w:rPr>
        <w:t>Subsidiary</w:t>
      </w:r>
      <w:r>
        <w:rPr>
          <w:rFonts w:ascii="Arial" w:cs="Arial" w:eastAsia="Arial" w:hAnsi="Arial"/>
          <w:sz w:val="16"/>
          <w:szCs w:val="16"/>
          <w:color w:val="auto"/>
        </w:rPr>
        <w:t>”)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Non-Qualified Stock Option.</w:t>
      </w:r>
    </w:p>
    <w:p>
      <w:pPr>
        <w:spacing w:after="0" w:line="161" w:lineRule="exact"/>
        <w:rPr>
          <w:rFonts w:ascii="Arial" w:cs="Arial" w:eastAsia="Arial" w:hAnsi="Arial"/>
          <w:sz w:val="16"/>
          <w:szCs w:val="16"/>
          <w:b w:val="1"/>
          <w:bCs w:val="1"/>
          <w:color w:val="auto"/>
        </w:rPr>
      </w:pPr>
    </w:p>
    <w:p>
      <w:pPr>
        <w:jc w:val="both"/>
        <w:ind w:firstLine="656"/>
        <w:spacing w:after="0" w:line="303" w:lineRule="auto"/>
        <w:tabs>
          <w:tab w:leader="none" w:pos="129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is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w:t>
      </w:r>
    </w:p>
    <w:p>
      <w:pPr>
        <w:sectPr>
          <w:pgSz w:w="11900" w:h="16838" w:orient="portrait"/>
          <w:cols w:equalWidth="0" w:num="1">
            <w:col w:w="11420"/>
          </w:cols>
          <w:pgMar w:left="240" w:top="121" w:right="239" w:bottom="0" w:gutter="0" w:footer="0" w:header="0"/>
        </w:sectPr>
      </w:pPr>
    </w:p>
    <w:bookmarkStart w:id="6" w:name="page7"/>
    <w:bookmarkEnd w:id="6"/>
    <w:p>
      <w:pPr>
        <w:ind w:right="400"/>
        <w:spacing w:after="0" w:line="286" w:lineRule="auto"/>
        <w:rPr>
          <w:sz w:val="20"/>
          <w:szCs w:val="20"/>
          <w:color w:val="auto"/>
        </w:rPr>
      </w:pPr>
      <w:r>
        <w:rPr>
          <w:rFonts w:ascii="Arial" w:cs="Arial" w:eastAsia="Arial" w:hAnsi="Arial"/>
          <w:sz w:val="17"/>
          <w:szCs w:val="17"/>
          <w:color w:val="auto"/>
        </w:rPr>
        <w:t>Section 7(c)(3) of the Plan, including, without limitation, the filing of such written form of exercise notice as may be provided by the Company, and in accordance with applicable tax and other laws. The Company shall have the right to require the Grantee in connection with the exercise of the Option to remit to the Company in cash an amount sufficient to satisfy any federal, state and local withholding tax requirements related thereto.</w:t>
      </w:r>
    </w:p>
    <w:p>
      <w:pPr>
        <w:spacing w:after="0" w:line="166" w:lineRule="exact"/>
        <w:rPr>
          <w:sz w:val="20"/>
          <w:szCs w:val="20"/>
          <w:color w:val="auto"/>
        </w:rPr>
      </w:pPr>
    </w:p>
    <w:p>
      <w:pPr>
        <w:ind w:right="40" w:firstLine="656"/>
        <w:spacing w:after="0" w:line="270" w:lineRule="auto"/>
        <w:tabs>
          <w:tab w:leader="none" w:pos="948"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 entitled to exercise the Option with respect to the number of shares of Common Stock granted as indicated provided that the Grantee has not incurred a termination of employment or service with the Company and all Subsidiaries (the Company and all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No vesting shall occur after such date as the Grantee ceases to be employed by or provide services to the Employer and the entire unvested portion of the Option shall be forfeited at such time. The provisions of this Section 2(b) are subject to (i) the provisions set forth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(ii) the Committee’s determination in accordance with Section 7(e) of the Plan.</w:t>
      </w:r>
    </w:p>
    <w:p>
      <w:pPr>
        <w:spacing w:after="0" w:line="177" w:lineRule="exact"/>
        <w:rPr>
          <w:rFonts w:ascii="Arial" w:cs="Arial" w:eastAsia="Arial" w:hAnsi="Arial"/>
          <w:sz w:val="17"/>
          <w:szCs w:val="17"/>
          <w:color w:val="auto"/>
        </w:rPr>
      </w:pPr>
    </w:p>
    <w:p>
      <w:pPr>
        <w:ind w:right="320" w:firstLine="656"/>
        <w:spacing w:after="0" w:line="277" w:lineRule="auto"/>
        <w:tabs>
          <w:tab w:leader="none" w:pos="8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anything herein (except the following sentence) or in the Notice of Grant of Stock Options to the contrary, but subject to the provisions of any employment agreement, consulting agreement, change in control agreement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the Option shall be fully vested on the date of termination of the 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171" w:lineRule="exact"/>
        <w:rPr>
          <w:sz w:val="20"/>
          <w:szCs w:val="20"/>
          <w:color w:val="auto"/>
        </w:rPr>
      </w:pPr>
    </w:p>
    <w:p>
      <w:pPr>
        <w:ind w:firstLine="656"/>
        <w:spacing w:after="0" w:line="274" w:lineRule="auto"/>
        <w:tabs>
          <w:tab w:leader="none" w:pos="1296" w:val="left"/>
        </w:tabs>
        <w:numPr>
          <w:ilvl w:val="1"/>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grant 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plan, or similar agreement or plan in effect between the Employer and the Grantee (or otherwise applicable to the Grantee) on the date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long-term disability, (B) the tenth anniversary of this grant if such termination is due to the Grantee’s retirement (as defined in the Company’s employee handbook as in effect on the date hereof) [or the Grantee’s death]</w:t>
      </w:r>
      <w:r>
        <w:rPr>
          <w:rFonts w:ascii="Arial" w:cs="Arial" w:eastAsia="Arial" w:hAnsi="Arial"/>
          <w:sz w:val="20"/>
          <w:szCs w:val="20"/>
          <w:color w:val="auto"/>
          <w:vertAlign w:val="superscript"/>
        </w:rPr>
        <w:t>(1)</w:t>
      </w:r>
      <w:r>
        <w:rPr>
          <w:rFonts w:ascii="Arial" w:cs="Arial" w:eastAsia="Arial" w:hAnsi="Arial"/>
          <w:sz w:val="16"/>
          <w:szCs w:val="16"/>
          <w:color w:val="auto"/>
        </w:rPr>
        <w:t>, (C) one year after the termination if such termination is due to the Grantee’s [death or]</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81" w:lineRule="exact"/>
        <w:rPr>
          <w:rFonts w:ascii="Arial" w:cs="Arial" w:eastAsia="Arial" w:hAnsi="Arial"/>
          <w:sz w:val="16"/>
          <w:szCs w:val="16"/>
          <w:b w:val="1"/>
          <w:bCs w:val="1"/>
          <w:color w:val="auto"/>
        </w:rPr>
      </w:pPr>
    </w:p>
    <w:p>
      <w:pPr>
        <w:ind w:firstLine="1305"/>
        <w:spacing w:after="0" w:line="286" w:lineRule="auto"/>
        <w:tabs>
          <w:tab w:leader="none" w:pos="1596" w:val="left"/>
        </w:tabs>
        <w:numPr>
          <w:ilvl w:val="2"/>
          <w:numId w:val="16"/>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71" w:lineRule="exact"/>
        <w:rPr>
          <w:rFonts w:ascii="Arial" w:cs="Arial" w:eastAsia="Arial" w:hAnsi="Arial"/>
          <w:sz w:val="16"/>
          <w:szCs w:val="16"/>
          <w:color w:val="auto"/>
        </w:rPr>
      </w:pPr>
    </w:p>
    <w:p>
      <w:pPr>
        <w:ind w:right="600" w:firstLine="1305"/>
        <w:spacing w:after="0" w:line="277" w:lineRule="auto"/>
        <w:tabs>
          <w:tab w:leader="none" w:pos="1586" w:val="left"/>
        </w:tabs>
        <w:numPr>
          <w:ilvl w:val="2"/>
          <w:numId w:val="16"/>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(i) in the case where there is no employment agreement, consulting agreement, change in control agreement or plan, or similar agreement or plan in effect between the</w:t>
      </w:r>
    </w:p>
    <w:p>
      <w:pPr>
        <w:spacing w:after="0" w:line="36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Only applicable to Option Agreements for George D. Yancopoulos, M.D., Ph.D.</w:t>
      </w:r>
    </w:p>
    <w:p>
      <w:pPr>
        <w:spacing w:after="0" w:line="1" w:lineRule="exact"/>
        <w:rPr>
          <w:rFonts w:ascii="Arial" w:cs="Arial" w:eastAsia="Arial" w:hAnsi="Arial"/>
          <w:sz w:val="23"/>
          <w:szCs w:val="23"/>
          <w:color w:val="auto"/>
          <w:vertAlign w:val="superscript"/>
        </w:rPr>
      </w:pPr>
    </w:p>
    <w:p>
      <w:pPr>
        <w:ind w:left="240" w:hanging="232"/>
        <w:spacing w:after="0" w:line="194" w:lineRule="auto"/>
        <w:tabs>
          <w:tab w:leader="none" w:pos="2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Not applicable to Option Agreements for 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7" w:name="page8"/>
    <w:bookmarkEnd w:id="7"/>
    <w:p>
      <w:pPr>
        <w:ind w:right="40"/>
        <w:spacing w:after="0" w:line="269" w:lineRule="auto"/>
        <w:rPr>
          <w:sz w:val="20"/>
          <w:szCs w:val="20"/>
          <w:color w:val="auto"/>
        </w:rPr>
      </w:pPr>
      <w:r>
        <w:rPr>
          <w:rFonts w:ascii="Arial" w:cs="Arial" w:eastAsia="Arial" w:hAnsi="Arial"/>
          <w:sz w:val="17"/>
          <w:szCs w:val="17"/>
          <w:color w:val="auto"/>
        </w:rPr>
        <w:t xml:space="preserve">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where there is such an agreement or plan but it does not define “good reason” (or words of like import)) a termination of employment by the Grantee within one hundred and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those which existed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that defines “good reason” (or words of like import), as defined under such agreement or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definition 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has ended due to Dr. Schleifer’s Involuntary Termination (as defined in the Employment Agreement)]</w:t>
      </w:r>
      <w:r>
        <w:rPr>
          <w:rFonts w:ascii="Arial" w:cs="Arial" w:eastAsia="Arial" w:hAnsi="Arial"/>
          <w:sz w:val="22"/>
          <w:szCs w:val="22"/>
          <w:color w:val="auto"/>
          <w:vertAlign w:val="superscript"/>
        </w:rPr>
        <w:t>(3)</w:t>
      </w:r>
      <w:r>
        <w:rPr>
          <w:rFonts w:ascii="Arial" w:cs="Arial" w:eastAsia="Arial" w:hAnsi="Arial"/>
          <w:sz w:val="17"/>
          <w:szCs w:val="17"/>
          <w:color w:val="auto"/>
        </w:rPr>
        <w:t>.</w:t>
      </w:r>
    </w:p>
    <w:p>
      <w:pPr>
        <w:spacing w:after="0" w:line="93" w:lineRule="exact"/>
        <w:rPr>
          <w:sz w:val="20"/>
          <w:szCs w:val="20"/>
          <w:color w:val="auto"/>
        </w:rPr>
      </w:pPr>
    </w:p>
    <w:p>
      <w:pPr>
        <w:ind w:firstLine="656"/>
        <w:spacing w:after="0" w:line="254" w:lineRule="auto"/>
        <w:tabs>
          <w:tab w:leader="none" w:pos="1296"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186" w:lineRule="exact"/>
        <w:rPr>
          <w:rFonts w:ascii="Arial" w:cs="Arial" w:eastAsia="Arial" w:hAnsi="Arial"/>
          <w:sz w:val="18"/>
          <w:szCs w:val="18"/>
          <w:b w:val="1"/>
          <w:bCs w:val="1"/>
          <w:color w:val="auto"/>
        </w:rPr>
      </w:pPr>
    </w:p>
    <w:p>
      <w:pPr>
        <w:ind w:right="40" w:firstLine="656"/>
        <w:spacing w:after="0" w:line="281" w:lineRule="auto"/>
        <w:tabs>
          <w:tab w:leader="none" w:pos="1296"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164" w:lineRule="exact"/>
        <w:rPr>
          <w:rFonts w:ascii="Arial" w:cs="Arial" w:eastAsia="Arial" w:hAnsi="Arial"/>
          <w:sz w:val="17"/>
          <w:szCs w:val="17"/>
          <w:b w:val="1"/>
          <w:bCs w:val="1"/>
          <w:color w:val="auto"/>
        </w:rPr>
      </w:pPr>
    </w:p>
    <w:p>
      <w:pPr>
        <w:ind w:right="40" w:firstLine="656"/>
        <w:spacing w:after="0" w:line="288" w:lineRule="auto"/>
        <w:tabs>
          <w:tab w:leader="none" w:pos="1296"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64" w:lineRule="exact"/>
        <w:rPr>
          <w:rFonts w:ascii="Arial" w:cs="Arial" w:eastAsia="Arial" w:hAnsi="Arial"/>
          <w:sz w:val="16"/>
          <w:szCs w:val="16"/>
          <w:b w:val="1"/>
          <w:bCs w:val="1"/>
          <w:color w:val="auto"/>
        </w:rPr>
      </w:pPr>
    </w:p>
    <w:p>
      <w:pPr>
        <w:ind w:right="160" w:firstLine="656"/>
        <w:spacing w:after="0" w:line="282" w:lineRule="auto"/>
        <w:tabs>
          <w:tab w:leader="none" w:pos="1296"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w:t>
      </w:r>
    </w:p>
    <w:p>
      <w:pPr>
        <w:spacing w:after="0" w:line="361" w:lineRule="exact"/>
        <w:rPr>
          <w:rFonts w:ascii="Arial" w:cs="Arial" w:eastAsia="Arial" w:hAnsi="Arial"/>
          <w:sz w:val="18"/>
          <w:szCs w:val="18"/>
          <w:b w:val="1"/>
          <w:bCs w:val="1"/>
          <w:color w:val="auto"/>
        </w:rPr>
      </w:pPr>
    </w:p>
    <w:p>
      <w:pPr>
        <w:ind w:left="240" w:hanging="232"/>
        <w:spacing w:after="0"/>
        <w:tabs>
          <w:tab w:leader="none" w:pos="2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Only applicable to Option Agreements for 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respect to, or in any way inconsistent with, the terms of the Plan, the provisions of the Plan shall govern and this Agreement shall be deemed to be modified accordingly.</w:t>
      </w:r>
    </w:p>
    <w:p>
      <w:pPr>
        <w:spacing w:after="0" w:line="166" w:lineRule="exact"/>
        <w:rPr>
          <w:sz w:val="20"/>
          <w:szCs w:val="20"/>
          <w:color w:val="auto"/>
        </w:rPr>
      </w:pPr>
    </w:p>
    <w:p>
      <w:pPr>
        <w:ind w:right="80" w:firstLine="656"/>
        <w:spacing w:after="0" w:line="258" w:lineRule="auto"/>
        <w:tabs>
          <w:tab w:leader="none" w:pos="129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83" w:lineRule="exact"/>
        <w:rPr>
          <w:rFonts w:ascii="Arial" w:cs="Arial" w:eastAsia="Arial" w:hAnsi="Arial"/>
          <w:sz w:val="18"/>
          <w:szCs w:val="18"/>
          <w:b w:val="1"/>
          <w:bCs w:val="1"/>
          <w:color w:val="auto"/>
        </w:rPr>
      </w:pPr>
    </w:p>
    <w:p>
      <w:pPr>
        <w:ind w:right="660" w:firstLine="656"/>
        <w:spacing w:after="0" w:line="282" w:lineRule="auto"/>
        <w:tabs>
          <w:tab w:leader="none" w:pos="129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time period, nor does it modify in any respect the Grantee’s employment or compensation.</w:t>
      </w:r>
    </w:p>
    <w:p>
      <w:pPr>
        <w:spacing w:after="0" w:line="161" w:lineRule="exact"/>
        <w:rPr>
          <w:rFonts w:ascii="Arial" w:cs="Arial" w:eastAsia="Arial" w:hAnsi="Arial"/>
          <w:sz w:val="18"/>
          <w:szCs w:val="18"/>
          <w:b w:val="1"/>
          <w:bCs w:val="1"/>
          <w:color w:val="auto"/>
        </w:rPr>
      </w:pPr>
    </w:p>
    <w:p>
      <w:pPr>
        <w:ind w:right="380" w:firstLine="656"/>
        <w:spacing w:after="0" w:line="261" w:lineRule="auto"/>
        <w:tabs>
          <w:tab w:leader="none" w:pos="129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ectPr>
          <w:pgSz w:w="11900" w:h="16838" w:orient="portrait"/>
          <w:cols w:equalWidth="0" w:num="1">
            <w:col w:w="11420"/>
          </w:cols>
          <w:pgMar w:left="240" w:top="584"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Notice of Grant of Award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Award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7" w:lineRule="exact"/>
        <w:rPr>
          <w:sz w:val="20"/>
          <w:szCs w:val="20"/>
          <w:color w:val="auto"/>
        </w:rPr>
      </w:pPr>
    </w:p>
    <w:p>
      <w:pPr>
        <w:spacing w:after="0" w:line="313" w:lineRule="auto"/>
        <w:rPr>
          <w:sz w:val="20"/>
          <w:szCs w:val="20"/>
          <w:color w:val="auto"/>
        </w:rPr>
      </w:pPr>
      <w:r>
        <w:rPr>
          <w:rFonts w:ascii="Arial" w:cs="Arial" w:eastAsia="Arial" w:hAnsi="Arial"/>
          <w:sz w:val="17"/>
          <w:szCs w:val="17"/>
          <w:color w:val="auto"/>
        </w:rPr>
        <w:t>Effective &lt;</w:t>
      </w:r>
      <w:r>
        <w:rPr>
          <w:rFonts w:ascii="Arial" w:cs="Arial" w:eastAsia="Arial" w:hAnsi="Arial"/>
          <w:sz w:val="17"/>
          <w:szCs w:val="17"/>
          <w:b w:val="1"/>
          <w:bCs w:val="1"/>
          <w:color w:val="auto"/>
        </w:rPr>
        <w:t>date</w:t>
      </w:r>
      <w:r>
        <w:rPr>
          <w:rFonts w:ascii="Arial" w:cs="Arial" w:eastAsia="Arial" w:hAnsi="Arial"/>
          <w:sz w:val="17"/>
          <w:szCs w:val="17"/>
          <w:color w:val="auto"/>
        </w:rPr>
        <w:t>&gt; (the “Grant Date”) you have been granted an award of [ These shares are restricted until the vest date(s) shown below.</w:t>
      </w:r>
    </w:p>
    <w:p>
      <w:pPr>
        <w:spacing w:after="0" w:line="142"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The current total value of the award is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award will vest on the date(s) shown.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ID: [</w:t>
            </w:r>
          </w:p>
        </w:tc>
        <w:tc>
          <w:tcPr>
            <w:tcW w:w="8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160" w:type="dxa"/>
            <w:vAlign w:val="bottom"/>
            <w:gridSpan w:val="4"/>
          </w:tcPr>
          <w:p>
            <w:pPr>
              <w:spacing w:after="0"/>
              <w:rPr>
                <w:sz w:val="20"/>
                <w:szCs w:val="20"/>
                <w:color w:val="auto"/>
              </w:rPr>
            </w:pPr>
            <w:r>
              <w:rPr>
                <w:rFonts w:ascii="Arial" w:cs="Arial" w:eastAsia="Arial" w:hAnsi="Arial"/>
                <w:sz w:val="18"/>
                <w:szCs w:val="18"/>
                <w:color w:val="auto"/>
                <w:w w:val="92"/>
              </w:rPr>
              <w:t>777 Old Saw Mill River Road</w:t>
            </w:r>
          </w:p>
        </w:tc>
      </w:tr>
      <w:tr>
        <w:trPr>
          <w:trHeight w:val="230"/>
        </w:trPr>
        <w:tc>
          <w:tcPr>
            <w:tcW w:w="2160" w:type="dxa"/>
            <w:vAlign w:val="bottom"/>
            <w:gridSpan w:val="4"/>
          </w:tcPr>
          <w:p>
            <w:pPr>
              <w:spacing w:after="0"/>
              <w:rPr>
                <w:sz w:val="20"/>
                <w:szCs w:val="20"/>
                <w:color w:val="auto"/>
              </w:rPr>
            </w:pPr>
            <w:r>
              <w:rPr>
                <w:rFonts w:ascii="Arial" w:cs="Arial" w:eastAsia="Arial" w:hAnsi="Arial"/>
                <w:sz w:val="18"/>
                <w:szCs w:val="18"/>
                <w:color w:val="auto"/>
                <w:w w:val="95"/>
              </w:rPr>
              <w:t>Tarrytown, New York 10591</w:t>
            </w:r>
          </w:p>
        </w:tc>
      </w:tr>
      <w:tr>
        <w:trPr>
          <w:trHeight w:val="418"/>
        </w:trPr>
        <w:tc>
          <w:tcPr>
            <w:tcW w:w="1400" w:type="dxa"/>
            <w:vAlign w:val="bottom"/>
            <w:gridSpan w:val="2"/>
          </w:tcPr>
          <w:p>
            <w:pPr>
              <w:spacing w:after="0"/>
              <w:rPr>
                <w:sz w:val="20"/>
                <w:szCs w:val="20"/>
                <w:color w:val="auto"/>
              </w:rPr>
            </w:pPr>
            <w:r>
              <w:rPr>
                <w:rFonts w:ascii="Arial" w:cs="Arial" w:eastAsia="Arial" w:hAnsi="Arial"/>
                <w:sz w:val="18"/>
                <w:szCs w:val="18"/>
                <w:color w:val="auto"/>
              </w:rPr>
              <w:t>Award Number:</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Plan:</w:t>
            </w:r>
          </w:p>
        </w:tc>
        <w:tc>
          <w:tcPr>
            <w:tcW w:w="86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shares of Regeneron Pharmaceuticals, Inc. (the “Company”) common stock.</w:t>
      </w:r>
    </w:p>
    <w:p>
      <w:pPr>
        <w:spacing w:after="0" w:line="1303" w:lineRule="exact"/>
        <w:rPr>
          <w:sz w:val="20"/>
          <w:szCs w:val="20"/>
          <w:color w:val="auto"/>
        </w:rPr>
      </w:pPr>
    </w:p>
    <w:p>
      <w:pPr>
        <w:sectPr>
          <w:pgSz w:w="11900" w:h="16838" w:orient="portrait"/>
          <w:cols w:equalWidth="0" w:num="2">
            <w:col w:w="5300" w:space="360"/>
            <w:col w:w="5760"/>
          </w:cols>
          <w:pgMar w:left="240" w:top="121" w:right="239" w:bottom="0" w:gutter="0" w:footer="0" w:header="0"/>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Shares</w:t>
            </w:r>
          </w:p>
        </w:tc>
        <w:tc>
          <w:tcPr>
            <w:tcW w:w="52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360" w:type="dxa"/>
            <w:vAlign w:val="bottom"/>
            <w:tcBorders>
              <w:bottom w:val="single" w:sz="8" w:color="auto"/>
            </w:tcBorders>
          </w:tcPr>
          <w:p>
            <w:pPr>
              <w:jc w:val="right"/>
              <w:ind w:right="2434"/>
              <w:spacing w:after="0"/>
              <w:rPr>
                <w:sz w:val="20"/>
                <w:szCs w:val="20"/>
                <w:color w:val="auto"/>
              </w:rPr>
            </w:pPr>
            <w:r>
              <w:rPr>
                <w:rFonts w:ascii="Arial" w:cs="Arial" w:eastAsia="Arial" w:hAnsi="Arial"/>
                <w:sz w:val="14"/>
                <w:szCs w:val="14"/>
                <w:b w:val="1"/>
                <w:bCs w:val="1"/>
                <w:color w:val="auto"/>
              </w:rPr>
              <w:t>Full Vest</w:t>
            </w:r>
          </w:p>
        </w:tc>
      </w:tr>
      <w:tr>
        <w:trPr>
          <w:trHeight w:val="210"/>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0" w:type="dxa"/>
            <w:vAlign w:val="bottom"/>
            <w:shd w:val="clear" w:color="auto" w:fill="CCEEFF"/>
          </w:tcPr>
          <w:p>
            <w:pPr>
              <w:jc w:val="right"/>
              <w:ind w:right="49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8"/>
              </w:rPr>
              <w:t>[</w:t>
            </w:r>
          </w:p>
        </w:tc>
        <w:tc>
          <w:tcPr>
            <w:tcW w:w="5360" w:type="dxa"/>
            <w:vAlign w:val="bottom"/>
            <w:shd w:val="clear" w:color="auto" w:fill="CCEEFF"/>
          </w:tcPr>
          <w:p>
            <w:pPr>
              <w:jc w:val="right"/>
              <w:ind w:right="4934"/>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5200" w:type="dxa"/>
            <w:vAlign w:val="bottom"/>
          </w:tcPr>
          <w:p>
            <w:pPr>
              <w:jc w:val="right"/>
              <w:ind w:right="49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90"/>
              <w:spacing w:after="0"/>
              <w:rPr>
                <w:sz w:val="20"/>
                <w:szCs w:val="20"/>
                <w:color w:val="auto"/>
              </w:rPr>
            </w:pPr>
            <w:r>
              <w:rPr>
                <w:rFonts w:ascii="Arial" w:cs="Arial" w:eastAsia="Arial" w:hAnsi="Arial"/>
                <w:sz w:val="18"/>
                <w:szCs w:val="18"/>
                <w:color w:val="auto"/>
                <w:w w:val="78"/>
              </w:rPr>
              <w:t>[</w:t>
            </w:r>
          </w:p>
        </w:tc>
        <w:tc>
          <w:tcPr>
            <w:tcW w:w="5360" w:type="dxa"/>
            <w:vAlign w:val="bottom"/>
          </w:tcPr>
          <w:p>
            <w:pPr>
              <w:jc w:val="right"/>
              <w:ind w:right="4934"/>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0" w:type="dxa"/>
            <w:vAlign w:val="bottom"/>
            <w:shd w:val="clear" w:color="auto" w:fill="CCEEFF"/>
          </w:tcPr>
          <w:p>
            <w:pPr>
              <w:jc w:val="right"/>
              <w:ind w:right="49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8"/>
              </w:rPr>
              <w:t>[</w:t>
            </w:r>
          </w:p>
        </w:tc>
        <w:tc>
          <w:tcPr>
            <w:tcW w:w="5360" w:type="dxa"/>
            <w:vAlign w:val="bottom"/>
            <w:shd w:val="clear" w:color="auto" w:fill="CCEEFF"/>
          </w:tcPr>
          <w:p>
            <w:pPr>
              <w:jc w:val="right"/>
              <w:ind w:right="4934"/>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You and the Company agree that this award is granted under and governed by the terms and conditions of the Regeneron Pharmaceuticals, Inc. 2014 Long Term Incentive Plan, as amended from time to time, and the Award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LONG-TERM INCENTIVE PLAN</w:t>
      </w:r>
    </w:p>
    <w:p>
      <w:pPr>
        <w:spacing w:after="0" w:line="211"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Recipient</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166"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spacing w:after="0" w:line="181"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WHEREAS, the Committee (or the person or persons to whom the Committee has delegated the relevant authority pursuant to Section 4 of the Plan (as defined below) (the Committee or such person or person being referred to in this Agreement as the “</w:t>
      </w:r>
      <w:r>
        <w:rPr>
          <w:rFonts w:ascii="Arial" w:cs="Arial" w:eastAsia="Arial" w:hAnsi="Arial"/>
          <w:sz w:val="16"/>
          <w:szCs w:val="16"/>
          <w:u w:val="single" w:color="auto"/>
          <w:color w:val="auto"/>
        </w:rPr>
        <w:t>Committee</w:t>
      </w:r>
      <w:r>
        <w:rPr>
          <w:rFonts w:ascii="Arial" w:cs="Arial" w:eastAsia="Arial" w:hAnsi="Arial"/>
          <w:sz w:val="16"/>
          <w:szCs w:val="16"/>
          <w:color w:val="auto"/>
        </w:rPr>
        <w:t>”)) administering the Regeneron Pharmaceuticals, Inc. 2014 Long-Term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has granted (as of the effective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to the Recipient the shares of Restricted Stock as set forth in the</w:t>
      </w:r>
      <w:r>
        <w:rPr>
          <w:rFonts w:ascii="Arial" w:cs="Arial" w:eastAsia="Arial" w:hAnsi="Arial"/>
          <w:sz w:val="16"/>
          <w:szCs w:val="16"/>
          <w:i w:val="1"/>
          <w:iCs w:val="1"/>
          <w:color w:val="auto"/>
        </w:rPr>
        <w:t xml:space="preserve"> Notice of Grant of Restricted Stock</w:t>
      </w:r>
      <w:r>
        <w:rPr>
          <w:rFonts w:ascii="Arial" w:cs="Arial" w:eastAsia="Arial" w:hAnsi="Arial"/>
          <w:sz w:val="16"/>
          <w:szCs w:val="16"/>
          <w:color w:val="auto"/>
        </w:rPr>
        <w: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21" w:lineRule="exact"/>
        <w:rPr>
          <w:sz w:val="20"/>
          <w:szCs w:val="20"/>
          <w:color w:val="auto"/>
        </w:rPr>
      </w:pPr>
    </w:p>
    <w:p>
      <w:pPr>
        <w:ind w:right="180" w:firstLine="1305"/>
        <w:spacing w:after="0" w:line="303" w:lineRule="auto"/>
        <w:tabs>
          <w:tab w:leader="none" w:pos="1945"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Grant of Award</w:t>
      </w:r>
      <w:r>
        <w:rPr>
          <w:rFonts w:ascii="Arial" w:cs="Arial" w:eastAsia="Arial" w:hAnsi="Arial"/>
          <w:sz w:val="16"/>
          <w:szCs w:val="16"/>
          <w:color w:val="auto"/>
        </w:rPr>
        <w:t>. Pursuant to Section 8 of the Plan, the Company grants to the Recipient, subject to the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Plan and subject further to the terms and conditions set forth herein, the number of shares of Restricted Stock as shown on the </w:t>
      </w:r>
      <w:r>
        <w:rPr>
          <w:rFonts w:ascii="Arial" w:cs="Arial" w:eastAsia="Arial" w:hAnsi="Arial"/>
          <w:sz w:val="16"/>
          <w:szCs w:val="16"/>
          <w:i w:val="1"/>
          <w:iCs w:val="1"/>
          <w:color w:val="auto"/>
        </w:rPr>
        <w:t>Notice of Grant of</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Restricted Stock</w:t>
      </w:r>
      <w:r>
        <w:rPr>
          <w:rFonts w:ascii="Arial" w:cs="Arial" w:eastAsia="Arial" w:hAnsi="Arial"/>
          <w:sz w:val="16"/>
          <w:szCs w:val="16"/>
          <w:color w:val="auto"/>
        </w:rPr>
        <w:t>. The Participant’s grant and record of Restricted Stock share ownership shall be kept on the books of the Company until the restrictions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have lapsed. At the Recipient’s request, vested shares may be evidenced by stock certificates or book-entry registration.</w:t>
      </w:r>
    </w:p>
    <w:p>
      <w:pPr>
        <w:spacing w:after="0" w:line="151" w:lineRule="exact"/>
        <w:rPr>
          <w:rFonts w:ascii="Arial" w:cs="Arial" w:eastAsia="Arial" w:hAnsi="Arial"/>
          <w:sz w:val="16"/>
          <w:szCs w:val="16"/>
          <w:color w:val="auto"/>
        </w:rPr>
      </w:pPr>
    </w:p>
    <w:p>
      <w:pPr>
        <w:ind w:firstLine="1305"/>
        <w:spacing w:after="0" w:line="254" w:lineRule="auto"/>
        <w:tabs>
          <w:tab w:leader="none" w:pos="194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 The shares of Restricted Stock granted to the Recipient shall vest in installments as provided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Notice of Grant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Restricted Stock</w:t>
      </w:r>
      <w:r>
        <w:rPr>
          <w:rFonts w:ascii="Arial" w:cs="Arial" w:eastAsia="Arial" w:hAnsi="Arial"/>
          <w:sz w:val="18"/>
          <w:szCs w:val="18"/>
          <w:color w:val="auto"/>
        </w:rPr>
        <w:t>. The vesting schedule in the</w:t>
      </w:r>
      <w:r>
        <w:rPr>
          <w:rFonts w:ascii="Arial" w:cs="Arial" w:eastAsia="Arial" w:hAnsi="Arial"/>
          <w:sz w:val="18"/>
          <w:szCs w:val="18"/>
          <w:i w:val="1"/>
          <w:iCs w:val="1"/>
          <w:color w:val="auto"/>
        </w:rPr>
        <w:t xml:space="preserve"> Notice of Grant of Restricted Stock </w:t>
      </w:r>
      <w:r>
        <w:rPr>
          <w:rFonts w:ascii="Arial" w:cs="Arial" w:eastAsia="Arial" w:hAnsi="Arial"/>
          <w:sz w:val="18"/>
          <w:szCs w:val="18"/>
          <w:color w:val="auto"/>
        </w:rPr>
        <w:t>indicates each date upon which the restrictions on transfer on the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Restricted Stock shall lapse, entitling the Recipient to freely transfer such shares, provided that the Recipient has not incurred a termination of employment with the Company and all Subsidiaries (the Company and its Subsidiaries shall be referred to herein, collectively, as the “</w:t>
      </w:r>
      <w:r>
        <w:rPr>
          <w:rFonts w:ascii="Arial" w:cs="Arial" w:eastAsia="Arial" w:hAnsi="Arial"/>
          <w:sz w:val="18"/>
          <w:szCs w:val="18"/>
          <w:u w:val="single" w:color="auto"/>
          <w:color w:val="auto"/>
        </w:rPr>
        <w:t>Employer</w:t>
      </w:r>
      <w:r>
        <w:rPr>
          <w:rFonts w:ascii="Arial" w:cs="Arial" w:eastAsia="Arial" w:hAnsi="Arial"/>
          <w:sz w:val="18"/>
          <w:szCs w:val="18"/>
          <w:color w:val="auto"/>
        </w:rPr>
        <w:t xml:space="preserve">”). There shall be no proportionate or partial vesting in the periods between the Full Vest Dates specified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and all vesting shall occur only on such Full Vest Dates. No vesting shall occur after the termination of the Recipient’s employment with the Employer for any reason. The provisions of this Section 2(a) are subject to (i) the provisions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or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and (ii) the Committee’s determination in accordance with Section 8(h) of the Plan.</w:t>
      </w:r>
    </w:p>
    <w:p>
      <w:pPr>
        <w:spacing w:after="0" w:line="190" w:lineRule="exact"/>
        <w:rPr>
          <w:sz w:val="20"/>
          <w:szCs w:val="20"/>
          <w:color w:val="auto"/>
        </w:rPr>
      </w:pPr>
    </w:p>
    <w:p>
      <w:pPr>
        <w:ind w:right="20" w:firstLine="1305"/>
        <w:spacing w:after="0" w:line="290" w:lineRule="auto"/>
        <w:tabs>
          <w:tab w:leader="none" w:pos="19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to the contrary, but subject to the provisions of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the Restricted Stock granted to Recipient shall be fully vested on the date the Recipient’s employment with the Employer is terminated if the Recipient’s employment with the Employer is terminated on or within two years after the occurrence of a Change in Control by the Employer (other than for Cause) or by the Recipient for Good Reason. Except as otherwise provided in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if the application of the provision in the foregoing sentence, similar provisions in other stock option or restricted stock</w:t>
      </w:r>
    </w:p>
    <w:p>
      <w:pPr>
        <w:sectPr>
          <w:pgSz w:w="11900" w:h="16838" w:orient="portrait"/>
          <w:cols w:equalWidth="0" w:num="1">
            <w:col w:w="11420"/>
          </w:cols>
          <w:pgMar w:left="240" w:top="121" w:right="239" w:bottom="0" w:gutter="0" w:footer="0" w:header="0"/>
          <w:type w:val="continuous"/>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12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0" w:name="page11"/>
    <w:bookmarkEnd w:id="1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10795"/>
                    </a:xfrm>
                    <a:prstGeom prst="rect">
                      <a:avLst/>
                    </a:prstGeom>
                    <a:noFill/>
                  </pic:spPr>
                </pic:pic>
              </a:graphicData>
            </a:graphic>
          </wp:anchor>
        </w:drawing>
        <w:t>grants, and other payments and benefits payable to the Recipient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Recipient being subject to excise tax (the “</w:t>
      </w:r>
      <w:r>
        <w:rPr>
          <w:rFonts w:ascii="Arial" w:cs="Arial" w:eastAsia="Arial" w:hAnsi="Arial"/>
          <w:sz w:val="16"/>
          <w:szCs w:val="16"/>
          <w:u w:val="single" w:color="auto"/>
          <w:color w:val="auto"/>
        </w:rPr>
        <w:t>Excise Tax</w:t>
      </w:r>
      <w:r>
        <w:rPr>
          <w:rFonts w:ascii="Arial" w:cs="Arial" w:eastAsia="Arial" w:hAnsi="Arial"/>
          <w:sz w:val="16"/>
          <w:szCs w:val="16"/>
          <w:color w:val="auto"/>
        </w:rPr>
        <w:t>”) payable under Section 4999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 the amount of any Company Payments shall be automatically reduced to an amount one dollar less than an amount that would subject the Recipient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Recipient; (4) any benefits valued as parachute payments; and (5) acceleration of vesting of any equity not covered by (1) above.</w:t>
      </w:r>
    </w:p>
    <w:p>
      <w:pPr>
        <w:spacing w:after="0" w:line="173" w:lineRule="exact"/>
        <w:rPr>
          <w:sz w:val="20"/>
          <w:szCs w:val="20"/>
          <w:color w:val="auto"/>
        </w:rPr>
      </w:pPr>
    </w:p>
    <w:p>
      <w:pPr>
        <w:ind w:firstLine="8"/>
        <w:spacing w:after="0" w:line="286" w:lineRule="auto"/>
        <w:tabs>
          <w:tab w:leader="none" w:pos="1307"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(or where there is such an agreement or plan but it does not define “cause” (or words of like import)) (A) the willful and continued failure by the Recipient substantially to perform his or her duties and obligations to the Employer, including without limitation, repeated refusal to follow the reasonable directions of the Employer, violation of the Employer’s Code of Business Conduct and Ethics, knowing violation of law in the course of performance of the duties of the Recipient’s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Recipient (or otherwise applicable to the Recipient) on the date of grant specified on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that defines “cause” (or words of like import), as defined under such agreement or plan. For purposes of this Section 3(c), no act, or failure to act, on the Recipient’s part shall be considered “willful” unless done, or omitted to be done, by the Recipient in bad faith and without reasonable belief that his or her action or omission was in the best interest of the Employer. Any determination of Cause made prior to a Change in Control shall be made by the Committee in its sole discretion.</w:t>
      </w:r>
    </w:p>
    <w:p>
      <w:pPr>
        <w:spacing w:after="0" w:line="171" w:lineRule="exact"/>
        <w:rPr>
          <w:rFonts w:ascii="Arial" w:cs="Arial" w:eastAsia="Arial" w:hAnsi="Arial"/>
          <w:sz w:val="16"/>
          <w:szCs w:val="16"/>
          <w:color w:val="auto"/>
        </w:rPr>
      </w:pPr>
    </w:p>
    <w:p>
      <w:pPr>
        <w:ind w:right="20" w:firstLine="8"/>
        <w:spacing w:after="0" w:line="286" w:lineRule="auto"/>
        <w:tabs>
          <w:tab w:leader="none" w:pos="13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(or where there is such an agreement or plan but it does not define “good reason” (or words of like import)) a termination of employment by the Recipient within one hundred twenty (120) days after the occurrence of one of the following events after the occurrence of a Change in Control unless such events are fully corrected in all material respects by the Employer within thirty (30) days following written notification by the Recipient to the Employer that Recipient intends to terminate his employment hereunder for one of the reasons set forth below: (A) (1) any material diminution in the Recipient’s duties and responsibilities from those which existed immediately prior to a Change in Control (except in each case in connection with the termination of the Recipient’s employment for Cause or as a result of the Recipient’s death, or temporarily as a result of the Recipient’s illness or other absence), or (2) the assignment to the Recipient of duties and responsibilities materially inconsistent with the position held by the Recipient; (B) any material breach by the Employer of any material provision of any written agreement with the Recipient or failure to timely pay any compensation obligation to the Recipient; (C) a reduction in the Recipient’s annual base salary or target bonus opportunity (if any) from that which existed immediately prior to a Change in Control; or (D) if the Recipient is based at the Employer’s principal executive office, any relocation therefrom or, in any event, a relocation of the Recipient’s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Recipient (or otherwise applicable to the Recipient) on the date on the </w:t>
      </w:r>
      <w:r>
        <w:rPr>
          <w:rFonts w:ascii="Arial" w:cs="Arial" w:eastAsia="Arial" w:hAnsi="Arial"/>
          <w:sz w:val="16"/>
          <w:szCs w:val="16"/>
          <w:i w:val="1"/>
          <w:iCs w:val="1"/>
          <w:color w:val="auto"/>
        </w:rPr>
        <w:t>Notice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i w:val="1"/>
          <w:iCs w:val="1"/>
          <w:color w:val="auto"/>
        </w:rPr>
        <w:t xml:space="preserve">Grant of Restricted Stock </w:t>
      </w:r>
      <w:r>
        <w:rPr>
          <w:rFonts w:ascii="Arial" w:cs="Arial" w:eastAsia="Arial" w:hAnsi="Arial"/>
          <w:sz w:val="18"/>
          <w:szCs w:val="18"/>
          <w:color w:val="auto"/>
        </w:rPr>
        <w:t>that defines “good reason” (or words of like import), as defined under such agreement or plan[;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has ended due to Dr. Schleifer’s Involuntary Termination (as defined in the Employment Agreement)]</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00" w:lineRule="exact"/>
        <w:rPr>
          <w:sz w:val="20"/>
          <w:szCs w:val="20"/>
          <w:color w:val="auto"/>
        </w:rPr>
      </w:pPr>
    </w:p>
    <w:p>
      <w:pPr>
        <w:ind w:firstLine="1305"/>
        <w:spacing w:after="0" w:line="258" w:lineRule="auto"/>
        <w:tabs>
          <w:tab w:leader="none" w:pos="194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Subject to the terms of the Plan and Section 2(b) hereof, if the Recipient’s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terminated for any reason (other than as set forth in Section 2(b) hereof and as a result of Recipient’s death), the Recipient shall forfeit any or all of the shares of Restricted Stock that have not vested in accordance with Section 2 hereof (the “</w:t>
      </w:r>
      <w:r>
        <w:rPr>
          <w:rFonts w:ascii="Arial" w:cs="Arial" w:eastAsia="Arial" w:hAnsi="Arial"/>
          <w:sz w:val="18"/>
          <w:szCs w:val="18"/>
          <w:u w:val="single" w:color="auto"/>
          <w:color w:val="auto"/>
        </w:rPr>
        <w:t>Unvested Shares</w:t>
      </w:r>
      <w:r>
        <w:rPr>
          <w:rFonts w:ascii="Arial" w:cs="Arial" w:eastAsia="Arial" w:hAnsi="Arial"/>
          <w:sz w:val="18"/>
          <w:szCs w:val="18"/>
          <w:color w:val="auto"/>
        </w:rPr>
        <w:t>”). Shares of Restricted Stock granted to the Recipient in the Notice of Grant of Restricted Stock shall become fully vested as of the date of death of the Recipient, provided that the Recipient is employed by the Employer on the date of his/her death.</w:t>
      </w:r>
    </w:p>
    <w:p>
      <w:pPr>
        <w:spacing w:after="0" w:line="183" w:lineRule="exact"/>
        <w:rPr>
          <w:rFonts w:ascii="Arial" w:cs="Arial" w:eastAsia="Arial" w:hAnsi="Arial"/>
          <w:sz w:val="18"/>
          <w:szCs w:val="18"/>
          <w:color w:val="auto"/>
        </w:rPr>
      </w:pPr>
    </w:p>
    <w:p>
      <w:pPr>
        <w:ind w:right="120" w:firstLine="1305"/>
        <w:spacing w:after="0" w:line="313" w:lineRule="auto"/>
        <w:tabs>
          <w:tab w:leader="none" w:pos="1945"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Restrictions on Transfer</w:t>
      </w:r>
      <w:r>
        <w:rPr>
          <w:rFonts w:ascii="Arial" w:cs="Arial" w:eastAsia="Arial" w:hAnsi="Arial"/>
          <w:sz w:val="17"/>
          <w:szCs w:val="17"/>
          <w:color w:val="auto"/>
        </w:rPr>
        <w:t>. Unvested Shares may not be transferred or otherwise disposed of by the Recipient including by way of</w:t>
      </w:r>
      <w:r>
        <w:rPr>
          <w:rFonts w:ascii="Arial" w:cs="Arial" w:eastAsia="Arial" w:hAnsi="Arial"/>
          <w:sz w:val="17"/>
          <w:szCs w:val="17"/>
          <w:b w:val="1"/>
          <w:bCs w:val="1"/>
          <w:color w:val="auto"/>
        </w:rPr>
        <w:t xml:space="preserve"> </w:t>
      </w:r>
      <w:r>
        <w:rPr>
          <w:rFonts w:ascii="Arial" w:cs="Arial" w:eastAsia="Arial" w:hAnsi="Arial"/>
          <w:sz w:val="17"/>
          <w:szCs w:val="17"/>
          <w:color w:val="auto"/>
        </w:rPr>
        <w:t>sale, assignment, transfer, pledge, hypothecation or otherwise, except as permitted by the Committee in its sole discretion.</w:t>
      </w:r>
    </w:p>
    <w:p>
      <w:pPr>
        <w:spacing w:after="0" w:line="138" w:lineRule="exact"/>
        <w:rPr>
          <w:rFonts w:ascii="Arial" w:cs="Arial" w:eastAsia="Arial" w:hAnsi="Arial"/>
          <w:sz w:val="17"/>
          <w:szCs w:val="17"/>
          <w:color w:val="auto"/>
        </w:rPr>
      </w:pPr>
    </w:p>
    <w:p>
      <w:pPr>
        <w:ind w:right="20" w:firstLine="1305"/>
        <w:spacing w:after="0" w:line="266" w:lineRule="auto"/>
        <w:tabs>
          <w:tab w:leader="none" w:pos="194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Unvested Shares or other shares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to the Recipient, if such transfer, in the opinion of counsel for the Company, would violate the Securities Act (or any other federal or state statutes having similar requirements as may be in effect at that time).</w:t>
      </w:r>
    </w:p>
    <w:p>
      <w:pPr>
        <w:spacing w:after="0" w:line="176" w:lineRule="exact"/>
        <w:rPr>
          <w:rFonts w:ascii="Arial" w:cs="Arial" w:eastAsia="Arial" w:hAnsi="Arial"/>
          <w:sz w:val="18"/>
          <w:szCs w:val="18"/>
          <w:color w:val="auto"/>
        </w:rPr>
      </w:pPr>
    </w:p>
    <w:p>
      <w:pPr>
        <w:ind w:right="100" w:firstLine="1305"/>
        <w:spacing w:after="0" w:line="274" w:lineRule="auto"/>
        <w:tabs>
          <w:tab w:leader="none" w:pos="1945"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Invalid Transfers</w:t>
      </w:r>
      <w:r>
        <w:rPr>
          <w:rFonts w:ascii="Arial" w:cs="Arial" w:eastAsia="Arial" w:hAnsi="Arial"/>
          <w:sz w:val="17"/>
          <w:szCs w:val="17"/>
          <w:color w:val="auto"/>
        </w:rPr>
        <w:t>. No purported sale, assignment, mortgage, hypothecation, transfer, pledge, encumbrance, gift, transfer in trust</w:t>
      </w:r>
      <w:r>
        <w:rPr>
          <w:rFonts w:ascii="Arial" w:cs="Arial" w:eastAsia="Arial" w:hAnsi="Arial"/>
          <w:sz w:val="17"/>
          <w:szCs w:val="17"/>
          <w:b w:val="1"/>
          <w:bCs w:val="1"/>
          <w:color w:val="auto"/>
        </w:rPr>
        <w:t xml:space="preserve"> </w:t>
      </w:r>
      <w:r>
        <w:rPr>
          <w:rFonts w:ascii="Arial" w:cs="Arial" w:eastAsia="Arial" w:hAnsi="Arial"/>
          <w:sz w:val="17"/>
          <w:szCs w:val="17"/>
          <w:color w:val="auto"/>
        </w:rPr>
        <w:t>(voting or other) or other disposition of, or creation of a security interest in or lien on, any of the shares of Restricted Stock by any holder thereof in violation of the provisions of this Agreement or the Certificate of Incorporation or the By-Laws of the Company, shall be valid, and the Company will not transfer any of said shares of Restricted Stock on its books nor will any of said shares of Restricted Stock be entitled to vote, nor will any dividends be paid thereon, unless and until there has been full compliance with said provisions to the satisfaction of the Company. The foregoing restrictions are in addition to and not in lieu of any other remedies, legal or equitable, available to enforce said provisions.</w:t>
      </w:r>
    </w:p>
    <w:p>
      <w:pPr>
        <w:sectPr>
          <w:pgSz w:w="11900" w:h="16838" w:orient="portrait"/>
          <w:cols w:equalWidth="0" w:num="1">
            <w:col w:w="11420"/>
          </w:cols>
          <w:pgMar w:left="240" w:top="706" w:right="239" w:bottom="0" w:gutter="0" w:footer="0" w:header="0"/>
        </w:sectPr>
      </w:pPr>
    </w:p>
    <w:bookmarkStart w:id="11" w:name="page12"/>
    <w:bookmarkEnd w:id="11"/>
    <w:p>
      <w:pPr>
        <w:ind w:right="20" w:firstLine="1305"/>
        <w:spacing w:after="0" w:line="288" w:lineRule="auto"/>
        <w:tabs>
          <w:tab w:leader="none" w:pos="1945"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The Recipient shall promptly notify the Company of any election made pursuant to Section 83(b) of the Code. The</w:t>
      </w:r>
      <w:r>
        <w:rPr>
          <w:rFonts w:ascii="Arial" w:cs="Arial" w:eastAsia="Arial" w:hAnsi="Arial"/>
          <w:sz w:val="16"/>
          <w:szCs w:val="16"/>
          <w:b w:val="1"/>
          <w:bCs w:val="1"/>
          <w:color w:val="auto"/>
        </w:rPr>
        <w:t xml:space="preserve"> </w:t>
      </w:r>
      <w:r>
        <w:rPr>
          <w:rFonts w:ascii="Arial" w:cs="Arial" w:eastAsia="Arial" w:hAnsi="Arial"/>
          <w:sz w:val="16"/>
          <w:szCs w:val="16"/>
          <w:color w:val="auto"/>
        </w:rPr>
        <w:t>Recipient shall pay to the Company promptly upon request, and in any event at the time the Recipient recognizes taxable income in respect to the shares of Restricted Stock (including if the Recipient makes an election under Section 83(b) of the Code in connection with such grant), an amount equal to the federal, state and/or local taxes the Company determines it is required to withhold under applicable tax laws with respect to the shares of Restricted Stock. The Recipient may satisfy the foregoing requirement by making a payment to the Company in cash or, with the consent of the Company, by authorizing the Company to withhold cash otherwise due to the Recipient. In addition, except where the Recipient makes an election under Section 83(b) of the Code, Recipient may elect to have any withholding obligation satisfied by surrendering to the Company a portion of the shares of Restricted Stock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her or she (and not the Company) shall be responsible for any tax liability that may arise as a result of the transactions contemplated by this Agreement.</w:t>
      </w:r>
    </w:p>
    <w:p>
      <w:pPr>
        <w:spacing w:after="0" w:line="168" w:lineRule="exact"/>
        <w:rPr>
          <w:sz w:val="20"/>
          <w:szCs w:val="20"/>
          <w:color w:val="auto"/>
        </w:rPr>
      </w:pPr>
    </w:p>
    <w:p>
      <w:pPr>
        <w:ind w:left="1300" w:right="120"/>
        <w:spacing w:after="0" w:line="264" w:lineRule="auto"/>
        <w:rPr>
          <w:sz w:val="20"/>
          <w:szCs w:val="20"/>
          <w:color w:val="auto"/>
        </w:rPr>
      </w:pPr>
      <w:r>
        <w:rPr>
          <w:rFonts w:ascii="Arial" w:cs="Arial" w:eastAsia="Arial" w:hAnsi="Arial"/>
          <w:sz w:val="18"/>
          <w:szCs w:val="18"/>
          <w:color w:val="auto"/>
        </w:rPr>
        <w:t>THE RECIPIENT ACKNOWLEDGES THAT IT IS THE RECIPIENT’S SOLE RESPONSIBILITY, AND NOT THE COMPANY’S, TO FILE TIMELY THE ELECTION UNDER SECTION 83(b) OF THE CODE, IN THE EVENT THAT THE RECIPIENT DESIRES TO MAKE THE ELECTION.</w:t>
      </w:r>
    </w:p>
    <w:p>
      <w:pPr>
        <w:spacing w:after="0" w:line="177" w:lineRule="exact"/>
        <w:rPr>
          <w:sz w:val="20"/>
          <w:szCs w:val="20"/>
          <w:color w:val="auto"/>
        </w:rPr>
      </w:pPr>
    </w:p>
    <w:p>
      <w:pPr>
        <w:ind w:right="280" w:firstLine="1305"/>
        <w:spacing w:after="0" w:line="282" w:lineRule="auto"/>
        <w:tabs>
          <w:tab w:leader="none" w:pos="1945"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Rights as a Shareholder</w:t>
      </w:r>
      <w:r>
        <w:rPr>
          <w:rFonts w:ascii="Arial" w:cs="Arial" w:eastAsia="Arial" w:hAnsi="Arial"/>
          <w:sz w:val="18"/>
          <w:szCs w:val="18"/>
          <w:color w:val="auto"/>
        </w:rPr>
        <w:t>. Pursuant to Section 8(e) of the Plan, the Company shall hold in escrow all dividends, if any,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paid with respect to the Unvested Shares until all restrictions on such shares</w:t>
      </w:r>
    </w:p>
    <w:p>
      <w:pPr>
        <w:spacing w:after="0" w:line="361"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Only applicable to Restricted Stock Agreements for 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have lapsed. Pursuant to Section 8(f) of the Plan, the Recipient agrees (i) that the right to vote any Unvested Shares will be held by the Company and (ii) to execute an irrevocable proxy in favor of the Company in such form supplied by the Company.</w:t>
      </w:r>
    </w:p>
    <w:p>
      <w:pPr>
        <w:spacing w:after="0" w:line="166" w:lineRule="exact"/>
        <w:rPr>
          <w:sz w:val="20"/>
          <w:szCs w:val="20"/>
          <w:color w:val="auto"/>
        </w:rPr>
      </w:pPr>
    </w:p>
    <w:p>
      <w:pPr>
        <w:ind w:right="40" w:firstLine="1305"/>
        <w:spacing w:after="0" w:line="295" w:lineRule="auto"/>
        <w:tabs>
          <w:tab w:leader="none" w:pos="1945"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Compliance with Law and Regulations</w:t>
      </w:r>
      <w:r>
        <w:rPr>
          <w:rFonts w:ascii="Arial" w:cs="Arial" w:eastAsia="Arial" w:hAnsi="Arial"/>
          <w:sz w:val="16"/>
          <w:szCs w:val="16"/>
          <w:color w:val="auto"/>
        </w:rPr>
        <w:t>. This Agreement, the award hereunder and any obligation of the Company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all applicable federal, state and local laws, rules and regulations and to such approvals by any government or regulatory agency as may be required. The Company may require, as a condition of the issuance and delivery of certificates or the registration of book entries evidencing Restricted Stock pursuant to the terms hereof, that the certificates or book entries bear or be subject to such legends as set forth in the Plan, in addition to any other legends required under federal and state securities laws or as otherwise determined by the Committee. Except to the extent preempted by any federal law, this Agreement shall be construed and administered in accordance with the laws of the State of New York without reference to its principles of conflicts of law.</w:t>
      </w:r>
    </w:p>
    <w:p>
      <w:pPr>
        <w:spacing w:after="0" w:line="155" w:lineRule="exact"/>
        <w:rPr>
          <w:rFonts w:ascii="Arial" w:cs="Arial" w:eastAsia="Arial" w:hAnsi="Arial"/>
          <w:sz w:val="16"/>
          <w:szCs w:val="16"/>
          <w:color w:val="auto"/>
        </w:rPr>
      </w:pPr>
    </w:p>
    <w:p>
      <w:pPr>
        <w:jc w:val="both"/>
        <w:ind w:right="80" w:firstLine="1305"/>
        <w:spacing w:after="0" w:line="314" w:lineRule="auto"/>
        <w:tabs>
          <w:tab w:leader="none" w:pos="194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Recipient Bound by Plan</w:t>
      </w:r>
      <w:r>
        <w:rPr>
          <w:rFonts w:ascii="Arial" w:cs="Arial" w:eastAsia="Arial" w:hAnsi="Arial"/>
          <w:sz w:val="16"/>
          <w:szCs w:val="16"/>
          <w:color w:val="auto"/>
        </w:rPr>
        <w:t>. The Recipient acknowledges receipt of a copy of this Agreement and the Plan and agrees to be bound</w:t>
      </w:r>
      <w:r>
        <w:rPr>
          <w:rFonts w:ascii="Arial" w:cs="Arial" w:eastAsia="Arial" w:hAnsi="Arial"/>
          <w:sz w:val="16"/>
          <w:szCs w:val="16"/>
          <w:b w:val="1"/>
          <w:bCs w:val="1"/>
          <w:color w:val="auto"/>
        </w:rPr>
        <w:t xml:space="preserve"> </w:t>
      </w:r>
      <w:r>
        <w:rPr>
          <w:rFonts w:ascii="Arial" w:cs="Arial" w:eastAsia="Arial" w:hAnsi="Arial"/>
          <w:sz w:val="16"/>
          <w:szCs w:val="16"/>
          <w:color w:val="auto"/>
        </w:rPr>
        <w:t>by 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142" w:lineRule="exact"/>
        <w:rPr>
          <w:rFonts w:ascii="Arial" w:cs="Arial" w:eastAsia="Arial" w:hAnsi="Arial"/>
          <w:sz w:val="16"/>
          <w:szCs w:val="16"/>
          <w:color w:val="auto"/>
        </w:rPr>
      </w:pPr>
    </w:p>
    <w:p>
      <w:pPr>
        <w:ind w:firstLine="1305"/>
        <w:spacing w:after="0" w:line="277" w:lineRule="auto"/>
        <w:tabs>
          <w:tab w:leader="none" w:pos="1933"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communication given hereunder shall be in writing and shall be deemed given when delivered in person, or</w:t>
      </w:r>
      <w:r>
        <w:rPr>
          <w:rFonts w:ascii="Arial" w:cs="Arial" w:eastAsia="Arial" w:hAnsi="Arial"/>
          <w:sz w:val="17"/>
          <w:szCs w:val="17"/>
          <w:b w:val="1"/>
          <w:bCs w:val="1"/>
          <w:color w:val="auto"/>
        </w:rPr>
        <w:t xml:space="preserve"> </w:t>
      </w:r>
      <w:r>
        <w:rPr>
          <w:rFonts w:ascii="Arial" w:cs="Arial" w:eastAsia="Arial" w:hAnsi="Arial"/>
          <w:sz w:val="17"/>
          <w:szCs w:val="17"/>
          <w:color w:val="auto"/>
        </w:rPr>
        <w:t>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11.</w:t>
      </w:r>
    </w:p>
    <w:p>
      <w:pPr>
        <w:spacing w:after="0" w:line="168" w:lineRule="exact"/>
        <w:rPr>
          <w:rFonts w:ascii="Arial" w:cs="Arial" w:eastAsia="Arial" w:hAnsi="Arial"/>
          <w:sz w:val="17"/>
          <w:szCs w:val="17"/>
          <w:color w:val="auto"/>
        </w:rPr>
      </w:pPr>
    </w:p>
    <w:p>
      <w:pPr>
        <w:ind w:right="180" w:firstLine="1305"/>
        <w:spacing w:after="0" w:line="282" w:lineRule="auto"/>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No Obligation to Continue Employment</w:t>
      </w:r>
      <w:r>
        <w:rPr>
          <w:rFonts w:ascii="Arial" w:cs="Arial" w:eastAsia="Arial" w:hAnsi="Arial"/>
          <w:sz w:val="18"/>
          <w:szCs w:val="18"/>
          <w:color w:val="auto"/>
        </w:rPr>
        <w:t>. This Agreement does not guarantee that the Employer will employ the Recipient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specified time period, nor does it modify in any respect the Recipient’s employment or compensation.</w:t>
      </w:r>
    </w:p>
    <w:p>
      <w:pPr>
        <w:spacing w:after="0" w:line="161" w:lineRule="exact"/>
        <w:rPr>
          <w:rFonts w:ascii="Arial" w:cs="Arial" w:eastAsia="Arial" w:hAnsi="Arial"/>
          <w:sz w:val="18"/>
          <w:szCs w:val="18"/>
          <w:color w:val="auto"/>
        </w:rPr>
      </w:pPr>
    </w:p>
    <w:p>
      <w:pPr>
        <w:ind w:right="60" w:firstLine="1305"/>
        <w:spacing w:after="0" w:line="261" w:lineRule="auto"/>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By entering into this Agreement and accepting the award hereunder, the Recipient agrees to be bound by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shares of Restricted Stock granted hereunder (including after all restrictions on such shares have lapsed).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Letter"/>
      <w:start w:val="2"/>
    </w:lvl>
    <w:lvl w:ilvl="1">
      <w:lvlJc w:val="left"/>
      <w:lvlText w:val="(%2)"/>
      <w:numFmt w:val="lowerLetter"/>
      <w:start w:val="3"/>
    </w:lvl>
  </w:abstractNum>
  <w:abstractNum w:abstractNumId="4">
    <w:nsid w:val="4E6AFB66"/>
    <w:multiLevelType w:val="hybridMultilevel"/>
    <w:lvl w:ilvl="0">
      <w:lvlJc w:val="left"/>
      <w:lvlText w:val="(%1)"/>
      <w:numFmt w:val="decimal"/>
      <w:start w:val="1"/>
    </w:lvl>
    <w:lvl w:ilvl="1">
      <w:lvlJc w:val="left"/>
      <w:lvlText w:val="%2."/>
      <w:numFmt w:val="decimal"/>
      <w:start w:val="3"/>
    </w:lvl>
  </w:abstractNum>
  <w:abstractNum w:abstractNumId="5">
    <w:nsid w:val="25E45D32"/>
    <w:multiLevelType w:val="hybridMultilevel"/>
    <w:lvl w:ilvl="0">
      <w:lvlJc w:val="left"/>
      <w:lvlText w:val="%1"/>
      <w:numFmt w:val="decimal"/>
      <w:start w:val="1"/>
    </w:lvl>
    <w:lvl w:ilvl="1">
      <w:lvlJc w:val="left"/>
      <w:lvlText w:val="(%2)"/>
      <w:numFmt w:val="lowerLetter"/>
      <w:start w:val="2"/>
    </w:lvl>
  </w:abstractNum>
  <w:abstractNum w:abstractNumId="6">
    <w:nsid w:val="519B500D"/>
    <w:multiLevelType w:val="hybridMultilevel"/>
    <w:lvl w:ilvl="0">
      <w:lvlJc w:val="left"/>
      <w:lvlText w:val="(%1)"/>
      <w:numFmt w:val="decimal"/>
      <w:start w:val="1"/>
    </w:lvl>
    <w:lvl w:ilvl="1">
      <w:lvlJc w:val="left"/>
      <w:lvlText w:val="%2"/>
      <w:numFmt w:val="lowerLetter"/>
      <w:start w:val="1"/>
    </w:lvl>
  </w:abstractNum>
  <w:abstractNum w:abstractNumId="7">
    <w:nsid w:val="431BD7B7"/>
    <w:multiLevelType w:val="hybridMultilevel"/>
    <w:lvl w:ilvl="0">
      <w:lvlJc w:val="left"/>
      <w:lvlText w:val="(%1)"/>
      <w:numFmt w:val="lowerLetter"/>
      <w:start w:val="3"/>
    </w:lvl>
  </w:abstractNum>
  <w:abstractNum w:abstractNumId="8">
    <w:nsid w:val="3F2DBA31"/>
    <w:multiLevelType w:val="hybridMultilevel"/>
    <w:lvl w:ilvl="0">
      <w:lvlJc w:val="left"/>
      <w:lvlText w:val="(%1)"/>
      <w:numFmt w:val="upperLetter"/>
      <w:start w:val="1"/>
    </w:lvl>
    <w:lvl w:ilvl="1">
      <w:lvlJc w:val="left"/>
      <w:lvlText w:val="%2."/>
      <w:numFmt w:val="decimal"/>
      <w:start w:val="4"/>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1."/>
      <w:numFmt w:val="decimal"/>
      <w:start w:val="7"/>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lowerLetter"/>
      <w:start w:val="2"/>
    </w:lvl>
  </w:abstractNum>
  <w:abstractNum w:abstractNumId="15">
    <w:nsid w:val="721DA317"/>
    <w:multiLevelType w:val="hybridMultilevel"/>
    <w:lvl w:ilvl="0">
      <w:lvlJc w:val="left"/>
      <w:lvlText w:val="%1"/>
      <w:numFmt w:val="decimal"/>
      <w:start w:val="1"/>
    </w:lvl>
    <w:lvl w:ilvl="1">
      <w:lvlJc w:val="left"/>
      <w:lvlText w:val="%2."/>
      <w:numFmt w:val="decimal"/>
      <w:start w:val="3"/>
    </w:lvl>
    <w:lvl w:ilvl="2">
      <w:lvlJc w:val="left"/>
      <w:lvlText w:val="(%3)"/>
      <w:numFmt w:val="lowerLetter"/>
      <w:start w:val="2"/>
    </w:lvl>
  </w:abstractNum>
  <w:abstractNum w:abstractNumId="16">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
    <w:nsid w:val="2D1D5AE9"/>
    <w:multiLevelType w:val="hybridMultilevel"/>
    <w:lvl w:ilvl="0">
      <w:lvlJc w:val="left"/>
      <w:lvlText w:val="%1"/>
      <w:numFmt w:val="decimal"/>
      <w:start w:val="1"/>
    </w:lvl>
    <w:lvl w:ilvl="1">
      <w:lvlJc w:val="left"/>
      <w:lvlText w:val="%2."/>
      <w:numFmt w:val="decimal"/>
      <w:start w:val="4"/>
    </w:lvl>
  </w:abstractNum>
  <w:abstractNum w:abstractNumId="18">
    <w:nsid w:val="6763845E"/>
    <w:multiLevelType w:val="hybridMultilevel"/>
    <w:lvl w:ilvl="0">
      <w:lvlJc w:val="left"/>
      <w:lvlText w:val="(%1)"/>
      <w:numFmt w:val="decimal"/>
      <w:start w:val="3"/>
    </w:lvl>
    <w:lvl w:ilvl="1">
      <w:lvlJc w:val="left"/>
      <w:lvlText w:val="%2"/>
      <w:numFmt w:val="decimal"/>
      <w:start w:val="1"/>
    </w:lvl>
  </w:abstractNum>
  <w:abstractNum w:abstractNumId="19">
    <w:nsid w:val="75A2A8D4"/>
    <w:multiLevelType w:val="hybridMultilevel"/>
    <w:lvl w:ilvl="0">
      <w:lvlJc w:val="left"/>
      <w:lvlText w:val="%1."/>
      <w:numFmt w:val="decimal"/>
      <w:start w:val="8"/>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2"/>
    </w:lvl>
  </w:abstractNum>
  <w:abstractNum w:abstractNumId="22">
    <w:nsid w:val="4353D0CD"/>
    <w:multiLevelType w:val="hybridMultilevel"/>
    <w:lvl w:ilvl="0">
      <w:lvlJc w:val="left"/>
      <w:lvlText w:val="(%1)"/>
      <w:numFmt w:val="lowerLetter"/>
      <w:start w:val="3"/>
    </w:lvl>
  </w:abstractNum>
  <w:abstractNum w:abstractNumId="23">
    <w:nsid w:val="B03E0C6"/>
    <w:multiLevelType w:val="hybridMultilevel"/>
    <w:lvl w:ilvl="0">
      <w:lvlJc w:val="left"/>
      <w:lvlText w:val="%1."/>
      <w:numFmt w:val="decimal"/>
      <w:start w:val="3"/>
    </w:lvl>
  </w:abstractNum>
  <w:abstractNum w:abstractNumId="24">
    <w:nsid w:val="189A769B"/>
    <w:multiLevelType w:val="hybridMultilevel"/>
    <w:lvl w:ilvl="0">
      <w:lvlJc w:val="left"/>
      <w:lvlText w:val="%1."/>
      <w:numFmt w:val="decimal"/>
      <w:start w:val="7"/>
    </w:lvl>
  </w:abstractNum>
  <w:abstractNum w:abstractNumId="25">
    <w:nsid w:val="54E49EB4"/>
    <w:multiLevelType w:val="hybridMultilevel"/>
    <w:lvl w:ilvl="0">
      <w:lvlJc w:val="left"/>
      <w:lvlText w:val="%1"/>
      <w:numFmt w:val="decimal"/>
      <w:start w:val="1"/>
    </w:lvl>
    <w:lvl w:ilvl="1">
      <w:lvlJc w:val="left"/>
      <w:lvlText w:val="%2."/>
      <w:numFmt w:val="decimal"/>
      <w:start w:val="8"/>
    </w:lvl>
  </w:abstractNum>
  <w:abstractNum w:abstractNumId="26">
    <w:nsid w:val="71F32454"/>
    <w:multiLevelType w:val="hybridMultilevel"/>
    <w:lvl w:ilvl="0">
      <w:lvlJc w:val="left"/>
      <w:lvlText w:val="(%1)"/>
      <w:numFmt w:val="decimal"/>
      <w:start w:val="1"/>
    </w:lvl>
    <w:lvl w:ilvl="1">
      <w:lvlJc w:val="left"/>
      <w:lvlText w:val="%2"/>
      <w:numFmt w:val="decimal"/>
      <w:start w:val="1"/>
    </w:lvl>
  </w:abstractNum>
  <w:abstractNum w:abstractNumId="27">
    <w:nsid w:val="2CA8861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2019-12-06T06:19:17Z</dcterms:created>
  <dcterms:modified xsi:type="dcterms:W3CDTF">2019-12-06T06:19:17Z</dcterms:modified>
</cp:coreProperties>
</file>