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November 26, 2014 (November 24,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REGENERON PHARMACEUTICALS,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New York</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219" w:lineRule="exact"/>
        <w:rPr>
          <w:sz w:val="24"/>
          <w:szCs w:val="24"/>
          <w:color w:val="auto"/>
        </w:rPr>
      </w:pPr>
    </w:p>
    <w:tbl>
      <w:tblPr>
        <w:tblLayout w:type="fixed"/>
        <w:tblInd w:w="880" w:type="dxa"/>
        <w:tblCellMar>
          <w:top w:w="0" w:type="dxa"/>
          <w:left w:w="0" w:type="dxa"/>
          <w:bottom w:w="0" w:type="dxa"/>
          <w:right w:w="0" w:type="dxa"/>
        </w:tblCellMar>
      </w:tblPr>
      <w:tr>
        <w:trPr>
          <w:trHeight w:val="212"/>
        </w:trPr>
        <w:tc>
          <w:tcPr>
            <w:tcW w:w="5340" w:type="dxa"/>
            <w:vAlign w:val="bottom"/>
          </w:tcPr>
          <w:p>
            <w:pPr>
              <w:jc w:val="center"/>
              <w:ind w:right="1239"/>
              <w:spacing w:after="0"/>
              <w:rPr>
                <w:sz w:val="20"/>
                <w:szCs w:val="20"/>
                <w:color w:val="auto"/>
              </w:rPr>
            </w:pPr>
            <w:r>
              <w:rPr>
                <w:rFonts w:ascii="Arial" w:cs="Arial" w:eastAsia="Arial" w:hAnsi="Arial"/>
                <w:sz w:val="18"/>
                <w:szCs w:val="18"/>
                <w:b w:val="1"/>
                <w:bCs w:val="1"/>
                <w:color w:val="auto"/>
                <w:w w:val="90"/>
              </w:rPr>
              <w:t>000-19034</w:t>
            </w:r>
          </w:p>
        </w:tc>
        <w:tc>
          <w:tcPr>
            <w:tcW w:w="3540" w:type="dxa"/>
            <w:vAlign w:val="bottom"/>
          </w:tcPr>
          <w:p>
            <w:pPr>
              <w:jc w:val="center"/>
              <w:ind w:left="1239"/>
              <w:spacing w:after="0"/>
              <w:rPr>
                <w:sz w:val="20"/>
                <w:szCs w:val="20"/>
                <w:color w:val="auto"/>
              </w:rPr>
            </w:pPr>
            <w:r>
              <w:rPr>
                <w:rFonts w:ascii="Arial" w:cs="Arial" w:eastAsia="Arial" w:hAnsi="Arial"/>
                <w:sz w:val="18"/>
                <w:szCs w:val="18"/>
                <w:b w:val="1"/>
                <w:bCs w:val="1"/>
                <w:color w:val="auto"/>
                <w:w w:val="89"/>
              </w:rPr>
              <w:t>13-3444607</w:t>
            </w:r>
          </w:p>
        </w:tc>
      </w:tr>
      <w:tr>
        <w:trPr>
          <w:trHeight w:val="186"/>
        </w:trPr>
        <w:tc>
          <w:tcPr>
            <w:tcW w:w="5340" w:type="dxa"/>
            <w:vAlign w:val="bottom"/>
          </w:tcPr>
          <w:p>
            <w:pPr>
              <w:jc w:val="center"/>
              <w:ind w:right="1239"/>
              <w:spacing w:after="0"/>
              <w:rPr>
                <w:sz w:val="20"/>
                <w:szCs w:val="20"/>
                <w:color w:val="auto"/>
              </w:rPr>
            </w:pPr>
            <w:r>
              <w:rPr>
                <w:rFonts w:ascii="Arial" w:cs="Arial" w:eastAsia="Arial" w:hAnsi="Arial"/>
                <w:sz w:val="14"/>
                <w:szCs w:val="14"/>
                <w:b w:val="1"/>
                <w:bCs w:val="1"/>
                <w:color w:val="auto"/>
                <w:w w:val="93"/>
              </w:rPr>
              <w:t>(Commission File Number)</w:t>
            </w:r>
          </w:p>
        </w:tc>
        <w:tc>
          <w:tcPr>
            <w:tcW w:w="3540" w:type="dxa"/>
            <w:vAlign w:val="bottom"/>
          </w:tcPr>
          <w:p>
            <w:pPr>
              <w:jc w:val="center"/>
              <w:ind w:left="125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94"/>
        </w:trPr>
        <w:tc>
          <w:tcPr>
            <w:tcW w:w="5340" w:type="dxa"/>
            <w:vAlign w:val="bottom"/>
          </w:tcPr>
          <w:p>
            <w:pPr>
              <w:jc w:val="center"/>
              <w:ind w:right="1239"/>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3540" w:type="dxa"/>
            <w:vAlign w:val="bottom"/>
          </w:tcPr>
          <w:p>
            <w:pPr>
              <w:jc w:val="center"/>
              <w:ind w:left="1239"/>
              <w:spacing w:after="0"/>
              <w:rPr>
                <w:sz w:val="20"/>
                <w:szCs w:val="20"/>
                <w:color w:val="auto"/>
              </w:rPr>
            </w:pPr>
            <w:r>
              <w:rPr>
                <w:rFonts w:ascii="Arial" w:cs="Arial" w:eastAsia="Arial" w:hAnsi="Arial"/>
                <w:sz w:val="18"/>
                <w:szCs w:val="18"/>
                <w:b w:val="1"/>
                <w:bCs w:val="1"/>
                <w:color w:val="auto"/>
                <w:w w:val="89"/>
              </w:rPr>
              <w:t>10591-6707</w:t>
            </w:r>
          </w:p>
        </w:tc>
      </w:tr>
      <w:tr>
        <w:trPr>
          <w:trHeight w:val="186"/>
        </w:trPr>
        <w:tc>
          <w:tcPr>
            <w:tcW w:w="5340" w:type="dxa"/>
            <w:vAlign w:val="bottom"/>
          </w:tcPr>
          <w:p>
            <w:pPr>
              <w:jc w:val="center"/>
              <w:ind w:right="1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540" w:type="dxa"/>
            <w:vAlign w:val="bottom"/>
          </w:tcPr>
          <w:p>
            <w:pPr>
              <w:jc w:val="center"/>
              <w:ind w:left="1239"/>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(914) 847-7000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Amendment to Warrant Agreement with Credit Suisse Capital LLC</w:t>
      </w:r>
    </w:p>
    <w:p>
      <w:pPr>
        <w:spacing w:after="0" w:line="11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On November 24, 2014, Regeneron Pharmaceuticals, Inc. (“</w:t>
      </w:r>
      <w:r>
        <w:rPr>
          <w:rFonts w:ascii="Arial" w:cs="Arial" w:eastAsia="Arial" w:hAnsi="Arial"/>
          <w:sz w:val="16"/>
          <w:szCs w:val="16"/>
          <w:u w:val="single" w:color="auto"/>
          <w:color w:val="auto"/>
        </w:rPr>
        <w:t>Regeneron</w:t>
      </w:r>
      <w:r>
        <w:rPr>
          <w:rFonts w:ascii="Arial" w:cs="Arial" w:eastAsia="Arial" w:hAnsi="Arial"/>
          <w:sz w:val="16"/>
          <w:szCs w:val="16"/>
          <w:color w:val="auto"/>
        </w:rPr>
        <w:t>” or the “</w:t>
      </w:r>
      <w:r>
        <w:rPr>
          <w:rFonts w:ascii="Arial" w:cs="Arial" w:eastAsia="Arial" w:hAnsi="Arial"/>
          <w:sz w:val="16"/>
          <w:szCs w:val="16"/>
          <w:u w:val="single" w:color="auto"/>
          <w:color w:val="auto"/>
        </w:rPr>
        <w:t>Company</w:t>
      </w:r>
      <w:r>
        <w:rPr>
          <w:rFonts w:ascii="Arial" w:cs="Arial" w:eastAsia="Arial" w:hAnsi="Arial"/>
          <w:sz w:val="16"/>
          <w:szCs w:val="16"/>
          <w:color w:val="auto"/>
        </w:rPr>
        <w:t>”) entered into the Third Amendment (the “</w:t>
      </w:r>
      <w:r>
        <w:rPr>
          <w:rFonts w:ascii="Arial" w:cs="Arial" w:eastAsia="Arial" w:hAnsi="Arial"/>
          <w:sz w:val="16"/>
          <w:szCs w:val="16"/>
          <w:u w:val="single" w:color="auto"/>
          <w:color w:val="auto"/>
        </w:rPr>
        <w:t>Third CS</w:t>
      </w:r>
      <w:r>
        <w:rPr>
          <w:rFonts w:ascii="Arial" w:cs="Arial" w:eastAsia="Arial" w:hAnsi="Arial"/>
          <w:sz w:val="16"/>
          <w:szCs w:val="16"/>
          <w:color w:val="auto"/>
        </w:rPr>
        <w:t xml:space="preserve"> </w:t>
      </w:r>
      <w:r>
        <w:rPr>
          <w:rFonts w:ascii="Arial" w:cs="Arial" w:eastAsia="Arial" w:hAnsi="Arial"/>
          <w:sz w:val="16"/>
          <w:szCs w:val="16"/>
          <w:u w:val="single" w:color="auto"/>
          <w:color w:val="auto"/>
        </w:rPr>
        <w:t>Amendment</w:t>
      </w:r>
      <w:r>
        <w:rPr>
          <w:rFonts w:ascii="Arial" w:cs="Arial" w:eastAsia="Arial" w:hAnsi="Arial"/>
          <w:sz w:val="16"/>
          <w:szCs w:val="16"/>
          <w:color w:val="auto"/>
        </w:rPr>
        <w:t>”) to the Master Terms and Conditions for Warrants, dated as of October 18, 2011 (the “</w:t>
      </w:r>
      <w:r>
        <w:rPr>
          <w:rFonts w:ascii="Arial" w:cs="Arial" w:eastAsia="Arial" w:hAnsi="Arial"/>
          <w:sz w:val="16"/>
          <w:szCs w:val="16"/>
          <w:u w:val="single" w:color="auto"/>
          <w:color w:val="auto"/>
        </w:rPr>
        <w:t>CS Master Terms</w:t>
      </w:r>
      <w:r>
        <w:rPr>
          <w:rFonts w:ascii="Arial" w:cs="Arial" w:eastAsia="Arial" w:hAnsi="Arial"/>
          <w:sz w:val="16"/>
          <w:szCs w:val="16"/>
          <w:color w:val="auto"/>
        </w:rPr>
        <w:t>”), as supplemented by a confirmation dated October 18, 2011 (the “</w:t>
      </w:r>
      <w:r>
        <w:rPr>
          <w:rFonts w:ascii="Arial" w:cs="Arial" w:eastAsia="Arial" w:hAnsi="Arial"/>
          <w:sz w:val="16"/>
          <w:szCs w:val="16"/>
          <w:u w:val="single" w:color="auto"/>
          <w:color w:val="auto"/>
        </w:rPr>
        <w:t>CS Confirmation</w:t>
      </w:r>
      <w:r>
        <w:rPr>
          <w:rFonts w:ascii="Arial" w:cs="Arial" w:eastAsia="Arial" w:hAnsi="Arial"/>
          <w:sz w:val="16"/>
          <w:szCs w:val="16"/>
          <w:color w:val="auto"/>
        </w:rPr>
        <w:t>”) and as amended by the amendment dated May 14, 2014 (the “</w:t>
      </w:r>
      <w:r>
        <w:rPr>
          <w:rFonts w:ascii="Arial" w:cs="Arial" w:eastAsia="Arial" w:hAnsi="Arial"/>
          <w:sz w:val="16"/>
          <w:szCs w:val="16"/>
          <w:u w:val="single" w:color="auto"/>
          <w:color w:val="auto"/>
        </w:rPr>
        <w:t>First CS Amendment</w:t>
      </w:r>
      <w:r>
        <w:rPr>
          <w:rFonts w:ascii="Arial" w:cs="Arial" w:eastAsia="Arial" w:hAnsi="Arial"/>
          <w:sz w:val="16"/>
          <w:szCs w:val="16"/>
          <w:color w:val="auto"/>
        </w:rPr>
        <w:t>”) and the amendment dated November 18, 2014 (the “</w:t>
      </w:r>
      <w:r>
        <w:rPr>
          <w:rFonts w:ascii="Arial" w:cs="Arial" w:eastAsia="Arial" w:hAnsi="Arial"/>
          <w:sz w:val="16"/>
          <w:szCs w:val="16"/>
          <w:u w:val="single" w:color="auto"/>
          <w:color w:val="auto"/>
        </w:rPr>
        <w:t>Second CS Amendment</w:t>
      </w:r>
      <w:r>
        <w:rPr>
          <w:rFonts w:ascii="Arial" w:cs="Arial" w:eastAsia="Arial" w:hAnsi="Arial"/>
          <w:sz w:val="16"/>
          <w:szCs w:val="16"/>
          <w:color w:val="auto"/>
        </w:rPr>
        <w:t>”), with Credit Suisse Capital LLC (as assignee of Credit Suisse International) (“</w:t>
      </w:r>
      <w:r>
        <w:rPr>
          <w:rFonts w:ascii="Arial" w:cs="Arial" w:eastAsia="Arial" w:hAnsi="Arial"/>
          <w:sz w:val="16"/>
          <w:szCs w:val="16"/>
          <w:u w:val="single" w:color="auto"/>
          <w:color w:val="auto"/>
        </w:rPr>
        <w:t>Credit Suisse</w:t>
      </w:r>
      <w:r>
        <w:rPr>
          <w:rFonts w:ascii="Arial" w:cs="Arial" w:eastAsia="Arial" w:hAnsi="Arial"/>
          <w:sz w:val="16"/>
          <w:szCs w:val="16"/>
          <w:color w:val="auto"/>
        </w:rPr>
        <w:t>”). The CS Master Terms, as supplemented by the CS Confirmation and amended by the First CS Amendment and the Second CS Amendment, are referred to below as the “</w:t>
      </w:r>
      <w:r>
        <w:rPr>
          <w:rFonts w:ascii="Arial" w:cs="Arial" w:eastAsia="Arial" w:hAnsi="Arial"/>
          <w:sz w:val="16"/>
          <w:szCs w:val="16"/>
          <w:u w:val="single" w:color="auto"/>
          <w:color w:val="auto"/>
        </w:rPr>
        <w:t>CS Warrant Agreement</w:t>
      </w:r>
      <w:r>
        <w:rPr>
          <w:rFonts w:ascii="Arial" w:cs="Arial" w:eastAsia="Arial" w:hAnsi="Arial"/>
          <w:sz w:val="16"/>
          <w:szCs w:val="16"/>
          <w:color w:val="auto"/>
        </w:rPr>
        <w:t>” and, as further amended by the Third CS Amendment, as the “</w:t>
      </w:r>
      <w:r>
        <w:rPr>
          <w:rFonts w:ascii="Arial" w:cs="Arial" w:eastAsia="Arial" w:hAnsi="Arial"/>
          <w:sz w:val="16"/>
          <w:szCs w:val="16"/>
          <w:u w:val="single" w:color="auto"/>
          <w:color w:val="auto"/>
        </w:rPr>
        <w:t>Amended CS Warrant Agreement</w:t>
      </w:r>
      <w:r>
        <w:rPr>
          <w:rFonts w:ascii="Arial" w:cs="Arial" w:eastAsia="Arial" w:hAnsi="Arial"/>
          <w:sz w:val="16"/>
          <w:szCs w:val="16"/>
          <w:color w:val="auto"/>
        </w:rPr>
        <w:t>.” The CS Warrant Agreement governed the remaining outstanding warrants issued by the Company to Credit Suisse in 2011 in connection with the issuance of Regeneron’s 1.875% convertible senior notes (the “</w:t>
      </w:r>
      <w:r>
        <w:rPr>
          <w:rFonts w:ascii="Arial" w:cs="Arial" w:eastAsia="Arial" w:hAnsi="Arial"/>
          <w:sz w:val="16"/>
          <w:szCs w:val="16"/>
          <w:u w:val="single" w:color="auto"/>
          <w:color w:val="auto"/>
        </w:rPr>
        <w:t>Convertible Notes</w:t>
      </w:r>
      <w:r>
        <w:rPr>
          <w:rFonts w:ascii="Arial" w:cs="Arial" w:eastAsia="Arial" w:hAnsi="Arial"/>
          <w:sz w:val="16"/>
          <w:szCs w:val="16"/>
          <w:color w:val="auto"/>
        </w:rPr>
        <w:t>”) and the related hedging transactions.</w:t>
      </w:r>
    </w:p>
    <w:p>
      <w:pPr>
        <w:spacing w:after="0" w:line="166"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Pursuant to the Third CS Amendment, the number of warrants held by Credit Suisse has been reduced by 164,409, or 24.2%, resulting in 515,102 warrants being held by Credit Suisse in accordance with the Amended CS Warrant Agreement. The aggregate amount paid by the Company to Credit Suisse in consideration of entering into the Third CS Amendment is $50.8 million.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Third CS Amendment contains customary representations and warranties of the Company and Credit Suisse, respectively.</w:t>
      </w:r>
    </w:p>
    <w:p>
      <w:pPr>
        <w:spacing w:after="0" w:line="225"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 foregoing description of the Third CS Amendment is qualified in its entirety by reference to the full text of the Third CS Amendment, a copy of which will be filed with the SEC as an exhibit to the Company’s Annual Report on Form 10-K for the year ending December 31, 2014 (the “</w:t>
      </w:r>
      <w:r>
        <w:rPr>
          <w:rFonts w:ascii="Arial" w:cs="Arial" w:eastAsia="Arial" w:hAnsi="Arial"/>
          <w:sz w:val="18"/>
          <w:szCs w:val="18"/>
          <w:u w:val="single" w:color="auto"/>
          <w:color w:val="auto"/>
        </w:rPr>
        <w:t>2014 Form 10-K</w:t>
      </w:r>
      <w:r>
        <w:rPr>
          <w:rFonts w:ascii="Arial" w:cs="Arial" w:eastAsia="Arial" w:hAnsi="Arial"/>
          <w:sz w:val="18"/>
          <w:szCs w:val="18"/>
          <w:color w:val="auto"/>
        </w:rPr>
        <w: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Amendment to Warrant Agreement with Goldman, Sachs &amp; Co.</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November 25, 2014, Regeneron entered into the Second Amendment (the “</w:t>
      </w:r>
      <w:r>
        <w:rPr>
          <w:rFonts w:ascii="Arial" w:cs="Arial" w:eastAsia="Arial" w:hAnsi="Arial"/>
          <w:sz w:val="18"/>
          <w:szCs w:val="18"/>
          <w:u w:val="single" w:color="auto"/>
          <w:color w:val="auto"/>
        </w:rPr>
        <w:t>Second GS Amendment</w:t>
      </w:r>
      <w:r>
        <w:rPr>
          <w:rFonts w:ascii="Arial" w:cs="Arial" w:eastAsia="Arial" w:hAnsi="Arial"/>
          <w:sz w:val="18"/>
          <w:szCs w:val="18"/>
          <w:color w:val="auto"/>
        </w:rPr>
        <w:t>”) to the Master Terms and Conditions for Warrants, dated as of October 18, 2011 (the “</w:t>
      </w:r>
      <w:r>
        <w:rPr>
          <w:rFonts w:ascii="Arial" w:cs="Arial" w:eastAsia="Arial" w:hAnsi="Arial"/>
          <w:sz w:val="18"/>
          <w:szCs w:val="18"/>
          <w:u w:val="single" w:color="auto"/>
          <w:color w:val="auto"/>
        </w:rPr>
        <w:t>GS Master Terms</w:t>
      </w:r>
      <w:r>
        <w:rPr>
          <w:rFonts w:ascii="Arial" w:cs="Arial" w:eastAsia="Arial" w:hAnsi="Arial"/>
          <w:sz w:val="18"/>
          <w:szCs w:val="18"/>
          <w:color w:val="auto"/>
        </w:rPr>
        <w:t>”), as supplemented by a confirmation dated October 18, 2011 (the “</w:t>
      </w:r>
      <w:r>
        <w:rPr>
          <w:rFonts w:ascii="Arial" w:cs="Arial" w:eastAsia="Arial" w:hAnsi="Arial"/>
          <w:sz w:val="18"/>
          <w:szCs w:val="18"/>
          <w:u w:val="single" w:color="auto"/>
          <w:color w:val="auto"/>
        </w:rPr>
        <w:t>GS Confirmation</w:t>
      </w:r>
      <w:r>
        <w:rPr>
          <w:rFonts w:ascii="Arial" w:cs="Arial" w:eastAsia="Arial" w:hAnsi="Arial"/>
          <w:sz w:val="18"/>
          <w:szCs w:val="18"/>
          <w:color w:val="auto"/>
        </w:rPr>
        <w:t>”) and as amended by the amendment dated May 15, 2014 (the “</w:t>
      </w:r>
      <w:r>
        <w:rPr>
          <w:rFonts w:ascii="Arial" w:cs="Arial" w:eastAsia="Arial" w:hAnsi="Arial"/>
          <w:sz w:val="18"/>
          <w:szCs w:val="18"/>
          <w:u w:val="single" w:color="auto"/>
          <w:color w:val="auto"/>
        </w:rPr>
        <w:t>First GS Amendment</w:t>
      </w:r>
      <w:r>
        <w:rPr>
          <w:rFonts w:ascii="Arial" w:cs="Arial" w:eastAsia="Arial" w:hAnsi="Arial"/>
          <w:sz w:val="18"/>
          <w:szCs w:val="18"/>
          <w:color w:val="auto"/>
        </w:rPr>
        <w:t>”), with Goldman, Sachs &amp; Co. (“</w:t>
      </w:r>
      <w:r>
        <w:rPr>
          <w:rFonts w:ascii="Arial" w:cs="Arial" w:eastAsia="Arial" w:hAnsi="Arial"/>
          <w:sz w:val="18"/>
          <w:szCs w:val="18"/>
          <w:u w:val="single" w:color="auto"/>
          <w:color w:val="auto"/>
        </w:rPr>
        <w:t>Goldman Sachs</w:t>
      </w:r>
      <w:r>
        <w:rPr>
          <w:rFonts w:ascii="Arial" w:cs="Arial" w:eastAsia="Arial" w:hAnsi="Arial"/>
          <w:sz w:val="18"/>
          <w:szCs w:val="18"/>
          <w:color w:val="auto"/>
        </w:rPr>
        <w:t>”). The GS Master Terms, as supplemented by the GS Confirmation and amended by the First GS Amendment, are referred to below as the “</w:t>
      </w:r>
      <w:r>
        <w:rPr>
          <w:rFonts w:ascii="Arial" w:cs="Arial" w:eastAsia="Arial" w:hAnsi="Arial"/>
          <w:sz w:val="18"/>
          <w:szCs w:val="18"/>
          <w:u w:val="single" w:color="auto"/>
          <w:color w:val="auto"/>
        </w:rPr>
        <w:t>GS Warrant Agreement</w:t>
      </w:r>
      <w:r>
        <w:rPr>
          <w:rFonts w:ascii="Arial" w:cs="Arial" w:eastAsia="Arial" w:hAnsi="Arial"/>
          <w:sz w:val="18"/>
          <w:szCs w:val="18"/>
          <w:color w:val="auto"/>
        </w:rPr>
        <w:t>.” The GS Warrant Agreement governed the remaining outstanding warrants issued by the Company to Goldman Sachs in 2011 in connection with the issuance of the Convertible Notes and the related hedging transactions.</w:t>
      </w:r>
    </w:p>
    <w:p>
      <w:pPr>
        <w:spacing w:after="0" w:line="1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Pursuant to the Second GS Amendment, Regeneron and Goldman Sachs have agreed to reduce the remaining number of warrants held by Goldman Sachs by up to 493,229, or 48.9%, for an aggregate amount payable by Regeneron not to exceed $148.5 million. The reduction in the number of warrants will be determined based on the number of warrants with respect to which Goldman Sachs has closed out its hedge positions during the period starting on November 26, 2014 and ending no later than February 12, 2015 (the “</w:t>
      </w:r>
      <w:r>
        <w:rPr>
          <w:rFonts w:ascii="Arial" w:cs="Arial" w:eastAsia="Arial" w:hAnsi="Arial"/>
          <w:sz w:val="18"/>
          <w:szCs w:val="18"/>
          <w:u w:val="single" w:color="auto"/>
          <w:color w:val="auto"/>
        </w:rPr>
        <w:t>Transaction Period</w:t>
      </w:r>
      <w:r>
        <w:rPr>
          <w:rFonts w:ascii="Arial" w:cs="Arial" w:eastAsia="Arial" w:hAnsi="Arial"/>
          <w:sz w:val="18"/>
          <w:szCs w:val="18"/>
          <w:color w:val="auto"/>
        </w:rPr>
        <w:t>”). The payment amount will be based on the volume-weighted average of the per share prices at which Goldman Sachs purchases shares of Regeneron common stock, par value $0.001 per share, in order to close out its hedge positions in respect of such warrants during the Transaction Period, and will be due on the third business day following the last day of the Transaction Period.</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Second GS Amendment contains customary representations, warranties and covenants of the Company and Goldman Sachs, respectively.</w:t>
      </w:r>
    </w:p>
    <w:p>
      <w:pPr>
        <w:spacing w:after="0" w:line="23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foregoing description of the Second GS Amendment is qualified in its entirety by reference to the full text of the Second GS Amendment, a copy of which will be filed with the SEC as an exhibit to the 2014 Form 10-K.</w:t>
      </w:r>
    </w:p>
    <w:p>
      <w:pPr>
        <w:sectPr>
          <w:pgSz w:w="11900" w:h="16838" w:orient="portrait"/>
          <w:cols w:equalWidth="0" w:num="1">
            <w:col w:w="11420"/>
          </w:cols>
          <w:pgMar w:left="240" w:top="270"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REGENERON PHARMACEUTICALS,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Joseph J. LaRosa</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Senior Vice President, General Counsel and Secretary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26, 2014</w:t>
      </w:r>
    </w:p>
    <w:sectPr>
      <w:pgSz w:w="11900" w:h="16838" w:orient="portrait"/>
      <w:cols w:equalWidth="0" w:num="1">
        <w:col w:w="11200"/>
      </w:cols>
      <w:pgMar w:left="2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2019-12-06T04:08:19Z</dcterms:created>
  <dcterms:modified xsi:type="dcterms:W3CDTF">2019-12-06T04:08:19Z</dcterms:modified>
</cp:coreProperties>
</file>