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420" w:hanging="4"/>
        <w:spacing w:after="0" w:line="598" w:lineRule="auto"/>
        <w:tabs>
          <w:tab w:leader="none" w:pos="9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2––––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156845</wp:posOffset>
            </wp:positionV>
            <wp:extent cx="7244080" cy="5574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080" cy="5574030"/>
                    </a:xfrm>
                    <a:prstGeom prst="rect">
                      <a:avLst/>
                    </a:prstGeom>
                    <a:noFill/>
                  </pic:spPr>
                </pic:pic>
              </a:graphicData>
            </a:graphic>
          </wp:anchor>
        </w:drawing>
      </w:r>
    </w:p>
    <w:p>
      <w:pPr>
        <w:spacing w:after="0" w:line="266" w:lineRule="exact"/>
        <w:rPr>
          <w:sz w:val="20"/>
          <w:szCs w:val="20"/>
          <w:color w:val="auto"/>
        </w:rPr>
      </w:pPr>
    </w:p>
    <w:p>
      <w:pPr>
        <w:ind w:left="620" w:hanging="367"/>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Omega Funds IV Limited, Omega IV Fund</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gridSpan w:val="3"/>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9"/>
                <w:szCs w:val="19"/>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4080" w:type="dxa"/>
            <w:vAlign w:val="bottom"/>
          </w:tcPr>
          <w:p>
            <w:pPr>
              <w:ind w:left="298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5240" w:type="dxa"/>
            <w:vAlign w:val="bottom"/>
          </w:tcPr>
          <w:p>
            <w:pPr>
              <w:spacing w:after="0"/>
              <w:rPr>
                <w:sz w:val="20"/>
                <w:szCs w:val="20"/>
                <w:color w:val="auto"/>
              </w:rPr>
            </w:pPr>
          </w:p>
        </w:tc>
        <w:tc>
          <w:tcPr>
            <w:tcW w:w="4080" w:type="dxa"/>
            <w:vAlign w:val="bottom"/>
          </w:tcPr>
          <w:p>
            <w:pPr>
              <w:ind w:left="29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4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760" w:type="dxa"/>
            <w:vAlign w:val="bottom"/>
            <w:tcBorders>
              <w:bottom w:val="single" w:sz="8" w:color="auto"/>
            </w:tcBorders>
            <w:gridSpan w:val="3"/>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1"/>
                <w:szCs w:val="21"/>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Jersey (Channel Islands)</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524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24"/>
                <w:szCs w:val="24"/>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0</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524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right="2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524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-2468880</wp:posOffset>
            </wp:positionV>
            <wp:extent cx="17145" cy="336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3361690"/>
                    </a:xfrm>
                    <a:prstGeom prst="rect">
                      <a:avLst/>
                    </a:prstGeom>
                    <a:noFill/>
                  </pic:spPr>
                </pic:pic>
              </a:graphicData>
            </a:graphic>
          </wp:anchor>
        </w:drawing>
      </w:r>
    </w:p>
    <w:p>
      <w:pPr>
        <w:spacing w:after="0" w:line="182" w:lineRule="exact"/>
        <w:rPr>
          <w:sz w:val="20"/>
          <w:szCs w:val="20"/>
          <w:color w:val="auto"/>
        </w:rPr>
      </w:pPr>
    </w:p>
    <w:p>
      <w:pPr>
        <w:ind w:left="680"/>
        <w:spacing w:after="0"/>
        <w:tabs>
          <w:tab w:leader="none" w:pos="2300" w:val="left"/>
        </w:tabs>
        <w:rPr>
          <w:sz w:val="20"/>
          <w:szCs w:val="20"/>
          <w:color w:val="auto"/>
        </w:rPr>
      </w:pPr>
      <w:r>
        <w:rPr>
          <w:rFonts w:ascii="Arial" w:cs="Arial" w:eastAsia="Arial" w:hAnsi="Arial"/>
          <w:sz w:val="18"/>
          <w:szCs w:val="18"/>
          <w:color w:val="auto"/>
        </w:rPr>
        <w:t>Each</w:t>
      </w:r>
      <w:r>
        <w:rPr>
          <w:sz w:val="20"/>
          <w:szCs w:val="20"/>
          <w:color w:val="auto"/>
        </w:rPr>
        <w:tab/>
      </w:r>
      <w:r>
        <w:rPr>
          <w:rFonts w:ascii="Arial" w:cs="Arial" w:eastAsia="Arial" w:hAnsi="Arial"/>
          <w:sz w:val="18"/>
          <w:szCs w:val="18"/>
          <w:color w:val="auto"/>
        </w:rPr>
        <w:t>0</w:t>
      </w:r>
    </w:p>
    <w:p>
      <w:pPr>
        <w:spacing w:after="0" w:line="90" w:lineRule="exact"/>
        <w:rPr>
          <w:sz w:val="20"/>
          <w:szCs w:val="20"/>
          <w:color w:val="auto"/>
        </w:rPr>
      </w:pPr>
    </w:p>
    <w:p>
      <w:pPr>
        <w:ind w:left="2320" w:hanging="570"/>
        <w:spacing w:after="0"/>
        <w:tabs>
          <w:tab w:leader="none" w:pos="2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364490" cy="340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 cy="340995"/>
                    </a:xfrm>
                    <a:prstGeom prst="rect">
                      <a:avLst/>
                    </a:prstGeom>
                    <a:noFill/>
                  </pic:spPr>
                </pic:pic>
              </a:graphicData>
            </a:graphic>
          </wp:anchor>
        </w:drawing>
      </w:r>
    </w:p>
    <w:p>
      <w:pPr>
        <w:spacing w:after="0" w:line="56" w:lineRule="exact"/>
        <w:rPr>
          <w:sz w:val="20"/>
          <w:szCs w:val="20"/>
          <w:color w:val="auto"/>
        </w:rPr>
      </w:pPr>
    </w:p>
    <w:p>
      <w:pPr>
        <w:ind w:left="620" w:right="6000" w:hanging="367"/>
        <w:spacing w:after="0" w:line="27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tbl>
      <w:tblPr>
        <w:tblLayout w:type="fixed"/>
        <w:tblInd w:w="0" w:type="dxa"/>
        <w:tblCellMar>
          <w:top w:w="0" w:type="dxa"/>
          <w:left w:w="0" w:type="dxa"/>
          <w:bottom w:w="0" w:type="dxa"/>
          <w:right w:w="0" w:type="dxa"/>
        </w:tblCellMar>
      </w:tblP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54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80" w:type="dxa"/>
            <w:vAlign w:val="bottom"/>
            <w:tcBorders>
              <w:top w:val="single" w:sz="8" w:color="auto"/>
            </w:tcBorders>
          </w:tcPr>
          <w:p>
            <w:pPr>
              <w:ind w:left="2380"/>
              <w:spacing w:after="0"/>
              <w:rPr>
                <w:sz w:val="20"/>
                <w:szCs w:val="20"/>
                <w:color w:val="auto"/>
              </w:rPr>
            </w:pPr>
            <w:r>
              <w:rPr>
                <w:rFonts w:ascii="Arial" w:cs="Arial" w:eastAsia="Arial" w:hAnsi="Arial"/>
                <w:sz w:val="18"/>
                <w:szCs w:val="18"/>
                <w:color w:val="auto"/>
              </w:rPr>
              <w:t>o</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80" w:type="dxa"/>
            <w:vAlign w:val="bottom"/>
          </w:tcPr>
          <w:p>
            <w:pPr>
              <w:spacing w:after="0"/>
              <w:rPr>
                <w:sz w:val="20"/>
                <w:szCs w:val="20"/>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3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7360" w:type="dxa"/>
            <w:vAlign w:val="bottom"/>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80" w:type="dxa"/>
            <w:vAlign w:val="bottom"/>
          </w:tcPr>
          <w:p>
            <w:pPr>
              <w:spacing w:after="0"/>
              <w:rPr>
                <w:sz w:val="21"/>
                <w:szCs w:val="2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0%</w:t>
            </w:r>
          </w:p>
        </w:tc>
        <w:tc>
          <w:tcPr>
            <w:tcW w:w="3480" w:type="dxa"/>
            <w:vAlign w:val="bottom"/>
          </w:tcPr>
          <w:p>
            <w:pPr>
              <w:spacing w:after="0"/>
              <w:rPr>
                <w:sz w:val="24"/>
                <w:szCs w:val="24"/>
                <w:color w:val="auto"/>
              </w:rPr>
            </w:pP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7360" w:type="dxa"/>
            <w:vAlign w:val="bottom"/>
          </w:tcPr>
          <w:p>
            <w:pPr>
              <w:ind w:left="4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80" w:type="dxa"/>
            <w:vAlign w:val="bottom"/>
          </w:tcPr>
          <w:p>
            <w:pPr>
              <w:spacing w:after="0"/>
              <w:rPr>
                <w:sz w:val="21"/>
                <w:szCs w:val="2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CO</w:t>
            </w:r>
          </w:p>
        </w:tc>
        <w:tc>
          <w:tcPr>
            <w:tcW w:w="3480" w:type="dxa"/>
            <w:vAlign w:val="bottom"/>
          </w:tcPr>
          <w:p>
            <w:pPr>
              <w:spacing w:after="0"/>
              <w:rPr>
                <w:sz w:val="24"/>
                <w:szCs w:val="24"/>
                <w:color w:val="auto"/>
              </w:rPr>
            </w:pP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659"/>
        </w:trPr>
        <w:tc>
          <w:tcPr>
            <w:tcW w:w="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3––––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711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66" w:lineRule="exact"/>
        <w:rPr>
          <w:sz w:val="20"/>
          <w:szCs w:val="20"/>
          <w:color w:val="auto"/>
        </w:rPr>
      </w:pPr>
    </w:p>
    <w:p>
      <w:pPr>
        <w:ind w:left="620" w:hanging="36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Landmark Limited Partnership</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gridSpan w:val="3"/>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9"/>
                <w:szCs w:val="19"/>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4080" w:type="dxa"/>
            <w:vAlign w:val="bottom"/>
          </w:tcPr>
          <w:p>
            <w:pPr>
              <w:ind w:left="298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5240" w:type="dxa"/>
            <w:vAlign w:val="bottom"/>
          </w:tcPr>
          <w:p>
            <w:pPr>
              <w:spacing w:after="0"/>
              <w:rPr>
                <w:sz w:val="20"/>
                <w:szCs w:val="20"/>
                <w:color w:val="auto"/>
              </w:rPr>
            </w:pPr>
          </w:p>
        </w:tc>
        <w:tc>
          <w:tcPr>
            <w:tcW w:w="4080" w:type="dxa"/>
            <w:vAlign w:val="bottom"/>
          </w:tcPr>
          <w:p>
            <w:pPr>
              <w:ind w:left="29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4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760" w:type="dxa"/>
            <w:vAlign w:val="bottom"/>
            <w:tcBorders>
              <w:bottom w:val="single" w:sz="8" w:color="auto"/>
            </w:tcBorders>
            <w:gridSpan w:val="3"/>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1"/>
                <w:szCs w:val="21"/>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760" w:type="dxa"/>
            <w:vAlign w:val="bottom"/>
            <w:gridSpan w:val="3"/>
          </w:tcPr>
          <w:p>
            <w:pPr>
              <w:ind w:left="40"/>
              <w:spacing w:after="0"/>
              <w:rPr>
                <w:sz w:val="20"/>
                <w:szCs w:val="20"/>
                <w:color w:val="auto"/>
              </w:rPr>
            </w:pPr>
            <w:r>
              <w:rPr>
                <w:rFonts w:ascii="Arial" w:cs="Arial" w:eastAsia="Arial" w:hAnsi="Arial"/>
                <w:sz w:val="18"/>
                <w:szCs w:val="18"/>
                <w:color w:val="auto"/>
              </w:rPr>
              <w:t>Jersey (Channel Islands)</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524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24"/>
                <w:szCs w:val="24"/>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0</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524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right="2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524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spacing w:after="0"/>
        <w:tabs>
          <w:tab w:leader="none" w:pos="2300" w:val="left"/>
        </w:tabs>
        <w:rPr>
          <w:sz w:val="20"/>
          <w:szCs w:val="20"/>
          <w:color w:val="auto"/>
        </w:rPr>
      </w:pPr>
      <w:r>
        <w:rPr>
          <w:rFonts w:ascii="Arial" w:cs="Arial" w:eastAsia="Arial" w:hAnsi="Arial"/>
          <w:sz w:val="18"/>
          <w:szCs w:val="18"/>
          <w:color w:val="auto"/>
        </w:rPr>
        <w:t>Each</w:t>
      </w:r>
      <w:r>
        <w:rPr>
          <w:sz w:val="20"/>
          <w:szCs w:val="20"/>
          <w:color w:val="auto"/>
        </w:rPr>
        <w:tab/>
      </w:r>
      <w:r>
        <w:rPr>
          <w:rFonts w:ascii="Arial" w:cs="Arial" w:eastAsia="Arial" w:hAnsi="Arial"/>
          <w:sz w:val="18"/>
          <w:szCs w:val="18"/>
          <w:color w:val="auto"/>
        </w:rPr>
        <w:t>0</w:t>
      </w:r>
    </w:p>
    <w:p>
      <w:pPr>
        <w:spacing w:after="0" w:line="90" w:lineRule="exact"/>
        <w:rPr>
          <w:sz w:val="20"/>
          <w:szCs w:val="20"/>
          <w:color w:val="auto"/>
        </w:rPr>
      </w:pPr>
    </w:p>
    <w:p>
      <w:pPr>
        <w:ind w:left="2320" w:hanging="570"/>
        <w:spacing w:after="0"/>
        <w:tabs>
          <w:tab w:leader="none" w:pos="2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Person With</w:t>
      </w:r>
    </w:p>
    <w:p>
      <w:pPr>
        <w:spacing w:after="0" w:line="76" w:lineRule="exact"/>
        <w:rPr>
          <w:sz w:val="20"/>
          <w:szCs w:val="20"/>
          <w:color w:val="auto"/>
        </w:rPr>
      </w:pPr>
    </w:p>
    <w:p>
      <w:pPr>
        <w:ind w:left="620" w:hanging="36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620" w:right="1020" w:hanging="419"/>
        <w:spacing w:after="0" w:line="258" w:lineRule="auto"/>
        <w:tabs>
          <w:tab w:leader="none" w:pos="600" w:val="left"/>
        </w:tabs>
        <w:rPr>
          <w:sz w:val="20"/>
          <w:szCs w:val="20"/>
          <w:color w:val="auto"/>
        </w:rPr>
      </w:pPr>
      <w:r>
        <w:rPr>
          <w:rFonts w:ascii="Arial" w:cs="Arial" w:eastAsia="Arial" w:hAnsi="Arial"/>
          <w:sz w:val="18"/>
          <w:szCs w:val="18"/>
          <w:color w:val="auto"/>
        </w:rPr>
        <w:t>10</w:t>
        <w:tab/>
        <w:t>Check if the Aggregate Amount in Row (9) Excludes Certain Shares o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00" w:lineRule="exact"/>
        <w:rPr>
          <w:sz w:val="20"/>
          <w:szCs w:val="20"/>
          <w:color w:val="auto"/>
        </w:rPr>
      </w:pPr>
    </w:p>
    <w:p>
      <w:pPr>
        <w:spacing w:after="0" w:line="307" w:lineRule="exact"/>
        <w:rPr>
          <w:sz w:val="20"/>
          <w:szCs w:val="20"/>
          <w:color w:val="auto"/>
        </w:rPr>
      </w:pPr>
    </w:p>
    <w:p>
      <w:pPr>
        <w:ind w:left="620" w:right="7020" w:hanging="408"/>
        <w:spacing w:after="0" w:line="42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20" w:hanging="4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4––––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711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66" w:lineRule="exact"/>
        <w:rPr>
          <w:sz w:val="20"/>
          <w:szCs w:val="20"/>
          <w:color w:val="auto"/>
        </w:rPr>
      </w:pPr>
    </w:p>
    <w:p>
      <w:pPr>
        <w:ind w:left="620" w:hanging="3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0" w:type="dxa"/>
            <w:vAlign w:val="bottom"/>
          </w:tcPr>
          <w:p>
            <w:pPr>
              <w:spacing w:after="0"/>
              <w:rPr>
                <w:sz w:val="20"/>
                <w:szCs w:val="20"/>
                <w:color w:val="auto"/>
              </w:rPr>
            </w:pPr>
          </w:p>
        </w:tc>
        <w:tc>
          <w:tcPr>
            <w:tcW w:w="6770" w:type="dxa"/>
            <w:vAlign w:val="bottom"/>
          </w:tcPr>
          <w:p>
            <w:pPr>
              <w:ind w:left="50"/>
              <w:spacing w:after="0"/>
              <w:rPr>
                <w:sz w:val="20"/>
                <w:szCs w:val="20"/>
                <w:color w:val="auto"/>
              </w:rPr>
            </w:pPr>
            <w:r>
              <w:rPr>
                <w:rFonts w:ascii="Arial" w:cs="Arial" w:eastAsia="Arial" w:hAnsi="Arial"/>
                <w:sz w:val="18"/>
                <w:szCs w:val="18"/>
                <w:color w:val="auto"/>
              </w:rPr>
              <w:t>Ernesto Bertarelli</w:t>
            </w:r>
          </w:p>
        </w:tc>
        <w:tc>
          <w:tcPr>
            <w:tcW w:w="408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550" w:type="dxa"/>
            <w:vAlign w:val="bottom"/>
            <w:tcBorders>
              <w:bottom w:val="single" w:sz="8" w:color="auto"/>
            </w:tcBorders>
          </w:tcPr>
          <w:p>
            <w:pPr>
              <w:spacing w:after="0"/>
              <w:rPr>
                <w:sz w:val="2"/>
                <w:szCs w:val="2"/>
                <w:color w:val="auto"/>
              </w:rPr>
            </w:pPr>
          </w:p>
        </w:tc>
        <w:tc>
          <w:tcPr>
            <w:tcW w:w="677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 w:type="dxa"/>
            <w:vAlign w:val="bottom"/>
          </w:tcPr>
          <w:p>
            <w:pPr>
              <w:jc w:val="right"/>
              <w:ind w:right="140"/>
              <w:spacing w:after="0"/>
              <w:rPr>
                <w:sz w:val="20"/>
                <w:szCs w:val="20"/>
                <w:color w:val="auto"/>
              </w:rPr>
            </w:pPr>
            <w:r>
              <w:rPr>
                <w:rFonts w:ascii="Arial" w:cs="Arial" w:eastAsia="Arial" w:hAnsi="Arial"/>
                <w:sz w:val="18"/>
                <w:szCs w:val="18"/>
                <w:color w:val="auto"/>
              </w:rPr>
              <w:t>2</w:t>
            </w:r>
          </w:p>
        </w:tc>
        <w:tc>
          <w:tcPr>
            <w:tcW w:w="6770" w:type="dxa"/>
            <w:vAlign w:val="bottom"/>
          </w:tcPr>
          <w:p>
            <w:pPr>
              <w:ind w:left="50"/>
              <w:spacing w:after="0"/>
              <w:rPr>
                <w:sz w:val="20"/>
                <w:szCs w:val="20"/>
                <w:color w:val="auto"/>
              </w:rPr>
            </w:pPr>
            <w:r>
              <w:rPr>
                <w:rFonts w:ascii="Arial" w:cs="Arial" w:eastAsia="Arial" w:hAnsi="Arial"/>
                <w:sz w:val="18"/>
                <w:szCs w:val="18"/>
                <w:color w:val="auto"/>
              </w:rPr>
              <w:t>Check the Appropriate Box if a Member of a Group</w:t>
            </w:r>
          </w:p>
        </w:tc>
        <w:tc>
          <w:tcPr>
            <w:tcW w:w="4080" w:type="dxa"/>
            <w:vAlign w:val="bottom"/>
          </w:tcPr>
          <w:p>
            <w:pPr>
              <w:ind w:left="2980"/>
              <w:spacing w:after="0"/>
              <w:rPr>
                <w:sz w:val="20"/>
                <w:szCs w:val="20"/>
                <w:color w:val="auto"/>
              </w:rPr>
            </w:pPr>
            <w:r>
              <w:rPr>
                <w:rFonts w:ascii="Arial" w:cs="Arial" w:eastAsia="Arial" w:hAnsi="Arial"/>
                <w:sz w:val="18"/>
                <w:szCs w:val="18"/>
                <w:color w:val="auto"/>
              </w:rPr>
              <w:t>(a) o</w:t>
            </w:r>
          </w:p>
        </w:tc>
      </w:tr>
      <w:tr>
        <w:trPr>
          <w:trHeight w:val="230"/>
        </w:trPr>
        <w:tc>
          <w:tcPr>
            <w:tcW w:w="20" w:type="dxa"/>
            <w:vAlign w:val="bottom"/>
          </w:tcPr>
          <w:p>
            <w:pPr>
              <w:spacing w:after="0"/>
              <w:rPr>
                <w:sz w:val="20"/>
                <w:szCs w:val="20"/>
                <w:color w:val="auto"/>
              </w:rPr>
            </w:pPr>
          </w:p>
        </w:tc>
        <w:tc>
          <w:tcPr>
            <w:tcW w:w="550" w:type="dxa"/>
            <w:vAlign w:val="bottom"/>
          </w:tcPr>
          <w:p>
            <w:pPr>
              <w:spacing w:after="0"/>
              <w:rPr>
                <w:sz w:val="20"/>
                <w:szCs w:val="20"/>
                <w:color w:val="auto"/>
              </w:rPr>
            </w:pPr>
          </w:p>
        </w:tc>
        <w:tc>
          <w:tcPr>
            <w:tcW w:w="6770" w:type="dxa"/>
            <w:vAlign w:val="bottom"/>
          </w:tcPr>
          <w:p>
            <w:pPr>
              <w:ind w:lef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4080" w:type="dxa"/>
            <w:vAlign w:val="bottom"/>
          </w:tcPr>
          <w:p>
            <w:pPr>
              <w:ind w:left="2980"/>
              <w:spacing w:after="0"/>
              <w:rPr>
                <w:sz w:val="20"/>
                <w:szCs w:val="20"/>
                <w:color w:val="auto"/>
              </w:rPr>
            </w:pPr>
            <w:r>
              <w:rPr>
                <w:rFonts w:ascii="Arial" w:cs="Arial" w:eastAsia="Arial" w:hAnsi="Arial"/>
                <w:sz w:val="18"/>
                <w:szCs w:val="18"/>
                <w:color w:val="auto"/>
              </w:rPr>
              <w:t>(b) o</w:t>
            </w:r>
          </w:p>
        </w:tc>
      </w:tr>
      <w:tr>
        <w:trPr>
          <w:trHeight w:val="250"/>
        </w:trPr>
        <w:tc>
          <w:tcPr>
            <w:tcW w:w="20" w:type="dxa"/>
            <w:vAlign w:val="bottom"/>
            <w:tcBorders>
              <w:bottom w:val="single" w:sz="8" w:color="auto"/>
            </w:tcBorders>
          </w:tcPr>
          <w:p>
            <w:pPr>
              <w:spacing w:after="0"/>
              <w:rPr>
                <w:sz w:val="21"/>
                <w:szCs w:val="21"/>
                <w:color w:val="auto"/>
              </w:rPr>
            </w:pPr>
          </w:p>
        </w:tc>
        <w:tc>
          <w:tcPr>
            <w:tcW w:w="550" w:type="dxa"/>
            <w:vAlign w:val="bottom"/>
            <w:tcBorders>
              <w:bottom w:val="single" w:sz="8" w:color="auto"/>
            </w:tcBorders>
          </w:tcPr>
          <w:p>
            <w:pPr>
              <w:spacing w:after="0"/>
              <w:rPr>
                <w:sz w:val="21"/>
                <w:szCs w:val="21"/>
                <w:color w:val="auto"/>
              </w:rPr>
            </w:pPr>
          </w:p>
        </w:tc>
        <w:tc>
          <w:tcPr>
            <w:tcW w:w="677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 w:type="dxa"/>
            <w:vAlign w:val="bottom"/>
          </w:tcPr>
          <w:p>
            <w:pPr>
              <w:jc w:val="right"/>
              <w:ind w:right="140"/>
              <w:spacing w:after="0"/>
              <w:rPr>
                <w:sz w:val="20"/>
                <w:szCs w:val="20"/>
                <w:color w:val="auto"/>
              </w:rPr>
            </w:pPr>
            <w:r>
              <w:rPr>
                <w:rFonts w:ascii="Arial" w:cs="Arial" w:eastAsia="Arial" w:hAnsi="Arial"/>
                <w:sz w:val="18"/>
                <w:szCs w:val="18"/>
                <w:color w:val="auto"/>
              </w:rPr>
              <w:t>3</w:t>
            </w:r>
          </w:p>
        </w:tc>
        <w:tc>
          <w:tcPr>
            <w:tcW w:w="6770" w:type="dxa"/>
            <w:vAlign w:val="bottom"/>
          </w:tcPr>
          <w:p>
            <w:pPr>
              <w:ind w:left="50"/>
              <w:spacing w:after="0"/>
              <w:rPr>
                <w:sz w:val="20"/>
                <w:szCs w:val="20"/>
                <w:color w:val="auto"/>
              </w:rPr>
            </w:pPr>
            <w:r>
              <w:rPr>
                <w:rFonts w:ascii="Arial" w:cs="Arial" w:eastAsia="Arial" w:hAnsi="Arial"/>
                <w:sz w:val="18"/>
                <w:szCs w:val="18"/>
                <w:color w:val="auto"/>
              </w:rPr>
              <w:t>SEC Use Only</w:t>
            </w:r>
          </w:p>
        </w:tc>
        <w:tc>
          <w:tcPr>
            <w:tcW w:w="40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620" w:hanging="36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Switzerland</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280" w:type="dxa"/>
            <w:vAlign w:val="bottom"/>
          </w:tcPr>
          <w:p>
            <w:pPr>
              <w:jc w:val="center"/>
              <w:ind w:right="290"/>
              <w:spacing w:after="0"/>
              <w:rPr>
                <w:sz w:val="20"/>
                <w:szCs w:val="20"/>
                <w:color w:val="auto"/>
              </w:rPr>
            </w:pPr>
            <w:r>
              <w:rPr>
                <w:rFonts w:ascii="Arial" w:cs="Arial" w:eastAsia="Arial" w:hAnsi="Arial"/>
                <w:sz w:val="18"/>
                <w:szCs w:val="18"/>
                <w:color w:val="auto"/>
                <w:w w:val="92"/>
              </w:rPr>
              <w:t>Number of</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93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84"/>
              </w:rPr>
              <w:t>Shares</w:t>
            </w:r>
          </w:p>
        </w:tc>
        <w:tc>
          <w:tcPr>
            <w:tcW w:w="380" w:type="dxa"/>
            <w:vAlign w:val="bottom"/>
          </w:tcPr>
          <w:p>
            <w:pPr>
              <w:spacing w:after="0"/>
              <w:rPr>
                <w:sz w:val="24"/>
                <w:szCs w:val="24"/>
                <w:color w:val="auto"/>
              </w:rPr>
            </w:pPr>
          </w:p>
        </w:tc>
        <w:tc>
          <w:tcPr>
            <w:tcW w:w="934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93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34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jc w:val="center"/>
              <w:ind w:right="290"/>
              <w:spacing w:after="0"/>
              <w:rPr>
                <w:sz w:val="20"/>
                <w:szCs w:val="20"/>
                <w:color w:val="auto"/>
              </w:rPr>
            </w:pPr>
            <w:r>
              <w:rPr>
                <w:rFonts w:ascii="Arial" w:cs="Arial" w:eastAsia="Arial" w:hAnsi="Arial"/>
                <w:sz w:val="18"/>
                <w:szCs w:val="18"/>
                <w:color w:val="auto"/>
                <w:w w:val="91"/>
              </w:rPr>
              <w:t>Owned by</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9340" w:type="dxa"/>
            <w:vAlign w:val="bottom"/>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spacing w:after="0"/>
        <w:tabs>
          <w:tab w:leader="none" w:pos="2300" w:val="left"/>
        </w:tabs>
        <w:rPr>
          <w:sz w:val="20"/>
          <w:szCs w:val="20"/>
          <w:color w:val="auto"/>
        </w:rPr>
      </w:pPr>
      <w:r>
        <w:rPr>
          <w:rFonts w:ascii="Arial" w:cs="Arial" w:eastAsia="Arial" w:hAnsi="Arial"/>
          <w:sz w:val="18"/>
          <w:szCs w:val="18"/>
          <w:color w:val="auto"/>
        </w:rPr>
        <w:t>Each</w:t>
      </w:r>
      <w:r>
        <w:rPr>
          <w:sz w:val="20"/>
          <w:szCs w:val="20"/>
          <w:color w:val="auto"/>
        </w:rPr>
        <w:tab/>
      </w:r>
      <w:r>
        <w:rPr>
          <w:rFonts w:ascii="Arial" w:cs="Arial" w:eastAsia="Arial" w:hAnsi="Arial"/>
          <w:sz w:val="18"/>
          <w:szCs w:val="18"/>
          <w:color w:val="auto"/>
        </w:rPr>
        <w:t>0</w:t>
      </w:r>
    </w:p>
    <w:p>
      <w:pPr>
        <w:spacing w:after="0" w:line="90" w:lineRule="exact"/>
        <w:rPr>
          <w:sz w:val="20"/>
          <w:szCs w:val="20"/>
          <w:color w:val="auto"/>
        </w:rPr>
      </w:pPr>
    </w:p>
    <w:p>
      <w:pPr>
        <w:ind w:left="2320" w:hanging="570"/>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Person With</w:t>
      </w:r>
    </w:p>
    <w:p>
      <w:pPr>
        <w:spacing w:after="0" w:line="76" w:lineRule="exact"/>
        <w:rPr>
          <w:sz w:val="20"/>
          <w:szCs w:val="20"/>
          <w:color w:val="auto"/>
        </w:rPr>
      </w:pPr>
    </w:p>
    <w:p>
      <w:pPr>
        <w:ind w:left="620" w:hanging="36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0</w:t>
      </w:r>
    </w:p>
    <w:p>
      <w:pPr>
        <w:spacing w:after="0" w:line="90" w:lineRule="exact"/>
        <w:rPr>
          <w:sz w:val="20"/>
          <w:szCs w:val="20"/>
          <w:color w:val="auto"/>
        </w:rPr>
      </w:pPr>
    </w:p>
    <w:p>
      <w:pPr>
        <w:ind w:left="620" w:right="1020" w:hanging="419"/>
        <w:spacing w:after="0" w:line="258" w:lineRule="auto"/>
        <w:tabs>
          <w:tab w:leader="none" w:pos="600" w:val="left"/>
        </w:tabs>
        <w:rPr>
          <w:sz w:val="20"/>
          <w:szCs w:val="20"/>
          <w:color w:val="auto"/>
        </w:rPr>
      </w:pPr>
      <w:r>
        <w:rPr>
          <w:rFonts w:ascii="Arial" w:cs="Arial" w:eastAsia="Arial" w:hAnsi="Arial"/>
          <w:sz w:val="18"/>
          <w:szCs w:val="18"/>
          <w:color w:val="auto"/>
        </w:rPr>
        <w:t>10</w:t>
        <w:tab/>
        <w:t>Check if the Aggregate Amount in Row (9) Excludes Certain Shares o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00" w:lineRule="exact"/>
        <w:rPr>
          <w:sz w:val="20"/>
          <w:szCs w:val="20"/>
          <w:color w:val="auto"/>
        </w:rPr>
      </w:pPr>
    </w:p>
    <w:p>
      <w:pPr>
        <w:spacing w:after="0" w:line="307" w:lineRule="exact"/>
        <w:rPr>
          <w:sz w:val="20"/>
          <w:szCs w:val="20"/>
          <w:color w:val="auto"/>
        </w:rPr>
      </w:pPr>
    </w:p>
    <w:p>
      <w:pPr>
        <w:ind w:left="620" w:right="7020" w:hanging="408"/>
        <w:spacing w:after="0" w:line="42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20" w:hanging="4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5––––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Regeneron Pharmaceuticals, Inc.</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Tarrytown, New York 10591-6707</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statement is being filed jointly by:</w:t>
      </w:r>
    </w:p>
    <w:p>
      <w:pPr>
        <w:spacing w:after="0" w:line="252" w:lineRule="exact"/>
        <w:rPr>
          <w:sz w:val="20"/>
          <w:szCs w:val="20"/>
          <w:color w:val="auto"/>
        </w:rPr>
      </w:pPr>
    </w:p>
    <w:p>
      <w:pPr>
        <w:ind w:left="1460" w:right="360" w:hanging="480"/>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Omega Funds IV Limited, Omega IV Fund, a Jersey (Channel Islands) limited company, the holder of an aggregate of 0 shares of the issuer’s common stock, par value $0.001;</w:t>
      </w:r>
    </w:p>
    <w:p>
      <w:pPr>
        <w:spacing w:after="0" w:line="197" w:lineRule="exact"/>
        <w:rPr>
          <w:rFonts w:ascii="Arial" w:cs="Arial" w:eastAsia="Arial" w:hAnsi="Arial"/>
          <w:sz w:val="18"/>
          <w:szCs w:val="18"/>
          <w:color w:val="auto"/>
        </w:rPr>
      </w:pPr>
    </w:p>
    <w:p>
      <w:pPr>
        <w:ind w:left="1460" w:right="320" w:hanging="480"/>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Landmark Limited Partnership, a Jersey (Channel Islands) limited partnership, which is the holder of all of the issued and outstanding capital stock of Omega Funds IV Limited, Omega IV Fund; and</w:t>
      </w:r>
    </w:p>
    <w:p>
      <w:pPr>
        <w:spacing w:after="0" w:line="197" w:lineRule="exact"/>
        <w:rPr>
          <w:rFonts w:ascii="Arial" w:cs="Arial" w:eastAsia="Arial" w:hAnsi="Arial"/>
          <w:sz w:val="18"/>
          <w:szCs w:val="18"/>
          <w:color w:val="auto"/>
        </w:rPr>
      </w:pPr>
    </w:p>
    <w:p>
      <w:pPr>
        <w:ind w:left="1460" w:right="40" w:hanging="480"/>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Ernesto Bertarelli, an individual, who is deemed to control the voting and disposition of the shares of the common stock of the issuer held directly by Omega Funds IV Limited, Omega IV Fund and indirectly by Landmark Limited Partnership.</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Omega Funds IV Limited, Omega IV Fund: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28-30 The Parade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Jersey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JE1 1ZZ</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Channel Islands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Landmark Limited Partnership: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Kedge Capital (Jersey) Ltd.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28-30 The Parade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Jersey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JE1 1ZZ</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Channel Islands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Ernesto Bertarelli: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Bemido SA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31-33 avenue Giuseppe-Motta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 Box 145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1211 Geneva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Switzerland</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Omega Funds IV Limited, Omega IV Fund: A limited company organized under the laws of Jersey (Channel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6––––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Landmark Limited Partnership: A limited partnership organized under the laws of Jersey (Channel Islands)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Ernesto Bertarelli: Switzerland</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$0.001 per share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75886F 10 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respect to Omega Funds IV Limited, Omega IV Fund:</w:t>
      </w:r>
    </w:p>
    <w:p>
      <w:pPr>
        <w:spacing w:after="0" w:line="252"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980" w:right="4740" w:firstLine="973"/>
        <w:spacing w:after="0" w:line="532" w:lineRule="auto"/>
        <w:tabs>
          <w:tab w:leader="none" w:pos="26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With respect to Landmark Limited Partnership:</w:t>
      </w:r>
    </w:p>
    <w:p>
      <w:pPr>
        <w:spacing w:after="0" w:line="1"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7––––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respect to Ernesto Bertarelli:</w:t>
      </w:r>
    </w:p>
    <w:p>
      <w:pPr>
        <w:spacing w:after="0" w:line="252"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80" w:right="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56" w:lineRule="exact"/>
        <w:rPr>
          <w:sz w:val="20"/>
          <w:szCs w:val="20"/>
          <w:color w:val="auto"/>
        </w:rPr>
      </w:pPr>
    </w:p>
    <w:p>
      <w:pPr>
        <w:ind w:right="240" w:firstLine="972"/>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8––––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our knowledge and belief, we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20,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OMEGA FUNDS IV LIMITED, OMEGA IV FUND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Robert B. Robbins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LANDMARK LIMITED PARTNERSHIP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Robert B. Robbins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Ernesto Bertarelli</w:t>
      </w:r>
    </w:p>
    <w:p>
      <w:pPr>
        <w:spacing w:after="0" w:line="225"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Robert B.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Robert B. Robbins,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 xml:space="preserve">Page 9––––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of Attorney of Omega Funds IV Limited, Omega IV Fund (filed herewith)</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of attorney of Landmark Limited Partnership (filed herewith)</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of Attorney of Ernesto Bertarelli (filed herewith)</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 Filing Agreement Pursuant to Rule 13d-1(k)(1)*</w:t>
      </w:r>
    </w:p>
    <w:p>
      <w:pPr>
        <w:spacing w:after="0" w:line="25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*Previously filed as an exhibit to Amendment No. 4 to the Schedule 13G filed by Feldon Invest SA, Emfeld Ltd, Omega Funds IV Limited, Omega IV Fund, Landmark Limited Partnership and Ernesto Bertarelli with the Securities and Exchange Commission on April 11, 2008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 xml:space="preserve">Page 10––––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21, 2010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undersigned, Omega Funds IV Limited, Omega IV Fund, a limited company organized under the laws of Jersey, by its representatives thereunto duly authorized, hereby constitutes and appoints each of Robert B. Robbins, of Pillsbury Winthrop Shaw Pittman LLP, Washington, D.C., U.S.A. or any other partner of the law firm of Pillsbury Winthrop Shaw Pittman LLP,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 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Omega Funds IV Limited,</w:t>
            </w:r>
          </w:p>
        </w:tc>
        <w:tc>
          <w:tcPr>
            <w:tcW w:w="170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Omega IV Fund</w:t>
            </w:r>
          </w:p>
        </w:tc>
        <w:tc>
          <w:tcPr>
            <w:tcW w:w="1700" w:type="dxa"/>
            <w:vAlign w:val="bottom"/>
          </w:tcPr>
          <w:p>
            <w:pPr>
              <w:spacing w:after="0"/>
              <w:rPr>
                <w:sz w:val="20"/>
                <w:szCs w:val="20"/>
                <w:color w:val="auto"/>
              </w:rPr>
            </w:pPr>
          </w:p>
        </w:tc>
      </w:tr>
      <w:tr>
        <w:trPr>
          <w:trHeight w:val="655"/>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Charles Hall</w:t>
            </w:r>
          </w:p>
        </w:tc>
        <w:tc>
          <w:tcPr>
            <w:tcW w:w="1700" w:type="dxa"/>
            <w:vAlign w:val="bottom"/>
          </w:tcPr>
          <w:p>
            <w:pPr>
              <w:spacing w:after="0"/>
              <w:rPr>
                <w:sz w:val="24"/>
                <w:szCs w:val="24"/>
                <w:color w:val="auto"/>
              </w:rPr>
            </w:pPr>
          </w:p>
        </w:tc>
      </w:tr>
      <w:tr>
        <w:trPr>
          <w:trHeight w:val="202"/>
        </w:trPr>
        <w:tc>
          <w:tcPr>
            <w:tcW w:w="6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Name: David Charles Hall</w:t>
            </w:r>
          </w:p>
        </w:tc>
        <w:tc>
          <w:tcPr>
            <w:tcW w:w="170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700" w:type="dxa"/>
            <w:vAlign w:val="bottom"/>
          </w:tcPr>
          <w:p>
            <w:pPr>
              <w:spacing w:after="0"/>
              <w:rPr>
                <w:sz w:val="20"/>
                <w:szCs w:val="20"/>
                <w:color w:val="auto"/>
              </w:rPr>
            </w:pPr>
          </w:p>
        </w:tc>
      </w:tr>
      <w:tr>
        <w:trPr>
          <w:trHeight w:val="871"/>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Whitburn Bailey</w:t>
            </w:r>
          </w:p>
        </w:tc>
        <w:tc>
          <w:tcPr>
            <w:tcW w:w="1700" w:type="dxa"/>
            <w:vAlign w:val="bottom"/>
          </w:tcPr>
          <w:p>
            <w:pPr>
              <w:spacing w:after="0"/>
              <w:rPr>
                <w:sz w:val="24"/>
                <w:szCs w:val="24"/>
                <w:color w:val="auto"/>
              </w:rPr>
            </w:pPr>
          </w:p>
        </w:tc>
      </w:tr>
      <w:tr>
        <w:trPr>
          <w:trHeight w:val="202"/>
        </w:trPr>
        <w:tc>
          <w:tcPr>
            <w:tcW w:w="630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Name: Mark Whitburn Bailey</w:t>
            </w:r>
          </w:p>
        </w:tc>
        <w:tc>
          <w:tcPr>
            <w:tcW w:w="170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700" w:type="dxa"/>
            <w:vAlign w:val="bottom"/>
          </w:tcPr>
          <w:p>
            <w:pPr>
              <w:spacing w:after="0"/>
              <w:rPr>
                <w:sz w:val="20"/>
                <w:szCs w:val="20"/>
                <w:color w:val="auto"/>
              </w:rPr>
            </w:pPr>
          </w:p>
        </w:tc>
      </w:tr>
      <w:tr>
        <w:trPr>
          <w:trHeight w:val="659"/>
        </w:trPr>
        <w:tc>
          <w:tcPr>
            <w:tcW w:w="6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 xml:space="preserve">Page 11––––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26, 2010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Landmark Limited Partnership, a limited partnership organized under the laws of Jersey, by its representatives thereunto duly authorized, hereby constitutes and appoints each of Robert B. Robbins, of Pillsbury Winthrop Shaw Pittman LLP, Washington, D.C., U.S.A. or any other partner of the law firm of Pillsbury Winthrop Shaw Pittman LLP,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 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Landmark Limited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spacing w:after="0"/>
              <w:rPr>
                <w:sz w:val="20"/>
                <w:szCs w:val="20"/>
                <w:color w:val="auto"/>
              </w:rPr>
            </w:pPr>
            <w:r>
              <w:rPr>
                <w:rFonts w:ascii="Arial" w:cs="Arial" w:eastAsia="Arial" w:hAnsi="Arial"/>
                <w:sz w:val="18"/>
                <w:szCs w:val="18"/>
                <w:color w:val="auto"/>
              </w:rPr>
              <w:t>LM (GP) Limited, its</w:t>
            </w:r>
          </w:p>
        </w:tc>
        <w:tc>
          <w:tcPr>
            <w:tcW w:w="170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700" w:type="dxa"/>
            <w:vAlign w:val="bottom"/>
          </w:tcPr>
          <w:p>
            <w:pPr>
              <w:spacing w:after="0"/>
              <w:rPr>
                <w:sz w:val="20"/>
                <w:szCs w:val="20"/>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Le Gal</w:t>
            </w:r>
          </w:p>
        </w:tc>
        <w:tc>
          <w:tcPr>
            <w:tcW w:w="1700" w:type="dxa"/>
            <w:vAlign w:val="bottom"/>
          </w:tcPr>
          <w:p>
            <w:pPr>
              <w:spacing w:after="0"/>
              <w:rPr>
                <w:sz w:val="24"/>
                <w:szCs w:val="24"/>
                <w:color w:val="auto"/>
              </w:rPr>
            </w:pPr>
          </w:p>
        </w:tc>
      </w:tr>
      <w:tr>
        <w:trPr>
          <w:trHeight w:val="202"/>
        </w:trPr>
        <w:tc>
          <w:tcPr>
            <w:tcW w:w="630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Name: Andrew Le Gal</w:t>
            </w:r>
          </w:p>
        </w:tc>
        <w:tc>
          <w:tcPr>
            <w:tcW w:w="170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700" w:type="dxa"/>
            <w:vAlign w:val="bottom"/>
          </w:tcPr>
          <w:p>
            <w:pPr>
              <w:spacing w:after="0"/>
              <w:rPr>
                <w:sz w:val="20"/>
                <w:szCs w:val="20"/>
                <w:color w:val="auto"/>
              </w:rPr>
            </w:pPr>
          </w:p>
        </w:tc>
      </w:tr>
      <w:tr>
        <w:trPr>
          <w:trHeight w:val="871"/>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Philip Swan</w:t>
            </w:r>
          </w:p>
        </w:tc>
        <w:tc>
          <w:tcPr>
            <w:tcW w:w="1700" w:type="dxa"/>
            <w:vAlign w:val="bottom"/>
          </w:tcPr>
          <w:p>
            <w:pPr>
              <w:spacing w:after="0"/>
              <w:rPr>
                <w:sz w:val="24"/>
                <w:szCs w:val="24"/>
                <w:color w:val="auto"/>
              </w:rPr>
            </w:pPr>
          </w:p>
        </w:tc>
      </w:tr>
      <w:tr>
        <w:trPr>
          <w:trHeight w:val="202"/>
        </w:trPr>
        <w:tc>
          <w:tcPr>
            <w:tcW w:w="6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Name: Philip Swan</w:t>
            </w:r>
          </w:p>
        </w:tc>
        <w:tc>
          <w:tcPr>
            <w:tcW w:w="170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1700" w:type="dxa"/>
            <w:vAlign w:val="bottom"/>
          </w:tcPr>
          <w:p>
            <w:pPr>
              <w:spacing w:after="0"/>
              <w:rPr>
                <w:sz w:val="20"/>
                <w:szCs w:val="20"/>
                <w:color w:val="auto"/>
              </w:rPr>
            </w:pPr>
          </w:p>
        </w:tc>
      </w:tr>
      <w:tr>
        <w:trPr>
          <w:trHeight w:val="659"/>
        </w:trPr>
        <w:tc>
          <w:tcPr>
            <w:tcW w:w="6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30" w:type="dxa"/>
        <w:tblCellMar>
          <w:top w:w="0" w:type="dxa"/>
          <w:left w:w="0" w:type="dxa"/>
          <w:bottom w:w="0" w:type="dxa"/>
          <w:right w:w="0" w:type="dxa"/>
        </w:tblCellMar>
      </w:tblPr>
      <w:tr>
        <w:trPr>
          <w:trHeight w:val="22"/>
        </w:trPr>
        <w:tc>
          <w:tcPr>
            <w:tcW w:w="376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13G/A</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3880" w:type="dxa"/>
            <w:vAlign w:val="bottom"/>
            <w:vMerge w:val="continue"/>
          </w:tcPr>
          <w:p>
            <w:pPr>
              <w:spacing w:after="0"/>
              <w:rPr>
                <w:sz w:val="19"/>
                <w:szCs w:val="19"/>
                <w:color w:val="auto"/>
              </w:rPr>
            </w:pPr>
          </w:p>
        </w:tc>
        <w:tc>
          <w:tcPr>
            <w:tcW w:w="376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 xml:space="preserve">Page 12–––– </w:t>
            </w:r>
            <w:r>
              <w:rPr>
                <w:rFonts w:ascii="Arial" w:cs="Arial" w:eastAsia="Arial" w:hAnsi="Arial"/>
                <w:sz w:val="18"/>
                <w:szCs w:val="18"/>
                <w:color w:val="auto"/>
              </w:rPr>
              <w:t>of ––––––</w:t>
            </w:r>
            <w:r>
              <w:rPr>
                <w:rFonts w:ascii="Arial" w:cs="Arial" w:eastAsia="Arial" w:hAnsi="Arial"/>
                <w:sz w:val="18"/>
                <w:szCs w:val="18"/>
                <w:b w:val="1"/>
                <w:bCs w:val="1"/>
                <w:color w:val="auto"/>
              </w:rPr>
              <w:t>12 Pages</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17, 2010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undersigned, ERNESTO BERTARELLI, a citizen and resident of Switzerland, hereby constitutes and appoints each of Robert B. Robbins, of Pillsbury Winthrop Shaw Pittman LLP, Washington, D.C., U.S.A. or any other partner of the law firm of Pillsbury Winthrop Shaw Pittman LLP, with full power of substitution, his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he might or could do in person, and hereby ratifies and confirms all that said attorney-in-fact and agent, or other substitutes, may lawfully do or cause to be done.</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8"/>
      <w:numFmt w:val="bullet"/>
      <w:start w:val="1"/>
    </w:lvl>
  </w:abstractNum>
  <w:abstractNum w:abstractNumId="3">
    <w:nsid w:val="1190CDE7"/>
    <w:multiLevelType w:val="hybridMultilevel"/>
    <w:lvl w:ilvl="0">
      <w:lvlJc w:val="left"/>
      <w:lvlText w:val="9"/>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8"/>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8"/>
      <w:numFmt w:val="bullet"/>
      <w:start w:val="1"/>
    </w:lvl>
  </w:abstractNum>
  <w:abstractNum w:abstractNumId="11">
    <w:nsid w:val="41A7C4C9"/>
    <w:multiLevelType w:val="hybridMultilevel"/>
    <w:lvl w:ilvl="0">
      <w:lvlJc w:val="left"/>
      <w:lvlText w:val="9"/>
      <w:numFmt w:val="bullet"/>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lowerRoman"/>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2019-12-10T09:47:00Z</dcterms:created>
  <dcterms:modified xsi:type="dcterms:W3CDTF">2019-12-10T09:47:00Z</dcterms:modified>
</cp:coreProperties>
</file>