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3, 2022 (August 3, 2022)</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1149985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3, 2022, Regeneron Pharmaceuticals, Inc. issued a press release announcing its financial and operating results for the quarter ended June 30, 2022.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54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August 3, 2022, Reporting Second Quarter 2022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6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19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1940" w:type="dxa"/>
            <w:vAlign w:val="bottom"/>
          </w:tcPr>
          <w:p>
            <w:pPr>
              <w:spacing w:after="0"/>
              <w:rPr>
                <w:sz w:val="18"/>
                <w:szCs w:val="18"/>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194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2022 Financial and Operating Results</w:t>
      </w:r>
    </w:p>
    <w:p>
      <w:pPr>
        <w:spacing w:after="0" w:line="174" w:lineRule="exact"/>
        <w:rPr>
          <w:sz w:val="20"/>
          <w:szCs w:val="20"/>
          <w:color w:val="auto"/>
        </w:rPr>
      </w:pPr>
    </w:p>
    <w:p>
      <w:pPr>
        <w:ind w:left="340" w:right="280" w:hanging="332"/>
        <w:spacing w:after="0" w:line="222"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Second quarter 2022 revenues decreased 44% to $2.86 billion versus second quarter 2021; excluding REGEN-COV</w:t>
      </w:r>
      <w:r>
        <w:rPr>
          <w:rFonts w:ascii="Arial" w:cs="Arial" w:eastAsia="Arial" w:hAnsi="Arial"/>
          <w:sz w:val="28"/>
          <w:szCs w:val="28"/>
          <w:b w:val="1"/>
          <w:bCs w:val="1"/>
          <w:i w:val="1"/>
          <w:iCs w:val="1"/>
          <w:color w:val="auto"/>
          <w:vertAlign w:val="superscript"/>
        </w:rPr>
        <w:t>®</w:t>
      </w:r>
      <w:r>
        <w:rPr>
          <w:rFonts w:ascii="Arial" w:cs="Arial" w:eastAsia="Arial" w:hAnsi="Arial"/>
          <w:sz w:val="28"/>
          <w:szCs w:val="28"/>
          <w:i w:val="1"/>
          <w:iCs w:val="1"/>
          <w:color w:val="auto"/>
          <w:vertAlign w:val="superscript"/>
        </w:rPr>
        <w:t>(a)(b)</w:t>
      </w:r>
      <w:r>
        <w:rPr>
          <w:rFonts w:ascii="Arial" w:cs="Arial" w:eastAsia="Arial" w:hAnsi="Arial"/>
          <w:sz w:val="22"/>
          <w:szCs w:val="22"/>
          <w:i w:val="1"/>
          <w:iCs w:val="1"/>
          <w:color w:val="auto"/>
        </w:rPr>
        <w:t>, revenues increased 20%</w:t>
      </w:r>
    </w:p>
    <w:p>
      <w:pPr>
        <w:spacing w:after="0" w:line="1" w:lineRule="exact"/>
        <w:rPr>
          <w:rFonts w:ascii="Arial" w:cs="Arial" w:eastAsia="Arial" w:hAnsi="Arial"/>
          <w:sz w:val="22"/>
          <w:szCs w:val="22"/>
          <w:b w:val="1"/>
          <w:bCs w:val="1"/>
          <w:i w:val="1"/>
          <w:iCs w:val="1"/>
          <w:color w:val="auto"/>
        </w:rPr>
      </w:pPr>
    </w:p>
    <w:p>
      <w:pPr>
        <w:ind w:left="320" w:hanging="312"/>
        <w:spacing w:after="0" w:line="208" w:lineRule="auto"/>
        <w:tabs>
          <w:tab w:leader="none" w:pos="320" w:val="left"/>
        </w:tabs>
        <w:numPr>
          <w:ilvl w:val="0"/>
          <w:numId w:val="2"/>
        </w:numPr>
        <w:rPr>
          <w:rFonts w:ascii="Arial" w:cs="Arial" w:eastAsia="Arial" w:hAnsi="Arial"/>
          <w:sz w:val="21"/>
          <w:szCs w:val="21"/>
          <w:b w:val="1"/>
          <w:bCs w:val="1"/>
          <w:i w:val="1"/>
          <w:iCs w:val="1"/>
          <w:color w:val="auto"/>
        </w:rPr>
      </w:pPr>
      <w:r>
        <w:rPr>
          <w:rFonts w:ascii="Arial" w:cs="Arial" w:eastAsia="Arial" w:hAnsi="Arial"/>
          <w:sz w:val="21"/>
          <w:szCs w:val="21"/>
          <w:i w:val="1"/>
          <w:iCs w:val="1"/>
          <w:color w:val="auto"/>
        </w:rPr>
        <w:t>Second quarter 2022 EYLEA</w:t>
      </w:r>
      <w:r>
        <w:rPr>
          <w:rFonts w:ascii="Arial" w:cs="Arial" w:eastAsia="Arial" w:hAnsi="Arial"/>
          <w:sz w:val="27"/>
          <w:szCs w:val="27"/>
          <w:i w:val="1"/>
          <w:iCs w:val="1"/>
          <w:color w:val="auto"/>
          <w:vertAlign w:val="superscript"/>
        </w:rPr>
        <w:t>®</w:t>
      </w:r>
      <w:r>
        <w:rPr>
          <w:rFonts w:ascii="Arial" w:cs="Arial" w:eastAsia="Arial" w:hAnsi="Arial"/>
          <w:sz w:val="21"/>
          <w:szCs w:val="21"/>
          <w:i w:val="1"/>
          <w:iCs w:val="1"/>
          <w:color w:val="auto"/>
        </w:rPr>
        <w:t xml:space="preserve"> U.S. net sales increased 14% versus second quarter 2021 to a record $1.62 billion</w:t>
      </w:r>
    </w:p>
    <w:p>
      <w:pPr>
        <w:ind w:left="340" w:right="560" w:hanging="332"/>
        <w:spacing w:after="0" w:line="214"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Second quarter 2022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8"/>
          <w:szCs w:val="28"/>
          <w:i w:val="1"/>
          <w:iCs w:val="1"/>
          <w:color w:val="auto"/>
          <w:vertAlign w:val="superscript"/>
        </w:rPr>
        <w:t>(c)</w:t>
      </w:r>
      <w:r>
        <w:rPr>
          <w:rFonts w:ascii="Arial" w:cs="Arial" w:eastAsia="Arial" w:hAnsi="Arial"/>
          <w:sz w:val="22"/>
          <w:szCs w:val="22"/>
          <w:i w:val="1"/>
          <w:iCs w:val="1"/>
          <w:color w:val="auto"/>
        </w:rPr>
        <w:t>(recorded by Sanofi) increased 40% to $2.09 billion versus second quarter 2021</w:t>
      </w:r>
    </w:p>
    <w:p>
      <w:pPr>
        <w:ind w:left="340" w:right="160" w:hanging="332"/>
        <w:spacing w:after="0" w:line="208"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Second quarter 2022 GAAP diluted EPS of $7.47;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$9.77 including unfavorable $1.71 impact from acquired IPR&amp;D charges</w:t>
      </w:r>
    </w:p>
    <w:p>
      <w:pPr>
        <w:spacing w:after="0" w:line="1" w:lineRule="exact"/>
        <w:rPr>
          <w:rFonts w:ascii="Arial" w:cs="Arial" w:eastAsia="Arial" w:hAnsi="Arial"/>
          <w:sz w:val="22"/>
          <w:szCs w:val="22"/>
          <w:b w:val="1"/>
          <w:bCs w:val="1"/>
          <w:i w:val="1"/>
          <w:iCs w:val="1"/>
          <w:color w:val="auto"/>
        </w:rPr>
      </w:pPr>
    </w:p>
    <w:p>
      <w:pPr>
        <w:ind w:left="340" w:right="140" w:hanging="332"/>
        <w:spacing w:after="0" w:line="236"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FDA approved Dupixent for atopic dermatitis in children aged 6 months to 5 years and eosinophilic esophagitis in adults and adolescents; FDA priority review granted for prurigo nodularis</w:t>
      </w:r>
    </w:p>
    <w:p>
      <w:pPr>
        <w:spacing w:after="0" w:line="2" w:lineRule="exact"/>
        <w:rPr>
          <w:rFonts w:ascii="Arial" w:cs="Arial" w:eastAsia="Arial" w:hAnsi="Arial"/>
          <w:sz w:val="22"/>
          <w:szCs w:val="22"/>
          <w:color w:val="auto"/>
        </w:rPr>
      </w:pPr>
    </w:p>
    <w:p>
      <w:pPr>
        <w:ind w:left="340" w:right="680" w:hanging="332"/>
        <w:spacing w:after="0" w:line="217" w:lineRule="auto"/>
        <w:tabs>
          <w:tab w:leader="none" w:pos="335"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Encouraging preliminary anti-tumor activity observed for novel investigational PSMAxCD28 costimulatory bispecific antibody in combination with Libtayo</w:t>
      </w:r>
      <w:r>
        <w:rPr>
          <w:rFonts w:ascii="Arial" w:cs="Arial" w:eastAsia="Arial" w:hAnsi="Arial"/>
          <w:sz w:val="27"/>
          <w:szCs w:val="27"/>
          <w:i w:val="1"/>
          <w:iCs w:val="1"/>
          <w:color w:val="auto"/>
          <w:vertAlign w:val="superscript"/>
        </w:rPr>
        <w:t>®</w:t>
      </w:r>
      <w:r>
        <w:rPr>
          <w:rFonts w:ascii="Arial" w:cs="Arial" w:eastAsia="Arial" w:hAnsi="Arial"/>
          <w:sz w:val="21"/>
          <w:szCs w:val="21"/>
          <w:i w:val="1"/>
          <w:iCs w:val="1"/>
          <w:color w:val="auto"/>
        </w:rPr>
        <w:t xml:space="preserve"> in advanced metastatic castration-resistant prostate cancer</w:t>
      </w:r>
    </w:p>
    <w:p>
      <w:pPr>
        <w:ind w:left="340" w:right="1120" w:hanging="332"/>
        <w:spacing w:after="0"/>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Strengthened commitment to oncology through purchase of Sanofi's stake in Libtayo and acquisition of Checkmate Pharmaceuticals</w:t>
      </w:r>
    </w:p>
    <w:p>
      <w:pPr>
        <w:spacing w:after="0" w:line="228"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3, 2022)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2022 and provided a business update.</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second quarter of 2022 was distinguished by record net product sales of EYLEA, Dupixent, and Libtayo, as well as multiple regulatory achievements for Dupixent, including U.S. approvals for atopic dermatitis among very young patients and for eosinophilic esophagitis in adults and adolescents, as well as European approval for pediatric asthma," said Leonard S. Schleifer, M.D., Ph.D., President and Chief Executive Officer of Regeneron. "In addition, we have continued to strengthen our oncology franchise, including through the purchase of worldwide rights to Libtayo as well as encouraging but preliminary anti-tumor activity observed at higher doses of our novel PSMAxCD28 costimulatory bispecific in combination with Libtayo for advanced metastatic castration-resistant prostate cancer."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2022</w:t>
            </w:r>
          </w:p>
        </w:tc>
        <w:tc>
          <w:tcPr>
            <w:tcW w:w="20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2021</w:t>
            </w:r>
          </w:p>
        </w:tc>
        <w:tc>
          <w:tcPr>
            <w:tcW w:w="1280" w:type="dxa"/>
            <w:vAlign w:val="bottom"/>
          </w:tcPr>
          <w:p>
            <w:pPr>
              <w:jc w:val="right"/>
              <w:ind w:right="6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5,139</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(44%)</w:t>
            </w:r>
          </w:p>
        </w:tc>
      </w:tr>
      <w:tr>
        <w:trPr>
          <w:trHeight w:val="257"/>
        </w:trPr>
        <w:tc>
          <w:tcPr>
            <w:tcW w:w="516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852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3,099</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(73%)</w:t>
            </w:r>
          </w:p>
        </w:tc>
      </w:tr>
      <w:tr>
        <w:trPr>
          <w:trHeight w:val="25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27.97</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(73%)</w:t>
            </w:r>
          </w:p>
        </w:tc>
      </w:tr>
      <w:tr>
        <w:trPr>
          <w:trHeight w:val="257"/>
        </w:trPr>
        <w:tc>
          <w:tcPr>
            <w:tcW w:w="516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2,895</w:t>
            </w:r>
          </w:p>
        </w:tc>
        <w:tc>
          <w:tcPr>
            <w:tcW w:w="12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(61%)</w:t>
            </w:r>
          </w:p>
        </w:tc>
      </w:tr>
      <w:tr>
        <w:trPr>
          <w:trHeight w:val="257"/>
        </w:trPr>
        <w:tc>
          <w:tcPr>
            <w:tcW w:w="516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25.80</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line="246" w:lineRule="auto"/>
        <w:rPr>
          <w:sz w:val="20"/>
          <w:szCs w:val="20"/>
          <w:color w:val="auto"/>
        </w:rPr>
      </w:pPr>
      <w:r>
        <w:rPr>
          <w:rFonts w:ascii="Arial" w:cs="Arial" w:eastAsia="Arial" w:hAnsi="Arial"/>
          <w:sz w:val="21"/>
          <w:szCs w:val="21"/>
          <w:color w:val="auto"/>
        </w:rPr>
        <w:t>"We are pleased with our second quarter 2022 financial performance, including 20% revenue growth when excluding contributions from REGEN-COV. This demonstrates the continued strength of our core business," said Robert E. Landry, Executive Vice President, Finance and Chief Financial Officer of Regeneron. "Additionally, we updated our full-year 2022 financial guidance primarily to reflect the recently completed acquisition of Libtayo global rights from Sanofi, a transaction that we believe will deliver significant shareholder value over time. In the second half of 2022, we look forward to advancing our pipeline with important clinical data readouts in oncology and ophthalmology as well as continued commercial execution and prudent capital allocation to drive value creation for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80"/>
        <w:spacing w:after="0" w:line="290"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w:t>
      </w:r>
    </w:p>
    <w:p>
      <w:pPr>
        <w:ind w:left="340" w:right="24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June 2022, the U.S. Food and Drug Administration (FDA) approved Dupixent as the first biologic medicine for children aged 6 months to 5 years with moderate-to-severe atopic dermatitis.</w:t>
      </w:r>
    </w:p>
    <w:p>
      <w:pPr>
        <w:ind w:left="340" w:right="34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May 2022, the FDA approved Dupixent for adults and adolescents aged 12 years and older with eosinophilic esophagitis (EoE).</w:t>
      </w:r>
    </w:p>
    <w:p>
      <w:pPr>
        <w:ind w:left="340" w:right="260" w:hanging="332"/>
        <w:spacing w:after="0" w:line="249"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April 2022, the European Commission (EC) approved Dupixent for the treatment of severe asthma in children aged 6 to 11 years.</w:t>
      </w:r>
    </w:p>
    <w:p>
      <w:pPr>
        <w:spacing w:after="0" w:line="1" w:lineRule="exact"/>
        <w:rPr>
          <w:rFonts w:ascii="Arial" w:cs="Arial" w:eastAsia="Arial" w:hAnsi="Arial"/>
          <w:sz w:val="22"/>
          <w:szCs w:val="22"/>
          <w:color w:val="auto"/>
        </w:rPr>
      </w:pPr>
    </w:p>
    <w:p>
      <w:pPr>
        <w:ind w:left="340" w:right="6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and Sanofi announced positive results from a Phase 3 trial in children aged 1 to 11 years with EoE. The trial met its primary endpoint of histological disease remission at 16 weeks with both higher and lower dose weight-tiered regimens.</w:t>
      </w:r>
    </w:p>
    <w:p>
      <w:pPr>
        <w:spacing w:after="0" w:line="1" w:lineRule="exact"/>
        <w:rPr>
          <w:rFonts w:ascii="Arial" w:cs="Arial" w:eastAsia="Arial" w:hAnsi="Arial"/>
          <w:sz w:val="22"/>
          <w:szCs w:val="22"/>
          <w:color w:val="auto"/>
        </w:rPr>
      </w:pPr>
    </w:p>
    <w:p>
      <w:pPr>
        <w:ind w:left="340" w:right="200" w:hanging="332"/>
        <w:spacing w:after="0" w:line="254"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FDA accepted for priority review the supplemental Biologics License Application (sBLA) for Dupixent for adults with prurigo nodularis, with a target action date of September 30, 2022. Regulatory applications have also been submitted in the European Union (EU) and Japan.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w:t>
      </w:r>
    </w:p>
    <w:p>
      <w:pPr>
        <w:ind w:left="340" w:right="100" w:hanging="332"/>
        <w:spacing w:after="0" w:line="253" w:lineRule="auto"/>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accepted for review the sBLA for EYLEA for an every-16-weeks dosing regimen in patients with diabetic retinopathy (DR), with a target action date of February 28, 2023.</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REGN5678</w:t>
      </w:r>
      <w:r>
        <w:rPr>
          <w:rFonts w:ascii="Arial" w:cs="Arial" w:eastAsia="Arial" w:hAnsi="Arial"/>
          <w:sz w:val="22"/>
          <w:szCs w:val="22"/>
          <w:color w:val="auto"/>
        </w:rPr>
        <w:t>, a PSMAxCD28 costimulatory bispecific antibody</w:t>
      </w:r>
    </w:p>
    <w:p>
      <w:pPr>
        <w:spacing w:after="0" w:line="24" w:lineRule="exact"/>
        <w:rPr>
          <w:sz w:val="20"/>
          <w:szCs w:val="20"/>
          <w:color w:val="auto"/>
        </w:rPr>
      </w:pPr>
    </w:p>
    <w:p>
      <w:pPr>
        <w:ind w:left="340" w:right="720" w:hanging="332"/>
        <w:spacing w:after="0" w:line="217" w:lineRule="auto"/>
        <w:tabs>
          <w:tab w:leader="none" w:pos="332" w:val="left"/>
        </w:tabs>
        <w:numPr>
          <w:ilvl w:val="0"/>
          <w:numId w:val="5"/>
        </w:numPr>
        <w:rPr>
          <w:rFonts w:ascii="Arial" w:cs="Arial" w:eastAsia="Arial" w:hAnsi="Arial"/>
          <w:sz w:val="22"/>
          <w:szCs w:val="22"/>
          <w:color w:val="auto"/>
        </w:rPr>
      </w:pPr>
      <w:r>
        <w:rPr>
          <w:rFonts w:ascii="Arial" w:cs="Arial" w:eastAsia="Arial" w:hAnsi="Arial"/>
          <w:sz w:val="22"/>
          <w:szCs w:val="22"/>
          <w:color w:val="auto"/>
        </w:rPr>
        <w:t>Reported preliminary, first-in-human data in combination with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in patients with advanced metastatic castration-resistant prostate cancer.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Antibodies to SARS-CoV-2 virus</w:t>
      </w:r>
    </w:p>
    <w:p>
      <w:pPr>
        <w:spacing w:after="0" w:line="24" w:lineRule="exact"/>
        <w:rPr>
          <w:sz w:val="20"/>
          <w:szCs w:val="20"/>
          <w:color w:val="auto"/>
        </w:rPr>
      </w:pPr>
    </w:p>
    <w:p>
      <w:pPr>
        <w:ind w:left="340" w:right="800" w:hanging="332"/>
        <w:spacing w:after="0" w:line="26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is continuing to progress investigational "next generation" antibodies that are active against multiple variants including those of Omicron-lineage.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REGN5381</w:t>
      </w:r>
      <w:r>
        <w:rPr>
          <w:rFonts w:ascii="Arial" w:cs="Arial" w:eastAsia="Arial" w:hAnsi="Arial"/>
          <w:sz w:val="22"/>
          <w:szCs w:val="22"/>
          <w:color w:val="auto"/>
        </w:rPr>
        <w:t>, an agonist antibody to NPR1</w:t>
      </w:r>
    </w:p>
    <w:p>
      <w:pPr>
        <w:spacing w:after="0" w:line="2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in heart failure was initiated.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Updates</w:t>
      </w:r>
    </w:p>
    <w:p>
      <w:pPr>
        <w:spacing w:after="0" w:line="12" w:lineRule="exact"/>
        <w:rPr>
          <w:sz w:val="20"/>
          <w:szCs w:val="20"/>
          <w:color w:val="auto"/>
        </w:rPr>
      </w:pPr>
    </w:p>
    <w:p>
      <w:pPr>
        <w:ind w:left="340" w:right="220" w:hanging="332"/>
        <w:spacing w:after="0" w:line="266" w:lineRule="auto"/>
        <w:tabs>
          <w:tab w:leader="none" w:pos="335" w:val="left"/>
        </w:tabs>
        <w:numPr>
          <w:ilvl w:val="0"/>
          <w:numId w:val="8"/>
        </w:numPr>
        <w:rPr>
          <w:rFonts w:ascii="Arial" w:cs="Arial" w:eastAsia="Arial" w:hAnsi="Arial"/>
          <w:sz w:val="22"/>
          <w:szCs w:val="22"/>
          <w:i w:val="1"/>
          <w:iCs w:val="1"/>
          <w:color w:val="auto"/>
        </w:rPr>
      </w:pPr>
      <w:r>
        <w:rPr>
          <w:rFonts w:ascii="Arial" w:cs="Arial" w:eastAsia="Arial" w:hAnsi="Arial"/>
          <w:sz w:val="22"/>
          <w:szCs w:val="22"/>
          <w:color w:val="auto"/>
        </w:rPr>
        <w:t>In May 2022, the Company completed its acquisition of Checkmate Pharmaceuticals, Inc. for a total equity value of approximately $250 million. In connection with the acquisition, the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3" w:right="339" w:bottom="1440" w:gutter="0" w:footer="0" w:header="0"/>
        </w:sectPr>
      </w:pPr>
    </w:p>
    <w:bookmarkStart w:id="5" w:name="page6"/>
    <w:bookmarkEnd w:id="5"/>
    <w:p>
      <w:pPr>
        <w:ind w:left="340" w:right="240"/>
        <w:spacing w:after="0" w:line="252" w:lineRule="auto"/>
        <w:rPr>
          <w:sz w:val="20"/>
          <w:szCs w:val="20"/>
          <w:color w:val="auto"/>
        </w:rPr>
      </w:pPr>
      <w:r>
        <w:rPr>
          <w:rFonts w:ascii="Arial" w:cs="Arial" w:eastAsia="Arial" w:hAnsi="Arial"/>
          <w:sz w:val="22"/>
          <w:szCs w:val="22"/>
          <w:color w:val="auto"/>
        </w:rPr>
        <w:t>Company obtained the rights to vidutolimod (immune activator targeting TLR9), which is in clinical development for oncology.</w:t>
      </w:r>
    </w:p>
    <w:p>
      <w:pPr>
        <w:spacing w:after="0" w:line="2" w:lineRule="exact"/>
        <w:rPr>
          <w:sz w:val="20"/>
          <w:szCs w:val="20"/>
          <w:color w:val="auto"/>
        </w:rPr>
      </w:pPr>
    </w:p>
    <w:p>
      <w:pPr>
        <w:ind w:left="340" w:hanging="332"/>
        <w:spacing w:after="0" w:line="246"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Effective July 1, 2022, the Company obtained the exclusive right to develop, commercialize, and manufacture Libtayo worldwide under an Amended and Restated Immuno-oncology License and Collaboration Agreement with Sanofi. Under the terms of the agreement, the Company made a $900 million up-front payment, and Sanofi is eligible to receive a $100 million regulatory milestone and up to an aggregate of $100 million in sales-based milestones upon achieving certain amounts of worldwide net product sales of Libtayo through 2023. The Company will also pay Sanofi a royalty on net product sales of Libtayo.</w:t>
      </w:r>
    </w:p>
    <w:p>
      <w:pPr>
        <w:spacing w:after="0" w:line="3" w:lineRule="exact"/>
        <w:rPr>
          <w:rFonts w:ascii="Arial" w:cs="Arial" w:eastAsia="Arial" w:hAnsi="Arial"/>
          <w:sz w:val="22"/>
          <w:szCs w:val="22"/>
          <w:color w:val="auto"/>
        </w:rPr>
      </w:pPr>
    </w:p>
    <w:p>
      <w:pPr>
        <w:ind w:left="340" w:right="360" w:hanging="332"/>
        <w:spacing w:after="0" w:line="25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Also effective July 1, 2022, the Company will increase from 10% to 20% the share of its profits that are paid to Sanofi in connection with the development balance reimbursement under the antibody collaboration.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2022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2022</w:t>
            </w:r>
          </w:p>
        </w:tc>
        <w:tc>
          <w:tcPr>
            <w:tcW w:w="22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2021</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 in the United States:</w:t>
            </w: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57"/>
        </w:trPr>
        <w:tc>
          <w:tcPr>
            <w:tcW w:w="4520" w:type="dxa"/>
            <w:vAlign w:val="bottom"/>
          </w:tcPr>
          <w:p>
            <w:pPr>
              <w:ind w:left="240"/>
              <w:spacing w:after="0"/>
              <w:rPr>
                <w:sz w:val="20"/>
                <w:szCs w:val="20"/>
                <w:color w:val="auto"/>
              </w:rPr>
            </w:pPr>
            <w:r>
              <w:rPr>
                <w:rFonts w:ascii="Arial" w:cs="Arial" w:eastAsia="Arial" w:hAnsi="Arial"/>
                <w:sz w:val="20"/>
                <w:szCs w:val="20"/>
                <w:color w:val="auto"/>
              </w:rPr>
              <w:t>EYLEA</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1,621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1,425</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14 %</w:t>
            </w:r>
          </w:p>
        </w:tc>
      </w:tr>
      <w:tr>
        <w:trPr>
          <w:trHeight w:val="256"/>
        </w:trPr>
        <w:tc>
          <w:tcPr>
            <w:tcW w:w="4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Libtayo**</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w:t>
            </w:r>
          </w:p>
        </w:tc>
      </w:tr>
      <w:tr>
        <w:trPr>
          <w:trHeight w:val="257"/>
        </w:trPr>
        <w:tc>
          <w:tcPr>
            <w:tcW w:w="4520" w:type="dxa"/>
            <w:vAlign w:val="bottom"/>
          </w:tcPr>
          <w:p>
            <w:pPr>
              <w:ind w:left="24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(26 %)</w:t>
            </w:r>
          </w:p>
        </w:tc>
      </w:tr>
      <w:tr>
        <w:trPr>
          <w:trHeight w:val="257"/>
        </w:trPr>
        <w:tc>
          <w:tcPr>
            <w:tcW w:w="452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REGEN-COV</w:t>
            </w:r>
            <w:r>
              <w:rPr>
                <w:rFonts w:ascii="Arial" w:cs="Arial" w:eastAsia="Arial" w:hAnsi="Arial"/>
                <w:sz w:val="25"/>
                <w:szCs w:val="25"/>
                <w:color w:val="auto"/>
                <w:vertAlign w:val="superscript"/>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2,591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(100 %)</w:t>
            </w:r>
          </w:p>
        </w:tc>
      </w:tr>
      <w:tr>
        <w:trPr>
          <w:trHeight w:val="257"/>
        </w:trPr>
        <w:tc>
          <w:tcPr>
            <w:tcW w:w="4520" w:type="dxa"/>
            <w:vAlign w:val="bottom"/>
          </w:tcPr>
          <w:p>
            <w:pPr>
              <w:ind w:left="24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2"/>
                <w:szCs w:val="22"/>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256"/>
        </w:trPr>
        <w:tc>
          <w:tcPr>
            <w:tcW w:w="4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57"/>
        </w:trPr>
        <w:tc>
          <w:tcPr>
            <w:tcW w:w="4520" w:type="dxa"/>
            <w:vAlign w:val="bottom"/>
          </w:tcPr>
          <w:p>
            <w:pPr>
              <w:ind w:left="240"/>
              <w:spacing w:after="0"/>
              <w:rPr>
                <w:sz w:val="20"/>
                <w:szCs w:val="20"/>
                <w:color w:val="auto"/>
              </w:rPr>
            </w:pPr>
            <w:r>
              <w:rPr>
                <w:rFonts w:ascii="Arial" w:cs="Arial" w:eastAsia="Arial" w:hAnsi="Arial"/>
                <w:sz w:val="20"/>
                <w:szCs w:val="20"/>
                <w:color w:val="auto"/>
              </w:rPr>
              <w:t>Sanofi</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438</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55 %</w:t>
            </w:r>
          </w:p>
        </w:tc>
      </w:tr>
      <w:tr>
        <w:trPr>
          <w:trHeight w:val="257"/>
        </w:trPr>
        <w:tc>
          <w:tcPr>
            <w:tcW w:w="4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Bayer</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349</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3 %</w:t>
            </w:r>
          </w:p>
        </w:tc>
      </w:tr>
      <w:tr>
        <w:trPr>
          <w:trHeight w:val="257"/>
        </w:trPr>
        <w:tc>
          <w:tcPr>
            <w:tcW w:w="4520" w:type="dxa"/>
            <w:vAlign w:val="bottom"/>
          </w:tcPr>
          <w:p>
            <w:pPr>
              <w:ind w:left="240"/>
              <w:spacing w:after="0"/>
              <w:rPr>
                <w:sz w:val="20"/>
                <w:szCs w:val="20"/>
                <w:color w:val="auto"/>
              </w:rPr>
            </w:pPr>
            <w:r>
              <w:rPr>
                <w:rFonts w:ascii="Arial" w:cs="Arial" w:eastAsia="Arial" w:hAnsi="Arial"/>
                <w:sz w:val="20"/>
                <w:szCs w:val="20"/>
                <w:color w:val="auto"/>
              </w:rPr>
              <w:t>Roche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168</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(95 %)</w:t>
            </w:r>
          </w:p>
        </w:tc>
      </w:tr>
      <w:tr>
        <w:trPr>
          <w:trHeight w:val="256"/>
        </w:trPr>
        <w:tc>
          <w:tcPr>
            <w:tcW w:w="4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collaboration revenue</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46</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28 %</w:t>
            </w:r>
          </w:p>
        </w:tc>
      </w:tr>
      <w:tr>
        <w:trPr>
          <w:trHeight w:val="27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5,139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3" w:lineRule="exact"/>
        <w:rPr>
          <w:sz w:val="20"/>
          <w:szCs w:val="20"/>
          <w:color w:val="auto"/>
        </w:rPr>
      </w:pPr>
    </w:p>
    <w:p>
      <w:pPr>
        <w:ind w:left="420" w:hanging="178"/>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Effective July 1, 2022, the Company will record global net product sales of Libtayo.</w:t>
      </w:r>
    </w:p>
    <w:p>
      <w:pPr>
        <w:spacing w:after="0" w:line="240"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Total revenues decreased by 44% to $2.857 billion in the second quarter of 2022, compared to $5.139 billion in the second quarter of 2021. Total revenues excluding REGEN-COV and Ronapreve</w:t>
      </w:r>
      <w:r>
        <w:rPr>
          <w:rFonts w:ascii="Arial" w:cs="Arial" w:eastAsia="Arial" w:hAnsi="Arial"/>
          <w:sz w:val="28"/>
          <w:szCs w:val="28"/>
          <w:color w:val="auto"/>
          <w:vertAlign w:val="superscript"/>
        </w:rPr>
        <w:t>(b)</w:t>
      </w:r>
      <w:r>
        <w:rPr>
          <w:rFonts w:ascii="Arial" w:cs="Arial" w:eastAsia="Arial" w:hAnsi="Arial"/>
          <w:sz w:val="22"/>
          <w:szCs w:val="22"/>
          <w:color w:val="auto"/>
        </w:rPr>
        <w:t xml:space="preserve"> revenues for both periods increased by 20% to $2.849 billion in the second quarter of 2022, compared to the second quarter of 2021</w:t>
      </w:r>
      <w:r>
        <w:rPr>
          <w:rFonts w:ascii="Arial" w:cs="Arial" w:eastAsia="Arial" w:hAnsi="Arial"/>
          <w:sz w:val="12"/>
          <w:szCs w:val="12"/>
          <w:color w:val="auto"/>
        </w:rPr>
        <w:t>(a)</w:t>
      </w:r>
      <w:r>
        <w:rPr>
          <w:rFonts w:ascii="Arial" w:cs="Arial" w:eastAsia="Arial" w:hAnsi="Arial"/>
          <w:sz w:val="22"/>
          <w:szCs w:val="22"/>
          <w:color w:val="auto"/>
        </w:rPr>
        <w:t>. There have been no sales of REGEN-COV in the United States during 2022 as the Company had completed its final deliveries of drug product under its agreements with the U.S. government as of December 31, 2021.</w:t>
      </w:r>
    </w:p>
    <w:p>
      <w:pPr>
        <w:spacing w:after="0" w:line="12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Sanofi collaboration revenue increased by 55% to $678 million in the second quarter of 2022, compared to the second quarter of 2021. This increase was primarily due to the Company's share of profits from commercialization of antibodies, which were $497 million in the second quarter of 2022, compared to $328 million in the second quarter of 2021. The change in the Company's share of profits from commercialization of antibodies was driven by higher Dupixent profits. Roche collaboration revenue decreased in the second quarter of 2022, compared to the second quarter of 2021, due to lower sales of Ronapreve.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896"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Q2 2022</w:t>
            </w:r>
          </w:p>
        </w:tc>
        <w:tc>
          <w:tcPr>
            <w:tcW w:w="16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b w:val="1"/>
                <w:bCs w:val="1"/>
                <w:color w:val="auto"/>
                <w:w w:val="98"/>
              </w:rPr>
              <w:t>Q2 2021</w:t>
            </w:r>
          </w:p>
        </w:tc>
        <w:tc>
          <w:tcPr>
            <w:tcW w:w="10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Q2 2022</w:t>
            </w:r>
          </w:p>
        </w:tc>
        <w:tc>
          <w:tcPr>
            <w:tcW w:w="16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Q2 2021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643</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line="194"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197</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200" w:type="dxa"/>
            <w:vAlign w:val="bottom"/>
          </w:tcPr>
          <w:p>
            <w:pPr>
              <w:ind w:left="180"/>
              <w:spacing w:after="0" w:line="251" w:lineRule="exact"/>
              <w:rPr>
                <w:sz w:val="20"/>
                <w:szCs w:val="20"/>
                <w:color w:val="auto"/>
              </w:rPr>
            </w:pPr>
            <w:r>
              <w:rPr>
                <w:rFonts w:ascii="Arial" w:cs="Arial" w:eastAsia="Arial" w:hAnsi="Arial"/>
                <w:sz w:val="20"/>
                <w:szCs w:val="20"/>
                <w:color w:val="auto"/>
              </w:rPr>
              <w:t>development (IPR&amp;D)</w:t>
            </w:r>
            <w:r>
              <w:rPr>
                <w:rFonts w:ascii="Arial" w:cs="Arial" w:eastAsia="Arial" w:hAnsi="Arial"/>
                <w:sz w:val="25"/>
                <w:szCs w:val="25"/>
                <w:color w:val="auto"/>
                <w:vertAlign w:val="superscript"/>
              </w:rPr>
              <w:t>**</w:t>
            </w:r>
          </w:p>
        </w:tc>
        <w:tc>
          <w:tcPr>
            <w:tcW w:w="1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539</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514</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194"/>
        </w:trPr>
        <w:tc>
          <w:tcPr>
            <w:tcW w:w="42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154</w:t>
            </w:r>
          </w:p>
        </w:tc>
        <w:tc>
          <w:tcPr>
            <w:tcW w:w="11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20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(31)</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3" w:lineRule="exact"/>
        <w:rPr>
          <w:sz w:val="20"/>
          <w:szCs w:val="20"/>
          <w:color w:val="auto"/>
        </w:rPr>
      </w:pPr>
    </w:p>
    <w:p>
      <w:pPr>
        <w:jc w:val="both"/>
        <w:ind w:left="180" w:right="380" w:firstLine="8"/>
        <w:spacing w:after="0" w:line="225" w:lineRule="auto"/>
        <w:tabs>
          <w:tab w:leader="none" w:pos="365" w:val="left"/>
        </w:tabs>
        <w:numPr>
          <w:ilvl w:val="0"/>
          <w:numId w:val="13"/>
        </w:numPr>
        <w:rPr>
          <w:rFonts w:ascii="Arial" w:cs="Arial" w:eastAsia="Arial" w:hAnsi="Arial"/>
          <w:sz w:val="18"/>
          <w:szCs w:val="18"/>
          <w:color w:val="auto"/>
        </w:rPr>
      </w:pPr>
      <w:r>
        <w:rPr>
          <w:rFonts w:ascii="Arial" w:cs="Arial" w:eastAsia="Arial" w:hAnsi="Arial"/>
          <w:sz w:val="16"/>
          <w:szCs w:val="16"/>
          <w:color w:val="auto"/>
        </w:rPr>
        <w:t>Beginning with the first quarter of 2022, the Company added this new line item to its Statements of Operations, which includes IPR&amp;D acquired in connection with asset acquisitions as well as up-front/opt-in payments related to license and collaboration agreements. Amounts recorded in this line would have historically been recorded to R&amp;D. This change does not affect previously reported non-GAAP results for the three and six months ended June 30, 2021 as the Company recorded no such charges during either of these periods.</w:t>
      </w:r>
    </w:p>
    <w:p>
      <w:pPr>
        <w:spacing w:after="0" w:line="221" w:lineRule="exact"/>
        <w:rPr>
          <w:rFonts w:ascii="Arial" w:cs="Arial" w:eastAsia="Arial" w:hAnsi="Arial"/>
          <w:sz w:val="18"/>
          <w:szCs w:val="18"/>
          <w:color w:val="auto"/>
        </w:rPr>
      </w:pPr>
    </w:p>
    <w:p>
      <w:pPr>
        <w:ind w:left="660" w:right="380" w:hanging="328"/>
        <w:spacing w:after="0" w:line="253"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GAAP and non-GAAP R&amp;D expenses increased in the second quarter of 2022, compared to the second quarter of 2021, primarily due to higher headcount and headcount-related costs and an increase in clinical manufacturing activities, partly offset by lower costs incurred in connection with REGEN-COV development activities.</w:t>
      </w:r>
    </w:p>
    <w:p>
      <w:pPr>
        <w:spacing w:after="0" w:line="40" w:lineRule="exact"/>
        <w:rPr>
          <w:rFonts w:ascii="Arial" w:cs="Arial" w:eastAsia="Arial" w:hAnsi="Arial"/>
          <w:sz w:val="22"/>
          <w:szCs w:val="22"/>
          <w:color w:val="auto"/>
        </w:rPr>
      </w:pPr>
    </w:p>
    <w:p>
      <w:pPr>
        <w:ind w:left="660" w:right="720" w:hanging="328"/>
        <w:spacing w:after="0" w:line="272"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Acquired IPR&amp;D in the second quarter of 2022 included a $195 million charge related to the Company's acquisition of Checkmate Pharmaceuticals.</w:t>
      </w:r>
    </w:p>
    <w:p>
      <w:pPr>
        <w:spacing w:after="0" w:line="7" w:lineRule="exact"/>
        <w:rPr>
          <w:rFonts w:ascii="Arial" w:cs="Arial" w:eastAsia="Arial" w:hAnsi="Arial"/>
          <w:sz w:val="22"/>
          <w:szCs w:val="22"/>
          <w:color w:val="auto"/>
        </w:rPr>
      </w:pPr>
    </w:p>
    <w:p>
      <w:pPr>
        <w:ind w:left="660" w:right="220" w:hanging="328"/>
        <w:spacing w:after="0" w:line="257"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increase in GAAP and non-GAAP SG&amp;A expenses in the second quarter of 2022, compared to the second quarter of 2021, was primarily due to higher headcount and headcount-related costs and an increase in commercialization-related expenses for EYLEA, partly offset by costs in 2021 for educational campaigns related to COVID-19 that did not recur in 2022.</w:t>
      </w:r>
    </w:p>
    <w:p>
      <w:pPr>
        <w:spacing w:after="0" w:line="36" w:lineRule="exact"/>
        <w:rPr>
          <w:rFonts w:ascii="Arial" w:cs="Arial" w:eastAsia="Arial" w:hAnsi="Arial"/>
          <w:sz w:val="22"/>
          <w:szCs w:val="22"/>
          <w:color w:val="auto"/>
        </w:rPr>
      </w:pPr>
    </w:p>
    <w:p>
      <w:pPr>
        <w:ind w:left="660" w:right="220" w:hanging="328"/>
        <w:spacing w:after="0" w:line="257" w:lineRule="auto"/>
        <w:tabs>
          <w:tab w:leader="none" w:pos="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GAAP and non-GAAP COGS decreased in the second quarter of 2022, compared to the second quarter of 2021, primarily due to the Company not recognizing any REGEN-COV net product sales in the United States during 2022.</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$164 million in the second quarter of 2022, compared to $409 million of net unrealized gains in the second quarter of 2021.</w:t>
      </w:r>
    </w:p>
    <w:p>
      <w:pPr>
        <w:spacing w:after="0" w:line="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 the second quarter of 2022, the Company's GAAP effective tax rate (ETR) was 11.5%, compared to 17.4% in the second quarter of 2021. The decrease in the GAAP ETR was primarily driven by the proportion of income earned in foreign jurisdictions with tax rates lower than the U.S. federal statutory rate, the impact of income earned in the United States during 2021 related to REGEN-COV, and, to a lesser extent, stock-based compensation. In the second quarter of 2022, the non-GAAP ETR was 13.6%, compared to 17.0% in the second quarter of 2021.</w:t>
      </w:r>
    </w:p>
    <w:p>
      <w:pPr>
        <w:spacing w:after="0" w:line="113" w:lineRule="exact"/>
        <w:rPr>
          <w:sz w:val="20"/>
          <w:szCs w:val="20"/>
          <w:color w:val="auto"/>
        </w:rPr>
      </w:pPr>
    </w:p>
    <w:p>
      <w:pPr>
        <w:ind w:right="540"/>
        <w:spacing w:after="0" w:line="272" w:lineRule="auto"/>
        <w:rPr>
          <w:sz w:val="20"/>
          <w:szCs w:val="20"/>
          <w:color w:val="auto"/>
        </w:rPr>
      </w:pPr>
      <w:r>
        <w:rPr>
          <w:rFonts w:ascii="Arial" w:cs="Arial" w:eastAsia="Arial" w:hAnsi="Arial"/>
          <w:sz w:val="22"/>
          <w:szCs w:val="22"/>
          <w:color w:val="auto"/>
        </w:rPr>
        <w:t>GAAP net income per diluted share was $7.47 in the second quarter of 2022, compared to $27.97 in the second quarter of 2021. Non-GAAP net income per diluted share was $9.77 in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5" w:right="339" w:bottom="1440" w:gutter="0" w:footer="0" w:header="0"/>
        </w:sectPr>
      </w:pPr>
    </w:p>
    <w:bookmarkStart w:id="7" w:name="page8"/>
    <w:bookmarkEnd w:id="7"/>
    <w:p>
      <w:pPr>
        <w:spacing w:after="0" w:line="272" w:lineRule="auto"/>
        <w:rPr>
          <w:sz w:val="20"/>
          <w:szCs w:val="20"/>
          <w:color w:val="auto"/>
        </w:rPr>
      </w:pPr>
      <w:r>
        <w:rPr>
          <w:rFonts w:ascii="Arial" w:cs="Arial" w:eastAsia="Arial" w:hAnsi="Arial"/>
          <w:sz w:val="22"/>
          <w:szCs w:val="22"/>
          <w:color w:val="auto"/>
        </w:rPr>
        <w:t>second quarter of 2022, compared to $25.80 in the second quarter of 2021. A reconciliation of the Company's GAAP to non-GAAP results is included in Table 3 of this press release.</w:t>
      </w:r>
    </w:p>
    <w:p>
      <w:pPr>
        <w:spacing w:after="0" w:line="88" w:lineRule="exact"/>
        <w:rPr>
          <w:sz w:val="20"/>
          <w:szCs w:val="20"/>
          <w:color w:val="auto"/>
        </w:rPr>
      </w:pPr>
    </w:p>
    <w:p>
      <w:pPr>
        <w:ind w:right="140"/>
        <w:spacing w:after="0" w:line="257" w:lineRule="auto"/>
        <w:rPr>
          <w:sz w:val="20"/>
          <w:szCs w:val="20"/>
          <w:color w:val="auto"/>
        </w:rPr>
      </w:pPr>
      <w:r>
        <w:rPr>
          <w:rFonts w:ascii="Arial" w:cs="Arial" w:eastAsia="Arial" w:hAnsi="Arial"/>
          <w:sz w:val="22"/>
          <w:szCs w:val="22"/>
          <w:color w:val="auto"/>
        </w:rPr>
        <w:t>During the second quarter of 2022, the Company repurchased shares of common stock under its share repurchase program, and recorded the cost of the shares received, or $394 million, as Treasury Stock. As of June 30, 2022, $2.099 billion remained available for share repurchases under the program.</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2022 Financial Guidance</w:t>
      </w:r>
      <w:r>
        <w:rPr>
          <w:rFonts w:ascii="Arial" w:cs="Arial" w:eastAsia="Arial" w:hAnsi="Arial"/>
          <w:sz w:val="12"/>
          <w:szCs w:val="12"/>
          <w:b w:val="1"/>
          <w:bCs w:val="1"/>
          <w:i w:val="1"/>
          <w:iCs w:val="1"/>
          <w:color w:val="auto"/>
        </w:rPr>
        <w:t>(d)</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The Company's full year 2022 financial guidance consists of the following components (inclusive of updates made in connection with the Company's purchase of Sanofi's stake in Libtayo and acquisition of Checkmate Pharmaceuticals):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680" w:type="dxa"/>
            <w:vAlign w:val="bottom"/>
          </w:tcPr>
          <w:p>
            <w:pPr>
              <w:spacing w:after="0"/>
              <w:rPr>
                <w:sz w:val="24"/>
                <w:szCs w:val="24"/>
                <w:color w:val="auto"/>
              </w:rPr>
            </w:pPr>
          </w:p>
        </w:tc>
        <w:tc>
          <w:tcPr>
            <w:tcW w:w="2740" w:type="dxa"/>
            <w:vAlign w:val="bottom"/>
            <w:gridSpan w:val="2"/>
          </w:tcPr>
          <w:p>
            <w:pPr>
              <w:ind w:left="1020"/>
              <w:spacing w:after="0"/>
              <w:rPr>
                <w:sz w:val="20"/>
                <w:szCs w:val="20"/>
                <w:color w:val="auto"/>
              </w:rPr>
            </w:pPr>
            <w:r>
              <w:rPr>
                <w:rFonts w:ascii="Arial" w:cs="Arial" w:eastAsia="Arial" w:hAnsi="Arial"/>
                <w:sz w:val="20"/>
                <w:szCs w:val="20"/>
                <w:b w:val="1"/>
                <w:bCs w:val="1"/>
                <w:color w:val="auto"/>
              </w:rPr>
              <w:t>GAAP</w:t>
            </w:r>
          </w:p>
        </w:tc>
        <w:tc>
          <w:tcPr>
            <w:tcW w:w="2620" w:type="dxa"/>
            <w:vAlign w:val="bottom"/>
          </w:tcPr>
          <w:p>
            <w:pPr>
              <w:ind w:left="7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r>
      <w:tr>
        <w:trPr>
          <w:trHeight w:val="188"/>
        </w:trPr>
        <w:tc>
          <w:tcPr>
            <w:tcW w:w="3680" w:type="dxa"/>
            <w:vAlign w:val="bottom"/>
            <w:tcBorders>
              <w:top w:val="single" w:sz="8" w:color="CCEEFF"/>
            </w:tcBorders>
            <w:shd w:val="clear" w:color="auto" w:fill="CCEEFF"/>
          </w:tcPr>
          <w:p>
            <w:pPr>
              <w:ind w:left="20"/>
              <w:spacing w:after="0" w:line="188" w:lineRule="exact"/>
              <w:rPr>
                <w:sz w:val="20"/>
                <w:szCs w:val="20"/>
                <w:color w:val="auto"/>
              </w:rPr>
            </w:pPr>
            <w:r>
              <w:rPr>
                <w:rFonts w:ascii="Arial" w:cs="Arial" w:eastAsia="Arial" w:hAnsi="Arial"/>
                <w:sz w:val="20"/>
                <w:szCs w:val="20"/>
                <w:color w:val="auto"/>
              </w:rPr>
              <w:t>R&amp;D</w:t>
            </w:r>
          </w:p>
        </w:tc>
        <w:tc>
          <w:tcPr>
            <w:tcW w:w="2600" w:type="dxa"/>
            <w:vAlign w:val="bottom"/>
            <w:tcBorders>
              <w:top w:val="single" w:sz="8" w:color="auto"/>
            </w:tcBorders>
            <w:shd w:val="clear" w:color="auto" w:fill="CCEEFF"/>
          </w:tcPr>
          <w:p>
            <w:pPr>
              <w:ind w:left="20"/>
              <w:spacing w:after="0" w:line="188" w:lineRule="exact"/>
              <w:rPr>
                <w:sz w:val="20"/>
                <w:szCs w:val="20"/>
                <w:color w:val="auto"/>
              </w:rPr>
            </w:pPr>
            <w:r>
              <w:rPr>
                <w:rFonts w:ascii="Arial" w:cs="Arial" w:eastAsia="Arial" w:hAnsi="Arial"/>
                <w:sz w:val="20"/>
                <w:szCs w:val="20"/>
                <w:color w:val="auto"/>
              </w:rPr>
              <w:t>$3.485 billion–$3.655 billion</w:t>
            </w:r>
          </w:p>
        </w:tc>
        <w:tc>
          <w:tcPr>
            <w:tcW w:w="14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ind w:left="20"/>
              <w:spacing w:after="0" w:line="188" w:lineRule="exact"/>
              <w:rPr>
                <w:sz w:val="20"/>
                <w:szCs w:val="20"/>
                <w:color w:val="auto"/>
              </w:rPr>
            </w:pPr>
            <w:r>
              <w:rPr>
                <w:rFonts w:ascii="Arial" w:cs="Arial" w:eastAsia="Arial" w:hAnsi="Arial"/>
                <w:sz w:val="20"/>
                <w:szCs w:val="20"/>
                <w:color w:val="auto"/>
              </w:rPr>
              <w:t>$3.100 billion–$3.240 billion</w:t>
            </w:r>
          </w:p>
        </w:tc>
      </w:tr>
      <w:tr>
        <w:trPr>
          <w:trHeight w:val="197"/>
        </w:trPr>
        <w:tc>
          <w:tcPr>
            <w:tcW w:w="368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20"/>
              <w:spacing w:after="0" w:line="197" w:lineRule="exact"/>
              <w:rPr>
                <w:sz w:val="20"/>
                <w:szCs w:val="20"/>
                <w:color w:val="auto"/>
              </w:rPr>
            </w:pPr>
            <w:r>
              <w:rPr>
                <w:rFonts w:ascii="Arial" w:cs="Arial" w:eastAsia="Arial" w:hAnsi="Arial"/>
                <w:sz w:val="20"/>
                <w:szCs w:val="20"/>
                <w:i w:val="1"/>
                <w:iCs w:val="1"/>
                <w:color w:val="auto"/>
              </w:rPr>
              <w:t>(previously $3.270 billion–</w:t>
            </w:r>
          </w:p>
        </w:tc>
        <w:tc>
          <w:tcPr>
            <w:tcW w:w="2620" w:type="dxa"/>
            <w:vAlign w:val="bottom"/>
            <w:shd w:val="clear" w:color="auto" w:fill="CCEEFF"/>
          </w:tcPr>
          <w:p>
            <w:pPr>
              <w:ind w:left="20"/>
              <w:spacing w:after="0" w:line="197" w:lineRule="exact"/>
              <w:rPr>
                <w:sz w:val="20"/>
                <w:szCs w:val="20"/>
                <w:color w:val="auto"/>
              </w:rPr>
            </w:pPr>
            <w:r>
              <w:rPr>
                <w:rFonts w:ascii="Arial" w:cs="Arial" w:eastAsia="Arial" w:hAnsi="Arial"/>
                <w:sz w:val="20"/>
                <w:szCs w:val="20"/>
                <w:i w:val="1"/>
                <w:iCs w:val="1"/>
                <w:color w:val="auto"/>
              </w:rPr>
              <w:t>(previously $2.900 billion–</w:t>
            </w:r>
          </w:p>
        </w:tc>
      </w:tr>
      <w:tr>
        <w:trPr>
          <w:trHeight w:val="263"/>
        </w:trPr>
        <w:tc>
          <w:tcPr>
            <w:tcW w:w="368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$3.500 billion)</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$3.100 billion)</w:t>
            </w:r>
          </w:p>
        </w:tc>
      </w:tr>
      <w:tr>
        <w:trPr>
          <w:trHeight w:val="194"/>
        </w:trPr>
        <w:tc>
          <w:tcPr>
            <w:tcW w:w="3680" w:type="dxa"/>
            <w:vAlign w:val="bottom"/>
          </w:tcPr>
          <w:p>
            <w:pPr>
              <w:ind w:left="20"/>
              <w:spacing w:after="0" w:line="194" w:lineRule="exact"/>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$1.990 billion–$2.110 billion</w:t>
            </w:r>
          </w:p>
        </w:tc>
        <w:tc>
          <w:tcPr>
            <w:tcW w:w="2620" w:type="dxa"/>
            <w:vAlign w:val="bottom"/>
          </w:tcPr>
          <w:p>
            <w:pPr>
              <w:ind w:left="20"/>
              <w:spacing w:after="0" w:line="194" w:lineRule="exact"/>
              <w:rPr>
                <w:sz w:val="20"/>
                <w:szCs w:val="20"/>
                <w:color w:val="auto"/>
              </w:rPr>
            </w:pPr>
            <w:r>
              <w:rPr>
                <w:rFonts w:ascii="Arial" w:cs="Arial" w:eastAsia="Arial" w:hAnsi="Arial"/>
                <w:sz w:val="20"/>
                <w:szCs w:val="20"/>
                <w:color w:val="auto"/>
              </w:rPr>
              <w:t>$1.740 billion–$1.840 billion</w:t>
            </w:r>
          </w:p>
        </w:tc>
      </w:tr>
      <w:tr>
        <w:trPr>
          <w:trHeight w:val="197"/>
        </w:trPr>
        <w:tc>
          <w:tcPr>
            <w:tcW w:w="3680" w:type="dxa"/>
            <w:vAlign w:val="bottom"/>
          </w:tcPr>
          <w:p>
            <w:pPr>
              <w:spacing w:after="0"/>
              <w:rPr>
                <w:sz w:val="17"/>
                <w:szCs w:val="17"/>
                <w:color w:val="auto"/>
              </w:rPr>
            </w:pPr>
          </w:p>
        </w:tc>
        <w:tc>
          <w:tcPr>
            <w:tcW w:w="2740" w:type="dxa"/>
            <w:vAlign w:val="bottom"/>
            <w:gridSpan w:val="2"/>
          </w:tcPr>
          <w:p>
            <w:pPr>
              <w:ind w:left="20"/>
              <w:spacing w:after="0" w:line="197" w:lineRule="exact"/>
              <w:rPr>
                <w:sz w:val="20"/>
                <w:szCs w:val="20"/>
                <w:color w:val="auto"/>
              </w:rPr>
            </w:pPr>
            <w:r>
              <w:rPr>
                <w:rFonts w:ascii="Arial" w:cs="Arial" w:eastAsia="Arial" w:hAnsi="Arial"/>
                <w:sz w:val="20"/>
                <w:szCs w:val="20"/>
                <w:i w:val="1"/>
                <w:iCs w:val="1"/>
                <w:color w:val="auto"/>
              </w:rPr>
              <w:t>(previously $1.890 billion–</w:t>
            </w:r>
          </w:p>
        </w:tc>
        <w:tc>
          <w:tcPr>
            <w:tcW w:w="2620" w:type="dxa"/>
            <w:vAlign w:val="bottom"/>
          </w:tcPr>
          <w:p>
            <w:pPr>
              <w:ind w:left="20"/>
              <w:spacing w:after="0" w:line="197" w:lineRule="exact"/>
              <w:rPr>
                <w:sz w:val="20"/>
                <w:szCs w:val="20"/>
                <w:color w:val="auto"/>
              </w:rPr>
            </w:pPr>
            <w:r>
              <w:rPr>
                <w:rFonts w:ascii="Arial" w:cs="Arial" w:eastAsia="Arial" w:hAnsi="Arial"/>
                <w:sz w:val="20"/>
                <w:szCs w:val="20"/>
                <w:i w:val="1"/>
                <w:iCs w:val="1"/>
                <w:color w:val="auto"/>
              </w:rPr>
              <w:t>(previously $1.650 billion–</w:t>
            </w:r>
          </w:p>
        </w:tc>
      </w:tr>
      <w:tr>
        <w:trPr>
          <w:trHeight w:val="261"/>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$2.030 billion)</w:t>
            </w:r>
          </w:p>
        </w:tc>
        <w:tc>
          <w:tcPr>
            <w:tcW w:w="2620" w:type="dxa"/>
            <w:vAlign w:val="bottom"/>
          </w:tcPr>
          <w:p>
            <w:pPr>
              <w:ind w:left="20"/>
              <w:spacing w:after="0"/>
              <w:rPr>
                <w:sz w:val="20"/>
                <w:szCs w:val="20"/>
                <w:color w:val="auto"/>
              </w:rPr>
            </w:pPr>
            <w:r>
              <w:rPr>
                <w:rFonts w:ascii="Arial" w:cs="Arial" w:eastAsia="Arial" w:hAnsi="Arial"/>
                <w:sz w:val="20"/>
                <w:szCs w:val="20"/>
                <w:i w:val="1"/>
                <w:iCs w:val="1"/>
                <w:color w:val="auto"/>
              </w:rPr>
              <w:t>$1.770 billion)</w:t>
            </w:r>
          </w:p>
        </w:tc>
      </w:tr>
      <w:tr>
        <w:trPr>
          <w:trHeight w:val="36"/>
        </w:trPr>
        <w:tc>
          <w:tcPr>
            <w:tcW w:w="3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94"/>
        </w:trPr>
        <w:tc>
          <w:tcPr>
            <w:tcW w:w="36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Gross margin on net product sales</w:t>
            </w:r>
            <w:r>
              <w:rPr>
                <w:rFonts w:ascii="Arial" w:cs="Arial" w:eastAsia="Arial" w:hAnsi="Arial"/>
                <w:sz w:val="22"/>
                <w:szCs w:val="22"/>
                <w:color w:val="auto"/>
                <w:vertAlign w:val="superscript"/>
              </w:rPr>
              <w:t>(e)</w:t>
            </w:r>
          </w:p>
        </w:tc>
        <w:tc>
          <w:tcPr>
            <w:tcW w:w="27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90%–91%</w:t>
            </w:r>
          </w:p>
        </w:tc>
        <w:tc>
          <w:tcPr>
            <w:tcW w:w="26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92%–93%</w:t>
            </w:r>
          </w:p>
        </w:tc>
      </w:tr>
      <w:tr>
        <w:trPr>
          <w:trHeight w:val="272"/>
        </w:trPr>
        <w:tc>
          <w:tcPr>
            <w:tcW w:w="368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89%–91%)</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90%–92%)</w:t>
            </w:r>
          </w:p>
        </w:tc>
      </w:tr>
      <w:tr>
        <w:trPr>
          <w:trHeight w:val="194"/>
        </w:trPr>
        <w:tc>
          <w:tcPr>
            <w:tcW w:w="3680" w:type="dxa"/>
            <w:vAlign w:val="bottom"/>
          </w:tcPr>
          <w:p>
            <w:pPr>
              <w:ind w:left="20"/>
              <w:spacing w:after="0" w:line="194" w:lineRule="exact"/>
              <w:rPr>
                <w:sz w:val="20"/>
                <w:szCs w:val="20"/>
                <w:color w:val="auto"/>
              </w:rPr>
            </w:pPr>
            <w:r>
              <w:rPr>
                <w:rFonts w:ascii="Arial" w:cs="Arial" w:eastAsia="Arial" w:hAnsi="Arial"/>
                <w:sz w:val="18"/>
                <w:szCs w:val="18"/>
                <w:color w:val="auto"/>
              </w:rPr>
              <w:t>COCM</w:t>
            </w:r>
            <w:r>
              <w:rPr>
                <w:rFonts w:ascii="Arial" w:cs="Arial" w:eastAsia="Arial" w:hAnsi="Arial"/>
                <w:sz w:val="22"/>
                <w:szCs w:val="22"/>
                <w:color w:val="auto"/>
                <w:vertAlign w:val="superscript"/>
              </w:rPr>
              <w:t>(f)</w:t>
            </w:r>
          </w:p>
        </w:tc>
        <w:tc>
          <w:tcPr>
            <w:tcW w:w="274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$710 million–$760 million</w:t>
            </w:r>
          </w:p>
        </w:tc>
        <w:tc>
          <w:tcPr>
            <w:tcW w:w="2620" w:type="dxa"/>
            <w:vAlign w:val="bottom"/>
          </w:tcPr>
          <w:p>
            <w:pPr>
              <w:ind w:left="20"/>
              <w:spacing w:after="0" w:line="194" w:lineRule="exact"/>
              <w:rPr>
                <w:sz w:val="20"/>
                <w:szCs w:val="20"/>
                <w:color w:val="auto"/>
              </w:rPr>
            </w:pPr>
            <w:r>
              <w:rPr>
                <w:rFonts w:ascii="Arial" w:cs="Arial" w:eastAsia="Arial" w:hAnsi="Arial"/>
                <w:sz w:val="20"/>
                <w:szCs w:val="20"/>
                <w:color w:val="auto"/>
              </w:rPr>
              <w:t>*</w:t>
            </w:r>
          </w:p>
        </w:tc>
      </w:tr>
      <w:tr>
        <w:trPr>
          <w:trHeight w:val="197"/>
        </w:trPr>
        <w:tc>
          <w:tcPr>
            <w:tcW w:w="3680" w:type="dxa"/>
            <w:vAlign w:val="bottom"/>
          </w:tcPr>
          <w:p>
            <w:pPr>
              <w:spacing w:after="0"/>
              <w:rPr>
                <w:sz w:val="17"/>
                <w:szCs w:val="17"/>
                <w:color w:val="auto"/>
              </w:rPr>
            </w:pPr>
          </w:p>
        </w:tc>
        <w:tc>
          <w:tcPr>
            <w:tcW w:w="2740" w:type="dxa"/>
            <w:vAlign w:val="bottom"/>
            <w:gridSpan w:val="2"/>
          </w:tcPr>
          <w:p>
            <w:pPr>
              <w:ind w:left="20"/>
              <w:spacing w:after="0" w:line="197" w:lineRule="exact"/>
              <w:rPr>
                <w:sz w:val="20"/>
                <w:szCs w:val="20"/>
                <w:color w:val="auto"/>
              </w:rPr>
            </w:pPr>
            <w:r>
              <w:rPr>
                <w:rFonts w:ascii="Arial" w:cs="Arial" w:eastAsia="Arial" w:hAnsi="Arial"/>
                <w:sz w:val="20"/>
                <w:szCs w:val="20"/>
                <w:i w:val="1"/>
                <w:iCs w:val="1"/>
                <w:color w:val="auto"/>
              </w:rPr>
              <w:t>(previously $750 million–</w:t>
            </w:r>
          </w:p>
        </w:tc>
        <w:tc>
          <w:tcPr>
            <w:tcW w:w="2620" w:type="dxa"/>
            <w:vAlign w:val="bottom"/>
          </w:tcPr>
          <w:p>
            <w:pPr>
              <w:spacing w:after="0"/>
              <w:rPr>
                <w:sz w:val="17"/>
                <w:szCs w:val="17"/>
                <w:color w:val="auto"/>
              </w:rPr>
            </w:pPr>
          </w:p>
        </w:tc>
      </w:tr>
      <w:tr>
        <w:trPr>
          <w:trHeight w:val="261"/>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$830 million)</w:t>
            </w:r>
          </w:p>
        </w:tc>
        <w:tc>
          <w:tcPr>
            <w:tcW w:w="2620" w:type="dxa"/>
            <w:vAlign w:val="bottom"/>
          </w:tcPr>
          <w:p>
            <w:pPr>
              <w:spacing w:after="0"/>
              <w:rPr>
                <w:sz w:val="22"/>
                <w:szCs w:val="22"/>
                <w:color w:val="auto"/>
              </w:rPr>
            </w:pPr>
          </w:p>
        </w:tc>
      </w:tr>
      <w:tr>
        <w:trPr>
          <w:trHeight w:val="36"/>
        </w:trPr>
        <w:tc>
          <w:tcPr>
            <w:tcW w:w="3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94"/>
        </w:trPr>
        <w:tc>
          <w:tcPr>
            <w:tcW w:w="36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Other operating (income) expense, net</w:t>
            </w:r>
          </w:p>
        </w:tc>
        <w:tc>
          <w:tcPr>
            <w:tcW w:w="27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($40) million–($60) million</w:t>
            </w:r>
          </w:p>
        </w:tc>
        <w:tc>
          <w:tcPr>
            <w:tcW w:w="26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w:t>
            </w:r>
          </w:p>
        </w:tc>
      </w:tr>
      <w:tr>
        <w:trPr>
          <w:trHeight w:val="197"/>
        </w:trPr>
        <w:tc>
          <w:tcPr>
            <w:tcW w:w="368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20"/>
              <w:spacing w:after="0" w:line="197" w:lineRule="exact"/>
              <w:rPr>
                <w:sz w:val="20"/>
                <w:szCs w:val="20"/>
                <w:color w:val="auto"/>
              </w:rPr>
            </w:pPr>
            <w:r>
              <w:rPr>
                <w:rFonts w:ascii="Arial" w:cs="Arial" w:eastAsia="Arial" w:hAnsi="Arial"/>
                <w:sz w:val="20"/>
                <w:szCs w:val="20"/>
                <w:i w:val="1"/>
                <w:iCs w:val="1"/>
                <w:color w:val="auto"/>
              </w:rPr>
              <w:t>(previously ($60) million–</w:t>
            </w:r>
          </w:p>
        </w:tc>
        <w:tc>
          <w:tcPr>
            <w:tcW w:w="2620" w:type="dxa"/>
            <w:vAlign w:val="bottom"/>
            <w:shd w:val="clear" w:color="auto" w:fill="CCEEFF"/>
          </w:tcPr>
          <w:p>
            <w:pPr>
              <w:spacing w:after="0"/>
              <w:rPr>
                <w:sz w:val="17"/>
                <w:szCs w:val="17"/>
                <w:color w:val="auto"/>
              </w:rPr>
            </w:pPr>
          </w:p>
        </w:tc>
      </w:tr>
      <w:tr>
        <w:trPr>
          <w:trHeight w:val="277"/>
        </w:trPr>
        <w:tc>
          <w:tcPr>
            <w:tcW w:w="368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($80) million)</w:t>
            </w:r>
          </w:p>
        </w:tc>
        <w:tc>
          <w:tcPr>
            <w:tcW w:w="2620" w:type="dxa"/>
            <w:vAlign w:val="bottom"/>
            <w:tcBorders>
              <w:bottom w:val="single" w:sz="8" w:color="CCEEFF"/>
            </w:tcBorders>
            <w:shd w:val="clear" w:color="auto" w:fill="CCEEFF"/>
          </w:tcPr>
          <w:p>
            <w:pPr>
              <w:spacing w:after="0"/>
              <w:rPr>
                <w:sz w:val="24"/>
                <w:szCs w:val="24"/>
                <w:color w:val="auto"/>
              </w:rPr>
            </w:pPr>
          </w:p>
        </w:tc>
      </w:tr>
      <w:tr>
        <w:trPr>
          <w:trHeight w:val="194"/>
        </w:trPr>
        <w:tc>
          <w:tcPr>
            <w:tcW w:w="3680" w:type="dxa"/>
            <w:vAlign w:val="bottom"/>
          </w:tcPr>
          <w:p>
            <w:pPr>
              <w:ind w:left="20"/>
              <w:spacing w:after="0" w:line="194" w:lineRule="exact"/>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line="194" w:lineRule="exact"/>
              <w:rPr>
                <w:sz w:val="20"/>
                <w:szCs w:val="20"/>
                <w:color w:val="auto"/>
              </w:rPr>
            </w:pPr>
            <w:r>
              <w:rPr>
                <w:rFonts w:ascii="Arial" w:cs="Arial" w:eastAsia="Arial" w:hAnsi="Arial"/>
                <w:sz w:val="20"/>
                <w:szCs w:val="20"/>
                <w:color w:val="auto"/>
              </w:rPr>
              <w:t>$620 million–$670 million</w:t>
            </w:r>
          </w:p>
        </w:tc>
        <w:tc>
          <w:tcPr>
            <w:tcW w:w="2620" w:type="dxa"/>
            <w:vAlign w:val="bottom"/>
          </w:tcPr>
          <w:p>
            <w:pPr>
              <w:ind w:left="20"/>
              <w:spacing w:after="0" w:line="194" w:lineRule="exact"/>
              <w:rPr>
                <w:sz w:val="20"/>
                <w:szCs w:val="20"/>
                <w:color w:val="auto"/>
              </w:rPr>
            </w:pPr>
            <w:r>
              <w:rPr>
                <w:rFonts w:ascii="Arial" w:cs="Arial" w:eastAsia="Arial" w:hAnsi="Arial"/>
                <w:sz w:val="20"/>
                <w:szCs w:val="20"/>
                <w:color w:val="auto"/>
              </w:rPr>
              <w:t>*</w:t>
            </w:r>
          </w:p>
        </w:tc>
      </w:tr>
      <w:tr>
        <w:trPr>
          <w:trHeight w:val="197"/>
        </w:trPr>
        <w:tc>
          <w:tcPr>
            <w:tcW w:w="3680" w:type="dxa"/>
            <w:vAlign w:val="bottom"/>
          </w:tcPr>
          <w:p>
            <w:pPr>
              <w:spacing w:after="0"/>
              <w:rPr>
                <w:sz w:val="17"/>
                <w:szCs w:val="17"/>
                <w:color w:val="auto"/>
              </w:rPr>
            </w:pPr>
          </w:p>
        </w:tc>
        <w:tc>
          <w:tcPr>
            <w:tcW w:w="2740" w:type="dxa"/>
            <w:vAlign w:val="bottom"/>
            <w:gridSpan w:val="2"/>
          </w:tcPr>
          <w:p>
            <w:pPr>
              <w:ind w:left="20"/>
              <w:spacing w:after="0" w:line="197" w:lineRule="exact"/>
              <w:rPr>
                <w:sz w:val="20"/>
                <w:szCs w:val="20"/>
                <w:color w:val="auto"/>
              </w:rPr>
            </w:pPr>
            <w:r>
              <w:rPr>
                <w:rFonts w:ascii="Arial" w:cs="Arial" w:eastAsia="Arial" w:hAnsi="Arial"/>
                <w:sz w:val="20"/>
                <w:szCs w:val="20"/>
                <w:i w:val="1"/>
                <w:iCs w:val="1"/>
                <w:color w:val="auto"/>
              </w:rPr>
              <w:t>(previously $630 million–</w:t>
            </w:r>
          </w:p>
        </w:tc>
        <w:tc>
          <w:tcPr>
            <w:tcW w:w="2620" w:type="dxa"/>
            <w:vAlign w:val="bottom"/>
          </w:tcPr>
          <w:p>
            <w:pPr>
              <w:spacing w:after="0"/>
              <w:rPr>
                <w:sz w:val="17"/>
                <w:szCs w:val="17"/>
                <w:color w:val="auto"/>
              </w:rPr>
            </w:pPr>
          </w:p>
        </w:tc>
      </w:tr>
      <w:tr>
        <w:trPr>
          <w:trHeight w:val="261"/>
        </w:trPr>
        <w:tc>
          <w:tcPr>
            <w:tcW w:w="3680" w:type="dxa"/>
            <w:vAlign w:val="bottom"/>
          </w:tcPr>
          <w:p>
            <w:pPr>
              <w:spacing w:after="0"/>
              <w:rPr>
                <w:sz w:val="22"/>
                <w:szCs w:val="22"/>
                <w:color w:val="auto"/>
              </w:rPr>
            </w:pPr>
          </w:p>
        </w:tc>
        <w:tc>
          <w:tcPr>
            <w:tcW w:w="2740" w:type="dxa"/>
            <w:vAlign w:val="bottom"/>
            <w:gridSpan w:val="2"/>
          </w:tcPr>
          <w:p>
            <w:pPr>
              <w:ind w:left="20"/>
              <w:spacing w:after="0"/>
              <w:rPr>
                <w:sz w:val="20"/>
                <w:szCs w:val="20"/>
                <w:color w:val="auto"/>
              </w:rPr>
            </w:pPr>
            <w:r>
              <w:rPr>
                <w:rFonts w:ascii="Arial" w:cs="Arial" w:eastAsia="Arial" w:hAnsi="Arial"/>
                <w:sz w:val="20"/>
                <w:szCs w:val="20"/>
                <w:i w:val="1"/>
                <w:iCs w:val="1"/>
                <w:color w:val="auto"/>
              </w:rPr>
              <w:t>$700 million)</w:t>
            </w:r>
          </w:p>
        </w:tc>
        <w:tc>
          <w:tcPr>
            <w:tcW w:w="2620" w:type="dxa"/>
            <w:vAlign w:val="bottom"/>
          </w:tcPr>
          <w:p>
            <w:pPr>
              <w:spacing w:after="0"/>
              <w:rPr>
                <w:sz w:val="22"/>
                <w:szCs w:val="22"/>
                <w:color w:val="auto"/>
              </w:rPr>
            </w:pPr>
          </w:p>
        </w:tc>
      </w:tr>
      <w:tr>
        <w:trPr>
          <w:trHeight w:val="36"/>
        </w:trPr>
        <w:tc>
          <w:tcPr>
            <w:tcW w:w="36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194"/>
        </w:trPr>
        <w:tc>
          <w:tcPr>
            <w:tcW w:w="368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Effective tax rate</w:t>
            </w:r>
          </w:p>
        </w:tc>
        <w:tc>
          <w:tcPr>
            <w:tcW w:w="27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20"/>
                <w:szCs w:val="20"/>
                <w:color w:val="auto"/>
              </w:rPr>
              <w:t>12%–13%**</w:t>
            </w:r>
          </w:p>
        </w:tc>
        <w:tc>
          <w:tcPr>
            <w:tcW w:w="262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13%–14%**</w:t>
            </w:r>
          </w:p>
        </w:tc>
      </w:tr>
      <w:tr>
        <w:trPr>
          <w:trHeight w:val="261"/>
        </w:trPr>
        <w:tc>
          <w:tcPr>
            <w:tcW w:w="368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11%–13%)</w:t>
            </w:r>
          </w:p>
        </w:tc>
        <w:tc>
          <w:tcPr>
            <w:tcW w:w="262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12%–14%)</w:t>
            </w:r>
          </w:p>
        </w:tc>
      </w:tr>
      <w:tr>
        <w:trPr>
          <w:trHeight w:val="30"/>
        </w:trPr>
        <w:tc>
          <w:tcPr>
            <w:tcW w:w="36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300" w:hanging="11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63" w:lineRule="exact"/>
        <w:rPr>
          <w:sz w:val="20"/>
          <w:szCs w:val="20"/>
          <w:color w:val="auto"/>
        </w:rPr>
      </w:pPr>
    </w:p>
    <w:p>
      <w:pPr>
        <w:ind w:left="180" w:right="2180" w:firstLine="8"/>
        <w:spacing w:after="0" w:line="221" w:lineRule="auto"/>
        <w:tabs>
          <w:tab w:leader="none" w:pos="365" w:val="left"/>
        </w:tabs>
        <w:numPr>
          <w:ilvl w:val="0"/>
          <w:numId w:val="15"/>
        </w:numPr>
        <w:rPr>
          <w:rFonts w:ascii="Arial" w:cs="Arial" w:eastAsia="Arial" w:hAnsi="Arial"/>
          <w:sz w:val="18"/>
          <w:szCs w:val="18"/>
          <w:color w:val="auto"/>
        </w:rPr>
      </w:pPr>
      <w:r>
        <w:rPr>
          <w:rFonts w:ascii="Arial" w:cs="Arial" w:eastAsia="Arial" w:hAnsi="Arial"/>
          <w:sz w:val="16"/>
          <w:szCs w:val="16"/>
          <w:color w:val="auto"/>
        </w:rPr>
        <w:t>ETR guidance excludes the impact of the provision requiring capitalization and amortization of R&amp;D expenses enacted as part of the Tax Cuts and Job Act (TCJA), as management's current expectation is it will be deferred or repealed by Congress in 2022. If this provision of the TCJA is not deferred or repealed, the Company would expect its ETR to be lower than the guidance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1045" w:right="45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A reconciliation of full year 2022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2040" w:type="dxa"/>
            <w:vAlign w:val="bottom"/>
            <w:gridSpan w:val="2"/>
          </w:tcPr>
          <w:p>
            <w:pPr>
              <w:ind w:left="46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1"/>
                <w:szCs w:val="21"/>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top w:val="single" w:sz="8" w:color="auto"/>
            </w:tcBorders>
            <w:shd w:val="clear" w:color="auto" w:fill="CCEEFF"/>
          </w:tcPr>
          <w:p>
            <w:pPr>
              <w:jc w:val="center"/>
              <w:ind w:left="1161"/>
              <w:spacing w:after="0"/>
              <w:rPr>
                <w:sz w:val="20"/>
                <w:szCs w:val="20"/>
                <w:color w:val="auto"/>
              </w:rPr>
            </w:pPr>
            <w:r>
              <w:rPr>
                <w:rFonts w:ascii="Arial" w:cs="Arial" w:eastAsia="Arial" w:hAnsi="Arial"/>
                <w:sz w:val="20"/>
                <w:szCs w:val="20"/>
                <w:color w:val="auto"/>
                <w:w w:val="99"/>
              </w:rPr>
              <w:t>3,485</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3,655</w:t>
            </w:r>
          </w:p>
        </w:tc>
        <w:tc>
          <w:tcPr>
            <w:tcW w:w="0" w:type="dxa"/>
            <w:vAlign w:val="bottom"/>
          </w:tcPr>
          <w:p>
            <w:pPr>
              <w:spacing w:after="0"/>
              <w:rPr>
                <w:sz w:val="1"/>
                <w:szCs w:val="1"/>
                <w:color w:val="auto"/>
              </w:rPr>
            </w:pPr>
          </w:p>
        </w:tc>
      </w:tr>
      <w:tr>
        <w:trPr>
          <w:trHeight w:val="257"/>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(370)</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2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center"/>
              <w:ind w:left="1161"/>
              <w:spacing w:after="0"/>
              <w:rPr>
                <w:sz w:val="20"/>
                <w:szCs w:val="20"/>
                <w:color w:val="auto"/>
              </w:rPr>
            </w:pPr>
            <w:r>
              <w:rPr>
                <w:rFonts w:ascii="Arial" w:cs="Arial" w:eastAsia="Arial" w:hAnsi="Arial"/>
                <w:sz w:val="20"/>
                <w:szCs w:val="20"/>
                <w:color w:val="auto"/>
                <w:w w:val="99"/>
              </w:rPr>
              <w:t>3,100</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tcPr>
          <w:p>
            <w:pPr>
              <w:jc w:val="center"/>
              <w:ind w:left="881"/>
              <w:spacing w:after="0"/>
              <w:rPr>
                <w:sz w:val="20"/>
                <w:szCs w:val="20"/>
                <w:color w:val="auto"/>
              </w:rPr>
            </w:pPr>
            <w:r>
              <w:rPr>
                <w:rFonts w:ascii="Arial" w:cs="Arial" w:eastAsia="Arial" w:hAnsi="Arial"/>
                <w:sz w:val="20"/>
                <w:szCs w:val="20"/>
                <w:color w:val="auto"/>
                <w:w w:val="99"/>
              </w:rPr>
              <w:t>3,240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center"/>
              <w:ind w:left="1161"/>
              <w:spacing w:after="0"/>
              <w:rPr>
                <w:sz w:val="20"/>
                <w:szCs w:val="20"/>
                <w:color w:val="auto"/>
              </w:rPr>
            </w:pPr>
            <w:r>
              <w:rPr>
                <w:rFonts w:ascii="Arial" w:cs="Arial" w:eastAsia="Arial" w:hAnsi="Arial"/>
                <w:sz w:val="20"/>
                <w:szCs w:val="20"/>
                <w:color w:val="auto"/>
                <w:w w:val="99"/>
              </w:rPr>
              <w:t>1,990</w:t>
            </w:r>
          </w:p>
        </w:tc>
        <w:tc>
          <w:tcPr>
            <w:tcW w:w="120" w:type="dxa"/>
            <w:vAlign w:val="bottom"/>
          </w:tcPr>
          <w:p>
            <w:pPr>
              <w:spacing w:after="0"/>
              <w:rPr>
                <w:sz w:val="22"/>
                <w:szCs w:val="22"/>
                <w:color w:val="auto"/>
              </w:rPr>
            </w:pPr>
          </w:p>
        </w:tc>
        <w:tc>
          <w:tcPr>
            <w:tcW w:w="880" w:type="dxa"/>
            <w:vAlign w:val="bottom"/>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5"/>
              </w:rPr>
              <w:t>2,110</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center"/>
              <w:ind w:left="1161"/>
              <w:spacing w:after="0"/>
              <w:rPr>
                <w:sz w:val="20"/>
                <w:szCs w:val="20"/>
                <w:color w:val="auto"/>
              </w:rPr>
            </w:pPr>
            <w:r>
              <w:rPr>
                <w:rFonts w:ascii="Arial" w:cs="Arial" w:eastAsia="Arial" w:hAnsi="Arial"/>
                <w:sz w:val="20"/>
                <w:szCs w:val="20"/>
                <w:color w:val="auto"/>
                <w:w w:val="99"/>
              </w:rPr>
              <w:t>1,740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CEEFF"/>
          </w:tcPr>
          <w:p>
            <w:pPr>
              <w:jc w:val="center"/>
              <w:ind w:left="881"/>
              <w:spacing w:after="0"/>
              <w:rPr>
                <w:sz w:val="20"/>
                <w:szCs w:val="20"/>
                <w:color w:val="auto"/>
              </w:rPr>
            </w:pPr>
            <w:r>
              <w:rPr>
                <w:rFonts w:ascii="Arial" w:cs="Arial" w:eastAsia="Arial" w:hAnsi="Arial"/>
                <w:sz w:val="20"/>
                <w:szCs w:val="20"/>
                <w:color w:val="auto"/>
                <w:w w:val="99"/>
              </w:rPr>
              <w:t>1,840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ind w:left="1181"/>
              <w:spacing w:after="0"/>
              <w:rPr>
                <w:sz w:val="20"/>
                <w:szCs w:val="20"/>
                <w:color w:val="auto"/>
              </w:rPr>
            </w:pPr>
            <w:r>
              <w:rPr>
                <w:rFonts w:ascii="Arial" w:cs="Arial" w:eastAsia="Arial" w:hAnsi="Arial"/>
                <w:sz w:val="20"/>
                <w:szCs w:val="20"/>
                <w:color w:val="auto"/>
                <w:w w:val="99"/>
              </w:rPr>
              <w:t>90%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91%</w:t>
            </w:r>
          </w:p>
        </w:tc>
        <w:tc>
          <w:tcPr>
            <w:tcW w:w="0" w:type="dxa"/>
            <w:vAlign w:val="bottom"/>
          </w:tcPr>
          <w:p>
            <w:pPr>
              <w:spacing w:after="0"/>
              <w:rPr>
                <w:sz w:val="1"/>
                <w:szCs w:val="1"/>
                <w:color w:val="auto"/>
              </w:rPr>
            </w:pPr>
          </w:p>
        </w:tc>
      </w:tr>
      <w:tr>
        <w:trPr>
          <w:trHeight w:val="256"/>
        </w:trPr>
        <w:tc>
          <w:tcPr>
            <w:tcW w:w="534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center"/>
              <w:ind w:left="1181"/>
              <w:spacing w:after="0"/>
              <w:rPr>
                <w:sz w:val="20"/>
                <w:szCs w:val="20"/>
                <w:color w:val="auto"/>
              </w:rPr>
            </w:pPr>
            <w:r>
              <w:rPr>
                <w:rFonts w:ascii="Arial" w:cs="Arial" w:eastAsia="Arial" w:hAnsi="Arial"/>
                <w:sz w:val="20"/>
                <w:szCs w:val="20"/>
                <w:color w:val="auto"/>
                <w:w w:val="98"/>
              </w:rPr>
              <w:t>&lt;1%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Charges related to REGEN-COV</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ind w:left="1181"/>
              <w:spacing w:after="0"/>
              <w:rPr>
                <w:sz w:val="20"/>
                <w:szCs w:val="20"/>
                <w:color w:val="auto"/>
              </w:rPr>
            </w:pPr>
            <w:r>
              <w:rPr>
                <w:rFonts w:ascii="Arial" w:cs="Arial" w:eastAsia="Arial" w:hAnsi="Arial"/>
                <w:sz w:val="20"/>
                <w:szCs w:val="20"/>
                <w:color w:val="auto"/>
                <w:w w:val="98"/>
              </w:rPr>
              <w:t>&lt;1%</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Amortization of intangible assets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left="1181"/>
              <w:spacing w:after="0"/>
              <w:rPr>
                <w:sz w:val="20"/>
                <w:szCs w:val="20"/>
                <w:color w:val="auto"/>
              </w:rPr>
            </w:pPr>
            <w:r>
              <w:rPr>
                <w:rFonts w:ascii="Arial" w:cs="Arial" w:eastAsia="Arial" w:hAnsi="Arial"/>
                <w:sz w:val="20"/>
                <w:szCs w:val="20"/>
                <w:color w:val="auto"/>
                <w:w w:val="98"/>
              </w:rPr>
              <w:t>&lt;1%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color w:val="auto"/>
                <w:w w:val="98"/>
              </w:rPr>
              <w:t>&lt;1%</w:t>
            </w: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w w:val="99"/>
              </w:rPr>
              <w:t>92%</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93%</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ind w:left="1181"/>
              <w:spacing w:after="0"/>
              <w:rPr>
                <w:sz w:val="20"/>
                <w:szCs w:val="20"/>
                <w:color w:val="auto"/>
              </w:rPr>
            </w:pPr>
            <w:r>
              <w:rPr>
                <w:rFonts w:ascii="Arial" w:cs="Arial" w:eastAsia="Arial" w:hAnsi="Arial"/>
                <w:sz w:val="20"/>
                <w:szCs w:val="20"/>
                <w:color w:val="auto"/>
                <w:w w:val="99"/>
              </w:rPr>
              <w:t>12%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center"/>
              <w:ind w:left="901"/>
              <w:spacing w:after="0"/>
              <w:rPr>
                <w:sz w:val="20"/>
                <w:szCs w:val="20"/>
                <w:color w:val="auto"/>
              </w:rPr>
            </w:pPr>
            <w:r>
              <w:rPr>
                <w:rFonts w:ascii="Arial" w:cs="Arial" w:eastAsia="Arial" w:hAnsi="Arial"/>
                <w:sz w:val="20"/>
                <w:szCs w:val="20"/>
                <w:color w:val="auto"/>
                <w:w w:val="99"/>
              </w:rPr>
              <w:t>13%</w:t>
            </w:r>
          </w:p>
        </w:tc>
        <w:tc>
          <w:tcPr>
            <w:tcW w:w="0" w:type="dxa"/>
            <w:vAlign w:val="bottom"/>
          </w:tcPr>
          <w:p>
            <w:pPr>
              <w:spacing w:after="0"/>
              <w:rPr>
                <w:sz w:val="1"/>
                <w:szCs w:val="1"/>
                <w:color w:val="auto"/>
              </w:rPr>
            </w:pPr>
          </w:p>
        </w:tc>
      </w:tr>
      <w:tr>
        <w:trPr>
          <w:trHeight w:val="189"/>
        </w:trPr>
        <w:tc>
          <w:tcPr>
            <w:tcW w:w="534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tcPr>
          <w:p>
            <w:pPr>
              <w:spacing w:after="0"/>
              <w:rPr>
                <w:sz w:val="16"/>
                <w:szCs w:val="16"/>
                <w:color w:val="auto"/>
              </w:rPr>
            </w:pPr>
          </w:p>
        </w:tc>
        <w:tc>
          <w:tcPr>
            <w:tcW w:w="192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center"/>
              <w:ind w:left="1181"/>
              <w:spacing w:after="0"/>
              <w:rPr>
                <w:sz w:val="20"/>
                <w:szCs w:val="20"/>
                <w:color w:val="auto"/>
              </w:rPr>
            </w:pPr>
            <w:r>
              <w:rPr>
                <w:rFonts w:ascii="Arial" w:cs="Arial" w:eastAsia="Arial" w:hAnsi="Arial"/>
                <w:sz w:val="20"/>
                <w:szCs w:val="20"/>
                <w:color w:val="auto"/>
                <w:w w:val="99"/>
              </w:rPr>
              <w:t>13%</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center"/>
              <w:ind w:left="901"/>
              <w:spacing w:after="0"/>
              <w:rPr>
                <w:sz w:val="20"/>
                <w:szCs w:val="20"/>
                <w:color w:val="auto"/>
              </w:rPr>
            </w:pPr>
            <w:r>
              <w:rPr>
                <w:rFonts w:ascii="Arial" w:cs="Arial" w:eastAsia="Arial" w:hAnsi="Arial"/>
                <w:sz w:val="20"/>
                <w:szCs w:val="20"/>
                <w:color w:val="auto"/>
                <w:w w:val="9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00"/>
          </w:cols>
          <w:pgMar w:left="320" w:top="1045" w:right="1079" w:bottom="1440" w:gutter="0" w:footer="0" w:header="0"/>
        </w:sectPr>
      </w:pPr>
    </w:p>
    <w:bookmarkStart w:id="9" w:name="page10"/>
    <w:bookmarkEnd w:id="9"/>
    <w:p>
      <w:pPr>
        <w:ind w:left="394" w:right="80" w:hanging="394"/>
        <w:spacing w:after="0" w:line="216"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REGEN-COV and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171" w:lineRule="exact"/>
        <w:rPr>
          <w:rFonts w:ascii="Arial" w:cs="Arial" w:eastAsia="Arial" w:hAnsi="Arial"/>
          <w:sz w:val="16"/>
          <w:szCs w:val="16"/>
          <w:color w:val="auto"/>
        </w:rPr>
      </w:pPr>
    </w:p>
    <w:p>
      <w:pPr>
        <w:ind w:left="394" w:right="16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 or integration-related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72" w:lineRule="exact"/>
        <w:rPr>
          <w:rFonts w:ascii="Arial" w:cs="Arial" w:eastAsia="Arial" w:hAnsi="Arial"/>
          <w:sz w:val="16"/>
          <w:szCs w:val="16"/>
          <w:color w:val="auto"/>
        </w:rPr>
      </w:pPr>
    </w:p>
    <w:p>
      <w:pPr>
        <w:ind w:left="394" w:right="260" w:hanging="394"/>
        <w:spacing w:after="0" w:line="227"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The casirivimab and imdevimab antibody cocktail is known as REGEN-COV in the United States and Ronapreve in other countries. The Company records net product sales of REGEN-COV in the United States and Roche records net product sales of Ronapreve outside the United States.</w:t>
      </w:r>
    </w:p>
    <w:p>
      <w:pPr>
        <w:spacing w:after="0" w:line="49" w:lineRule="exact"/>
        <w:rPr>
          <w:rFonts w:ascii="Arial" w:cs="Arial" w:eastAsia="Arial" w:hAnsi="Arial"/>
          <w:sz w:val="16"/>
          <w:szCs w:val="16"/>
          <w:color w:val="auto"/>
        </w:rPr>
      </w:pPr>
    </w:p>
    <w:p>
      <w:pPr>
        <w:ind w:left="394" w:right="280" w:hanging="394"/>
        <w:spacing w:after="0" w:line="223"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These estimates are revised, if necessary, in subsequent periods if the Company's actual share of the profits or losses differ from those estimates.</w:t>
      </w:r>
    </w:p>
    <w:p>
      <w:pPr>
        <w:spacing w:after="0" w:line="49" w:lineRule="exact"/>
        <w:rPr>
          <w:rFonts w:ascii="Arial" w:cs="Arial" w:eastAsia="Arial" w:hAnsi="Arial"/>
          <w:sz w:val="16"/>
          <w:szCs w:val="16"/>
          <w:color w:val="auto"/>
        </w:rPr>
      </w:pPr>
    </w:p>
    <w:p>
      <w:pPr>
        <w:ind w:left="394" w:right="840" w:hanging="394"/>
        <w:spacing w:after="0" w:line="234"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The Company's 2022 financial guidance does not assume the completion of any significant business development transactions not completed as of the date of this press release.</w:t>
      </w:r>
    </w:p>
    <w:p>
      <w:pPr>
        <w:spacing w:after="0" w:line="51" w:lineRule="exact"/>
        <w:rPr>
          <w:rFonts w:ascii="Arial" w:cs="Arial" w:eastAsia="Arial" w:hAnsi="Arial"/>
          <w:sz w:val="16"/>
          <w:szCs w:val="16"/>
          <w:color w:val="auto"/>
        </w:rPr>
      </w:pPr>
    </w:p>
    <w:p>
      <w:pPr>
        <w:ind w:left="394" w:hanging="394"/>
        <w:spacing w:after="0" w:line="234"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51" w:lineRule="exact"/>
        <w:rPr>
          <w:rFonts w:ascii="Arial" w:cs="Arial" w:eastAsia="Arial" w:hAnsi="Arial"/>
          <w:sz w:val="16"/>
          <w:szCs w:val="16"/>
          <w:color w:val="auto"/>
        </w:rPr>
      </w:pPr>
    </w:p>
    <w:p>
      <w:pPr>
        <w:ind w:left="394" w:right="140" w:hanging="394"/>
        <w:spacing w:after="0" w:line="234"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94"/>
          </w:cols>
          <w:pgMar w:left="346" w:top="1090"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second quarter 2022 financial and operating results on Wednesday, August 3, 2022,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nearly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113" w:lineRule="exact"/>
        <w:rPr>
          <w:sz w:val="20"/>
          <w:szCs w:val="20"/>
          <w:color w:val="auto"/>
        </w:rPr>
      </w:pPr>
    </w:p>
    <w:p>
      <w:pPr>
        <w:ind w:right="320"/>
        <w:spacing w:after="0" w:line="25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24" w:lineRule="exact"/>
        <w:rPr>
          <w:sz w:val="20"/>
          <w:szCs w:val="20"/>
          <w:color w:val="auto"/>
        </w:rPr>
      </w:pPr>
    </w:p>
    <w:p>
      <w:pPr>
        <w:ind w:right="52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Twitter.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fasinumab, REGEN-COV</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(casirivimab and imdevimab), aflibercept 8 mg, pozelimab, odronextamab, itepekimab, fianlimab, REGN5458, REGN5713-5714-5715, REGN1908-1909,</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043" w:right="419" w:bottom="1440" w:gutter="0" w:footer="0" w:header="0"/>
        </w:sectPr>
      </w:pPr>
    </w:p>
    <w:bookmarkStart w:id="11" w:name="page12"/>
    <w:bookmarkEnd w:id="11"/>
    <w:p>
      <w:pPr>
        <w:spacing w:after="0" w:line="241" w:lineRule="auto"/>
        <w:rPr>
          <w:sz w:val="20"/>
          <w:szCs w:val="20"/>
          <w:color w:val="auto"/>
        </w:rPr>
      </w:pPr>
      <w:r>
        <w:rPr>
          <w:rFonts w:ascii="Arial" w:cs="Arial" w:eastAsia="Arial" w:hAnsi="Arial"/>
          <w:sz w:val="21"/>
          <w:szCs w:val="21"/>
          <w:color w:val="auto"/>
        </w:rPr>
        <w:t>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ETR; the potential for any license or collaboration agreement, including Regeneron's agreements with Sanofi, Bayer, and Teva Pharmaceutical Industries Ltd.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2021 and its Form 10-Q for the quarterly period ended June 30, 2022.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financial projection or guidance, whether as a result of new information, future events, or otherwise.</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83"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8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883"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1</w:t>
      </w:r>
    </w:p>
    <w:p>
      <w:pPr>
        <w:spacing w:after="0" w:line="248" w:lineRule="exact"/>
        <w:rPr>
          <w:sz w:val="20"/>
          <w:szCs w:val="20"/>
          <w:color w:val="auto"/>
        </w:rPr>
      </w:pPr>
    </w:p>
    <w:p>
      <w:pPr>
        <w:jc w:val="center"/>
        <w:ind w:left="1200" w:right="21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BALANCE SHEETS (Unaudited) </w:t>
      </w:r>
      <w:r>
        <w:rPr>
          <w:rFonts w:ascii="Times New Roman" w:cs="Times New Roman" w:eastAsia="Times New Roman" w:hAnsi="Times New Roman"/>
          <w:sz w:val="18"/>
          <w:szCs w:val="18"/>
          <w:b w:val="1"/>
          <w:bCs w:val="1"/>
          <w:i w:val="1"/>
          <w:iCs w:val="1"/>
          <w:color w:val="auto"/>
        </w:rPr>
        <w:t>(In millions)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0" w:type="dxa"/>
            <w:vAlign w:val="bottom"/>
          </w:tcPr>
          <w:p>
            <w:pPr>
              <w:spacing w:after="0"/>
              <w:rPr>
                <w:sz w:val="1"/>
                <w:szCs w:val="1"/>
                <w:color w:val="auto"/>
              </w:rPr>
            </w:pP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30"/>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25,434.8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0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4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891" w:right="1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TABLE 2</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7"/>
        </w:trPr>
        <w:tc>
          <w:tcPr>
            <w:tcW w:w="3820" w:type="dxa"/>
            <w:vAlign w:val="bottom"/>
          </w:tcPr>
          <w:p>
            <w:pPr>
              <w:spacing w:after="0"/>
              <w:rPr>
                <w:sz w:val="24"/>
                <w:szCs w:val="24"/>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860" w:type="dxa"/>
            <w:vAlign w:val="bottom"/>
            <w:gridSpan w:val="8"/>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3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38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w:t>
            </w: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7,667.2</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9"/>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3"/>
        </w:trPr>
        <w:tc>
          <w:tcPr>
            <w:tcW w:w="38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3,207.3</w:t>
            </w:r>
          </w:p>
        </w:tc>
      </w:tr>
      <w:tr>
        <w:trPr>
          <w:trHeight w:val="250"/>
        </w:trPr>
        <w:tc>
          <w:tcPr>
            <w:tcW w:w="38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38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r>
      <w:tr>
        <w:trPr>
          <w:trHeight w:val="270"/>
        </w:trPr>
        <w:tc>
          <w:tcPr>
            <w:tcW w:w="38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w:t>
            </w:r>
          </w:p>
        </w:tc>
      </w:tr>
      <w:tr>
        <w:trPr>
          <w:trHeight w:val="250"/>
        </w:trPr>
        <w:tc>
          <w:tcPr>
            <w:tcW w:w="38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70"/>
        </w:trPr>
        <w:tc>
          <w:tcPr>
            <w:tcW w:w="38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7"/>
        </w:trPr>
        <w:tc>
          <w:tcPr>
            <w:tcW w:w="60" w:type="dxa"/>
            <w:vAlign w:val="bottom"/>
          </w:tcPr>
          <w:p>
            <w:pPr>
              <w:spacing w:after="0"/>
              <w:rPr>
                <w:sz w:val="24"/>
                <w:szCs w:val="24"/>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60" w:type="dxa"/>
            <w:vAlign w:val="bottom"/>
            <w:gridSpan w:val="8"/>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INFORMATION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7560" w:type="dxa"/>
            <w:vAlign w:val="bottom"/>
            <w:gridSpan w:val="4"/>
          </w:tcPr>
          <w:p>
            <w:pPr>
              <w:jc w:val="center"/>
              <w:ind w:left="3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198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60" w:type="dxa"/>
            <w:vAlign w:val="bottom"/>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R&amp;D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R&amp;D: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R&amp;D: Acquisition-related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R&amp;D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SG&amp;A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SG&amp;A: Stock-based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Acquisition-related integration costs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 w:type="dxa"/>
            <w:vAlign w:val="bottom"/>
          </w:tcPr>
          <w:p>
            <w:pPr>
              <w:spacing w:after="0"/>
              <w:rPr>
                <w:sz w:val="21"/>
                <w:szCs w:val="21"/>
                <w:color w:val="auto"/>
              </w:rPr>
            </w:pPr>
          </w:p>
        </w:tc>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SG&amp;A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COGS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r>
      <w:tr>
        <w:trPr>
          <w:trHeight w:val="229"/>
        </w:trPr>
        <w:tc>
          <w:tcPr>
            <w:tcW w:w="60" w:type="dxa"/>
            <w:vAlign w:val="bottom"/>
          </w:tcPr>
          <w:p>
            <w:pPr>
              <w:spacing w:after="0"/>
              <w:rPr>
                <w:sz w:val="19"/>
                <w:szCs w:val="19"/>
                <w:color w:val="auto"/>
              </w:rPr>
            </w:pPr>
          </w:p>
        </w:tc>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COGS: Stock-based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COGS: Charges related to REGEN-COV</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other income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43"/>
        </w:trPr>
        <w:tc>
          <w:tcPr>
            <w:tcW w:w="60" w:type="dxa"/>
            <w:vAlign w:val="bottom"/>
          </w:tcPr>
          <w:p>
            <w:pPr>
              <w:spacing w:after="0"/>
              <w:rPr>
                <w:sz w:val="21"/>
                <w:szCs w:val="21"/>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income/expense: Losses (gains) on investments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23"/>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other income (expense),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6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29"/>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4,214.1</w:t>
            </w:r>
          </w:p>
        </w:tc>
      </w:tr>
      <w:tr>
        <w:trPr>
          <w:trHeight w:val="230"/>
        </w:trPr>
        <w:tc>
          <w:tcPr>
            <w:tcW w:w="6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of GAAP to non-GAAP reconciling items above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30"/>
        </w:trPr>
        <w:tc>
          <w:tcPr>
            <w:tcW w:w="60" w:type="dxa"/>
            <w:vAlign w:val="bottom"/>
          </w:tcPr>
          <w:p>
            <w:pPr>
              <w:spacing w:after="0"/>
              <w:rPr>
                <w:sz w:val="19"/>
                <w:szCs w:val="19"/>
                <w:color w:val="auto"/>
              </w:rPr>
            </w:pPr>
          </w:p>
        </w:tc>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8"/>
        </w:trPr>
        <w:tc>
          <w:tcPr>
            <w:tcW w:w="6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4,004.2</w:t>
            </w:r>
          </w:p>
        </w:tc>
      </w:tr>
      <w:tr>
        <w:trPr>
          <w:trHeight w:val="20"/>
        </w:trPr>
        <w:tc>
          <w:tcPr>
            <w:tcW w:w="6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30"/>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162"/>
        </w:trPr>
        <w:tc>
          <w:tcPr>
            <w:tcW w:w="60" w:type="dxa"/>
            <w:vAlign w:val="bottom"/>
          </w:tcPr>
          <w:p>
            <w:pPr>
              <w:spacing w:after="0"/>
              <w:rPr>
                <w:sz w:val="14"/>
                <w:szCs w:val="14"/>
                <w:color w:val="auto"/>
              </w:rPr>
            </w:pPr>
          </w:p>
        </w:tc>
        <w:tc>
          <w:tcPr>
            <w:tcW w:w="6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30"/>
        </w:trPr>
        <w:tc>
          <w:tcPr>
            <w:tcW w:w="6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4"/>
        </w:trPr>
        <w:tc>
          <w:tcPr>
            <w:tcW w:w="60" w:type="dxa"/>
            <w:vAlign w:val="bottom"/>
          </w:tcPr>
          <w:p>
            <w:pPr>
              <w:spacing w:after="0"/>
              <w:rPr>
                <w:sz w:val="20"/>
                <w:szCs w:val="20"/>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891"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10000" w:type="dxa"/>
            <w:vAlign w:val="bottom"/>
            <w:gridSpan w:val="9"/>
          </w:tcPr>
          <w:p>
            <w:pPr>
              <w:ind w:left="1580"/>
              <w:spacing w:after="0"/>
              <w:rPr>
                <w:sz w:val="20"/>
                <w:szCs w:val="20"/>
                <w:color w:val="auto"/>
              </w:rPr>
            </w:pPr>
            <w:r>
              <w:rPr>
                <w:rFonts w:ascii="Times New Roman" w:cs="Times New Roman" w:eastAsia="Times New Roman" w:hAnsi="Times New Roman"/>
                <w:sz w:val="18"/>
                <w:szCs w:val="18"/>
                <w:b w:val="1"/>
                <w:bCs w:val="1"/>
                <w:color w:val="auto"/>
              </w:rPr>
              <w:t xml:space="preserve">RECONCILIATION OF GAAP TO NON-GAAP FINANCIAL INFORMATION (Unaudited) </w:t>
            </w: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0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5,822.3</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REGEN-COV net product sales in the United States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excluding REGEN-COV and Ronapreve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ETR</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ETR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7"/>
        </w:trPr>
        <w:tc>
          <w:tcPr>
            <w:tcW w:w="7620" w:type="dxa"/>
            <w:vAlign w:val="bottom"/>
            <w:gridSpan w:val="4"/>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620" w:type="dxa"/>
            <w:vAlign w:val="bottom"/>
            <w:gridSpan w:val="4"/>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6380" w:type="dxa"/>
            <w:vAlign w:val="bottom"/>
          </w:tcPr>
          <w:p>
            <w:pPr>
              <w:jc w:val="center"/>
              <w:ind w:left="479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3"/>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5"/>
        </w:trPr>
        <w:tc>
          <w:tcPr>
            <w:tcW w:w="6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Sales-based milestone earned</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Immuno-oncology: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76"/>
        </w:trPr>
        <w:tc>
          <w:tcPr>
            <w:tcW w:w="63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Regeneron's share of profits (losses) in connection with commercialization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6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Libtayo outside the United States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6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29"/>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for manufacturing of ex-U.S. commercial supplies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One-time payment in connection with change in Japan arrangement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gross profit payment from Roche in connection with sales of Ronapreve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30"/>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1,709.1</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5</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0" w:type="dxa"/>
            <w:vAlign w:val="bottom"/>
            <w:gridSpan w:val="2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 PRODUCTS (Unaudited)</w:t>
            </w:r>
          </w:p>
        </w:tc>
        <w:tc>
          <w:tcPr>
            <w:tcW w:w="146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44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ROW</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ROW</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40" w:type="dxa"/>
            <w:vAlign w:val="bottom"/>
          </w:tcPr>
          <w:p>
            <w:pPr>
              <w:spacing w:after="0"/>
              <w:rPr>
                <w:sz w:val="19"/>
                <w:szCs w:val="19"/>
                <w:color w:val="auto"/>
              </w:rPr>
            </w:pPr>
          </w:p>
        </w:tc>
        <w:tc>
          <w:tcPr>
            <w:tcW w:w="17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7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4,440.5</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40" w:type="dxa"/>
            <w:vAlign w:val="bottom"/>
          </w:tcPr>
          <w:p>
            <w:pPr>
              <w:spacing w:after="0"/>
              <w:rPr>
                <w:sz w:val="19"/>
                <w:szCs w:val="19"/>
                <w:color w:val="auto"/>
              </w:rPr>
            </w:pPr>
          </w:p>
        </w:tc>
        <w:tc>
          <w:tcPr>
            <w:tcW w:w="1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40" w:type="dxa"/>
            <w:vAlign w:val="bottom"/>
          </w:tcPr>
          <w:p>
            <w:pPr>
              <w:spacing w:after="0"/>
              <w:rPr>
                <w:sz w:val="19"/>
                <w:szCs w:val="19"/>
                <w:color w:val="auto"/>
              </w:rPr>
            </w:pPr>
          </w:p>
        </w:tc>
        <w:tc>
          <w:tcPr>
            <w:tcW w:w="1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54" w:lineRule="exact"/>
        <w:rPr>
          <w:sz w:val="20"/>
          <w:szCs w:val="20"/>
          <w:color w:val="auto"/>
        </w:rPr>
      </w:pPr>
    </w:p>
    <w:p>
      <w:pPr>
        <w:jc w:val="both"/>
        <w:ind w:left="260" w:right="120" w:firstLine="2"/>
        <w:spacing w:after="0" w:line="201" w:lineRule="auto"/>
        <w:tabs>
          <w:tab w:leader="none" w:pos="34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January 1, 2022, the Company and Bayer commenced sharing equally in profits and losses based on sales from Bayer to its distributor in Japan. Previously, the Company received from Bayer a tiered percentage of sales based on sales by Bayer's distributor in Japan. Consequently, the prior year net product sales amount has been revised for comparability purposes.</w:t>
      </w:r>
    </w:p>
    <w:p>
      <w:pPr>
        <w:spacing w:after="0" w:line="10" w:lineRule="exact"/>
        <w:rPr>
          <w:sz w:val="20"/>
          <w:szCs w:val="20"/>
          <w:color w:val="auto"/>
        </w:rPr>
      </w:pPr>
    </w:p>
    <w:p>
      <w:pPr>
        <w:ind w:left="260" w:right="140" w:firstLine="2"/>
        <w:spacing w:after="0" w:line="204" w:lineRule="auto"/>
        <w:tabs>
          <w:tab w:leader="none" w:pos="43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6" w:lineRule="exact"/>
        <w:rPr>
          <w:rFonts w:ascii="Times New Roman" w:cs="Times New Roman" w:eastAsia="Times New Roman" w:hAnsi="Times New Roman"/>
          <w:sz w:val="22"/>
          <w:szCs w:val="22"/>
          <w:color w:val="auto"/>
          <w:vertAlign w:val="superscript"/>
        </w:rPr>
      </w:pPr>
    </w:p>
    <w:p>
      <w:pPr>
        <w:ind w:left="260" w:right="280" w:firstLine="2"/>
        <w:spacing w:after="0" w:line="204" w:lineRule="auto"/>
        <w:tabs>
          <w:tab w:leader="none" w:pos="437"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records global net product sales of Dupixent and Kevzara. The Company records its share of profits/losses in connection with global sales of Dupixent and Kevzara.</w:t>
      </w:r>
    </w:p>
    <w:p>
      <w:pPr>
        <w:spacing w:after="0" w:line="6" w:lineRule="exact"/>
        <w:rPr>
          <w:rFonts w:ascii="Times New Roman" w:cs="Times New Roman" w:eastAsia="Times New Roman" w:hAnsi="Times New Roman"/>
          <w:sz w:val="22"/>
          <w:szCs w:val="22"/>
          <w:color w:val="auto"/>
          <w:vertAlign w:val="superscript"/>
        </w:rPr>
      </w:pPr>
    </w:p>
    <w:p>
      <w:pPr>
        <w:ind w:left="260" w:right="160" w:firstLine="2"/>
        <w:spacing w:after="0" w:line="206" w:lineRule="auto"/>
        <w:tabs>
          <w:tab w:leader="none" w:pos="43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will record global net product sales of Libtayo and pay Sanofi a royalty on such sales.</w:t>
      </w:r>
    </w:p>
    <w:p>
      <w:pPr>
        <w:spacing w:after="0" w:line="7" w:lineRule="exact"/>
        <w:rPr>
          <w:rFonts w:ascii="Times New Roman" w:cs="Times New Roman" w:eastAsia="Times New Roman" w:hAnsi="Times New Roman"/>
          <w:sz w:val="22"/>
          <w:szCs w:val="22"/>
          <w:color w:val="auto"/>
          <w:vertAlign w:val="superscript"/>
        </w:rPr>
      </w:pPr>
    </w:p>
    <w:p>
      <w:pPr>
        <w:ind w:left="260" w:right="160" w:firstLine="2"/>
        <w:spacing w:after="0" w:line="204" w:lineRule="auto"/>
        <w:tabs>
          <w:tab w:leader="none" w:pos="437"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Praluent in the United States. Sanofi records net product sales of Praluent outside the United States and pays the Company a royalty on such sales.</w:t>
      </w:r>
    </w:p>
    <w:p>
      <w:pPr>
        <w:spacing w:after="0" w:line="6" w:lineRule="exact"/>
        <w:rPr>
          <w:rFonts w:ascii="Times New Roman" w:cs="Times New Roman" w:eastAsia="Times New Roman" w:hAnsi="Times New Roman"/>
          <w:sz w:val="22"/>
          <w:szCs w:val="22"/>
          <w:color w:val="auto"/>
          <w:vertAlign w:val="superscript"/>
        </w:rPr>
      </w:pPr>
    </w:p>
    <w:p>
      <w:pPr>
        <w:ind w:left="260" w:right="200" w:firstLine="2"/>
        <w:spacing w:after="0" w:line="204" w:lineRule="auto"/>
        <w:tabs>
          <w:tab w:leader="none" w:pos="43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w:t>
      </w:r>
    </w:p>
    <w:p>
      <w:pPr>
        <w:spacing w:after="0" w:line="6" w:lineRule="exact"/>
        <w:rPr>
          <w:rFonts w:ascii="Times New Roman" w:cs="Times New Roman" w:eastAsia="Times New Roman" w:hAnsi="Times New Roman"/>
          <w:sz w:val="22"/>
          <w:szCs w:val="22"/>
          <w:color w:val="auto"/>
          <w:vertAlign w:val="superscript"/>
        </w:rPr>
      </w:pPr>
    </w:p>
    <w:p>
      <w:pPr>
        <w:jc w:val="both"/>
        <w:ind w:left="260" w:right="120" w:firstLine="2"/>
        <w:spacing w:after="0" w:line="202" w:lineRule="auto"/>
        <w:tabs>
          <w:tab w:leader="none" w:pos="417"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Financial Results section above for a complete listing of net product sales recorded by the Company. In addition, not included in this line item are net product sales of ARCALYST subsequent to the first quarter of 2021, which are recorded by Kiniksa; net product sales of ARCALYST were $22.2 million for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2022-08-03T06:10:20Z</dcterms:created>
  <dcterms:modified xsi:type="dcterms:W3CDTF">2022-08-03T06:10:20Z</dcterms:modified>
</cp:coreProperties>
</file>