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w:t>
      </w:r>
      <w:r>
        <w:rPr>
          <w:rFonts w:ascii="Arial" w:cs="Arial" w:eastAsia="Arial" w:hAnsi="Arial"/>
          <w:sz w:val="18"/>
          <w:szCs w:val="18"/>
          <w:b w:val="1"/>
          <w:bCs w:val="1"/>
          <w:color w:val="auto"/>
        </w:rPr>
        <w:t>September 13,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140" w:firstLine="230"/>
        <w:spacing w:after="0" w:line="259" w:lineRule="auto"/>
        <w:rPr>
          <w:sz w:val="20"/>
          <w:szCs w:val="20"/>
          <w:color w:val="auto"/>
        </w:rPr>
      </w:pPr>
      <w:r>
        <w:rPr>
          <w:rFonts w:ascii="Arial" w:cs="Arial" w:eastAsia="Arial" w:hAnsi="Arial"/>
          <w:sz w:val="18"/>
          <w:szCs w:val="18"/>
          <w:color w:val="auto"/>
        </w:rPr>
        <w:t>This amendment is being filed to amend the Current Report on Form 8-K filed by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on June 14, 2017 (the “</w:t>
      </w:r>
      <w:r>
        <w:rPr>
          <w:rFonts w:ascii="Arial" w:cs="Arial" w:eastAsia="Arial" w:hAnsi="Arial"/>
          <w:sz w:val="18"/>
          <w:szCs w:val="18"/>
          <w:u w:val="single" w:color="auto"/>
          <w:color w:val="auto"/>
        </w:rPr>
        <w:t>Original Report</w:t>
      </w:r>
      <w:r>
        <w:rPr>
          <w:rFonts w:ascii="Arial" w:cs="Arial" w:eastAsia="Arial" w:hAnsi="Arial"/>
          <w:sz w:val="18"/>
          <w:szCs w:val="18"/>
          <w:color w:val="auto"/>
        </w:rPr>
        <w:t>”). The sole purpose of this amendment is to disclose, as required by regulations of the Securities and Exchange Commission, Regeneron’s decision regarding the frequency of future advisory shareholder votes on executive compensation. No changes have been made to the Original Report.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4"/>
          <w:szCs w:val="24"/>
          <w:color w:val="auto"/>
        </w:rPr>
      </w:pPr>
    </w:p>
    <w:p>
      <w:pPr>
        <w:ind w:right="100" w:firstLine="324"/>
        <w:spacing w:after="0" w:line="267" w:lineRule="auto"/>
        <w:rPr>
          <w:sz w:val="20"/>
          <w:szCs w:val="20"/>
          <w:color w:val="auto"/>
        </w:rPr>
      </w:pPr>
      <w:r>
        <w:rPr>
          <w:rFonts w:ascii="Arial" w:cs="Arial" w:eastAsia="Arial" w:hAnsi="Arial"/>
          <w:sz w:val="18"/>
          <w:szCs w:val="18"/>
          <w:color w:val="auto"/>
        </w:rPr>
        <w:t xml:space="preserve">At the </w:t>
      </w:r>
      <w:r>
        <w:rPr>
          <w:rFonts w:ascii="Arial" w:cs="Arial" w:eastAsia="Arial" w:hAnsi="Arial"/>
          <w:sz w:val="17"/>
          <w:szCs w:val="17"/>
          <w:color w:val="auto"/>
        </w:rPr>
        <w:t>2017 Annual Meeting of Shareholders of the Company held on June 9, 2017, Regeneron’s shareholders voted, among other matters, on a proposal on</w:t>
      </w:r>
      <w:r>
        <w:rPr>
          <w:rFonts w:ascii="Arial" w:cs="Arial" w:eastAsia="Arial" w:hAnsi="Arial"/>
          <w:sz w:val="18"/>
          <w:szCs w:val="18"/>
          <w:color w:val="auto"/>
        </w:rPr>
        <w:t xml:space="preserve"> </w:t>
      </w:r>
      <w:r>
        <w:rPr>
          <w:rFonts w:ascii="Arial" w:cs="Arial" w:eastAsia="Arial" w:hAnsi="Arial"/>
          <w:sz w:val="17"/>
          <w:szCs w:val="17"/>
          <w:color w:val="auto"/>
        </w:rPr>
        <w:t>the frequency of future advisory shareholder votes on executive compensation. As reported by the Company in the Original Report, a frequency of every three years received a majority of the votes cast on the proposal. Based on these results and the recommendation of the Compensation Committee and the Corporate Governance and Compliance Committee, Regeneron’s Board of Directors determined that future advisory shareholder votes on executive compensation continue to be held once every three years.</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75" w:orient="portrait"/>
          <w:cols w:equalWidth="0" w:num="1">
            <w:col w:w="11420"/>
          </w:cols>
          <w:pgMar w:left="240" w:top="544" w:right="239" w:bottom="0" w:gutter="0" w:footer="0" w:header="0"/>
        </w:sectPr>
      </w:pPr>
    </w:p>
    <w:bookmarkStart w:id="1" w:name="page2"/>
    <w:bookmarkEnd w:id="1"/>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2017</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5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2019-12-05T18:44:57Z</dcterms:created>
  <dcterms:modified xsi:type="dcterms:W3CDTF">2019-12-05T18:44:57Z</dcterms:modified>
</cp:coreProperties>
</file>