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spacing w:after="0" w:line="207"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AS FILED WITH THE SECURITIES AND EXCHANGE COMMISSION ON MARCH 2, 2001</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620"/>
        <w:spacing w:after="0"/>
        <w:rPr>
          <w:sz w:val="20"/>
          <w:szCs w:val="20"/>
          <w:color w:val="auto"/>
        </w:rPr>
      </w:pPr>
      <w:r>
        <w:rPr>
          <w:rFonts w:ascii="Courier New" w:cs="Courier New" w:eastAsia="Courier New" w:hAnsi="Courier New"/>
          <w:sz w:val="17"/>
          <w:szCs w:val="17"/>
          <w:color w:val="auto"/>
        </w:rPr>
        <w:t>REGISTRATION NO. 333-54326</w:t>
      </w:r>
    </w:p>
    <w:p>
      <w:pPr>
        <w:spacing w:after="0" w:line="207" w:lineRule="exact"/>
        <w:rPr>
          <w:sz w:val="24"/>
          <w:szCs w:val="24"/>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2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AND EXCHANGE COMMISSION</w:t>
      </w:r>
    </w:p>
    <w:p>
      <w:pPr>
        <w:spacing w:after="0" w:line="7" w:lineRule="exact"/>
        <w:rPr>
          <w:rFonts w:ascii="Courier New" w:cs="Courier New" w:eastAsia="Courier New" w:hAnsi="Courier New"/>
          <w:sz w:val="17"/>
          <w:szCs w:val="17"/>
          <w:color w:val="auto"/>
        </w:rPr>
      </w:pPr>
    </w:p>
    <w:p>
      <w:pPr>
        <w:ind w:left="30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WASHINGTON, D.C. 20549</w:t>
      </w:r>
    </w:p>
    <w:p>
      <w:pPr>
        <w:spacing w:after="0" w:line="207" w:lineRule="exact"/>
        <w:rPr>
          <w:sz w:val="24"/>
          <w:szCs w:val="24"/>
          <w:color w:val="auto"/>
        </w:rPr>
      </w:pPr>
    </w:p>
    <w:tbl>
      <w:tblPr>
        <w:tblLayout w:type="fixed"/>
        <w:tblInd w:w="1360" w:type="dxa"/>
        <w:tblCellMar>
          <w:top w:w="0" w:type="dxa"/>
          <w:left w:w="0" w:type="dxa"/>
          <w:bottom w:w="0" w:type="dxa"/>
          <w:right w:w="0" w:type="dxa"/>
        </w:tblCellMar>
      </w:tblPr>
      <w:tr>
        <w:trPr>
          <w:trHeight w:val="194"/>
        </w:trPr>
        <w:tc>
          <w:tcPr>
            <w:tcW w:w="6280" w:type="dxa"/>
            <w:vAlign w:val="bottom"/>
          </w:tcPr>
          <w:p>
            <w:pPr>
              <w:jc w:val="center"/>
              <w:ind w:right="593"/>
              <w:spacing w:after="0"/>
              <w:rPr>
                <w:sz w:val="20"/>
                <w:szCs w:val="20"/>
                <w:color w:val="auto"/>
              </w:rPr>
            </w:pPr>
            <w:r>
              <w:rPr>
                <w:rFonts w:ascii="Courier New" w:cs="Courier New" w:eastAsia="Courier New" w:hAnsi="Courier New"/>
                <w:sz w:val="17"/>
                <w:szCs w:val="17"/>
                <w:color w:val="auto"/>
              </w:rPr>
              <w:t>------------------------</w:t>
            </w:r>
          </w:p>
        </w:tc>
        <w:tc>
          <w:tcPr>
            <w:tcW w:w="2660" w:type="dxa"/>
            <w:vAlign w:val="bottom"/>
          </w:tcPr>
          <w:p>
            <w:pPr>
              <w:spacing w:after="0"/>
              <w:rPr>
                <w:sz w:val="16"/>
                <w:szCs w:val="16"/>
                <w:color w:val="auto"/>
              </w:rPr>
            </w:pPr>
          </w:p>
        </w:tc>
      </w:tr>
      <w:tr>
        <w:trPr>
          <w:trHeight w:val="599"/>
        </w:trPr>
        <w:tc>
          <w:tcPr>
            <w:tcW w:w="6280" w:type="dxa"/>
            <w:vAlign w:val="bottom"/>
          </w:tcPr>
          <w:p>
            <w:pPr>
              <w:jc w:val="center"/>
              <w:ind w:right="693"/>
              <w:spacing w:after="0"/>
              <w:rPr>
                <w:sz w:val="20"/>
                <w:szCs w:val="20"/>
                <w:color w:val="auto"/>
              </w:rPr>
            </w:pPr>
            <w:r>
              <w:rPr>
                <w:rFonts w:ascii="Courier New" w:cs="Courier New" w:eastAsia="Courier New" w:hAnsi="Courier New"/>
                <w:sz w:val="17"/>
                <w:szCs w:val="17"/>
                <w:color w:val="auto"/>
              </w:rPr>
              <w:t>AMENDMENT NO. 1</w:t>
            </w:r>
          </w:p>
        </w:tc>
        <w:tc>
          <w:tcPr>
            <w:tcW w:w="2660" w:type="dxa"/>
            <w:vAlign w:val="bottom"/>
          </w:tcPr>
          <w:p>
            <w:pPr>
              <w:spacing w:after="0"/>
              <w:rPr>
                <w:sz w:val="24"/>
                <w:szCs w:val="24"/>
                <w:color w:val="auto"/>
              </w:rPr>
            </w:pPr>
          </w:p>
        </w:tc>
      </w:tr>
      <w:tr>
        <w:trPr>
          <w:trHeight w:val="599"/>
        </w:trPr>
        <w:tc>
          <w:tcPr>
            <w:tcW w:w="6280" w:type="dxa"/>
            <w:vAlign w:val="bottom"/>
          </w:tcPr>
          <w:p>
            <w:pPr>
              <w:jc w:val="center"/>
              <w:ind w:right="593"/>
              <w:spacing w:after="0"/>
              <w:rPr>
                <w:sz w:val="20"/>
                <w:szCs w:val="20"/>
                <w:color w:val="auto"/>
              </w:rPr>
            </w:pPr>
            <w:r>
              <w:rPr>
                <w:rFonts w:ascii="Courier New" w:cs="Courier New" w:eastAsia="Courier New" w:hAnsi="Courier New"/>
                <w:sz w:val="17"/>
                <w:szCs w:val="17"/>
                <w:color w:val="auto"/>
                <w:w w:val="97"/>
              </w:rPr>
              <w:t>TO</w:t>
            </w:r>
          </w:p>
        </w:tc>
        <w:tc>
          <w:tcPr>
            <w:tcW w:w="2660" w:type="dxa"/>
            <w:vAlign w:val="bottom"/>
          </w:tcPr>
          <w:p>
            <w:pPr>
              <w:spacing w:after="0"/>
              <w:rPr>
                <w:sz w:val="24"/>
                <w:szCs w:val="24"/>
                <w:color w:val="auto"/>
              </w:rPr>
            </w:pPr>
          </w:p>
        </w:tc>
      </w:tr>
      <w:tr>
        <w:trPr>
          <w:trHeight w:val="400"/>
        </w:trPr>
        <w:tc>
          <w:tcPr>
            <w:tcW w:w="6280" w:type="dxa"/>
            <w:vAlign w:val="bottom"/>
          </w:tcPr>
          <w:p>
            <w:pPr>
              <w:jc w:val="center"/>
              <w:ind w:right="593"/>
              <w:spacing w:after="0"/>
              <w:rPr>
                <w:sz w:val="20"/>
                <w:szCs w:val="20"/>
                <w:color w:val="auto"/>
              </w:rPr>
            </w:pPr>
            <w:r>
              <w:rPr>
                <w:rFonts w:ascii="Courier New" w:cs="Courier New" w:eastAsia="Courier New" w:hAnsi="Courier New"/>
                <w:sz w:val="17"/>
                <w:szCs w:val="17"/>
                <w:color w:val="auto"/>
              </w:rPr>
              <w:t>FORM S-3</w:t>
            </w:r>
          </w:p>
        </w:tc>
        <w:tc>
          <w:tcPr>
            <w:tcW w:w="2660" w:type="dxa"/>
            <w:vAlign w:val="bottom"/>
          </w:tcPr>
          <w:p>
            <w:pPr>
              <w:spacing w:after="0"/>
              <w:rPr>
                <w:sz w:val="24"/>
                <w:szCs w:val="24"/>
                <w:color w:val="auto"/>
              </w:rPr>
            </w:pPr>
          </w:p>
        </w:tc>
      </w:tr>
      <w:tr>
        <w:trPr>
          <w:trHeight w:val="200"/>
        </w:trPr>
        <w:tc>
          <w:tcPr>
            <w:tcW w:w="6280" w:type="dxa"/>
            <w:vAlign w:val="bottom"/>
          </w:tcPr>
          <w:p>
            <w:pPr>
              <w:jc w:val="center"/>
              <w:ind w:right="593"/>
              <w:spacing w:after="0"/>
              <w:rPr>
                <w:sz w:val="20"/>
                <w:szCs w:val="20"/>
                <w:color w:val="auto"/>
              </w:rPr>
            </w:pPr>
            <w:r>
              <w:rPr>
                <w:rFonts w:ascii="Courier New" w:cs="Courier New" w:eastAsia="Courier New" w:hAnsi="Courier New"/>
                <w:sz w:val="17"/>
                <w:szCs w:val="17"/>
                <w:color w:val="auto"/>
              </w:rPr>
              <w:t>REGISTRATION STATEMENT</w:t>
            </w:r>
          </w:p>
        </w:tc>
        <w:tc>
          <w:tcPr>
            <w:tcW w:w="2660" w:type="dxa"/>
            <w:vAlign w:val="bottom"/>
          </w:tcPr>
          <w:p>
            <w:pPr>
              <w:spacing w:after="0"/>
              <w:rPr>
                <w:sz w:val="17"/>
                <w:szCs w:val="17"/>
                <w:color w:val="auto"/>
              </w:rPr>
            </w:pPr>
          </w:p>
        </w:tc>
      </w:tr>
      <w:tr>
        <w:trPr>
          <w:trHeight w:val="200"/>
        </w:trPr>
        <w:tc>
          <w:tcPr>
            <w:tcW w:w="6280" w:type="dxa"/>
            <w:vAlign w:val="bottom"/>
          </w:tcPr>
          <w:p>
            <w:pPr>
              <w:jc w:val="center"/>
              <w:ind w:right="673"/>
              <w:spacing w:after="0"/>
              <w:rPr>
                <w:sz w:val="20"/>
                <w:szCs w:val="20"/>
                <w:color w:val="auto"/>
              </w:rPr>
            </w:pPr>
            <w:r>
              <w:rPr>
                <w:rFonts w:ascii="Courier New" w:cs="Courier New" w:eastAsia="Courier New" w:hAnsi="Courier New"/>
                <w:sz w:val="17"/>
                <w:szCs w:val="17"/>
                <w:color w:val="auto"/>
              </w:rPr>
              <w:t>UNDER</w:t>
            </w:r>
          </w:p>
        </w:tc>
        <w:tc>
          <w:tcPr>
            <w:tcW w:w="2660" w:type="dxa"/>
            <w:vAlign w:val="bottom"/>
          </w:tcPr>
          <w:p>
            <w:pPr>
              <w:spacing w:after="0"/>
              <w:rPr>
                <w:sz w:val="17"/>
                <w:szCs w:val="17"/>
                <w:color w:val="auto"/>
              </w:rPr>
            </w:pPr>
          </w:p>
        </w:tc>
      </w:tr>
      <w:tr>
        <w:trPr>
          <w:trHeight w:val="200"/>
        </w:trPr>
        <w:tc>
          <w:tcPr>
            <w:tcW w:w="6280" w:type="dxa"/>
            <w:vAlign w:val="bottom"/>
          </w:tcPr>
          <w:p>
            <w:pPr>
              <w:jc w:val="center"/>
              <w:ind w:right="573"/>
              <w:spacing w:after="0"/>
              <w:rPr>
                <w:sz w:val="20"/>
                <w:szCs w:val="20"/>
                <w:color w:val="auto"/>
              </w:rPr>
            </w:pPr>
            <w:r>
              <w:rPr>
                <w:rFonts w:ascii="Courier New" w:cs="Courier New" w:eastAsia="Courier New" w:hAnsi="Courier New"/>
                <w:sz w:val="17"/>
                <w:szCs w:val="17"/>
                <w:color w:val="auto"/>
              </w:rPr>
              <w:t>THE SECURITIES ACT OF 1933</w:t>
            </w:r>
          </w:p>
        </w:tc>
        <w:tc>
          <w:tcPr>
            <w:tcW w:w="2660" w:type="dxa"/>
            <w:vAlign w:val="bottom"/>
          </w:tcPr>
          <w:p>
            <w:pPr>
              <w:spacing w:after="0"/>
              <w:rPr>
                <w:sz w:val="17"/>
                <w:szCs w:val="17"/>
                <w:color w:val="auto"/>
              </w:rPr>
            </w:pPr>
          </w:p>
        </w:tc>
      </w:tr>
      <w:tr>
        <w:trPr>
          <w:trHeight w:val="400"/>
        </w:trPr>
        <w:tc>
          <w:tcPr>
            <w:tcW w:w="6280" w:type="dxa"/>
            <w:vAlign w:val="bottom"/>
          </w:tcPr>
          <w:p>
            <w:pPr>
              <w:jc w:val="center"/>
              <w:ind w:right="593"/>
              <w:spacing w:after="0"/>
              <w:rPr>
                <w:sz w:val="20"/>
                <w:szCs w:val="20"/>
                <w:color w:val="auto"/>
              </w:rPr>
            </w:pPr>
            <w:r>
              <w:rPr>
                <w:rFonts w:ascii="Courier New" w:cs="Courier New" w:eastAsia="Courier New" w:hAnsi="Courier New"/>
                <w:sz w:val="17"/>
                <w:szCs w:val="17"/>
                <w:color w:val="auto"/>
              </w:rPr>
              <w:t>------------------------</w:t>
            </w:r>
          </w:p>
        </w:tc>
        <w:tc>
          <w:tcPr>
            <w:tcW w:w="2660" w:type="dxa"/>
            <w:vAlign w:val="bottom"/>
          </w:tcPr>
          <w:p>
            <w:pPr>
              <w:spacing w:after="0"/>
              <w:rPr>
                <w:sz w:val="24"/>
                <w:szCs w:val="24"/>
                <w:color w:val="auto"/>
              </w:rPr>
            </w:pPr>
          </w:p>
        </w:tc>
      </w:tr>
      <w:tr>
        <w:trPr>
          <w:trHeight w:val="400"/>
        </w:trPr>
        <w:tc>
          <w:tcPr>
            <w:tcW w:w="6280" w:type="dxa"/>
            <w:vAlign w:val="bottom"/>
          </w:tcPr>
          <w:p>
            <w:pPr>
              <w:jc w:val="center"/>
              <w:ind w:right="693"/>
              <w:spacing w:after="0"/>
              <w:rPr>
                <w:sz w:val="20"/>
                <w:szCs w:val="20"/>
                <w:color w:val="auto"/>
              </w:rPr>
            </w:pPr>
            <w:r>
              <w:rPr>
                <w:rFonts w:ascii="Courier New" w:cs="Courier New" w:eastAsia="Courier New" w:hAnsi="Courier New"/>
                <w:sz w:val="17"/>
                <w:szCs w:val="17"/>
                <w:color w:val="auto"/>
              </w:rPr>
              <w:t>REGENERON PHARMACEUTICALS, INC.</w:t>
            </w:r>
          </w:p>
        </w:tc>
        <w:tc>
          <w:tcPr>
            <w:tcW w:w="2660" w:type="dxa"/>
            <w:vAlign w:val="bottom"/>
          </w:tcPr>
          <w:p>
            <w:pPr>
              <w:spacing w:after="0"/>
              <w:rPr>
                <w:sz w:val="24"/>
                <w:szCs w:val="24"/>
                <w:color w:val="auto"/>
              </w:rPr>
            </w:pPr>
          </w:p>
        </w:tc>
      </w:tr>
      <w:tr>
        <w:trPr>
          <w:trHeight w:val="200"/>
        </w:trPr>
        <w:tc>
          <w:tcPr>
            <w:tcW w:w="6280" w:type="dxa"/>
            <w:vAlign w:val="bottom"/>
          </w:tcPr>
          <w:p>
            <w:pPr>
              <w:jc w:val="center"/>
              <w:ind w:right="593"/>
              <w:spacing w:after="0"/>
              <w:rPr>
                <w:sz w:val="20"/>
                <w:szCs w:val="20"/>
                <w:color w:val="auto"/>
              </w:rPr>
            </w:pPr>
            <w:r>
              <w:rPr>
                <w:rFonts w:ascii="Courier New" w:cs="Courier New" w:eastAsia="Courier New" w:hAnsi="Courier New"/>
                <w:sz w:val="17"/>
                <w:szCs w:val="17"/>
                <w:color w:val="auto"/>
              </w:rPr>
              <w:t>(EXACT NAME OF REGISTRANT AS SPECIFIED IN ITS CHARTER)</w:t>
            </w:r>
          </w:p>
        </w:tc>
        <w:tc>
          <w:tcPr>
            <w:tcW w:w="2660" w:type="dxa"/>
            <w:vAlign w:val="bottom"/>
          </w:tcPr>
          <w:p>
            <w:pPr>
              <w:spacing w:after="0"/>
              <w:rPr>
                <w:sz w:val="17"/>
                <w:szCs w:val="17"/>
                <w:color w:val="auto"/>
              </w:rPr>
            </w:pPr>
          </w:p>
        </w:tc>
      </w:tr>
      <w:tr>
        <w:trPr>
          <w:trHeight w:val="799"/>
        </w:trPr>
        <w:tc>
          <w:tcPr>
            <w:tcW w:w="6280" w:type="dxa"/>
            <w:vAlign w:val="bottom"/>
          </w:tcPr>
          <w:p>
            <w:pPr>
              <w:ind w:left="1240"/>
              <w:spacing w:after="0"/>
              <w:rPr>
                <w:sz w:val="20"/>
                <w:szCs w:val="20"/>
                <w:color w:val="auto"/>
              </w:rPr>
            </w:pPr>
            <w:r>
              <w:rPr>
                <w:rFonts w:ascii="Courier New" w:cs="Courier New" w:eastAsia="Courier New" w:hAnsi="Courier New"/>
                <w:sz w:val="17"/>
                <w:szCs w:val="17"/>
                <w:color w:val="auto"/>
              </w:rPr>
              <w:t>NEW YORK</w:t>
            </w:r>
          </w:p>
        </w:tc>
        <w:tc>
          <w:tcPr>
            <w:tcW w:w="26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13-3444607</w:t>
            </w:r>
          </w:p>
        </w:tc>
      </w:tr>
      <w:tr>
        <w:trPr>
          <w:trHeight w:val="200"/>
        </w:trPr>
        <w:tc>
          <w:tcPr>
            <w:tcW w:w="6280" w:type="dxa"/>
            <w:vAlign w:val="bottom"/>
          </w:tcPr>
          <w:p>
            <w:pPr>
              <w:ind w:left="100"/>
              <w:spacing w:after="0"/>
              <w:rPr>
                <w:sz w:val="20"/>
                <w:szCs w:val="20"/>
                <w:color w:val="auto"/>
              </w:rPr>
            </w:pPr>
            <w:r>
              <w:rPr>
                <w:rFonts w:ascii="Courier New" w:cs="Courier New" w:eastAsia="Courier New" w:hAnsi="Courier New"/>
                <w:sz w:val="17"/>
                <w:szCs w:val="17"/>
                <w:color w:val="auto"/>
              </w:rPr>
              <w:t>(STATE OR OTHER JURISDICTION OF</w:t>
            </w:r>
          </w:p>
        </w:tc>
        <w:tc>
          <w:tcPr>
            <w:tcW w:w="2660" w:type="dxa"/>
            <w:vAlign w:val="bottom"/>
          </w:tcPr>
          <w:p>
            <w:pPr>
              <w:jc w:val="center"/>
              <w:ind w:left="473"/>
              <w:spacing w:after="0"/>
              <w:rPr>
                <w:sz w:val="20"/>
                <w:szCs w:val="20"/>
                <w:color w:val="auto"/>
              </w:rPr>
            </w:pPr>
            <w:r>
              <w:rPr>
                <w:rFonts w:ascii="Courier New" w:cs="Courier New" w:eastAsia="Courier New" w:hAnsi="Courier New"/>
                <w:sz w:val="17"/>
                <w:szCs w:val="17"/>
                <w:color w:val="auto"/>
              </w:rPr>
              <w:t>(I.R.S. EMPLOYER</w:t>
            </w:r>
          </w:p>
        </w:tc>
      </w:tr>
      <w:tr>
        <w:trPr>
          <w:trHeight w:val="200"/>
        </w:trPr>
        <w:tc>
          <w:tcPr>
            <w:tcW w:w="6280" w:type="dxa"/>
            <w:vAlign w:val="bottom"/>
          </w:tcPr>
          <w:p>
            <w:pPr>
              <w:ind w:left="100"/>
              <w:spacing w:after="0"/>
              <w:rPr>
                <w:sz w:val="20"/>
                <w:szCs w:val="20"/>
                <w:color w:val="auto"/>
              </w:rPr>
            </w:pPr>
            <w:r>
              <w:rPr>
                <w:rFonts w:ascii="Courier New" w:cs="Courier New" w:eastAsia="Courier New" w:hAnsi="Courier New"/>
                <w:sz w:val="17"/>
                <w:szCs w:val="17"/>
                <w:color w:val="auto"/>
              </w:rPr>
              <w:t>INCORPORATION OR ORGANIZATION)</w:t>
            </w:r>
          </w:p>
        </w:tc>
        <w:tc>
          <w:tcPr>
            <w:tcW w:w="2660" w:type="dxa"/>
            <w:vAlign w:val="bottom"/>
          </w:tcPr>
          <w:p>
            <w:pPr>
              <w:ind w:left="680"/>
              <w:spacing w:after="0"/>
              <w:rPr>
                <w:sz w:val="20"/>
                <w:szCs w:val="20"/>
                <w:color w:val="auto"/>
              </w:rPr>
            </w:pPr>
            <w:r>
              <w:rPr>
                <w:rFonts w:ascii="Courier New" w:cs="Courier New" w:eastAsia="Courier New" w:hAnsi="Courier New"/>
                <w:sz w:val="17"/>
                <w:szCs w:val="17"/>
                <w:color w:val="auto"/>
              </w:rPr>
              <w:t>IDENTIFICATION NO.)</w:t>
            </w:r>
          </w:p>
        </w:tc>
      </w:tr>
    </w:tbl>
    <w:p>
      <w:pPr>
        <w:spacing w:after="0" w:line="200" w:lineRule="exact"/>
        <w:rPr>
          <w:sz w:val="24"/>
          <w:szCs w:val="24"/>
          <w:color w:val="auto"/>
        </w:rPr>
      </w:pPr>
    </w:p>
    <w:p>
      <w:pPr>
        <w:spacing w:after="0" w:line="205" w:lineRule="exact"/>
        <w:rPr>
          <w:sz w:val="24"/>
          <w:szCs w:val="24"/>
          <w:color w:val="auto"/>
        </w:rPr>
      </w:pPr>
    </w:p>
    <w:p>
      <w:pPr>
        <w:ind w:left="2700"/>
        <w:spacing w:after="0"/>
        <w:rPr>
          <w:sz w:val="20"/>
          <w:szCs w:val="20"/>
          <w:color w:val="auto"/>
        </w:rPr>
      </w:pPr>
      <w:r>
        <w:rPr>
          <w:rFonts w:ascii="Courier New" w:cs="Courier New" w:eastAsia="Courier New" w:hAnsi="Courier New"/>
          <w:sz w:val="17"/>
          <w:szCs w:val="17"/>
          <w:color w:val="auto"/>
        </w:rPr>
        <w:t>777 OLD SAW MILL RIVER ROAD</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TARRYTOWN, NEW YORK 10591-6707</w:t>
      </w:r>
    </w:p>
    <w:p>
      <w:pPr>
        <w:spacing w:after="0" w:line="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(914) 347-7000</w:t>
      </w:r>
    </w:p>
    <w:p>
      <w:pPr>
        <w:spacing w:after="0" w:line="7"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(ADDRESS, INCLUDING ZIP CODE AND TELEPHONE NUMBER, INCLUDING AREA CODE, OF</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7"/>
          <w:szCs w:val="17"/>
          <w:color w:val="auto"/>
        </w:rPr>
        <w:t>REGISTRANT'S PRINCIPAL EXECUTIVE OFFICES)</w:t>
      </w:r>
    </w:p>
    <w:p>
      <w:pPr>
        <w:spacing w:after="0" w:line="207" w:lineRule="exact"/>
        <w:rPr>
          <w:sz w:val="24"/>
          <w:szCs w:val="24"/>
          <w:color w:val="auto"/>
        </w:rPr>
      </w:pPr>
    </w:p>
    <w:p>
      <w:pPr>
        <w:ind w:left="29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ind w:left="2920"/>
        <w:spacing w:after="0"/>
        <w:rPr>
          <w:sz w:val="20"/>
          <w:szCs w:val="20"/>
          <w:color w:val="auto"/>
        </w:rPr>
      </w:pPr>
      <w:r>
        <w:rPr>
          <w:rFonts w:ascii="Courier New" w:cs="Courier New" w:eastAsia="Courier New" w:hAnsi="Courier New"/>
          <w:sz w:val="17"/>
          <w:szCs w:val="17"/>
          <w:color w:val="auto"/>
        </w:rPr>
        <w:t>STUART A. KOLINSKI, ESQ.</w:t>
      </w:r>
    </w:p>
    <w:p>
      <w:pPr>
        <w:spacing w:after="0" w:line="7"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GENERAL COUNSEL</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7"/>
          <w:szCs w:val="17"/>
          <w:color w:val="auto"/>
        </w:rPr>
        <w:t>REGENERON PHARMACEUTICALS, INC.</w:t>
      </w:r>
    </w:p>
    <w:p>
      <w:pPr>
        <w:spacing w:after="0" w:line="7" w:lineRule="exact"/>
        <w:rPr>
          <w:sz w:val="24"/>
          <w:szCs w:val="24"/>
          <w:color w:val="auto"/>
        </w:rPr>
      </w:pPr>
    </w:p>
    <w:p>
      <w:pPr>
        <w:ind w:left="2700"/>
        <w:spacing w:after="0"/>
        <w:rPr>
          <w:sz w:val="20"/>
          <w:szCs w:val="20"/>
          <w:color w:val="auto"/>
        </w:rPr>
      </w:pPr>
      <w:r>
        <w:rPr>
          <w:rFonts w:ascii="Courier New" w:cs="Courier New" w:eastAsia="Courier New" w:hAnsi="Courier New"/>
          <w:sz w:val="17"/>
          <w:szCs w:val="17"/>
          <w:color w:val="auto"/>
        </w:rPr>
        <w:t>777 OLD SAW MILL RIVER ROAD</w:t>
      </w:r>
    </w:p>
    <w:p>
      <w:pPr>
        <w:spacing w:after="0" w:line="7"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TARRYTOWN, NEW YORK 10591-6707</w:t>
      </w:r>
    </w:p>
    <w:p>
      <w:pPr>
        <w:spacing w:after="0" w:line="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(914) 347-7000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(NAME, ADDRESS, INCLUDING ZIP CODE AND TELEPHONE NUMBER, INCLUDING AREA CODE, OF</w:t>
      </w:r>
    </w:p>
    <w:p>
      <w:pPr>
        <w:spacing w:after="0" w:line="7" w:lineRule="exact"/>
        <w:rPr>
          <w:sz w:val="24"/>
          <w:szCs w:val="24"/>
          <w:color w:val="auto"/>
        </w:rPr>
      </w:pPr>
    </w:p>
    <w:p>
      <w:pPr>
        <w:ind w:left="3220"/>
        <w:spacing w:after="0"/>
        <w:rPr>
          <w:sz w:val="20"/>
          <w:szCs w:val="20"/>
          <w:color w:val="auto"/>
        </w:rPr>
      </w:pPr>
      <w:r>
        <w:rPr>
          <w:rFonts w:ascii="Courier New" w:cs="Courier New" w:eastAsia="Courier New" w:hAnsi="Courier New"/>
          <w:sz w:val="17"/>
          <w:szCs w:val="17"/>
          <w:color w:val="auto"/>
        </w:rPr>
        <w:t>AGENT FOR SERVICE)</w:t>
      </w:r>
    </w:p>
    <w:p>
      <w:pPr>
        <w:spacing w:after="0" w:line="207" w:lineRule="exact"/>
        <w:rPr>
          <w:sz w:val="24"/>
          <w:szCs w:val="24"/>
          <w:color w:val="auto"/>
        </w:rPr>
      </w:pPr>
    </w:p>
    <w:p>
      <w:pPr>
        <w:ind w:left="29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COPIES TO:</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880" w:type="dxa"/>
            <w:vAlign w:val="bottom"/>
          </w:tcPr>
          <w:p>
            <w:pPr>
              <w:spacing w:after="0"/>
              <w:rPr>
                <w:sz w:val="20"/>
                <w:szCs w:val="20"/>
                <w:color w:val="auto"/>
              </w:rPr>
            </w:pPr>
            <w:r>
              <w:rPr>
                <w:rFonts w:ascii="Courier New" w:cs="Courier New" w:eastAsia="Courier New" w:hAnsi="Courier New"/>
                <w:sz w:val="17"/>
                <w:szCs w:val="17"/>
                <w:color w:val="auto"/>
              </w:rPr>
              <w:t>DAVID J.</w:t>
            </w:r>
          </w:p>
        </w:tc>
        <w:tc>
          <w:tcPr>
            <w:tcW w:w="5100" w:type="dxa"/>
            <w:vAlign w:val="bottom"/>
          </w:tcPr>
          <w:p>
            <w:pPr>
              <w:ind w:left="60"/>
              <w:spacing w:after="0"/>
              <w:rPr>
                <w:sz w:val="20"/>
                <w:szCs w:val="20"/>
                <w:color w:val="auto"/>
              </w:rPr>
            </w:pPr>
            <w:r>
              <w:rPr>
                <w:rFonts w:ascii="Courier New" w:cs="Courier New" w:eastAsia="Courier New" w:hAnsi="Courier New"/>
                <w:sz w:val="17"/>
                <w:szCs w:val="17"/>
                <w:color w:val="auto"/>
              </w:rPr>
              <w:t>GOLDSCHMIDT, ESQ.</w:t>
            </w:r>
          </w:p>
        </w:tc>
        <w:tc>
          <w:tcPr>
            <w:tcW w:w="3120" w:type="dxa"/>
            <w:vAlign w:val="bottom"/>
          </w:tcPr>
          <w:p>
            <w:pPr>
              <w:jc w:val="right"/>
              <w:spacing w:after="0"/>
              <w:rPr>
                <w:sz w:val="20"/>
                <w:szCs w:val="20"/>
                <w:color w:val="auto"/>
              </w:rPr>
            </w:pPr>
            <w:r>
              <w:rPr>
                <w:rFonts w:ascii="Courier New" w:cs="Courier New" w:eastAsia="Courier New" w:hAnsi="Courier New"/>
                <w:sz w:val="17"/>
                <w:szCs w:val="17"/>
                <w:color w:val="auto"/>
              </w:rPr>
              <w:t>JI HOON</w:t>
            </w:r>
          </w:p>
        </w:tc>
        <w:tc>
          <w:tcPr>
            <w:tcW w:w="1720" w:type="dxa"/>
            <w:vAlign w:val="bottom"/>
          </w:tcPr>
          <w:p>
            <w:pPr>
              <w:ind w:left="40"/>
              <w:spacing w:after="0"/>
              <w:rPr>
                <w:sz w:val="20"/>
                <w:szCs w:val="20"/>
                <w:color w:val="auto"/>
              </w:rPr>
            </w:pPr>
            <w:r>
              <w:rPr>
                <w:rFonts w:ascii="Courier New" w:cs="Courier New" w:eastAsia="Courier New" w:hAnsi="Courier New"/>
                <w:sz w:val="17"/>
                <w:szCs w:val="17"/>
                <w:color w:val="auto"/>
              </w:rPr>
              <w:t>HONG, ESQ.</w:t>
            </w:r>
          </w:p>
        </w:tc>
      </w:tr>
      <w:tr>
        <w:trPr>
          <w:trHeight w:val="200"/>
        </w:trPr>
        <w:tc>
          <w:tcPr>
            <w:tcW w:w="880" w:type="dxa"/>
            <w:vAlign w:val="bottom"/>
          </w:tcPr>
          <w:p>
            <w:pPr>
              <w:spacing w:after="0"/>
              <w:rPr>
                <w:sz w:val="20"/>
                <w:szCs w:val="20"/>
                <w:color w:val="auto"/>
              </w:rPr>
            </w:pPr>
            <w:r>
              <w:rPr>
                <w:rFonts w:ascii="Courier New" w:cs="Courier New" w:eastAsia="Courier New" w:hAnsi="Courier New"/>
                <w:sz w:val="17"/>
                <w:szCs w:val="17"/>
                <w:color w:val="auto"/>
              </w:rPr>
              <w:t>SKADDEN,</w:t>
            </w:r>
          </w:p>
        </w:tc>
        <w:tc>
          <w:tcPr>
            <w:tcW w:w="5100" w:type="dxa"/>
            <w:vAlign w:val="bottom"/>
          </w:tcPr>
          <w:p>
            <w:pPr>
              <w:ind w:left="60"/>
              <w:spacing w:after="0"/>
              <w:rPr>
                <w:sz w:val="20"/>
                <w:szCs w:val="20"/>
                <w:color w:val="auto"/>
              </w:rPr>
            </w:pPr>
            <w:r>
              <w:rPr>
                <w:rFonts w:ascii="Courier New" w:cs="Courier New" w:eastAsia="Courier New" w:hAnsi="Courier New"/>
                <w:sz w:val="17"/>
                <w:szCs w:val="17"/>
                <w:color w:val="auto"/>
              </w:rPr>
              <w:t>ARPS, SLATE, MEAGHER &amp; FLOM LLP</w:t>
            </w:r>
          </w:p>
        </w:tc>
        <w:tc>
          <w:tcPr>
            <w:tcW w:w="484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SHEARMAN &amp; STERLING</w:t>
            </w:r>
          </w:p>
        </w:tc>
      </w:tr>
      <w:tr>
        <w:trPr>
          <w:trHeight w:val="200"/>
        </w:trPr>
        <w:tc>
          <w:tcPr>
            <w:tcW w:w="5980" w:type="dxa"/>
            <w:vAlign w:val="bottom"/>
            <w:gridSpan w:val="2"/>
          </w:tcPr>
          <w:p>
            <w:pPr>
              <w:spacing w:after="0"/>
              <w:rPr>
                <w:sz w:val="20"/>
                <w:szCs w:val="20"/>
                <w:color w:val="auto"/>
              </w:rPr>
            </w:pPr>
            <w:r>
              <w:rPr>
                <w:rFonts w:ascii="Courier New" w:cs="Courier New" w:eastAsia="Courier New" w:hAnsi="Courier New"/>
                <w:sz w:val="17"/>
                <w:szCs w:val="17"/>
                <w:color w:val="auto"/>
              </w:rPr>
              <w:t>FOUR TIMES SQUARE</w:t>
            </w:r>
          </w:p>
        </w:tc>
        <w:tc>
          <w:tcPr>
            <w:tcW w:w="484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rPr>
              <w:t>599 LEXINGTON AVENUE</w:t>
            </w:r>
          </w:p>
        </w:tc>
      </w:tr>
      <w:tr>
        <w:trPr>
          <w:trHeight w:val="200"/>
        </w:trPr>
        <w:tc>
          <w:tcPr>
            <w:tcW w:w="5980" w:type="dxa"/>
            <w:vAlign w:val="bottom"/>
            <w:gridSpan w:val="2"/>
          </w:tcPr>
          <w:p>
            <w:pPr>
              <w:spacing w:after="0"/>
              <w:rPr>
                <w:sz w:val="20"/>
                <w:szCs w:val="20"/>
                <w:color w:val="auto"/>
              </w:rPr>
            </w:pPr>
            <w:r>
              <w:rPr>
                <w:rFonts w:ascii="Courier New" w:cs="Courier New" w:eastAsia="Courier New" w:hAnsi="Courier New"/>
                <w:sz w:val="17"/>
                <w:szCs w:val="17"/>
                <w:color w:val="auto"/>
              </w:rPr>
              <w:t>NEW YORK, NEW YORK 10036-6522</w:t>
            </w:r>
          </w:p>
        </w:tc>
        <w:tc>
          <w:tcPr>
            <w:tcW w:w="4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NEW YORK, NEW YORK 10022-6069</w:t>
            </w:r>
          </w:p>
        </w:tc>
      </w:tr>
      <w:tr>
        <w:trPr>
          <w:trHeight w:val="200"/>
        </w:trPr>
        <w:tc>
          <w:tcPr>
            <w:tcW w:w="5980" w:type="dxa"/>
            <w:vAlign w:val="bottom"/>
            <w:gridSpan w:val="2"/>
          </w:tcPr>
          <w:p>
            <w:pPr>
              <w:spacing w:after="0"/>
              <w:rPr>
                <w:sz w:val="20"/>
                <w:szCs w:val="20"/>
                <w:color w:val="auto"/>
              </w:rPr>
            </w:pPr>
            <w:r>
              <w:rPr>
                <w:rFonts w:ascii="Courier New" w:cs="Courier New" w:eastAsia="Courier New" w:hAnsi="Courier New"/>
                <w:sz w:val="17"/>
                <w:szCs w:val="17"/>
                <w:color w:val="auto"/>
              </w:rPr>
              <w:t>(212) 735-3000</w:t>
            </w:r>
          </w:p>
        </w:tc>
        <w:tc>
          <w:tcPr>
            <w:tcW w:w="3120" w:type="dxa"/>
            <w:vAlign w:val="bottom"/>
          </w:tcPr>
          <w:p>
            <w:pPr>
              <w:jc w:val="right"/>
              <w:spacing w:after="0"/>
              <w:rPr>
                <w:sz w:val="20"/>
                <w:szCs w:val="20"/>
                <w:color w:val="auto"/>
              </w:rPr>
            </w:pPr>
            <w:r>
              <w:rPr>
                <w:rFonts w:ascii="Courier New" w:cs="Courier New" w:eastAsia="Courier New" w:hAnsi="Courier New"/>
                <w:sz w:val="17"/>
                <w:szCs w:val="17"/>
                <w:color w:val="auto"/>
              </w:rPr>
              <w:t>(212)</w:t>
            </w:r>
          </w:p>
        </w:tc>
        <w:tc>
          <w:tcPr>
            <w:tcW w:w="1720" w:type="dxa"/>
            <w:vAlign w:val="bottom"/>
          </w:tcPr>
          <w:p>
            <w:pPr>
              <w:ind w:left="40"/>
              <w:spacing w:after="0"/>
              <w:rPr>
                <w:sz w:val="20"/>
                <w:szCs w:val="20"/>
                <w:color w:val="auto"/>
              </w:rPr>
            </w:pPr>
            <w:r>
              <w:rPr>
                <w:rFonts w:ascii="Courier New" w:cs="Courier New" w:eastAsia="Courier New" w:hAnsi="Courier New"/>
                <w:sz w:val="17"/>
                <w:szCs w:val="17"/>
                <w:color w:val="auto"/>
              </w:rPr>
              <w:t>848-4000</w:t>
            </w:r>
          </w:p>
        </w:tc>
      </w:tr>
    </w:tbl>
    <w:p>
      <w:pPr>
        <w:spacing w:after="0" w:line="200" w:lineRule="exact"/>
        <w:rPr>
          <w:sz w:val="24"/>
          <w:szCs w:val="24"/>
          <w:color w:val="auto"/>
        </w:rPr>
      </w:pPr>
    </w:p>
    <w:p>
      <w:pPr>
        <w:spacing w:after="0" w:line="205" w:lineRule="exact"/>
        <w:rPr>
          <w:sz w:val="24"/>
          <w:szCs w:val="24"/>
          <w:color w:val="auto"/>
        </w:rPr>
      </w:pPr>
    </w:p>
    <w:p>
      <w:pPr>
        <w:ind w:left="29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ind w:right="2600" w:firstLine="416"/>
        <w:spacing w:after="0" w:line="251" w:lineRule="auto"/>
        <w:rPr>
          <w:sz w:val="20"/>
          <w:szCs w:val="20"/>
          <w:color w:val="auto"/>
        </w:rPr>
      </w:pPr>
      <w:r>
        <w:rPr>
          <w:rFonts w:ascii="Courier New" w:cs="Courier New" w:eastAsia="Courier New" w:hAnsi="Courier New"/>
          <w:sz w:val="17"/>
          <w:szCs w:val="17"/>
          <w:color w:val="auto"/>
        </w:rPr>
        <w:t>APPROXIMATE DATE OF COMMENCEMENT OF PROPOSED SALE TO THE PUBLIC: As soon as practicable after this Registration Statement becomes effective.</w:t>
      </w:r>
    </w:p>
    <w:p>
      <w:pPr>
        <w:spacing w:after="0" w:line="197" w:lineRule="exact"/>
        <w:rPr>
          <w:sz w:val="24"/>
          <w:szCs w:val="24"/>
          <w:color w:val="auto"/>
        </w:rPr>
      </w:pPr>
    </w:p>
    <w:p>
      <w:pPr>
        <w:ind w:right="2600" w:firstLine="416"/>
        <w:spacing w:after="0" w:line="250" w:lineRule="auto"/>
        <w:rPr>
          <w:sz w:val="20"/>
          <w:szCs w:val="20"/>
          <w:color w:val="auto"/>
        </w:rPr>
      </w:pPr>
      <w:r>
        <w:rPr>
          <w:rFonts w:ascii="Courier New" w:cs="Courier New" w:eastAsia="Courier New" w:hAnsi="Courier New"/>
          <w:sz w:val="17"/>
          <w:szCs w:val="17"/>
          <w:color w:val="auto"/>
        </w:rPr>
        <w:t>If the only securities being registered on this form are being offered pursuant to dividend or interest reinvestment plans, please check the following box. [ ]</w:t>
      </w:r>
    </w:p>
    <w:p>
      <w:pPr>
        <w:spacing w:after="0" w:line="197" w:lineRule="exact"/>
        <w:rPr>
          <w:sz w:val="24"/>
          <w:szCs w:val="24"/>
          <w:color w:val="auto"/>
        </w:rPr>
      </w:pPr>
    </w:p>
    <w:p>
      <w:pPr>
        <w:ind w:right="2500" w:firstLine="416"/>
        <w:spacing w:after="0" w:line="249" w:lineRule="auto"/>
        <w:rPr>
          <w:sz w:val="20"/>
          <w:szCs w:val="20"/>
          <w:color w:val="auto"/>
        </w:rPr>
      </w:pPr>
      <w:r>
        <w:rPr>
          <w:rFonts w:ascii="Courier New" w:cs="Courier New" w:eastAsia="Courier New" w:hAnsi="Courier New"/>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ectPr>
          <w:pgSz w:w="11900" w:h="16838" w:orient="portrait"/>
          <w:cols w:equalWidth="0" w:num="1">
            <w:col w:w="10820"/>
          </w:cols>
          <w:pgMar w:left="240" w:top="248" w:right="839" w:bottom="0" w:gutter="0" w:footer="0" w:header="0"/>
        </w:sectPr>
      </w:pPr>
    </w:p>
    <w:bookmarkStart w:id="1" w:name="page2"/>
    <w:bookmarkEnd w:id="1"/>
    <w:p>
      <w:pPr>
        <w:ind w:right="1899" w:firstLine="416"/>
        <w:spacing w:after="0" w:line="249"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200" w:lineRule="exact"/>
        <w:rPr>
          <w:sz w:val="20"/>
          <w:szCs w:val="20"/>
          <w:color w:val="auto"/>
        </w:rPr>
      </w:pPr>
    </w:p>
    <w:p>
      <w:pPr>
        <w:ind w:right="2219" w:firstLine="416"/>
        <w:spacing w:after="0" w:line="249" w:lineRule="auto"/>
        <w:rPr>
          <w:sz w:val="20"/>
          <w:szCs w:val="20"/>
          <w:color w:val="auto"/>
        </w:rPr>
      </w:pPr>
      <w:r>
        <w:rPr>
          <w:rFonts w:ascii="Courier New" w:cs="Courier New" w:eastAsia="Courier New" w:hAnsi="Courier New"/>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00" w:lineRule="exact"/>
        <w:rPr>
          <w:sz w:val="20"/>
          <w:szCs w:val="20"/>
          <w:color w:val="auto"/>
        </w:rPr>
      </w:pPr>
    </w:p>
    <w:p>
      <w:pPr>
        <w:ind w:right="2099" w:firstLine="416"/>
        <w:spacing w:after="0" w:line="251" w:lineRule="auto"/>
        <w:rPr>
          <w:sz w:val="20"/>
          <w:szCs w:val="20"/>
          <w:color w:val="auto"/>
        </w:rPr>
      </w:pPr>
      <w:r>
        <w:rPr>
          <w:rFonts w:ascii="Courier New" w:cs="Courier New" w:eastAsia="Courier New" w:hAnsi="Courier New"/>
          <w:sz w:val="17"/>
          <w:szCs w:val="17"/>
          <w:color w:val="auto"/>
        </w:rPr>
        <w:t>If delivery of the prospectus is expected to be made pursuant to Rule 434, please check the following box. [ ]</w:t>
      </w:r>
    </w:p>
    <w:p>
      <w:pPr>
        <w:spacing w:after="0" w:line="200" w:lineRule="exact"/>
        <w:rPr>
          <w:sz w:val="20"/>
          <w:szCs w:val="20"/>
          <w:color w:val="auto"/>
        </w:rPr>
      </w:pPr>
    </w:p>
    <w:p>
      <w:pPr>
        <w:spacing w:after="0" w:line="396" w:lineRule="exact"/>
        <w:rPr>
          <w:sz w:val="20"/>
          <w:szCs w:val="20"/>
          <w:color w:val="auto"/>
        </w:rPr>
      </w:pPr>
    </w:p>
    <w:p>
      <w:pPr>
        <w:ind w:right="1899" w:firstLine="416"/>
        <w:spacing w:after="0" w:line="249" w:lineRule="auto"/>
        <w:rPr>
          <w:sz w:val="20"/>
          <w:szCs w:val="20"/>
          <w:color w:val="auto"/>
        </w:rPr>
      </w:pPr>
      <w:r>
        <w:rPr>
          <w:rFonts w:ascii="Courier New" w:cs="Courier New" w:eastAsia="Courier New" w:hAnsi="Courier New"/>
          <w:sz w:val="17"/>
          <w:szCs w:val="17"/>
          <w:color w:val="auto"/>
        </w:rPr>
        <w:t>THE REGISTRANT HEREBY AMENDS THIS REGISTRATION STATEMENT ON SUCH DATE OR DATES AS MAY BE NECESSARY TO DELAY ITS EFFECTIVE DATE UNTIL THE REGISTRANT SHALL FILE A FURTHER AMENDMENT SPECIFICALLY STATING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0" w:lineRule="exact"/>
        <w:rPr>
          <w:sz w:val="20"/>
          <w:szCs w:val="20"/>
          <w:color w:val="auto"/>
        </w:rPr>
      </w:pPr>
    </w:p>
    <w:p>
      <w:pPr>
        <w:ind w:left="220" w:hanging="213"/>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4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2</w:t>
      </w:r>
    </w:p>
    <w:p>
      <w:pPr>
        <w:spacing w:after="0" w:line="207" w:lineRule="exact"/>
        <w:rPr>
          <w:sz w:val="20"/>
          <w:szCs w:val="20"/>
          <w:color w:val="auto"/>
        </w:rPr>
      </w:pPr>
    </w:p>
    <w:p>
      <w:pPr>
        <w:ind w:left="940" w:right="1899"/>
        <w:spacing w:after="0" w:line="249" w:lineRule="auto"/>
        <w:rPr>
          <w:sz w:val="20"/>
          <w:szCs w:val="20"/>
          <w:color w:val="auto"/>
        </w:rPr>
      </w:pPr>
      <w:r>
        <w:rPr>
          <w:rFonts w:ascii="Courier New" w:cs="Courier New" w:eastAsia="Courier New" w:hAnsi="Courier New"/>
          <w:sz w:val="17"/>
          <w:szCs w:val="17"/>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SUBJECT TO COMPLETION</w:t>
      </w:r>
    </w:p>
    <w:p>
      <w:pPr>
        <w:spacing w:after="0" w:line="20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PRELIMINARY PROSPECTUS DATED MARCH 2, 2001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4,000,000 SHARES</w:t>
      </w:r>
    </w:p>
    <w:p>
      <w:pPr>
        <w:spacing w:after="0" w:line="207"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REGENERON PHARMACEUTICALS, INC.</w:t>
      </w:r>
    </w:p>
    <w:p>
      <w:pPr>
        <w:spacing w:after="0" w:line="20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COMMON STOCK</w:t>
      </w:r>
    </w:p>
    <w:p>
      <w:pPr>
        <w:spacing w:after="0" w:line="207"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Regeneron is selling 4,000,000 shares.</w:t>
      </w:r>
    </w:p>
    <w:p>
      <w:pPr>
        <w:spacing w:after="0" w:line="200" w:lineRule="exact"/>
        <w:rPr>
          <w:sz w:val="20"/>
          <w:szCs w:val="20"/>
          <w:color w:val="auto"/>
        </w:rPr>
      </w:pPr>
    </w:p>
    <w:p>
      <w:pPr>
        <w:spacing w:after="0" w:line="207" w:lineRule="exact"/>
        <w:rPr>
          <w:sz w:val="20"/>
          <w:szCs w:val="20"/>
          <w:color w:val="auto"/>
        </w:rPr>
      </w:pPr>
    </w:p>
    <w:p>
      <w:pPr>
        <w:ind w:right="2099" w:firstLine="519"/>
        <w:spacing w:after="0" w:line="250" w:lineRule="auto"/>
        <w:rPr>
          <w:sz w:val="20"/>
          <w:szCs w:val="20"/>
          <w:color w:val="auto"/>
        </w:rPr>
      </w:pPr>
      <w:r>
        <w:rPr>
          <w:rFonts w:ascii="Courier New" w:cs="Courier New" w:eastAsia="Courier New" w:hAnsi="Courier New"/>
          <w:sz w:val="17"/>
          <w:szCs w:val="17"/>
          <w:color w:val="auto"/>
        </w:rPr>
        <w:t>The shares are quoted on the Nasdaq National Market under the symbol "REGN." On March 1, 2001, the last sale price of the shares as reported on the Nasdaq National Market was $29.50 per share.</w:t>
      </w:r>
    </w:p>
    <w:p>
      <w:pPr>
        <w:spacing w:after="0" w:line="200" w:lineRule="exact"/>
        <w:rPr>
          <w:sz w:val="20"/>
          <w:szCs w:val="20"/>
          <w:color w:val="auto"/>
        </w:rPr>
      </w:pPr>
    </w:p>
    <w:p>
      <w:pPr>
        <w:spacing w:after="0" w:line="397" w:lineRule="exact"/>
        <w:rPr>
          <w:sz w:val="20"/>
          <w:szCs w:val="20"/>
          <w:color w:val="auto"/>
        </w:rPr>
      </w:pPr>
    </w:p>
    <w:p>
      <w:pPr>
        <w:ind w:right="2419" w:firstLine="519"/>
        <w:spacing w:after="0" w:line="251" w:lineRule="auto"/>
        <w:rPr>
          <w:sz w:val="20"/>
          <w:szCs w:val="20"/>
          <w:color w:val="auto"/>
        </w:rPr>
      </w:pPr>
      <w:r>
        <w:rPr>
          <w:rFonts w:ascii="Courier New" w:cs="Courier New" w:eastAsia="Courier New" w:hAnsi="Courier New"/>
          <w:sz w:val="17"/>
          <w:szCs w:val="17"/>
          <w:color w:val="auto"/>
        </w:rPr>
        <w:t>INVESTING IN THE COMMON STOCK INVOLVES RISKS THAT ARE DESCRIBED IN THE "RISK FACTORS" SECTION BEGINNING ON PAGE 5 OF THIS PROSPECTUS.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14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799"/>
        </w:trPr>
        <w:tc>
          <w:tcPr>
            <w:tcW w:w="614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Courier New" w:cs="Courier New" w:eastAsia="Courier New" w:hAnsi="Courier New"/>
                <w:sz w:val="17"/>
                <w:szCs w:val="17"/>
                <w:color w:val="auto"/>
              </w:rPr>
              <w:t>PER SHARE</w:t>
            </w:r>
          </w:p>
        </w:tc>
        <w:tc>
          <w:tcPr>
            <w:tcW w:w="1140" w:type="dxa"/>
            <w:vAlign w:val="bottom"/>
          </w:tcPr>
          <w:p>
            <w:pPr>
              <w:ind w:left="620"/>
              <w:spacing w:after="0"/>
              <w:rPr>
                <w:sz w:val="20"/>
                <w:szCs w:val="20"/>
                <w:color w:val="auto"/>
              </w:rPr>
            </w:pPr>
            <w:r>
              <w:rPr>
                <w:rFonts w:ascii="Courier New" w:cs="Courier New" w:eastAsia="Courier New" w:hAnsi="Courier New"/>
                <w:sz w:val="17"/>
                <w:szCs w:val="17"/>
                <w:color w:val="auto"/>
                <w:w w:val="97"/>
              </w:rPr>
              <w:t>TOTAL</w:t>
            </w:r>
          </w:p>
        </w:tc>
      </w:tr>
      <w:tr>
        <w:trPr>
          <w:trHeight w:val="200"/>
        </w:trPr>
        <w:tc>
          <w:tcPr>
            <w:tcW w:w="6140" w:type="dxa"/>
            <w:vAlign w:val="bottom"/>
          </w:tcPr>
          <w:p>
            <w:pPr>
              <w:spacing w:after="0"/>
              <w:rPr>
                <w:sz w:val="17"/>
                <w:szCs w:val="17"/>
                <w:color w:val="auto"/>
              </w:rPr>
            </w:pPr>
          </w:p>
        </w:tc>
        <w:tc>
          <w:tcPr>
            <w:tcW w:w="1660" w:type="dxa"/>
            <w:vAlign w:val="bottom"/>
          </w:tcPr>
          <w:p>
            <w:pPr>
              <w:jc w:val="center"/>
              <w:ind w:right="4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center"/>
              <w:ind w:left="533"/>
              <w:spacing w:after="0"/>
              <w:rPr>
                <w:sz w:val="20"/>
                <w:szCs w:val="20"/>
                <w:color w:val="auto"/>
              </w:rPr>
            </w:pPr>
            <w:r>
              <w:rPr>
                <w:rFonts w:ascii="Courier New" w:cs="Courier New" w:eastAsia="Courier New" w:hAnsi="Courier New"/>
                <w:sz w:val="17"/>
                <w:szCs w:val="17"/>
                <w:color w:val="auto"/>
              </w:rPr>
              <w:t>-----</w:t>
            </w:r>
          </w:p>
        </w:tc>
      </w:tr>
      <w:tr>
        <w:trPr>
          <w:trHeight w:val="400"/>
        </w:trPr>
        <w:tc>
          <w:tcPr>
            <w:tcW w:w="6140" w:type="dxa"/>
            <w:vAlign w:val="bottom"/>
          </w:tcPr>
          <w:p>
            <w:pPr>
              <w:spacing w:after="0"/>
              <w:rPr>
                <w:sz w:val="20"/>
                <w:szCs w:val="20"/>
                <w:color w:val="auto"/>
              </w:rPr>
            </w:pPr>
            <w:r>
              <w:rPr>
                <w:rFonts w:ascii="Courier New" w:cs="Courier New" w:eastAsia="Courier New" w:hAnsi="Courier New"/>
                <w:sz w:val="17"/>
                <w:szCs w:val="17"/>
                <w:color w:val="auto"/>
              </w:rPr>
              <w:t>Public offering price.....................................</w:t>
            </w:r>
          </w:p>
        </w:tc>
        <w:tc>
          <w:tcPr>
            <w:tcW w:w="1660" w:type="dxa"/>
            <w:vAlign w:val="bottom"/>
          </w:tcPr>
          <w:p>
            <w:pPr>
              <w:jc w:val="center"/>
              <w:ind w:right="433"/>
              <w:spacing w:after="0"/>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center"/>
              <w:ind w:left="533"/>
              <w:spacing w:after="0"/>
              <w:rPr>
                <w:sz w:val="20"/>
                <w:szCs w:val="20"/>
                <w:color w:val="auto"/>
              </w:rPr>
            </w:pPr>
            <w:r>
              <w:rPr>
                <w:rFonts w:ascii="Courier New" w:cs="Courier New" w:eastAsia="Courier New" w:hAnsi="Courier New"/>
                <w:sz w:val="17"/>
                <w:szCs w:val="17"/>
                <w:color w:val="auto"/>
              </w:rPr>
              <w:t>$</w:t>
            </w:r>
          </w:p>
        </w:tc>
      </w:tr>
      <w:tr>
        <w:trPr>
          <w:trHeight w:val="200"/>
        </w:trPr>
        <w:tc>
          <w:tcPr>
            <w:tcW w:w="6140" w:type="dxa"/>
            <w:vAlign w:val="bottom"/>
          </w:tcPr>
          <w:p>
            <w:pPr>
              <w:spacing w:after="0"/>
              <w:rPr>
                <w:sz w:val="20"/>
                <w:szCs w:val="20"/>
                <w:color w:val="auto"/>
              </w:rPr>
            </w:pPr>
            <w:r>
              <w:rPr>
                <w:rFonts w:ascii="Courier New" w:cs="Courier New" w:eastAsia="Courier New" w:hAnsi="Courier New"/>
                <w:sz w:val="17"/>
                <w:szCs w:val="17"/>
                <w:color w:val="auto"/>
              </w:rPr>
              <w:t>Underwriting discount.....................................</w:t>
            </w:r>
          </w:p>
        </w:tc>
        <w:tc>
          <w:tcPr>
            <w:tcW w:w="1660" w:type="dxa"/>
            <w:vAlign w:val="bottom"/>
          </w:tcPr>
          <w:p>
            <w:pPr>
              <w:jc w:val="center"/>
              <w:ind w:right="433"/>
              <w:spacing w:after="0"/>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center"/>
              <w:ind w:left="533"/>
              <w:spacing w:after="0"/>
              <w:rPr>
                <w:sz w:val="20"/>
                <w:szCs w:val="20"/>
                <w:color w:val="auto"/>
              </w:rPr>
            </w:pPr>
            <w:r>
              <w:rPr>
                <w:rFonts w:ascii="Courier New" w:cs="Courier New" w:eastAsia="Courier New" w:hAnsi="Courier New"/>
                <w:sz w:val="17"/>
                <w:szCs w:val="17"/>
                <w:color w:val="auto"/>
              </w:rPr>
              <w:t>$</w:t>
            </w:r>
          </w:p>
        </w:tc>
      </w:tr>
      <w:tr>
        <w:trPr>
          <w:trHeight w:val="200"/>
        </w:trPr>
        <w:tc>
          <w:tcPr>
            <w:tcW w:w="6140" w:type="dxa"/>
            <w:vAlign w:val="bottom"/>
          </w:tcPr>
          <w:p>
            <w:pPr>
              <w:spacing w:after="0"/>
              <w:rPr>
                <w:sz w:val="20"/>
                <w:szCs w:val="20"/>
                <w:color w:val="auto"/>
              </w:rPr>
            </w:pPr>
            <w:r>
              <w:rPr>
                <w:rFonts w:ascii="Courier New" w:cs="Courier New" w:eastAsia="Courier New" w:hAnsi="Courier New"/>
                <w:sz w:val="17"/>
                <w:szCs w:val="17"/>
                <w:color w:val="auto"/>
              </w:rPr>
              <w:t>Proceeds, before expenses, to Regeneron...................</w:t>
            </w:r>
          </w:p>
        </w:tc>
        <w:tc>
          <w:tcPr>
            <w:tcW w:w="1660" w:type="dxa"/>
            <w:vAlign w:val="bottom"/>
          </w:tcPr>
          <w:p>
            <w:pPr>
              <w:jc w:val="center"/>
              <w:ind w:right="433"/>
              <w:spacing w:after="0"/>
              <w:rPr>
                <w:sz w:val="20"/>
                <w:szCs w:val="20"/>
                <w:color w:val="auto"/>
              </w:rPr>
            </w:pPr>
            <w:r>
              <w:rPr>
                <w:rFonts w:ascii="Courier New" w:cs="Courier New" w:eastAsia="Courier New" w:hAnsi="Courier New"/>
                <w:sz w:val="17"/>
                <w:szCs w:val="17"/>
                <w:color w:val="auto"/>
                <w:w w:val="97"/>
              </w:rPr>
              <w:t>$</w:t>
            </w:r>
          </w:p>
        </w:tc>
        <w:tc>
          <w:tcPr>
            <w:tcW w:w="1140" w:type="dxa"/>
            <w:vAlign w:val="bottom"/>
          </w:tcPr>
          <w:p>
            <w:pPr>
              <w:jc w:val="center"/>
              <w:ind w:left="5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right="2099" w:firstLine="519"/>
        <w:spacing w:after="0" w:line="250" w:lineRule="auto"/>
        <w:rPr>
          <w:sz w:val="20"/>
          <w:szCs w:val="20"/>
          <w:color w:val="auto"/>
        </w:rPr>
      </w:pPr>
      <w:r>
        <w:rPr>
          <w:rFonts w:ascii="Courier New" w:cs="Courier New" w:eastAsia="Courier New" w:hAnsi="Courier New"/>
          <w:sz w:val="17"/>
          <w:szCs w:val="17"/>
          <w:color w:val="auto"/>
        </w:rPr>
        <w:t>The underwriters may also purchase up to 600,000 additional shares from Regeneron at the public offering price, less the underwriting discount, within 30 days from the date of this prospectus to cover over-allotments.</w:t>
      </w:r>
    </w:p>
    <w:p>
      <w:pPr>
        <w:spacing w:after="0" w:line="1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20" w:type="dxa"/>
            <w:vAlign w:val="bottom"/>
          </w:tcPr>
          <w:p>
            <w:pPr>
              <w:ind w:left="520"/>
              <w:spacing w:after="0"/>
              <w:rPr>
                <w:sz w:val="20"/>
                <w:szCs w:val="20"/>
                <w:color w:val="auto"/>
              </w:rPr>
            </w:pPr>
            <w:r>
              <w:rPr>
                <w:rFonts w:ascii="Courier New" w:cs="Courier New" w:eastAsia="Courier New" w:hAnsi="Courier New"/>
                <w:sz w:val="17"/>
                <w:szCs w:val="17"/>
                <w:color w:val="auto"/>
              </w:rPr>
              <w:t>The shares will be ready for delivery on or about</w:t>
            </w:r>
          </w:p>
        </w:tc>
        <w:tc>
          <w:tcPr>
            <w:tcW w:w="24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 2001.</w:t>
            </w:r>
          </w:p>
        </w:tc>
      </w:tr>
      <w:tr>
        <w:trPr>
          <w:trHeight w:val="400"/>
        </w:trPr>
        <w:tc>
          <w:tcPr>
            <w:tcW w:w="5920" w:type="dxa"/>
            <w:vAlign w:val="bottom"/>
          </w:tcPr>
          <w:p>
            <w:pPr>
              <w:jc w:val="center"/>
              <w:ind w:left="2213"/>
              <w:spacing w:after="0"/>
              <w:rPr>
                <w:sz w:val="20"/>
                <w:szCs w:val="20"/>
                <w:color w:val="auto"/>
              </w:rPr>
            </w:pPr>
            <w:r>
              <w:rPr>
                <w:rFonts w:ascii="Courier New" w:cs="Courier New" w:eastAsia="Courier New" w:hAnsi="Courier New"/>
                <w:sz w:val="17"/>
                <w:szCs w:val="17"/>
                <w:color w:val="auto"/>
              </w:rPr>
              <w:t>---------------------</w:t>
            </w:r>
          </w:p>
        </w:tc>
        <w:tc>
          <w:tcPr>
            <w:tcW w:w="2400" w:type="dxa"/>
            <w:vAlign w:val="bottom"/>
          </w:tcPr>
          <w:p>
            <w:pPr>
              <w:spacing w:after="0"/>
              <w:rPr>
                <w:sz w:val="24"/>
                <w:szCs w:val="24"/>
                <w:color w:val="auto"/>
              </w:rPr>
            </w:pPr>
          </w:p>
        </w:tc>
      </w:tr>
      <w:tr>
        <w:trPr>
          <w:trHeight w:val="400"/>
        </w:trPr>
        <w:tc>
          <w:tcPr>
            <w:tcW w:w="5920" w:type="dxa"/>
            <w:vAlign w:val="bottom"/>
          </w:tcPr>
          <w:p>
            <w:pPr>
              <w:spacing w:after="0"/>
              <w:rPr>
                <w:sz w:val="20"/>
                <w:szCs w:val="20"/>
                <w:color w:val="auto"/>
              </w:rPr>
            </w:pPr>
            <w:r>
              <w:rPr>
                <w:rFonts w:ascii="Courier New" w:cs="Courier New" w:eastAsia="Courier New" w:hAnsi="Courier New"/>
                <w:sz w:val="17"/>
                <w:szCs w:val="17"/>
                <w:color w:val="auto"/>
              </w:rPr>
              <w:t>MERRILL LYNCH &amp; CO.</w:t>
            </w:r>
          </w:p>
        </w:tc>
        <w:tc>
          <w:tcPr>
            <w:tcW w:w="2400" w:type="dxa"/>
            <w:vAlign w:val="bottom"/>
          </w:tcPr>
          <w:p>
            <w:pPr>
              <w:spacing w:after="0"/>
              <w:rPr>
                <w:sz w:val="24"/>
                <w:szCs w:val="24"/>
                <w:color w:val="auto"/>
              </w:rPr>
            </w:pPr>
          </w:p>
        </w:tc>
      </w:tr>
      <w:tr>
        <w:trPr>
          <w:trHeight w:val="200"/>
        </w:trPr>
        <w:tc>
          <w:tcPr>
            <w:tcW w:w="5920" w:type="dxa"/>
            <w:vAlign w:val="bottom"/>
          </w:tcPr>
          <w:p>
            <w:pPr>
              <w:jc w:val="center"/>
              <w:ind w:left="2213"/>
              <w:spacing w:after="0"/>
              <w:rPr>
                <w:sz w:val="20"/>
                <w:szCs w:val="20"/>
                <w:color w:val="auto"/>
              </w:rPr>
            </w:pPr>
            <w:r>
              <w:rPr>
                <w:rFonts w:ascii="Courier New" w:cs="Courier New" w:eastAsia="Courier New" w:hAnsi="Courier New"/>
                <w:sz w:val="17"/>
                <w:szCs w:val="17"/>
                <w:color w:val="auto"/>
              </w:rPr>
              <w:t>JP MORGAN</w:t>
            </w:r>
          </w:p>
        </w:tc>
        <w:tc>
          <w:tcPr>
            <w:tcW w:w="2400" w:type="dxa"/>
            <w:vAlign w:val="bottom"/>
          </w:tcPr>
          <w:p>
            <w:pPr>
              <w:spacing w:after="0"/>
              <w:rPr>
                <w:sz w:val="17"/>
                <w:szCs w:val="17"/>
                <w:color w:val="auto"/>
              </w:rPr>
            </w:pPr>
          </w:p>
        </w:tc>
      </w:tr>
      <w:tr>
        <w:trPr>
          <w:trHeight w:val="200"/>
        </w:trPr>
        <w:tc>
          <w:tcPr>
            <w:tcW w:w="592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Courier New" w:cs="Courier New" w:eastAsia="Courier New" w:hAnsi="Courier New"/>
                <w:sz w:val="17"/>
                <w:szCs w:val="17"/>
                <w:color w:val="auto"/>
              </w:rPr>
              <w:t>ROBERTSON STEPHENS</w:t>
            </w:r>
          </w:p>
        </w:tc>
      </w:tr>
      <w:tr>
        <w:trPr>
          <w:trHeight w:val="200"/>
        </w:trPr>
        <w:tc>
          <w:tcPr>
            <w:tcW w:w="5920" w:type="dxa"/>
            <w:vAlign w:val="bottom"/>
          </w:tcPr>
          <w:p>
            <w:pPr>
              <w:jc w:val="center"/>
              <w:ind w:left="2213"/>
              <w:spacing w:after="0"/>
              <w:rPr>
                <w:sz w:val="20"/>
                <w:szCs w:val="20"/>
                <w:color w:val="auto"/>
              </w:rPr>
            </w:pPr>
            <w:r>
              <w:rPr>
                <w:rFonts w:ascii="Courier New" w:cs="Courier New" w:eastAsia="Courier New" w:hAnsi="Courier New"/>
                <w:sz w:val="17"/>
                <w:szCs w:val="17"/>
                <w:color w:val="auto"/>
              </w:rPr>
              <w:t>---------------------</w:t>
            </w:r>
          </w:p>
        </w:tc>
        <w:tc>
          <w:tcPr>
            <w:tcW w:w="2400" w:type="dxa"/>
            <w:vAlign w:val="bottom"/>
          </w:tcPr>
          <w:p>
            <w:pPr>
              <w:spacing w:after="0"/>
              <w:rPr>
                <w:sz w:val="17"/>
                <w:szCs w:val="17"/>
                <w:color w:val="auto"/>
              </w:rPr>
            </w:pPr>
          </w:p>
        </w:tc>
      </w:tr>
      <w:tr>
        <w:trPr>
          <w:trHeight w:val="400"/>
        </w:trPr>
        <w:tc>
          <w:tcPr>
            <w:tcW w:w="5920" w:type="dxa"/>
            <w:vAlign w:val="bottom"/>
          </w:tcPr>
          <w:p>
            <w:pPr>
              <w:ind w:left="1780"/>
              <w:spacing w:after="0"/>
              <w:rPr>
                <w:sz w:val="20"/>
                <w:szCs w:val="20"/>
                <w:color w:val="auto"/>
              </w:rPr>
            </w:pPr>
            <w:r>
              <w:rPr>
                <w:rFonts w:ascii="Courier New" w:cs="Courier New" w:eastAsia="Courier New" w:hAnsi="Courier New"/>
                <w:sz w:val="17"/>
                <w:szCs w:val="17"/>
                <w:color w:val="auto"/>
              </w:rPr>
              <w:t>The date of this prospectus is</w:t>
            </w:r>
          </w:p>
        </w:tc>
        <w:tc>
          <w:tcPr>
            <w:tcW w:w="2400" w:type="dxa"/>
            <w:vAlign w:val="bottom"/>
          </w:tcPr>
          <w:p>
            <w:pPr>
              <w:jc w:val="right"/>
              <w:ind w:right="1273"/>
              <w:spacing w:after="0"/>
              <w:rPr>
                <w:sz w:val="20"/>
                <w:szCs w:val="20"/>
                <w:color w:val="auto"/>
              </w:rPr>
            </w:pPr>
            <w:r>
              <w:rPr>
                <w:rFonts w:ascii="Courier New" w:cs="Courier New" w:eastAsia="Courier New" w:hAnsi="Courier New"/>
                <w:sz w:val="17"/>
                <w:szCs w:val="17"/>
                <w:color w:val="auto"/>
              </w:rPr>
              <w:t>, 2001.</w:t>
            </w:r>
          </w:p>
        </w:tc>
      </w:tr>
    </w:tbl>
    <w:p>
      <w:pPr>
        <w:sectPr>
          <w:pgSz w:w="11900" w:h="16838" w:orient="portrait"/>
          <w:cols w:equalWidth="0" w:num="1">
            <w:col w:w="10219"/>
          </w:cols>
          <w:pgMar w:left="240" w:top="315"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3</w:t>
      </w:r>
    </w:p>
    <w:p>
      <w:pPr>
        <w:spacing w:after="0" w:line="20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40"/>
        <w:spacing w:after="0"/>
        <w:rPr>
          <w:sz w:val="20"/>
          <w:szCs w:val="20"/>
          <w:color w:val="auto"/>
        </w:rPr>
      </w:pPr>
      <w:r>
        <w:rPr>
          <w:rFonts w:ascii="Courier New" w:cs="Courier New" w:eastAsia="Courier New" w:hAnsi="Courier New"/>
          <w:sz w:val="17"/>
          <w:szCs w:val="17"/>
          <w:color w:val="auto"/>
        </w:rPr>
        <w:t>PAGE</w:t>
      </w:r>
    </w:p>
    <w:p>
      <w:pPr>
        <w:spacing w:after="0" w:line="7" w:lineRule="exact"/>
        <w:rPr>
          <w:sz w:val="20"/>
          <w:szCs w:val="20"/>
          <w:color w:val="auto"/>
        </w:rPr>
      </w:pPr>
    </w:p>
    <w:p>
      <w:pPr>
        <w:ind w:left="644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spacing w:after="0"/>
        <w:tabs>
          <w:tab w:leader="dot" w:pos="6640" w:val="left"/>
        </w:tabs>
        <w:rPr>
          <w:sz w:val="20"/>
          <w:szCs w:val="20"/>
          <w:color w:val="auto"/>
        </w:rPr>
      </w:pPr>
      <w:r>
        <w:rPr>
          <w:rFonts w:ascii="Courier New" w:cs="Courier New" w:eastAsia="Courier New" w:hAnsi="Courier New"/>
          <w:sz w:val="17"/>
          <w:szCs w:val="17"/>
          <w:color w:val="auto"/>
        </w:rPr>
        <w:t>Summary</w:t>
      </w:r>
      <w:r>
        <w:rPr>
          <w:sz w:val="20"/>
          <w:szCs w:val="20"/>
          <w:color w:val="auto"/>
        </w:rPr>
        <w:tab/>
      </w:r>
      <w:r>
        <w:rPr>
          <w:rFonts w:ascii="Courier New" w:cs="Courier New" w:eastAsia="Courier New" w:hAnsi="Courier New"/>
          <w:sz w:val="16"/>
          <w:szCs w:val="16"/>
          <w:color w:val="auto"/>
        </w:rPr>
        <w:t>1</w:t>
      </w:r>
    </w:p>
    <w:p>
      <w:pPr>
        <w:spacing w:after="0" w:line="7" w:lineRule="exact"/>
        <w:rPr>
          <w:sz w:val="20"/>
          <w:szCs w:val="20"/>
          <w:color w:val="auto"/>
        </w:rPr>
      </w:pPr>
    </w:p>
    <w:p>
      <w:pPr>
        <w:spacing w:after="0"/>
        <w:tabs>
          <w:tab w:leader="dot" w:pos="6640" w:val="left"/>
        </w:tabs>
        <w:rPr>
          <w:sz w:val="20"/>
          <w:szCs w:val="20"/>
          <w:color w:val="auto"/>
        </w:rPr>
      </w:pPr>
      <w:r>
        <w:rPr>
          <w:rFonts w:ascii="Courier New" w:cs="Courier New" w:eastAsia="Courier New" w:hAnsi="Courier New"/>
          <w:sz w:val="17"/>
          <w:szCs w:val="17"/>
          <w:color w:val="auto"/>
        </w:rPr>
        <w:t>Risk Factors</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7"/>
          <w:szCs w:val="17"/>
          <w:color w:val="auto"/>
        </w:rPr>
        <w:t>Forward-Looking Statements</w:t>
      </w:r>
      <w:r>
        <w:rPr>
          <w:sz w:val="20"/>
          <w:szCs w:val="20"/>
          <w:color w:val="auto"/>
        </w:rPr>
        <w:tab/>
      </w:r>
      <w:r>
        <w:rPr>
          <w:rFonts w:ascii="Courier New" w:cs="Courier New" w:eastAsia="Courier New" w:hAnsi="Courier New"/>
          <w:sz w:val="16"/>
          <w:szCs w:val="16"/>
          <w:color w:val="auto"/>
        </w:rPr>
        <w:t>13</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7"/>
          <w:szCs w:val="17"/>
          <w:color w:val="auto"/>
        </w:rPr>
        <w:t>Use of Proceeds</w:t>
      </w:r>
      <w:r>
        <w:rPr>
          <w:sz w:val="20"/>
          <w:szCs w:val="20"/>
          <w:color w:val="auto"/>
        </w:rPr>
        <w:tab/>
      </w:r>
      <w:r>
        <w:rPr>
          <w:rFonts w:ascii="Courier New" w:cs="Courier New" w:eastAsia="Courier New" w:hAnsi="Courier New"/>
          <w:sz w:val="16"/>
          <w:szCs w:val="16"/>
          <w:color w:val="auto"/>
        </w:rPr>
        <w:t>14</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7"/>
          <w:szCs w:val="17"/>
          <w:color w:val="auto"/>
        </w:rPr>
        <w:t>Dividend Policy</w:t>
      </w:r>
      <w:r>
        <w:rPr>
          <w:sz w:val="20"/>
          <w:szCs w:val="20"/>
          <w:color w:val="auto"/>
        </w:rPr>
        <w:tab/>
      </w:r>
      <w:r>
        <w:rPr>
          <w:rFonts w:ascii="Courier New" w:cs="Courier New" w:eastAsia="Courier New" w:hAnsi="Courier New"/>
          <w:sz w:val="16"/>
          <w:szCs w:val="16"/>
          <w:color w:val="auto"/>
        </w:rPr>
        <w:t>14</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7"/>
          <w:szCs w:val="17"/>
          <w:color w:val="auto"/>
        </w:rPr>
        <w:t>Capitalization</w:t>
      </w:r>
      <w:r>
        <w:rPr>
          <w:sz w:val="20"/>
          <w:szCs w:val="20"/>
          <w:color w:val="auto"/>
        </w:rPr>
        <w:tab/>
      </w:r>
      <w:r>
        <w:rPr>
          <w:rFonts w:ascii="Courier New" w:cs="Courier New" w:eastAsia="Courier New" w:hAnsi="Courier New"/>
          <w:sz w:val="16"/>
          <w:szCs w:val="16"/>
          <w:color w:val="auto"/>
        </w:rPr>
        <w:t>15</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7"/>
          <w:szCs w:val="17"/>
          <w:color w:val="auto"/>
        </w:rPr>
        <w:t>Dilution</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7"/>
          <w:szCs w:val="17"/>
          <w:color w:val="auto"/>
        </w:rPr>
        <w:t>Selected Financial Data</w:t>
      </w:r>
      <w:r>
        <w:rPr>
          <w:sz w:val="20"/>
          <w:szCs w:val="20"/>
          <w:color w:val="auto"/>
        </w:rPr>
        <w:tab/>
      </w:r>
      <w:r>
        <w:rPr>
          <w:rFonts w:ascii="Courier New" w:cs="Courier New" w:eastAsia="Courier New" w:hAnsi="Courier New"/>
          <w:sz w:val="16"/>
          <w:szCs w:val="16"/>
          <w:color w:val="auto"/>
        </w:rPr>
        <w:t>17</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7"/>
          <w:szCs w:val="17"/>
          <w:color w:val="auto"/>
        </w:rPr>
        <w:t>Business</w:t>
      </w:r>
      <w:r>
        <w:rPr>
          <w:sz w:val="20"/>
          <w:szCs w:val="20"/>
          <w:color w:val="auto"/>
        </w:rPr>
        <w:tab/>
      </w:r>
      <w:r>
        <w:rPr>
          <w:rFonts w:ascii="Courier New" w:cs="Courier New" w:eastAsia="Courier New" w:hAnsi="Courier New"/>
          <w:sz w:val="16"/>
          <w:szCs w:val="16"/>
          <w:color w:val="auto"/>
        </w:rPr>
        <w:t>19</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7"/>
          <w:szCs w:val="17"/>
          <w:color w:val="auto"/>
        </w:rPr>
        <w:t>Management</w:t>
      </w:r>
      <w:r>
        <w:rPr>
          <w:sz w:val="20"/>
          <w:szCs w:val="20"/>
          <w:color w:val="auto"/>
        </w:rPr>
        <w:tab/>
      </w:r>
      <w:r>
        <w:rPr>
          <w:rFonts w:ascii="Courier New" w:cs="Courier New" w:eastAsia="Courier New" w:hAnsi="Courier New"/>
          <w:sz w:val="16"/>
          <w:szCs w:val="16"/>
          <w:color w:val="auto"/>
        </w:rPr>
        <w:t>32</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7"/>
          <w:szCs w:val="17"/>
          <w:color w:val="auto"/>
        </w:rPr>
        <w:t>Investment Company Act Considerations</w:t>
      </w:r>
      <w:r>
        <w:rPr>
          <w:sz w:val="20"/>
          <w:szCs w:val="20"/>
          <w:color w:val="auto"/>
        </w:rPr>
        <w:tab/>
      </w:r>
      <w:r>
        <w:rPr>
          <w:rFonts w:ascii="Courier New" w:cs="Courier New" w:eastAsia="Courier New" w:hAnsi="Courier New"/>
          <w:sz w:val="16"/>
          <w:szCs w:val="16"/>
          <w:color w:val="auto"/>
        </w:rPr>
        <w:t>34</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7"/>
          <w:szCs w:val="17"/>
          <w:color w:val="auto"/>
        </w:rPr>
        <w:t>Description of Capital Stock</w:t>
      </w:r>
      <w:r>
        <w:rPr>
          <w:sz w:val="20"/>
          <w:szCs w:val="20"/>
          <w:color w:val="auto"/>
        </w:rPr>
        <w:tab/>
      </w:r>
      <w:r>
        <w:rPr>
          <w:rFonts w:ascii="Courier New" w:cs="Courier New" w:eastAsia="Courier New" w:hAnsi="Courier New"/>
          <w:sz w:val="16"/>
          <w:szCs w:val="16"/>
          <w:color w:val="auto"/>
        </w:rPr>
        <w:t>35</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7"/>
          <w:szCs w:val="17"/>
          <w:color w:val="auto"/>
        </w:rPr>
        <w:t>Underwriting</w:t>
      </w:r>
      <w:r>
        <w:rPr>
          <w:sz w:val="20"/>
          <w:szCs w:val="20"/>
          <w:color w:val="auto"/>
        </w:rPr>
        <w:tab/>
      </w:r>
      <w:r>
        <w:rPr>
          <w:rFonts w:ascii="Courier New" w:cs="Courier New" w:eastAsia="Courier New" w:hAnsi="Courier New"/>
          <w:sz w:val="16"/>
          <w:szCs w:val="16"/>
          <w:color w:val="auto"/>
        </w:rPr>
        <w:t>38</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7"/>
          <w:szCs w:val="17"/>
          <w:color w:val="auto"/>
        </w:rPr>
        <w:t>Legal Matters</w:t>
      </w:r>
      <w:r>
        <w:rPr>
          <w:sz w:val="20"/>
          <w:szCs w:val="20"/>
          <w:color w:val="auto"/>
        </w:rPr>
        <w:tab/>
      </w:r>
      <w:r>
        <w:rPr>
          <w:rFonts w:ascii="Courier New" w:cs="Courier New" w:eastAsia="Courier New" w:hAnsi="Courier New"/>
          <w:sz w:val="16"/>
          <w:szCs w:val="16"/>
          <w:color w:val="auto"/>
        </w:rPr>
        <w:t>41</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7"/>
          <w:szCs w:val="17"/>
          <w:color w:val="auto"/>
        </w:rPr>
        <w:t>Experts</w:t>
      </w:r>
      <w:r>
        <w:rPr>
          <w:sz w:val="20"/>
          <w:szCs w:val="20"/>
          <w:color w:val="auto"/>
        </w:rPr>
        <w:tab/>
      </w:r>
      <w:r>
        <w:rPr>
          <w:rFonts w:ascii="Courier New" w:cs="Courier New" w:eastAsia="Courier New" w:hAnsi="Courier New"/>
          <w:sz w:val="16"/>
          <w:szCs w:val="16"/>
          <w:color w:val="auto"/>
        </w:rPr>
        <w:t>41</w:t>
      </w:r>
    </w:p>
    <w:p>
      <w:pPr>
        <w:spacing w:after="0" w:line="7"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7"/>
          <w:szCs w:val="17"/>
          <w:color w:val="auto"/>
        </w:rPr>
        <w:t>Where You Can Find Additional Information</w:t>
      </w:r>
      <w:r>
        <w:rPr>
          <w:sz w:val="20"/>
          <w:szCs w:val="20"/>
          <w:color w:val="auto"/>
        </w:rPr>
        <w:tab/>
      </w:r>
      <w:r>
        <w:rPr>
          <w:rFonts w:ascii="Courier New" w:cs="Courier New" w:eastAsia="Courier New" w:hAnsi="Courier New"/>
          <w:sz w:val="16"/>
          <w:szCs w:val="16"/>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In this prospectus, "Regeneron," "our company," "we," "us," "the issuer," "the registrant," and "our" refer to Regeneron Pharmaceuticals, Inc. You should rely only on the information contained or incorporated by reference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2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315" w:right="1440" w:bottom="1440" w:gutter="0" w:footer="0" w:header="0"/>
        </w:sectPr>
      </w:pPr>
    </w:p>
    <w:bookmarkStart w:id="4" w:name="page5"/>
    <w:bookmarkEnd w:id="4"/>
    <w:p>
      <w:pPr>
        <w:spacing w:after="0" w:line="53"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4</w:t>
      </w:r>
    </w:p>
    <w:p>
      <w:pPr>
        <w:spacing w:after="0" w:line="20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SUMMARY</w:t>
      </w:r>
    </w:p>
    <w:p>
      <w:pPr>
        <w:spacing w:after="0" w:line="200" w:lineRule="exact"/>
        <w:rPr>
          <w:sz w:val="20"/>
          <w:szCs w:val="20"/>
          <w:color w:val="auto"/>
        </w:rPr>
      </w:pP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following summary highlights information contained in other parts of this prospectus or incorporated by reference in this prospectus. You should read this summary together with the more detailed information elsewhere in this prospectus and in our financial statements and accompanying notes and other information incorporated by reference in this prospectus. Unless otherwise indicated, all information in this prospectus assumes no exercise of the underwriters' over-allotment option, gives no effect to the exercise of outstanding options and warrants to purchase common stock, and assumes all share numbers set forth in this prospectus are as of February 23, 2001.</w:t>
      </w:r>
    </w:p>
    <w:p>
      <w:pPr>
        <w:spacing w:after="0" w:line="400"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REGENERON PHARMACEUTICALS, INC.</w:t>
      </w:r>
    </w:p>
    <w:p>
      <w:pPr>
        <w:spacing w:after="0" w:line="200" w:lineRule="exact"/>
        <w:rPr>
          <w:sz w:val="20"/>
          <w:szCs w:val="20"/>
          <w:color w:val="auto"/>
        </w:rPr>
      </w:pP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We are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 Since inception we have not generated sales or any profits from the commercialization of any of our product candidates.</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Our core business strategy is to combine our strong foundation in science and technology with state-of-the-art manufacturing and clinical development capabilities to build a successful, integrated biopharmaceutical company. Our efforts have yielded a diverse and growing pipeline of product candidates that have the potential to address a variety of unmet medical needs. Our ability to develop product candidates results from the application of our technology platforms. Our technology platforms, in contrast to basic genomics approaches which attempt to identify every gene in a cell or genome, are designed to discover specific genes of therapeutic interest for a particular disease or cell type. We will continue to invest in the development of enabling technologies to assist in our efforts to identify, develop, and commercialize new product candidates.</w:t>
      </w:r>
    </w:p>
    <w:p>
      <w:pPr>
        <w:spacing w:after="0" w:line="200" w:lineRule="exact"/>
        <w:rPr>
          <w:sz w:val="20"/>
          <w:szCs w:val="20"/>
          <w:color w:val="auto"/>
        </w:rPr>
      </w:pPr>
    </w:p>
    <w:p>
      <w:pPr>
        <w:spacing w:after="0" w:line="399" w:lineRule="exact"/>
        <w:rPr>
          <w:sz w:val="20"/>
          <w:szCs w:val="20"/>
          <w:color w:val="auto"/>
        </w:rPr>
      </w:pPr>
    </w:p>
    <w:p>
      <w:pPr>
        <w:ind w:right="2219" w:firstLine="519"/>
        <w:spacing w:after="0" w:line="249" w:lineRule="auto"/>
        <w:rPr>
          <w:sz w:val="20"/>
          <w:szCs w:val="20"/>
          <w:color w:val="auto"/>
        </w:rPr>
      </w:pPr>
      <w:r>
        <w:rPr>
          <w:rFonts w:ascii="Courier New" w:cs="Courier New" w:eastAsia="Courier New" w:hAnsi="Courier New"/>
          <w:sz w:val="17"/>
          <w:szCs w:val="17"/>
          <w:color w:val="auto"/>
        </w:rPr>
        <w:t>A key aspect of our strategy is to retain significant ownership and commercialization rights to our pipeline. Below is a summary of our leading clinical programs, as well as several product candidates that are expected to enter clinical trials over the next two years. We retain sole ownership and marketing rights for each of these programs and currently are developing them independent of any corporate partners.</w:t>
      </w:r>
    </w:p>
    <w:p>
      <w:pPr>
        <w:spacing w:after="0" w:line="200" w:lineRule="exact"/>
        <w:rPr>
          <w:sz w:val="20"/>
          <w:szCs w:val="20"/>
          <w:color w:val="auto"/>
        </w:rPr>
      </w:pPr>
    </w:p>
    <w:p>
      <w:pPr>
        <w:spacing w:after="0" w:line="399" w:lineRule="exact"/>
        <w:rPr>
          <w:sz w:val="20"/>
          <w:szCs w:val="20"/>
          <w:color w:val="auto"/>
        </w:rPr>
      </w:pPr>
    </w:p>
    <w:p>
      <w:pPr>
        <w:ind w:left="740" w:right="1899" w:hanging="214"/>
        <w:spacing w:after="0" w:line="249" w:lineRule="auto"/>
        <w:tabs>
          <w:tab w:leader="none" w:pos="7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AXOKINE(R): Acts on the brain region regulating food intake and energy expenditure and is being developed for the treatment of obesity. In November 2000, we announced the preliminary results of a twelve-week Phase II dose-ranging trial of AXOKINE in 170 severely obese patients. In the trial, AXOKINE was generally well tolerated and patients treated with AXOKINE showed medically meaningful and statistically significant weight loss compared to those receiving placebo. Subject to discussions with the FDA, we intend to initiate Phase III testing of AXOKINE in severely obese patients in mid-2001.</w:t>
      </w:r>
    </w:p>
    <w:p>
      <w:pPr>
        <w:spacing w:after="0" w:line="200" w:lineRule="exact"/>
        <w:rPr>
          <w:rFonts w:ascii="Courier New" w:cs="Courier New" w:eastAsia="Courier New" w:hAnsi="Courier New"/>
          <w:sz w:val="17"/>
          <w:szCs w:val="17"/>
          <w:color w:val="auto"/>
        </w:rPr>
      </w:pPr>
    </w:p>
    <w:p>
      <w:pPr>
        <w:spacing w:after="0" w:line="399" w:lineRule="exact"/>
        <w:rPr>
          <w:rFonts w:ascii="Courier New" w:cs="Courier New" w:eastAsia="Courier New" w:hAnsi="Courier New"/>
          <w:sz w:val="17"/>
          <w:szCs w:val="17"/>
          <w:color w:val="auto"/>
        </w:rPr>
      </w:pPr>
    </w:p>
    <w:p>
      <w:pPr>
        <w:ind w:left="740" w:right="1999" w:hanging="214"/>
        <w:spacing w:after="0" w:line="249" w:lineRule="auto"/>
        <w:tabs>
          <w:tab w:leader="none" w:pos="7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PEGYLATED AXOKINE: Chemically modified version of AXOKINE that is being developed as a more potent, longer-acting form of the protein. Pegylated AXOKINE currently is in late-stage preclinical development and we anticipate initiating a Phase I clinical trial in mid-2001.</w:t>
      </w:r>
    </w:p>
    <w:p>
      <w:pPr>
        <w:spacing w:after="0" w:line="200" w:lineRule="exact"/>
        <w:rPr>
          <w:rFonts w:ascii="Courier New" w:cs="Courier New" w:eastAsia="Courier New" w:hAnsi="Courier New"/>
          <w:sz w:val="17"/>
          <w:szCs w:val="17"/>
          <w:color w:val="auto"/>
        </w:rPr>
      </w:pPr>
    </w:p>
    <w:p>
      <w:pPr>
        <w:spacing w:after="0" w:line="399" w:lineRule="exact"/>
        <w:rPr>
          <w:rFonts w:ascii="Courier New" w:cs="Courier New" w:eastAsia="Courier New" w:hAnsi="Courier New"/>
          <w:sz w:val="17"/>
          <w:szCs w:val="17"/>
          <w:color w:val="auto"/>
        </w:rPr>
      </w:pPr>
    </w:p>
    <w:p>
      <w:pPr>
        <w:ind w:left="740" w:right="1899" w:hanging="214"/>
        <w:spacing w:after="0" w:line="249" w:lineRule="auto"/>
        <w:tabs>
          <w:tab w:leader="none" w:pos="7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INTERLEUKIN-1 CYTOKINE TRAP (IL-1 TRAP): Protein-based antagonist for the interleukin-1 (called IL-1) cytokine. IL-1 is thought to play a major role in rheumatoid arthritis and other inflammatory diseases. In December 2000, we initiated a Phase I study to assess the safety and tolerability of the IL-1 Trap in patients with rheumatoid arthritis. We expect the study to be completed in the second half of 2001.</w:t>
      </w:r>
    </w:p>
    <w:p>
      <w:pPr>
        <w:sectPr>
          <w:pgSz w:w="11900" w:h="16891" w:orient="portrait"/>
          <w:cols w:equalWidth="0" w:num="1">
            <w:col w:w="10219"/>
          </w:cols>
          <w:pgMar w:left="240" w:top="315" w:right="1440" w:bottom="0" w:gutter="0" w:footer="0" w:header="0"/>
        </w:sectPr>
      </w:pPr>
    </w:p>
    <w:p>
      <w:pPr>
        <w:spacing w:after="0" w:line="200" w:lineRule="exact"/>
        <w:rPr>
          <w:sz w:val="20"/>
          <w:szCs w:val="20"/>
          <w:color w:val="auto"/>
        </w:rPr>
      </w:pPr>
    </w:p>
    <w:p>
      <w:pPr>
        <w:spacing w:after="0" w:line="39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 INTERLEUKIN-4/INTERLEUKIN-13 CYTOKINE TRAP (IL-4/IL-13</w:t>
      </w:r>
    </w:p>
    <w:p>
      <w:pPr>
        <w:sectPr>
          <w:pgSz w:w="11900" w:h="16891" w:orient="portrait"/>
          <w:cols w:equalWidth="0" w:num="1">
            <w:col w:w="10219"/>
          </w:cols>
          <w:pgMar w:left="240" w:top="315" w:right="1440" w:bottom="0" w:gutter="0" w:footer="0" w:header="0"/>
          <w:type w:val="continuous"/>
        </w:sectPr>
      </w:pPr>
    </w:p>
    <w:bookmarkStart w:id="5" w:name="page6"/>
    <w:bookmarkEnd w:id="5"/>
    <w:p>
      <w:pPr>
        <w:ind w:right="1899"/>
        <w:spacing w:after="0" w:line="249" w:lineRule="auto"/>
        <w:rPr>
          <w:sz w:val="20"/>
          <w:szCs w:val="20"/>
          <w:color w:val="auto"/>
        </w:rPr>
      </w:pPr>
      <w:r>
        <w:rPr>
          <w:rFonts w:ascii="Courier New" w:cs="Courier New" w:eastAsia="Courier New" w:hAnsi="Courier New"/>
          <w:sz w:val="17"/>
          <w:szCs w:val="17"/>
          <w:color w:val="auto"/>
        </w:rPr>
        <w:t>TRAP): Protein-based antagonist for the interleukin-4 and interleukin-13 (called IL-4 and IL-13) cytokines which are thought to play a major role in diseases such as asthma, allergic disorders, and other inflammatory diseases. We expect to initiate a Phase I clinical trial of a dual IL-4/IL-13 Trap for asthma/allergy-related conditions in late 2001.</w:t>
      </w:r>
    </w:p>
    <w:p>
      <w:pPr>
        <w:spacing w:after="0" w:line="400"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9479"/>
          </w:cols>
          <w:pgMar w:left="980" w:top="14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7" w:lineRule="exact"/>
        <w:rPr>
          <w:sz w:val="20"/>
          <w:szCs w:val="20"/>
          <w:color w:val="auto"/>
        </w:rPr>
      </w:pPr>
    </w:p>
    <w:p>
      <w:pPr>
        <w:ind w:left="740" w:right="1999" w:hanging="214"/>
        <w:spacing w:after="0" w:line="249" w:lineRule="auto"/>
        <w:tabs>
          <w:tab w:leader="none" w:pos="7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VEGF TRAP: Protein-based antagonist to Vascular Endothelial Growth Factor (called VEGF, also known as Vascular Permeability Factor or VPF), which is required for the growth of blood vessels that are needed for tumors to grow and is a potent regulator of vascular permeability and leak. The VEGF Trap is expected to enter Phase I clinical trials in mid-2001.</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399" w:lineRule="exact"/>
        <w:rPr>
          <w:rFonts w:ascii="Courier New" w:cs="Courier New" w:eastAsia="Courier New" w:hAnsi="Courier New"/>
          <w:sz w:val="17"/>
          <w:szCs w:val="17"/>
          <w:color w:val="auto"/>
        </w:rPr>
      </w:pPr>
    </w:p>
    <w:p>
      <w:pPr>
        <w:ind w:left="740" w:right="1899" w:hanging="214"/>
        <w:spacing w:after="0" w:line="249" w:lineRule="auto"/>
        <w:tabs>
          <w:tab w:leader="none" w:pos="7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ANGIOPOIETINS: A new family of growth factors that act specifically on the endothelium cells that line blood vessels and may be useful for growing blood vessels in diseased hearts and other tissues with decreased blood flow and for repairing blood vessel leaks that cause swelling and edema in many different diseases such as stroke, diabetic retinopathy, and inflammatory diseases. Selected Angiopoietins, including engineered forms of these growth factors, are in preclinical development.</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addition to the above programs which we are conducting solely on our own, we have formed collaborations to advance other research and development efforts. We are conducting research with The Procter &amp; Gamble Company in muscle diseases and other fields. We are also collaborating with Medarex, Inc. to discover, develop, and commercialize certain human antibodies as therapeutics. In partnership with Amgen Inc., we are conducting clinical trials with Neurotrophin-3, or NT-3, for the treatment of constipating conditions. In all of these research collaborations, we retain 50% of the commercialization rights.</w:t>
      </w:r>
    </w:p>
    <w:p>
      <w:pPr>
        <w:spacing w:after="0" w:line="200" w:lineRule="exact"/>
        <w:rPr>
          <w:sz w:val="20"/>
          <w:szCs w:val="20"/>
          <w:color w:val="auto"/>
        </w:rPr>
      </w:pPr>
    </w:p>
    <w:p>
      <w:pPr>
        <w:spacing w:after="0" w:line="399"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We have made a substantial investment in our manufacturing facilities in Tarrytown, New York and Rensselaer, New York in order to develop our own manufacturing capabilities to support our clinical and preclinical programs and better position us to commercialize our product candidates. Currently we dedicate approximately 200 people to these manufacturing activities as well as the manufacture of a product for Merck &amp; Co., Inc. We will continue to upgrade and expand our manufacturing facilities as we advance our product candidates toward commercialization.</w:t>
      </w:r>
    </w:p>
    <w:p>
      <w:pPr>
        <w:spacing w:after="0" w:line="400"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right="2099" w:firstLine="519"/>
        <w:spacing w:after="0" w:line="250" w:lineRule="auto"/>
        <w:rPr>
          <w:sz w:val="20"/>
          <w:szCs w:val="20"/>
          <w:color w:val="auto"/>
        </w:rPr>
      </w:pPr>
      <w:r>
        <w:rPr>
          <w:rFonts w:ascii="Courier New" w:cs="Courier New" w:eastAsia="Courier New" w:hAnsi="Courier New"/>
          <w:sz w:val="17"/>
          <w:szCs w:val="17"/>
          <w:color w:val="auto"/>
        </w:rPr>
        <w:t>We are a New York corporation organized on January 8, 1988. Our executive offices are at 777 Old Saw Mill River Road, Tarrytown, NY 10591-6707 and our telephone number is (914) 347-7000.</w:t>
      </w:r>
    </w:p>
    <w:p>
      <w:pPr>
        <w:spacing w:after="0" w:line="19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5"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6</w:t>
      </w:r>
    </w:p>
    <w:p>
      <w:pPr>
        <w:spacing w:after="0" w:line="20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THE OFFERING</w:t>
      </w:r>
    </w:p>
    <w:p>
      <w:pPr>
        <w:sectPr>
          <w:pgSz w:w="11900" w:h="16838" w:orient="portrait"/>
          <w:cols w:equalWidth="0" w:num="1">
            <w:col w:w="10219"/>
          </w:cols>
          <w:pgMar w:left="240" w:top="315"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offered................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4,000,000 shares</w:t>
      </w:r>
    </w:p>
    <w:p>
      <w:pPr>
        <w:spacing w:after="0" w:line="200" w:lineRule="exact"/>
        <w:rPr>
          <w:sz w:val="20"/>
          <w:szCs w:val="20"/>
          <w:color w:val="auto"/>
        </w:rPr>
      </w:pPr>
    </w:p>
    <w:p>
      <w:pPr>
        <w:sectPr>
          <w:pgSz w:w="11900" w:h="16838" w:orient="portrait"/>
          <w:cols w:equalWidth="0" w:num="2">
            <w:col w:w="3740" w:space="640"/>
            <w:col w:w="5839"/>
          </w:cols>
          <w:pgMar w:left="240" w:top="31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outstanding after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offering:</w:t>
      </w:r>
    </w:p>
    <w:p>
      <w:pPr>
        <w:sectPr>
          <w:pgSz w:w="11900" w:h="16838" w:orient="portrait"/>
          <w:cols w:equalWidth="0" w:num="1">
            <w:col w:w="10219"/>
          </w:cols>
          <w:pgMar w:left="240" w:top="315"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Common stock...................</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38,259,851 shares</w:t>
      </w:r>
    </w:p>
    <w:p>
      <w:pPr>
        <w:spacing w:after="0" w:line="200" w:lineRule="exact"/>
        <w:rPr>
          <w:sz w:val="20"/>
          <w:szCs w:val="20"/>
          <w:color w:val="auto"/>
        </w:rPr>
      </w:pPr>
    </w:p>
    <w:p>
      <w:pPr>
        <w:sectPr>
          <w:pgSz w:w="11900" w:h="16838" w:orient="portrait"/>
          <w:cols w:equalWidth="0" w:num="2">
            <w:col w:w="3740" w:space="520"/>
            <w:col w:w="5959"/>
          </w:cols>
          <w:pgMar w:left="240" w:top="315" w:right="1440" w:bottom="1440" w:gutter="0" w:footer="0" w:header="0"/>
          <w:type w:val="continuous"/>
        </w:sectPr>
      </w:pPr>
    </w:p>
    <w:p>
      <w:pPr>
        <w:spacing w:after="0" w:line="20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Class A stock..................</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2,575,165 shares</w:t>
      </w:r>
    </w:p>
    <w:p>
      <w:pPr>
        <w:spacing w:after="0" w:line="200" w:lineRule="exact"/>
        <w:rPr>
          <w:sz w:val="20"/>
          <w:szCs w:val="20"/>
          <w:color w:val="auto"/>
        </w:rPr>
      </w:pPr>
    </w:p>
    <w:p>
      <w:pPr>
        <w:sectPr>
          <w:pgSz w:w="11900" w:h="16838" w:orient="portrait"/>
          <w:cols w:equalWidth="0" w:num="2">
            <w:col w:w="3740" w:space="640"/>
            <w:col w:w="5839"/>
          </w:cols>
          <w:pgMar w:left="240" w:top="315" w:right="1440" w:bottom="1440" w:gutter="0" w:footer="0" w:header="0"/>
          <w:type w:val="continuous"/>
        </w:sectPr>
      </w:pPr>
    </w:p>
    <w:p>
      <w:pPr>
        <w:spacing w:after="0" w:line="20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Total.....................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40,835,016 shares</w:t>
      </w:r>
    </w:p>
    <w:p>
      <w:pPr>
        <w:spacing w:after="0" w:line="200" w:lineRule="exact"/>
        <w:rPr>
          <w:sz w:val="20"/>
          <w:szCs w:val="20"/>
          <w:color w:val="auto"/>
        </w:rPr>
      </w:pPr>
    </w:p>
    <w:p>
      <w:pPr>
        <w:sectPr>
          <w:pgSz w:w="11900" w:h="16838" w:orient="portrait"/>
          <w:cols w:equalWidth="0" w:num="2">
            <w:col w:w="3740" w:space="520"/>
            <w:col w:w="5959"/>
          </w:cols>
          <w:pgMar w:left="240" w:top="315" w:right="1440" w:bottom="1440" w:gutter="0" w:footer="0" w:header="0"/>
          <w:type w:val="continuous"/>
        </w:sectPr>
      </w:pPr>
    </w:p>
    <w:p>
      <w:pPr>
        <w:spacing w:after="0" w:line="20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Holders of our Class A stock are</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entitled to ten votes per share and the</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holders of our common stock are</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entitled to one vote per share.</w:t>
      </w:r>
    </w:p>
    <w:p>
      <w:pPr>
        <w:sectPr>
          <w:pgSz w:w="11900" w:h="16838" w:orient="portrait"/>
          <w:cols w:equalWidth="0" w:num="1">
            <w:col w:w="10219"/>
          </w:cols>
          <w:pgMar w:left="240" w:top="315"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We will receive net proceeds from this offering of approximately $111.4 million, assuming a public offering price of $29.50 per share. We intend to use the net proceeds for preclinical and clinical development of our product candidates, basic research activities, development of novel technology platforms, and general corporate purposes, including capital expenditures, and working capital. See "Use of Proceeds".</w:t>
      </w:r>
    </w:p>
    <w:p>
      <w:pPr>
        <w:spacing w:after="0" w:line="200" w:lineRule="exact"/>
        <w:rPr>
          <w:sz w:val="20"/>
          <w:szCs w:val="20"/>
          <w:color w:val="auto"/>
        </w:rPr>
      </w:pPr>
    </w:p>
    <w:p>
      <w:pPr>
        <w:sectPr>
          <w:pgSz w:w="11900" w:h="16838" w:orient="portrait"/>
          <w:cols w:equalWidth="0" w:num="2">
            <w:col w:w="3740" w:space="520"/>
            <w:col w:w="5959"/>
          </w:cols>
          <w:pgMar w:left="240" w:top="315" w:right="1440"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 factors........................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See "Risk Factors" and other information included in this prospectus for a discussion of factors you should carefully consider before deciding to invest in shares of our common stock.</w:t>
      </w:r>
    </w:p>
    <w:p>
      <w:pPr>
        <w:spacing w:after="0" w:line="200" w:lineRule="exact"/>
        <w:rPr>
          <w:sz w:val="20"/>
          <w:szCs w:val="20"/>
          <w:color w:val="auto"/>
        </w:rPr>
      </w:pPr>
    </w:p>
    <w:p>
      <w:pPr>
        <w:sectPr>
          <w:pgSz w:w="11900" w:h="16838" w:orient="portrait"/>
          <w:cols w:equalWidth="0" w:num="2">
            <w:col w:w="3740" w:space="520"/>
            <w:col w:w="5959"/>
          </w:cols>
          <w:pgMar w:left="240" w:top="315"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Nasdaq National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REGN</w:t>
      </w:r>
    </w:p>
    <w:p>
      <w:pPr>
        <w:spacing w:after="0" w:line="200" w:lineRule="exact"/>
        <w:rPr>
          <w:sz w:val="20"/>
          <w:szCs w:val="20"/>
          <w:color w:val="auto"/>
        </w:rPr>
      </w:pPr>
    </w:p>
    <w:p>
      <w:pPr>
        <w:sectPr>
          <w:pgSz w:w="11900" w:h="16838" w:orient="portrait"/>
          <w:cols w:equalWidth="0" w:num="2">
            <w:col w:w="3740" w:space="520"/>
            <w:col w:w="5959"/>
          </w:cols>
          <w:pgMar w:left="240" w:top="315" w:right="1440" w:bottom="1440" w:gutter="0" w:footer="0" w:header="0"/>
          <w:type w:val="continuous"/>
        </w:sectPr>
      </w:pPr>
    </w:p>
    <w:p>
      <w:pPr>
        <w:spacing w:after="0" w:line="207" w:lineRule="exact"/>
        <w:rPr>
          <w:sz w:val="20"/>
          <w:szCs w:val="20"/>
          <w:color w:val="auto"/>
        </w:rPr>
      </w:pPr>
    </w:p>
    <w:p>
      <w:pPr>
        <w:ind w:right="2099" w:firstLine="519"/>
        <w:spacing w:after="0" w:line="249" w:lineRule="auto"/>
        <w:rPr>
          <w:sz w:val="20"/>
          <w:szCs w:val="20"/>
          <w:color w:val="auto"/>
        </w:rPr>
      </w:pPr>
      <w:r>
        <w:rPr>
          <w:rFonts w:ascii="Courier New" w:cs="Courier New" w:eastAsia="Courier New" w:hAnsi="Courier New"/>
          <w:sz w:val="17"/>
          <w:szCs w:val="17"/>
          <w:color w:val="auto"/>
        </w:rPr>
        <w:t>The number of shares outstanding after the offering is as of February 23, 2001 and excludes (1) options to purchase 7,517,864 shares of our common stock under our 1990 Long-Term Incentive Plan and 2000 Long-Term Incentive Plan, of which 2,805,690 were exercisable at February 23, 2001 and (2) 107,400 warrants held by Medtronic, Inc. as of February 23, 2001.</w:t>
      </w:r>
    </w:p>
    <w:p>
      <w:pPr>
        <w:spacing w:after="0" w:line="4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5"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207"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SUMMARY SELECTED FINANCIAL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540" w:type="dxa"/>
            <w:vAlign w:val="bottom"/>
            <w:gridSpan w:val="3"/>
          </w:tcPr>
          <w:p>
            <w:pPr>
              <w:jc w:val="right"/>
              <w:ind w:right="633"/>
              <w:spacing w:after="0"/>
              <w:rPr>
                <w:sz w:val="20"/>
                <w:szCs w:val="20"/>
                <w:color w:val="auto"/>
              </w:rPr>
            </w:pPr>
            <w:r>
              <w:rPr>
                <w:rFonts w:ascii="Courier New" w:cs="Courier New" w:eastAsia="Courier New" w:hAnsi="Courier New"/>
                <w:sz w:val="17"/>
                <w:szCs w:val="17"/>
                <w:color w:val="auto"/>
              </w:rPr>
              <w:t>YEAR ENDED DECEMBER 31,</w:t>
            </w:r>
          </w:p>
        </w:tc>
        <w:tc>
          <w:tcPr>
            <w:tcW w:w="940" w:type="dxa"/>
            <w:vAlign w:val="bottom"/>
          </w:tcPr>
          <w:p>
            <w:pPr>
              <w:spacing w:after="0"/>
              <w:rPr>
                <w:sz w:val="16"/>
                <w:szCs w:val="16"/>
                <w:color w:val="auto"/>
              </w:rPr>
            </w:pPr>
          </w:p>
        </w:tc>
      </w:tr>
      <w:tr>
        <w:trPr>
          <w:trHeight w:val="200"/>
        </w:trPr>
        <w:tc>
          <w:tcPr>
            <w:tcW w:w="5300" w:type="dxa"/>
            <w:vAlign w:val="bottom"/>
          </w:tcPr>
          <w:p>
            <w:pPr>
              <w:spacing w:after="0"/>
              <w:rPr>
                <w:sz w:val="17"/>
                <w:szCs w:val="17"/>
                <w:color w:val="auto"/>
              </w:rPr>
            </w:pPr>
          </w:p>
        </w:tc>
        <w:tc>
          <w:tcPr>
            <w:tcW w:w="5620" w:type="dxa"/>
            <w:vAlign w:val="bottom"/>
            <w:gridSpan w:val="5"/>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spacing w:after="0"/>
              <w:rPr>
                <w:sz w:val="17"/>
                <w:szCs w:val="17"/>
                <w:color w:val="auto"/>
              </w:rPr>
            </w:pP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2000</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1999</w:t>
            </w: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1998</w:t>
            </w:r>
          </w:p>
        </w:tc>
        <w:tc>
          <w:tcPr>
            <w:tcW w:w="12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1997</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1996</w:t>
            </w:r>
          </w:p>
        </w:tc>
      </w:tr>
      <w:tr>
        <w:trPr>
          <w:trHeight w:val="200"/>
        </w:trPr>
        <w:tc>
          <w:tcPr>
            <w:tcW w:w="530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spacing w:after="0"/>
              <w:rPr>
                <w:sz w:val="17"/>
                <w:szCs w:val="17"/>
                <w:color w:val="auto"/>
              </w:rPr>
            </w:pPr>
          </w:p>
        </w:tc>
        <w:tc>
          <w:tcPr>
            <w:tcW w:w="46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(IN THOUSANDS, EXCEPT PER SHARE DATA)</w:t>
            </w:r>
          </w:p>
        </w:tc>
        <w:tc>
          <w:tcPr>
            <w:tcW w:w="940" w:type="dxa"/>
            <w:vAlign w:val="bottom"/>
          </w:tcPr>
          <w:p>
            <w:pPr>
              <w:spacing w:after="0"/>
              <w:rPr>
                <w:sz w:val="17"/>
                <w:szCs w:val="17"/>
                <w:color w:val="auto"/>
              </w:rPr>
            </w:pPr>
          </w:p>
        </w:tc>
      </w:tr>
      <w:tr>
        <w:trPr>
          <w:trHeight w:val="400"/>
        </w:trPr>
        <w:tc>
          <w:tcPr>
            <w:tcW w:w="5300" w:type="dxa"/>
            <w:vAlign w:val="bottom"/>
          </w:tcPr>
          <w:p>
            <w:pPr>
              <w:spacing w:after="0"/>
              <w:rPr>
                <w:sz w:val="20"/>
                <w:szCs w:val="20"/>
                <w:color w:val="auto"/>
              </w:rPr>
            </w:pPr>
            <w:r>
              <w:rPr>
                <w:rFonts w:ascii="Courier New" w:cs="Courier New" w:eastAsia="Courier New" w:hAnsi="Courier New"/>
                <w:sz w:val="17"/>
                <w:szCs w:val="17"/>
                <w:color w:val="auto"/>
              </w:rPr>
              <w:t>STATEMENT OF OPERATIONS DATA:</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530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5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Contract research and development...............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$ 36,478</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$ 24,539</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$ 19,714</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$ 17,400</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17,303</w:t>
            </w:r>
          </w:p>
        </w:tc>
      </w:tr>
      <w:tr>
        <w:trPr>
          <w:trHeight w:val="200"/>
        </w:trPr>
        <w:tc>
          <w:tcPr>
            <w:tcW w:w="5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Research progress payments......................</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6,200</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9,500</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5,000</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Contract manufacturing..........................</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16,598</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9,960</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9,113</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4,458</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2,451</w:t>
            </w:r>
          </w:p>
        </w:tc>
      </w:tr>
      <w:tr>
        <w:trPr>
          <w:trHeight w:val="200"/>
        </w:trPr>
        <w:tc>
          <w:tcPr>
            <w:tcW w:w="530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59,276</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34,499</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38,327</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26,858</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19,754</w:t>
            </w:r>
          </w:p>
        </w:tc>
      </w:tr>
      <w:tr>
        <w:trPr>
          <w:trHeight w:val="200"/>
        </w:trPr>
        <w:tc>
          <w:tcPr>
            <w:tcW w:w="530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5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Research and development........................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56,256</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44,940</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37,047</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27,770</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28,269</w:t>
            </w:r>
          </w:p>
        </w:tc>
      </w:tr>
      <w:tr>
        <w:trPr>
          <w:trHeight w:val="200"/>
        </w:trPr>
        <w:tc>
          <w:tcPr>
            <w:tcW w:w="5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Contract manufacturing..........................</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15,566</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3,612</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5,002</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2,617</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1,115</w:t>
            </w:r>
          </w:p>
        </w:tc>
      </w:tr>
      <w:tr>
        <w:trPr>
          <w:trHeight w:val="200"/>
        </w:trPr>
        <w:tc>
          <w:tcPr>
            <w:tcW w:w="5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Other...........................................</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12,730</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9,781</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8,857</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10,154</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11,964</w:t>
            </w:r>
          </w:p>
        </w:tc>
      </w:tr>
      <w:tr>
        <w:trPr>
          <w:trHeight w:val="200"/>
        </w:trPr>
        <w:tc>
          <w:tcPr>
            <w:tcW w:w="530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84,552</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58,333</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50,906</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40,541</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41,348</w:t>
            </w:r>
          </w:p>
        </w:tc>
      </w:tr>
      <w:tr>
        <w:trPr>
          <w:trHeight w:val="200"/>
        </w:trPr>
        <w:tc>
          <w:tcPr>
            <w:tcW w:w="530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Loss from operations..............................</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(25,276)</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(23,834)</w:t>
            </w:r>
          </w:p>
        </w:tc>
        <w:tc>
          <w:tcPr>
            <w:tcW w:w="11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(12,579)</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(13,683)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(21,594)</w:t>
            </w:r>
          </w:p>
        </w:tc>
      </w:tr>
      <w:tr>
        <w:trPr>
          <w:trHeight w:val="200"/>
        </w:trPr>
        <w:tc>
          <w:tcPr>
            <w:tcW w:w="530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5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Loss in Amgen-Regeneron Partners................</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(4,575)</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(4,159)</w:t>
            </w:r>
          </w:p>
        </w:tc>
        <w:tc>
          <w:tcPr>
            <w:tcW w:w="11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(2,484)</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(3,403)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(14,250)</w:t>
            </w:r>
          </w:p>
        </w:tc>
      </w:tr>
      <w:tr>
        <w:trPr>
          <w:trHeight w:val="200"/>
        </w:trPr>
        <w:tc>
          <w:tcPr>
            <w:tcW w:w="5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Other income, net...............................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8,199</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4,923</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6,438</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5,507</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3,420</w:t>
            </w:r>
          </w:p>
        </w:tc>
      </w:tr>
      <w:tr>
        <w:trPr>
          <w:trHeight w:val="200"/>
        </w:trPr>
        <w:tc>
          <w:tcPr>
            <w:tcW w:w="530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3,624</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764</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3,954</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2,104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(10,830)</w:t>
            </w:r>
          </w:p>
        </w:tc>
      </w:tr>
      <w:tr>
        <w:trPr>
          <w:trHeight w:val="200"/>
        </w:trPr>
        <w:tc>
          <w:tcPr>
            <w:tcW w:w="530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spacing w:after="0"/>
              <w:rPr>
                <w:sz w:val="20"/>
                <w:szCs w:val="20"/>
                <w:color w:val="auto"/>
              </w:rPr>
            </w:pPr>
            <w:r>
              <w:rPr>
                <w:rFonts w:ascii="Courier New" w:cs="Courier New" w:eastAsia="Courier New" w:hAnsi="Courier New"/>
                <w:sz w:val="17"/>
                <w:szCs w:val="17"/>
                <w:color w:val="auto"/>
              </w:rPr>
              <w:t>Net loss before cumulative effect of a change in</w:t>
            </w: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5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accounting principle............................</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(21,652)</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(23,070)</w:t>
            </w:r>
          </w:p>
        </w:tc>
        <w:tc>
          <w:tcPr>
            <w:tcW w:w="11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(8,625)</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(11,579)</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(32,424)</w:t>
            </w:r>
          </w:p>
        </w:tc>
      </w:tr>
      <w:tr>
        <w:trPr>
          <w:trHeight w:val="200"/>
        </w:trPr>
        <w:tc>
          <w:tcPr>
            <w:tcW w:w="5300" w:type="dxa"/>
            <w:vAlign w:val="bottom"/>
          </w:tcPr>
          <w:p>
            <w:pPr>
              <w:spacing w:after="0"/>
              <w:rPr>
                <w:sz w:val="20"/>
                <w:szCs w:val="20"/>
                <w:color w:val="auto"/>
              </w:rPr>
            </w:pPr>
            <w:r>
              <w:rPr>
                <w:rFonts w:ascii="Courier New" w:cs="Courier New" w:eastAsia="Courier New" w:hAnsi="Courier New"/>
                <w:sz w:val="17"/>
                <w:szCs w:val="17"/>
                <w:color w:val="auto"/>
              </w:rPr>
              <w:t>Cumulative effect of adopting Staff</w:t>
            </w: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5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Accounting Bulletin 101.........................</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(1,563)</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Net loss..........................................</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$(23,215)</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$(23,070)</w:t>
            </w:r>
          </w:p>
        </w:tc>
        <w:tc>
          <w:tcPr>
            <w:tcW w:w="11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(8,625)</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$(11,579)</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$(32,424)</w:t>
            </w:r>
          </w:p>
        </w:tc>
      </w:tr>
      <w:tr>
        <w:trPr>
          <w:trHeight w:val="200"/>
        </w:trPr>
        <w:tc>
          <w:tcPr>
            <w:tcW w:w="530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spacing w:after="0"/>
              <w:rPr>
                <w:sz w:val="20"/>
                <w:szCs w:val="20"/>
                <w:color w:val="auto"/>
              </w:rPr>
            </w:pPr>
            <w:r>
              <w:rPr>
                <w:rFonts w:ascii="Courier New" w:cs="Courier New" w:eastAsia="Courier New" w:hAnsi="Courier New"/>
                <w:sz w:val="17"/>
                <w:szCs w:val="17"/>
                <w:color w:val="auto"/>
              </w:rPr>
              <w:t>Weighted average number of Class A and common</w:t>
            </w: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5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stock outstanding, basic and diluted............</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34,950</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31,308</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30,992</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28,702</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24,464</w:t>
            </w:r>
          </w:p>
        </w:tc>
      </w:tr>
      <w:tr>
        <w:trPr>
          <w:trHeight w:val="200"/>
        </w:trPr>
        <w:tc>
          <w:tcPr>
            <w:tcW w:w="530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Net loss per share, basic and diluted.............</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(0.66)</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(0.74)</w:t>
            </w:r>
          </w:p>
        </w:tc>
        <w:tc>
          <w:tcPr>
            <w:tcW w:w="11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(0.28)</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(0.40)</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  (1.33)</w:t>
            </w:r>
          </w:p>
        </w:tc>
      </w:tr>
      <w:tr>
        <w:trPr>
          <w:trHeight w:val="200"/>
        </w:trPr>
        <w:tc>
          <w:tcPr>
            <w:tcW w:w="530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4280"/>
        <w:spacing w:after="0"/>
        <w:rPr>
          <w:sz w:val="20"/>
          <w:szCs w:val="20"/>
          <w:color w:val="auto"/>
        </w:rPr>
      </w:pPr>
      <w:r>
        <w:rPr>
          <w:rFonts w:ascii="Courier New" w:cs="Courier New" w:eastAsia="Courier New" w:hAnsi="Courier New"/>
          <w:sz w:val="17"/>
          <w:szCs w:val="17"/>
          <w:color w:val="auto"/>
        </w:rPr>
        <w:t>AS OF DECEMBER 31, 2000</w:t>
      </w:r>
    </w:p>
    <w:p>
      <w:pPr>
        <w:spacing w:after="0" w:line="7" w:lineRule="exact"/>
        <w:rPr>
          <w:sz w:val="20"/>
          <w:szCs w:val="20"/>
          <w:color w:val="auto"/>
        </w:rPr>
      </w:pPr>
    </w:p>
    <w:p>
      <w:pPr>
        <w:ind w:left="64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6560"/>
        <w:spacing w:after="0"/>
        <w:tabs>
          <w:tab w:leader="none" w:pos="7780" w:val="left"/>
        </w:tabs>
        <w:rPr>
          <w:sz w:val="20"/>
          <w:szCs w:val="20"/>
          <w:color w:val="auto"/>
        </w:rPr>
      </w:pPr>
      <w:r>
        <w:rPr>
          <w:rFonts w:ascii="Courier New" w:cs="Courier New" w:eastAsia="Courier New" w:hAnsi="Courier New"/>
          <w:sz w:val="17"/>
          <w:szCs w:val="17"/>
          <w:color w:val="auto"/>
        </w:rPr>
        <w:t>ACTUAL</w:t>
      </w:r>
      <w:r>
        <w:rPr>
          <w:sz w:val="20"/>
          <w:szCs w:val="20"/>
          <w:color w:val="auto"/>
        </w:rPr>
        <w:tab/>
      </w:r>
      <w:r>
        <w:rPr>
          <w:rFonts w:ascii="Courier New" w:cs="Courier New" w:eastAsia="Courier New" w:hAnsi="Courier New"/>
          <w:sz w:val="17"/>
          <w:szCs w:val="17"/>
          <w:color w:val="auto"/>
        </w:rPr>
        <w:t>AS ADJUSTED(1)</w:t>
      </w:r>
    </w:p>
    <w:p>
      <w:pPr>
        <w:spacing w:after="0" w:line="7" w:lineRule="exact"/>
        <w:rPr>
          <w:sz w:val="20"/>
          <w:szCs w:val="20"/>
          <w:color w:val="auto"/>
        </w:rPr>
      </w:pPr>
    </w:p>
    <w:p>
      <w:pPr>
        <w:ind w:left="6440"/>
        <w:spacing w:after="0"/>
        <w:tabs>
          <w:tab w:leader="none" w:pos="77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7" w:lineRule="exact"/>
        <w:rPr>
          <w:sz w:val="20"/>
          <w:szCs w:val="20"/>
          <w:color w:val="auto"/>
        </w:rPr>
      </w:pPr>
    </w:p>
    <w:p>
      <w:pPr>
        <w:ind w:left="7080"/>
        <w:spacing w:after="0"/>
        <w:rPr>
          <w:sz w:val="20"/>
          <w:szCs w:val="20"/>
          <w:color w:val="auto"/>
        </w:rPr>
      </w:pPr>
      <w:r>
        <w:rPr>
          <w:rFonts w:ascii="Courier New" w:cs="Courier New" w:eastAsia="Courier New" w:hAnsi="Courier New"/>
          <w:sz w:val="17"/>
          <w:szCs w:val="17"/>
          <w:color w:val="auto"/>
        </w:rPr>
        <w:t>(IN THOUSANDS)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BALANCE SHEET DATA:</w:t>
      </w:r>
    </w:p>
    <w:p>
      <w:pPr>
        <w:spacing w:after="0" w:line="7" w:lineRule="exact"/>
        <w:rPr>
          <w:sz w:val="20"/>
          <w:szCs w:val="20"/>
          <w:color w:val="auto"/>
        </w:rPr>
      </w:pPr>
    </w:p>
    <w:p>
      <w:pPr>
        <w:spacing w:after="0"/>
        <w:tabs>
          <w:tab w:leader="none" w:pos="6420" w:val="left"/>
          <w:tab w:leader="none" w:pos="8100" w:val="left"/>
        </w:tabs>
        <w:rPr>
          <w:sz w:val="20"/>
          <w:szCs w:val="20"/>
          <w:color w:val="auto"/>
        </w:rPr>
      </w:pPr>
      <w:r>
        <w:rPr>
          <w:rFonts w:ascii="Courier New" w:cs="Courier New" w:eastAsia="Courier New" w:hAnsi="Courier New"/>
          <w:sz w:val="17"/>
          <w:szCs w:val="17"/>
          <w:color w:val="auto"/>
        </w:rPr>
        <w:t>Cash, cash equivalents and marketable securities............</w:t>
        <w:tab/>
        <w:t>$154,370</w:t>
      </w:r>
      <w:r>
        <w:rPr>
          <w:sz w:val="20"/>
          <w:szCs w:val="20"/>
          <w:color w:val="auto"/>
        </w:rPr>
        <w:tab/>
      </w:r>
      <w:r>
        <w:rPr>
          <w:rFonts w:ascii="Courier New" w:cs="Courier New" w:eastAsia="Courier New" w:hAnsi="Courier New"/>
          <w:sz w:val="17"/>
          <w:szCs w:val="17"/>
          <w:color w:val="auto"/>
        </w:rPr>
        <w:t>$265,770</w:t>
      </w:r>
    </w:p>
    <w:p>
      <w:pPr>
        <w:spacing w:after="0" w:line="7" w:lineRule="exact"/>
        <w:rPr>
          <w:sz w:val="20"/>
          <w:szCs w:val="20"/>
          <w:color w:val="auto"/>
        </w:rPr>
      </w:pPr>
    </w:p>
    <w:p>
      <w:pPr>
        <w:spacing w:after="0"/>
        <w:tabs>
          <w:tab w:leader="none" w:pos="6540" w:val="left"/>
          <w:tab w:leader="none" w:pos="8200" w:val="left"/>
        </w:tabs>
        <w:rPr>
          <w:sz w:val="20"/>
          <w:szCs w:val="20"/>
          <w:color w:val="auto"/>
        </w:rPr>
      </w:pPr>
      <w:r>
        <w:rPr>
          <w:rFonts w:ascii="Courier New" w:cs="Courier New" w:eastAsia="Courier New" w:hAnsi="Courier New"/>
          <w:sz w:val="17"/>
          <w:szCs w:val="17"/>
          <w:color w:val="auto"/>
        </w:rPr>
        <w:t>Total assets................................................</w:t>
      </w:r>
      <w:r>
        <w:rPr>
          <w:sz w:val="20"/>
          <w:szCs w:val="20"/>
          <w:color w:val="auto"/>
        </w:rPr>
        <w:tab/>
      </w:r>
      <w:r>
        <w:rPr>
          <w:rFonts w:ascii="Courier New" w:cs="Courier New" w:eastAsia="Courier New" w:hAnsi="Courier New"/>
          <w:sz w:val="17"/>
          <w:szCs w:val="17"/>
          <w:color w:val="auto"/>
        </w:rPr>
        <w:t>208,274</w:t>
      </w:r>
      <w:r>
        <w:rPr>
          <w:sz w:val="20"/>
          <w:szCs w:val="20"/>
          <w:color w:val="auto"/>
        </w:rPr>
        <w:tab/>
      </w:r>
      <w:r>
        <w:rPr>
          <w:rFonts w:ascii="Courier New" w:cs="Courier New" w:eastAsia="Courier New" w:hAnsi="Courier New"/>
          <w:sz w:val="17"/>
          <w:szCs w:val="17"/>
          <w:color w:val="auto"/>
        </w:rPr>
        <w:t>319,674</w:t>
      </w:r>
    </w:p>
    <w:p>
      <w:pPr>
        <w:spacing w:after="0" w:line="7" w:lineRule="exact"/>
        <w:rPr>
          <w:sz w:val="20"/>
          <w:szCs w:val="20"/>
          <w:color w:val="auto"/>
        </w:rPr>
      </w:pPr>
    </w:p>
    <w:p>
      <w:pPr>
        <w:spacing w:after="0"/>
        <w:tabs>
          <w:tab w:leader="none" w:pos="6540" w:val="left"/>
          <w:tab w:leader="none" w:pos="8200" w:val="left"/>
        </w:tabs>
        <w:rPr>
          <w:sz w:val="20"/>
          <w:szCs w:val="20"/>
          <w:color w:val="auto"/>
        </w:rPr>
      </w:pPr>
      <w:r>
        <w:rPr>
          <w:rFonts w:ascii="Courier New" w:cs="Courier New" w:eastAsia="Courier New" w:hAnsi="Courier New"/>
          <w:sz w:val="17"/>
          <w:szCs w:val="17"/>
          <w:color w:val="auto"/>
        </w:rPr>
        <w:t>Stockholders' equity........................................</w:t>
      </w:r>
      <w:r>
        <w:rPr>
          <w:sz w:val="20"/>
          <w:szCs w:val="20"/>
          <w:color w:val="auto"/>
        </w:rPr>
        <w:tab/>
      </w:r>
      <w:r>
        <w:rPr>
          <w:rFonts w:ascii="Courier New" w:cs="Courier New" w:eastAsia="Courier New" w:hAnsi="Courier New"/>
          <w:sz w:val="17"/>
          <w:szCs w:val="17"/>
          <w:color w:val="auto"/>
        </w:rPr>
        <w:t>182,130</w:t>
      </w:r>
      <w:r>
        <w:rPr>
          <w:sz w:val="20"/>
          <w:szCs w:val="20"/>
          <w:color w:val="auto"/>
        </w:rPr>
        <w:tab/>
      </w:r>
      <w:r>
        <w:rPr>
          <w:rFonts w:ascii="Courier New" w:cs="Courier New" w:eastAsia="Courier New" w:hAnsi="Courier New"/>
          <w:sz w:val="17"/>
          <w:szCs w:val="17"/>
          <w:color w:val="auto"/>
        </w:rPr>
        <w:t>293,530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7" w:lineRule="exact"/>
        <w:rPr>
          <w:sz w:val="20"/>
          <w:szCs w:val="20"/>
          <w:color w:val="auto"/>
        </w:rPr>
      </w:pPr>
    </w:p>
    <w:p>
      <w:pPr>
        <w:ind w:left="420" w:right="2920" w:hanging="413"/>
        <w:spacing w:after="0" w:line="249" w:lineRule="auto"/>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Gives effect to the sale of 4,000,000 shares of common stock in this offering, assuming a public offering price of $29.50 per share, and our receipt of the net proceeds after deducting the underwriting discount and estimated offering expenses. See "Capitalization."</w:t>
      </w:r>
    </w:p>
    <w:p>
      <w:pPr>
        <w:sectPr>
          <w:pgSz w:w="11900" w:h="16838" w:orient="portrait"/>
          <w:cols w:equalWidth="0" w:num="1">
            <w:col w:w="10920"/>
          </w:cols>
          <w:pgMar w:left="240" w:top="315" w:right="739" w:bottom="193" w:gutter="0" w:footer="0" w:header="0"/>
        </w:sectPr>
      </w:pPr>
    </w:p>
    <w:p>
      <w:pPr>
        <w:spacing w:after="0" w:line="400"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920"/>
          </w:cols>
          <w:pgMar w:left="240" w:top="315" w:right="739" w:bottom="193"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8</w:t>
      </w:r>
    </w:p>
    <w:p>
      <w:pPr>
        <w:spacing w:after="0" w:line="20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RISK FACTORS</w:t>
      </w:r>
    </w:p>
    <w:p>
      <w:pPr>
        <w:spacing w:after="0" w:line="20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You should carefully consider the following risk factors before you decide to buy our common stock. If any of these risks actually occurs, our business, financial condition, operating results or cash flows could be materially adversely affected. This could cause the trading price of our common stock to decline and you may lose part or all of your investment.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RISKS RELATED TO OUR BUSINESS, INDUSTRY AND STRATEGY</w:t>
      </w:r>
    </w:p>
    <w:p>
      <w:pPr>
        <w:spacing w:after="0" w:line="200" w:lineRule="exact"/>
        <w:rPr>
          <w:sz w:val="20"/>
          <w:szCs w:val="20"/>
          <w:color w:val="auto"/>
        </w:rPr>
      </w:pPr>
    </w:p>
    <w:p>
      <w:pPr>
        <w:spacing w:after="0" w:line="207"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OUR RESEARCH AND DEVELOPMENT PROGRAMS MAY BE UNSUCCESSFUL AND MAY NOT LEAD TO THE DEVELOPMENT OF ANY COMMERCIALLY SUCCESSFUL PRODUCTS.</w:t>
      </w:r>
    </w:p>
    <w:p>
      <w:pPr>
        <w:spacing w:after="0" w:line="200" w:lineRule="exact"/>
        <w:rPr>
          <w:sz w:val="20"/>
          <w:szCs w:val="20"/>
          <w:color w:val="auto"/>
        </w:rPr>
      </w:pPr>
    </w:p>
    <w:p>
      <w:pPr>
        <w:spacing w:after="0" w:line="396"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Only a small minority of all research and development programs ultimately result in commercially successful drugs. We are attempting to develop drugs for human therapeutic uses. In order to begin the development process, we need to identify potential product candidates. Although we currently have several product candidates, our research and development activities may not successfully identify new product candidates. Our ability to commercialize the product candidates we do identify depends on completing clinical trials with each product candidate. Clinical trials are a multi-step process as the product candidate is tested in larger populations, and a product candidate could fail at any step. Each stage of clinical development is more costly than the prior stage and we may expend substantial resources on a product candidate and then determine it cannot be successfully commercialized. For example, following a review of the clinical trial data, we and Amgen discontinued the development of Brain-Derived Neurotrophic Factor (BDNF) for the treatment of amyotrophic lateral sclerosis in January 2001. Further, we may never obtain regulatory approval for any of our product candidates.</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Even if the safety and efficacy of our product candidates are demonstrated in clinical trials and the necessary regulatory approvals are obtained, the commercial success of any of our product candidates will depend on our ability to successfully develop, manufacture, and market our product candidates and upon their acceptance by patients, the medical community, and third-party payors. If our products are not successfully commercialized, we will not be able to recover the significant investment we have made in developing such products and our business would be severely harmed.</w:t>
      </w:r>
    </w:p>
    <w:p>
      <w:pPr>
        <w:spacing w:after="0" w:line="200" w:lineRule="exact"/>
        <w:rPr>
          <w:sz w:val="20"/>
          <w:szCs w:val="20"/>
          <w:color w:val="auto"/>
        </w:rPr>
      </w:pPr>
    </w:p>
    <w:p>
      <w:pPr>
        <w:spacing w:after="0" w:line="399"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WE MAY BE REQUIRED TO SUSPEND, REPEAT OR TERMINATE OUR CLINICAL TRIALS, WHICH COULD HAVE A MATERIAL ADVERSE EFFECT ON OUR BUSINESS.</w:t>
      </w:r>
    </w:p>
    <w:p>
      <w:pPr>
        <w:spacing w:after="0" w:line="200" w:lineRule="exact"/>
        <w:rPr>
          <w:sz w:val="20"/>
          <w:szCs w:val="20"/>
          <w:color w:val="auto"/>
        </w:rPr>
      </w:pPr>
    </w:p>
    <w:p>
      <w:pPr>
        <w:spacing w:after="0" w:line="396"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order to obtain regulatory approval for the commercial sale of our product candidates, we will be required to complete extensive clinical trials in humans to demonstrate safety and efficacy of the product candidates. We have limited experience in conducting clinical trials. A clinical trial may be suspended or terminated by us or the FDA, or otherwise fail, for a number of reasons, including:</w:t>
      </w:r>
    </w:p>
    <w:p>
      <w:pPr>
        <w:spacing w:after="0" w:line="200" w:lineRule="exact"/>
        <w:rPr>
          <w:sz w:val="20"/>
          <w:szCs w:val="20"/>
          <w:color w:val="auto"/>
        </w:rPr>
      </w:pPr>
    </w:p>
    <w:p>
      <w:pPr>
        <w:spacing w:after="0" w:line="399" w:lineRule="exact"/>
        <w:rPr>
          <w:sz w:val="20"/>
          <w:szCs w:val="20"/>
          <w:color w:val="auto"/>
        </w:rPr>
      </w:pPr>
    </w:p>
    <w:p>
      <w:pPr>
        <w:ind w:left="640" w:right="1899" w:hanging="114"/>
        <w:spacing w:after="0" w:line="251" w:lineRule="auto"/>
        <w:tabs>
          <w:tab w:leader="none" w:pos="74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product candidate may cause unforeseen adverse side effects or immune reactions;</w:t>
      </w:r>
    </w:p>
    <w:p>
      <w:pPr>
        <w:spacing w:after="0" w:line="200" w:lineRule="exact"/>
        <w:rPr>
          <w:rFonts w:ascii="Courier New" w:cs="Courier New" w:eastAsia="Courier New" w:hAnsi="Courier New"/>
          <w:sz w:val="17"/>
          <w:szCs w:val="17"/>
          <w:color w:val="auto"/>
        </w:rPr>
      </w:pPr>
    </w:p>
    <w:p>
      <w:pPr>
        <w:spacing w:after="0" w:line="396" w:lineRule="exact"/>
        <w:rPr>
          <w:rFonts w:ascii="Courier New" w:cs="Courier New" w:eastAsia="Courier New" w:hAnsi="Courier New"/>
          <w:sz w:val="17"/>
          <w:szCs w:val="17"/>
          <w:color w:val="auto"/>
        </w:rPr>
      </w:pPr>
    </w:p>
    <w:p>
      <w:pPr>
        <w:ind w:left="640" w:right="1899" w:hanging="114"/>
        <w:spacing w:after="0" w:line="251" w:lineRule="auto"/>
        <w:tabs>
          <w:tab w:leader="none" w:pos="74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time required to determine whether the product candidate is effective may be longer than expected;</w:t>
      </w:r>
    </w:p>
    <w:p>
      <w:pPr>
        <w:spacing w:after="0" w:line="200" w:lineRule="exact"/>
        <w:rPr>
          <w:rFonts w:ascii="Courier New" w:cs="Courier New" w:eastAsia="Courier New" w:hAnsi="Courier New"/>
          <w:sz w:val="17"/>
          <w:szCs w:val="17"/>
          <w:color w:val="auto"/>
        </w:rPr>
      </w:pPr>
    </w:p>
    <w:p>
      <w:pPr>
        <w:spacing w:after="0" w:line="396" w:lineRule="exact"/>
        <w:rPr>
          <w:rFonts w:ascii="Courier New" w:cs="Courier New" w:eastAsia="Courier New" w:hAnsi="Courier New"/>
          <w:sz w:val="17"/>
          <w:szCs w:val="17"/>
          <w:color w:val="auto"/>
        </w:rPr>
      </w:pPr>
    </w:p>
    <w:p>
      <w:pPr>
        <w:ind w:left="640" w:right="2219" w:hanging="114"/>
        <w:spacing w:after="0" w:line="251" w:lineRule="auto"/>
        <w:tabs>
          <w:tab w:leader="none" w:pos="74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product candidate may not appear to be more effective than current available therapies;</w:t>
      </w:r>
    </w:p>
    <w:p>
      <w:pPr>
        <w:spacing w:after="0" w:line="200" w:lineRule="exact"/>
        <w:rPr>
          <w:rFonts w:ascii="Courier New" w:cs="Courier New" w:eastAsia="Courier New" w:hAnsi="Courier New"/>
          <w:sz w:val="17"/>
          <w:szCs w:val="17"/>
          <w:color w:val="auto"/>
        </w:rPr>
      </w:pPr>
    </w:p>
    <w:p>
      <w:pPr>
        <w:spacing w:after="0" w:line="396" w:lineRule="exact"/>
        <w:rPr>
          <w:rFonts w:ascii="Courier New" w:cs="Courier New" w:eastAsia="Courier New" w:hAnsi="Courier New"/>
          <w:sz w:val="17"/>
          <w:szCs w:val="17"/>
          <w:color w:val="auto"/>
        </w:rPr>
      </w:pPr>
    </w:p>
    <w:p>
      <w:pPr>
        <w:ind w:left="640" w:right="1899" w:hanging="114"/>
        <w:spacing w:after="0" w:line="251" w:lineRule="auto"/>
        <w:tabs>
          <w:tab w:leader="none" w:pos="74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failure to enroll a sufficient number of patients meeting eligibility requirements;</w:t>
      </w:r>
    </w:p>
    <w:p>
      <w:pPr>
        <w:sectPr>
          <w:pgSz w:w="11900" w:h="16838" w:orient="portrait"/>
          <w:cols w:equalWidth="0" w:num="1">
            <w:col w:w="10219"/>
          </w:cols>
          <w:pgMar w:left="240" w:top="315" w:right="1440" w:bottom="172" w:gutter="0" w:footer="0" w:header="0"/>
        </w:sectPr>
      </w:pPr>
    </w:p>
    <w:bookmarkStart w:id="10" w:name="page11"/>
    <w:bookmarkEnd w:id="10"/>
    <w:p>
      <w:pPr>
        <w:ind w:left="640" w:right="1999" w:hanging="114"/>
        <w:spacing w:after="0" w:line="251" w:lineRule="auto"/>
        <w:tabs>
          <w:tab w:leader="none" w:pos="74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clinical investigators, trial monitors or trial subjects may fail to comply with the trial plan or protocol; or</w:t>
      </w:r>
    </w:p>
    <w:p>
      <w:pPr>
        <w:spacing w:after="0" w:line="200" w:lineRule="exact"/>
        <w:rPr>
          <w:rFonts w:ascii="Courier New" w:cs="Courier New" w:eastAsia="Courier New" w:hAnsi="Courier New"/>
          <w:sz w:val="17"/>
          <w:szCs w:val="17"/>
          <w:color w:val="auto"/>
        </w:rPr>
      </w:pPr>
    </w:p>
    <w:p>
      <w:pPr>
        <w:spacing w:after="0" w:line="396" w:lineRule="exact"/>
        <w:rPr>
          <w:rFonts w:ascii="Courier New" w:cs="Courier New" w:eastAsia="Courier New" w:hAnsi="Courier New"/>
          <w:sz w:val="17"/>
          <w:szCs w:val="17"/>
          <w:color w:val="auto"/>
        </w:rPr>
      </w:pPr>
    </w:p>
    <w:p>
      <w:pPr>
        <w:ind w:left="640" w:right="2319" w:hanging="114"/>
        <w:spacing w:after="0" w:line="251" w:lineRule="auto"/>
        <w:tabs>
          <w:tab w:leader="none" w:pos="74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failure to be able to supply sufficient quantities of the product candidate to complete the trial.</w:t>
      </w:r>
    </w:p>
    <w:p>
      <w:pPr>
        <w:spacing w:after="0" w:line="200" w:lineRule="exact"/>
        <w:rPr>
          <w:sz w:val="20"/>
          <w:szCs w:val="20"/>
          <w:color w:val="auto"/>
        </w:rPr>
      </w:pPr>
    </w:p>
    <w:p>
      <w:pPr>
        <w:spacing w:after="0" w:line="396" w:lineRule="exact"/>
        <w:rPr>
          <w:sz w:val="20"/>
          <w:szCs w:val="20"/>
          <w:color w:val="auto"/>
        </w:rPr>
      </w:pPr>
    </w:p>
    <w:p>
      <w:pPr>
        <w:ind w:right="2099" w:firstLine="519"/>
        <w:spacing w:after="0" w:line="249" w:lineRule="auto"/>
        <w:rPr>
          <w:sz w:val="20"/>
          <w:szCs w:val="20"/>
          <w:color w:val="auto"/>
        </w:rPr>
      </w:pPr>
      <w:r>
        <w:rPr>
          <w:rFonts w:ascii="Courier New" w:cs="Courier New" w:eastAsia="Courier New" w:hAnsi="Courier New"/>
          <w:sz w:val="17"/>
          <w:szCs w:val="17"/>
          <w:color w:val="auto"/>
        </w:rPr>
        <w:t>Success in preclinical and early clinical trials may not be predictive of the results in large-scale trials. Any failure or substantial delay in successfully completing clinical trials and obtaining regulatory approval for our product candidates could severely harm our business.</w:t>
      </w:r>
    </w:p>
    <w:p>
      <w:pPr>
        <w:spacing w:after="0" w:line="4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14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9</w:t>
      </w:r>
    </w:p>
    <w:p>
      <w:pPr>
        <w:spacing w:after="0" w:line="200" w:lineRule="exact"/>
        <w:rPr>
          <w:sz w:val="20"/>
          <w:szCs w:val="20"/>
          <w:color w:val="auto"/>
        </w:rPr>
      </w:pPr>
    </w:p>
    <w:p>
      <w:pPr>
        <w:spacing w:after="0" w:line="207"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WE MAY NOT BE SUCCESSFUL IN OUR ATTEMPT TO BROADEN OUR PRODUCT PIPELINE AS IT WILL REQUIRE EXPERTISE AND RESOURCES WE DO NOT CURRENTLY HAVE.</w:t>
      </w:r>
    </w:p>
    <w:p>
      <w:pPr>
        <w:spacing w:after="0" w:line="200" w:lineRule="exact"/>
        <w:rPr>
          <w:sz w:val="20"/>
          <w:szCs w:val="20"/>
          <w:color w:val="auto"/>
        </w:rPr>
      </w:pPr>
    </w:p>
    <w:p>
      <w:pPr>
        <w:spacing w:after="0" w:line="396"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We have expanded from our initial focus on degenerative neurologic disease and broadened our product pipeline to include drug candidates for the treatment of other diseases. As our scientific efforts lead us in new directions into conditions or diseases outside of our areas of experience and expertise, we will require additional internal expertise or external collaborations in areas in which we currently do not have substantial resources and personnel. As we develop drug candidates independently, we will require additional resources that may be difficult to obtain. If we have to enter into collaboration arrangements with others, we may be required to relinquish rights to some of our technologies, product candidates, or products that we would otherwise pursue independently. We may not be able to acquire the necessary expertise internally or be able to enter into collaboration arrangements on acceptable terms to develop additional drug candidates.</w:t>
      </w:r>
    </w:p>
    <w:p>
      <w:pPr>
        <w:spacing w:after="0" w:line="200" w:lineRule="exact"/>
        <w:rPr>
          <w:sz w:val="20"/>
          <w:szCs w:val="20"/>
          <w:color w:val="auto"/>
        </w:rPr>
      </w:pPr>
    </w:p>
    <w:p>
      <w:pPr>
        <w:spacing w:after="0" w:line="399" w:lineRule="exact"/>
        <w:rPr>
          <w:sz w:val="20"/>
          <w:szCs w:val="20"/>
          <w:color w:val="auto"/>
        </w:rPr>
      </w:pPr>
    </w:p>
    <w:p>
      <w:pPr>
        <w:ind w:right="2319"/>
        <w:spacing w:after="0" w:line="251" w:lineRule="auto"/>
        <w:rPr>
          <w:sz w:val="20"/>
          <w:szCs w:val="20"/>
          <w:color w:val="auto"/>
        </w:rPr>
      </w:pPr>
      <w:r>
        <w:rPr>
          <w:rFonts w:ascii="Courier New" w:cs="Courier New" w:eastAsia="Courier New" w:hAnsi="Courier New"/>
          <w:sz w:val="17"/>
          <w:szCs w:val="17"/>
          <w:color w:val="auto"/>
        </w:rPr>
        <w:t>WE HAVE NEVER GENERATED SALES OR PROFITS AND EXPECT TO INCUR LOSSES OVER THE NEXT SEVERAL YEARS.</w:t>
      </w:r>
    </w:p>
    <w:p>
      <w:pPr>
        <w:spacing w:after="0" w:line="200" w:lineRule="exact"/>
        <w:rPr>
          <w:sz w:val="20"/>
          <w:szCs w:val="20"/>
          <w:color w:val="auto"/>
        </w:rPr>
      </w:pPr>
    </w:p>
    <w:p>
      <w:pPr>
        <w:spacing w:after="0" w:line="396"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We have not received revenue from the commercialization of our product candidates. We do not expect to receive any revenue from the commercialization of our product candidates for several years and we intend to continue to invest significantly in our product candidates. We have incurred losses in each year since inception of operations in 1988. As of December 31, 2000, we had an accumulated deficit of $223.5 million. We may never have an approved or commercially successful product or achieve significant revenues or profitable operations. If we fail to gain approval from the FDA to commercialize a product candidate, we may not be able to earn sufficient revenue to continue as a going concern.</w:t>
      </w:r>
    </w:p>
    <w:p>
      <w:pPr>
        <w:spacing w:after="0" w:line="200" w:lineRule="exact"/>
        <w:rPr>
          <w:sz w:val="20"/>
          <w:szCs w:val="20"/>
          <w:color w:val="auto"/>
        </w:rPr>
      </w:pPr>
    </w:p>
    <w:p>
      <w:pPr>
        <w:spacing w:after="0" w:line="399" w:lineRule="exact"/>
        <w:rPr>
          <w:sz w:val="20"/>
          <w:szCs w:val="20"/>
          <w:color w:val="auto"/>
        </w:rPr>
      </w:pPr>
    </w:p>
    <w:p>
      <w:pPr>
        <w:ind w:right="2219"/>
        <w:spacing w:after="0" w:line="250" w:lineRule="auto"/>
        <w:rPr>
          <w:sz w:val="20"/>
          <w:szCs w:val="20"/>
          <w:color w:val="auto"/>
        </w:rPr>
      </w:pPr>
      <w:r>
        <w:rPr>
          <w:rFonts w:ascii="Courier New" w:cs="Courier New" w:eastAsia="Courier New" w:hAnsi="Courier New"/>
          <w:sz w:val="17"/>
          <w:szCs w:val="17"/>
          <w:color w:val="auto"/>
        </w:rPr>
        <w:t>WE CURRENTLY RECEIVE REVENUE FROM THIRD PARTIES; IF WE DO NOT RECEIVE THESE REVENUES, WE MAY NEED TO FIND ALTERNATIVE SOURCES OF FUNDING FOR OUR RESEARCH DEVELOPMENT ACTIVITIES.</w:t>
      </w:r>
    </w:p>
    <w:p>
      <w:pPr>
        <w:spacing w:after="0" w:line="200" w:lineRule="exact"/>
        <w:rPr>
          <w:sz w:val="20"/>
          <w:szCs w:val="20"/>
          <w:color w:val="auto"/>
        </w:rPr>
      </w:pPr>
    </w:p>
    <w:p>
      <w:pPr>
        <w:spacing w:after="0" w:line="3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To date, we have received revenues from (1) our licensees and collaborators for research and development efforts, (2) Merck and Sumitomo Pharmaceuticals Company, Ltd. for contract manufacturing, and (3) investment income. We may not continue to receive these revenues or the amount of these revenues may be dramatically reduced. In the absence of these revenues, we will have to obtain other sources of funding to continue to conduct our research and activities.</w:t>
      </w:r>
    </w:p>
    <w:p>
      <w:pPr>
        <w:spacing w:after="0" w:line="200" w:lineRule="exact"/>
        <w:rPr>
          <w:sz w:val="20"/>
          <w:szCs w:val="20"/>
          <w:color w:val="auto"/>
        </w:rPr>
      </w:pPr>
    </w:p>
    <w:p>
      <w:pPr>
        <w:spacing w:after="0" w:line="399"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In January 2001, Amgen-Regeneron Partners discontinued all clinical development of BDNF which is licensed to Sumitomo Pharmaceuticals for development in Japan. As a result, it is likely that Sumitomo Pharmaceuticals will exercise its discretionary right to terminate the license with us for BDNF and, other than amounts currently outstanding and any wind-down costs, we would not expect to receive further payments from Sumitomo Pharmaceuticals. We recognized revenue from Sumitomo Pharmaceuticals of $7.6 million in 2000, $0.1 million in 1999, and $8.8 million in 1998.</w:t>
      </w:r>
    </w:p>
    <w:p>
      <w:pPr>
        <w:spacing w:after="0" w:line="200" w:lineRule="exact"/>
        <w:rPr>
          <w:sz w:val="20"/>
          <w:szCs w:val="20"/>
          <w:color w:val="auto"/>
        </w:rPr>
      </w:pPr>
    </w:p>
    <w:p>
      <w:pPr>
        <w:spacing w:after="0" w:line="399"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WE MAY REQUIRE ADDITIONAL FINANCING, WHICH MAY BE DIFFICULT TO OBTAIN AND MAY DILUTE YOUR OWNERSHIP INTEREST.</w:t>
      </w:r>
    </w:p>
    <w:p>
      <w:pPr>
        <w:spacing w:after="0" w:line="200" w:lineRule="exact"/>
        <w:rPr>
          <w:sz w:val="20"/>
          <w:szCs w:val="20"/>
          <w:color w:val="auto"/>
        </w:rPr>
      </w:pPr>
    </w:p>
    <w:p>
      <w:pPr>
        <w:spacing w:after="0" w:line="396"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We have had negative cash flow from operations in each year since our inception. We expect that the funding requirements for our activities will remain substantial and could increase significantly if our development or clinical trial programs are successful or our research is expanded. For example, if we are able to commence a Phase III study of AXOKINE, the costs of conducting such a study, or any potential further studies required by the FDA or foreign regulatory authorities, would likely exceed $50 million or more.</w:t>
      </w:r>
    </w:p>
    <w:p>
      <w:pPr>
        <w:sectPr>
          <w:pgSz w:w="11900" w:h="16838" w:orient="portrait"/>
          <w:cols w:equalWidth="0" w:num="1">
            <w:col w:w="10219"/>
          </w:cols>
          <w:pgMar w:left="240" w:top="315" w:right="1440" w:bottom="0" w:gutter="0" w:footer="0" w:header="0"/>
        </w:sectPr>
      </w:pPr>
    </w:p>
    <w:bookmarkStart w:id="12" w:name="page13"/>
    <w:bookmarkEnd w:id="12"/>
    <w:p>
      <w:pPr>
        <w:ind w:right="1999" w:firstLine="519"/>
        <w:spacing w:after="0" w:line="249" w:lineRule="auto"/>
        <w:rPr>
          <w:sz w:val="20"/>
          <w:szCs w:val="20"/>
          <w:color w:val="auto"/>
        </w:rPr>
      </w:pPr>
      <w:r>
        <w:rPr>
          <w:rFonts w:ascii="Courier New" w:cs="Courier New" w:eastAsia="Courier New" w:hAnsi="Courier New"/>
          <w:sz w:val="17"/>
          <w:szCs w:val="17"/>
          <w:color w:val="auto"/>
        </w:rPr>
        <w:t>In addition, we are required to provide capital from time to time to fund and remain equal partners with Amgen in Amgen-Regeneron Partners. Our aggregate capital contributions to Amgen-Regeneron Partners from the partnership's inception in June 1993 through December 31, 2000 was $56.2 million. We expect that our capital contributions for 2001 will total at least $2.2 million. These contributions could increase or decrease, depending upon, among other things, the nature and cost of ongoing and additional</w:t>
      </w:r>
    </w:p>
    <w:p>
      <w:pPr>
        <w:spacing w:after="0" w:line="4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42" w:right="1440" w:bottom="1440" w:gutter="0" w:footer="0" w:header="0"/>
        </w:sectPr>
      </w:pPr>
    </w:p>
    <w:bookmarkStart w:id="13" w:name="page14"/>
    <w:bookmarkEnd w:id="13"/>
    <w:p>
      <w:pPr>
        <w:spacing w:after="0" w:line="53"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spacing w:after="0" w:line="207"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NT-3 studies that Amgen-Regeneron Partners may conduct, the outcomes of those studies, and costs associated with the discontinuation of the BDNF studies.</w:t>
      </w:r>
    </w:p>
    <w:p>
      <w:pPr>
        <w:spacing w:after="0" w:line="200" w:lineRule="exact"/>
        <w:rPr>
          <w:sz w:val="20"/>
          <w:szCs w:val="20"/>
          <w:color w:val="auto"/>
        </w:rPr>
      </w:pPr>
    </w:p>
    <w:p>
      <w:pPr>
        <w:spacing w:after="0" w:line="396"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We anticipate that the net proceeds from this offering, together with our cash, cash equivalents, and marketable securities of $154.4 million as of December 31, 2000, will be sufficient for our working capital needs for several years. However, we may need additional funding sooner due to a number of factors, including:</w:t>
      </w:r>
    </w:p>
    <w:p>
      <w:pPr>
        <w:spacing w:after="0" w:line="400" w:lineRule="exact"/>
        <w:rPr>
          <w:sz w:val="20"/>
          <w:szCs w:val="20"/>
          <w:color w:val="auto"/>
        </w:rPr>
      </w:pPr>
    </w:p>
    <w:p>
      <w:pPr>
        <w:ind w:left="740" w:right="2319" w:hanging="214"/>
        <w:spacing w:after="0" w:line="251" w:lineRule="auto"/>
        <w:tabs>
          <w:tab w:leader="none" w:pos="7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speed with which some of our earlier stage developmental products move into later stage clinical development;</w:t>
      </w:r>
    </w:p>
    <w:p>
      <w:pPr>
        <w:spacing w:after="0" w:line="196"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identification of additional product candidates;</w:t>
      </w:r>
    </w:p>
    <w:p>
      <w:pPr>
        <w:spacing w:after="0" w:line="207" w:lineRule="exact"/>
        <w:rPr>
          <w:rFonts w:ascii="Courier New" w:cs="Courier New" w:eastAsia="Courier New" w:hAnsi="Courier New"/>
          <w:sz w:val="17"/>
          <w:szCs w:val="17"/>
          <w:color w:val="auto"/>
        </w:rPr>
      </w:pPr>
    </w:p>
    <w:p>
      <w:pPr>
        <w:ind w:left="740" w:right="2219" w:hanging="214"/>
        <w:spacing w:after="0" w:line="251" w:lineRule="auto"/>
        <w:tabs>
          <w:tab w:leader="none" w:pos="7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identification of new indications for a potential product in later stage clinical trials;</w:t>
      </w:r>
    </w:p>
    <w:p>
      <w:pPr>
        <w:spacing w:after="0" w:line="196"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termination of any of our collaboration agreements;</w:t>
      </w:r>
    </w:p>
    <w:p>
      <w:pPr>
        <w:spacing w:after="0" w:line="207"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acquisition of technologies or product candidates;</w:t>
      </w:r>
    </w:p>
    <w:p>
      <w:pPr>
        <w:spacing w:after="0" w:line="207"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pursuit of new business opportunities;</w:t>
      </w:r>
    </w:p>
    <w:p>
      <w:pPr>
        <w:spacing w:after="0" w:line="207"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cost of developing a marketing or sales force; and</w:t>
      </w: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740" w:right="1899" w:hanging="214"/>
        <w:spacing w:after="0" w:line="251" w:lineRule="auto"/>
        <w:tabs>
          <w:tab w:leader="none" w:pos="7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cost of developing or defending our patents, patent applications, and other intellectual property rights.</w:t>
      </w:r>
    </w:p>
    <w:p>
      <w:pPr>
        <w:spacing w:after="0" w:line="396"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We have no established banking arrangements through which we can obtain short-term financing or a line of credit. We may seek additional funding through collaborative arrangements and public or private financing. Additional financing may not be available to us on acceptable terms or at all. If we are unable to obtain additional funding when needed, we may have to delay or scale back some of our programs or grant to third parties rights to development or other product rights. If we raise additional funds by issuing equity securities, further dilution to our then existing shareholders may result.</w:t>
      </w:r>
    </w:p>
    <w:p>
      <w:pPr>
        <w:spacing w:after="0" w:line="400"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7"/>
          <w:szCs w:val="17"/>
          <w:color w:val="auto"/>
        </w:rPr>
        <w:t>UNDESIRABLE AND UNINTENDED SIDE EFFECTS OF AXOKINE MAY INTERRUPT OR DELAY CLINICAL STUDIES AND COULD ULTIMATELY PREVENT OR LIMIT ITS COMMERCIAL USE.</w:t>
      </w:r>
    </w:p>
    <w:p>
      <w:pPr>
        <w:spacing w:after="0" w:line="200" w:lineRule="exact"/>
        <w:rPr>
          <w:sz w:val="20"/>
          <w:szCs w:val="20"/>
          <w:color w:val="auto"/>
        </w:rPr>
      </w:pPr>
    </w:p>
    <w:p>
      <w:pPr>
        <w:spacing w:after="0" w:line="396"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Various side-effects have been reported during the clinical trials of AXOKINE, our only product candidate that has completed Phase II trials. During the Phase I study that was conducted in 1999, incidents of nausea, vomiting, and recurrence of herpes simplex virus, or HSV, were reported by patients taking AXOKINE. Recurrence of HSV was also reported in previous clinical studies of CNTF, AXOKINE's parent molecule. In addition, in the Phase I study, one patient who was HSV positive prior to treatment and had been previously diagnosed with Bell's palsy, had a recurrence of Bell's palsy approximately two weeks after the patient's last administration of AXOKINE. In the recently completed Phase II study of AXOKINE, reported side effects included injection site reactions, nausea, cough, and vomiting.</w:t>
      </w:r>
    </w:p>
    <w:p>
      <w:pPr>
        <w:spacing w:after="0" w:line="200" w:lineRule="exact"/>
        <w:rPr>
          <w:sz w:val="20"/>
          <w:szCs w:val="20"/>
          <w:color w:val="auto"/>
        </w:rPr>
      </w:pPr>
    </w:p>
    <w:p>
      <w:pPr>
        <w:spacing w:after="0" w:line="399" w:lineRule="exact"/>
        <w:rPr>
          <w:sz w:val="20"/>
          <w:szCs w:val="20"/>
          <w:color w:val="auto"/>
        </w:rPr>
      </w:pPr>
    </w:p>
    <w:p>
      <w:pPr>
        <w:ind w:right="1999" w:firstLine="519"/>
        <w:spacing w:after="0" w:line="248" w:lineRule="auto"/>
        <w:rPr>
          <w:sz w:val="20"/>
          <w:szCs w:val="20"/>
          <w:color w:val="auto"/>
        </w:rPr>
      </w:pPr>
      <w:r>
        <w:rPr>
          <w:rFonts w:ascii="Courier New" w:cs="Courier New" w:eastAsia="Courier New" w:hAnsi="Courier New"/>
          <w:sz w:val="17"/>
          <w:szCs w:val="17"/>
          <w:color w:val="auto"/>
        </w:rPr>
        <w:t>Although AXOKINE was generally well tolerated in the recently completed Phase II trial, it is possible that as we test AXOKINE in a large and extended Phase III trial, these side effects as well as side effects that did not occur or went undetected in smaller clinical trials will become apparent. The FDA may not permit us to commence large-scale, Phase III testing of AXOKINE without first undertaking additional clinical or preclinical studies. This additional testing could substantially delay, or restrict, the further development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AXOKINE.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WE FACE SUBSTANTIAL COMPETITION WHICH MAY RESULT IN OTHERS DISCOVERING, DEVELOPING OR COMMERCIALIZING PRODUCTS BEFORE OR MORE SUCCESSFULLY THAN WE DO.</w:t>
      </w:r>
    </w:p>
    <w:p>
      <w:pPr>
        <w:sectPr>
          <w:pgSz w:w="11900" w:h="16891" w:orient="portrait"/>
          <w:cols w:equalWidth="0" w:num="1">
            <w:col w:w="10219"/>
          </w:cols>
          <w:pgMar w:left="240" w:top="315" w:right="1440" w:bottom="0" w:gutter="0" w:footer="0" w:header="0"/>
        </w:sectPr>
      </w:pPr>
    </w:p>
    <w:p>
      <w:pPr>
        <w:spacing w:after="0" w:line="200" w:lineRule="exact"/>
        <w:rPr>
          <w:sz w:val="20"/>
          <w:szCs w:val="20"/>
          <w:color w:val="auto"/>
        </w:rPr>
      </w:pPr>
    </w:p>
    <w:p>
      <w:pPr>
        <w:spacing w:after="0" w:line="396"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There is substantial competition in the biotechnology and pharmaceutical</w:t>
      </w:r>
    </w:p>
    <w:p>
      <w:pPr>
        <w:sectPr>
          <w:pgSz w:w="11900" w:h="16891" w:orient="portrait"/>
          <w:cols w:equalWidth="0" w:num="1">
            <w:col w:w="10219"/>
          </w:cols>
          <w:pgMar w:left="240" w:top="315" w:right="1440" w:bottom="0" w:gutter="0" w:footer="0" w:header="0"/>
          <w:type w:val="continuous"/>
        </w:sectPr>
      </w:pPr>
    </w:p>
    <w:bookmarkStart w:id="14" w:name="page15"/>
    <w:bookmarkEnd w:id="14"/>
    <w:p>
      <w:pPr>
        <w:ind w:right="1899"/>
        <w:spacing w:after="0" w:line="250" w:lineRule="auto"/>
        <w:rPr>
          <w:sz w:val="20"/>
          <w:szCs w:val="20"/>
          <w:color w:val="auto"/>
        </w:rPr>
      </w:pPr>
      <w:r>
        <w:rPr>
          <w:rFonts w:ascii="Courier New" w:cs="Courier New" w:eastAsia="Courier New" w:hAnsi="Courier New"/>
          <w:sz w:val="17"/>
          <w:szCs w:val="17"/>
          <w:color w:val="auto"/>
        </w:rPr>
        <w:t>industries from pharmaceutical, biotechnology, and chemical companies. Our competition includes Hoffman-La Roche, Inc., Merck, Amgen, and others. Each have products under development or currently available for sale that address the</w:t>
      </w:r>
    </w:p>
    <w:p>
      <w:pPr>
        <w:spacing w:after="0" w:line="39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142" w:right="1440" w:bottom="1440" w:gutter="0" w:footer="0" w:header="0"/>
        </w:sectPr>
      </w:pPr>
    </w:p>
    <w:bookmarkStart w:id="15" w:name="page16"/>
    <w:bookmarkEnd w:id="15"/>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same or similar medical conditions as certain of our product candidates. We discuss these and other competitors and their competing products in the "Business" section of this prospectus under the caption "Competition". Many of our competitors have substantially greater research, preclinical, and clinical product development and manufacturing capabilities, and financial, marketing and human resources than we do. Our smaller competitors may also obtain a significant competitive advantage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can exclude us from the market or adversely affect our activities. Our ability to compete will depend on how fast we can develop safe and effective product candidates, obtain patent protection, complete clinical testing, obtain regulatory approval to commercialize our product candidate, and supply commercial quantities of the product to the market.</w:t>
      </w:r>
    </w:p>
    <w:p>
      <w:pPr>
        <w:spacing w:after="0" w:line="200" w:lineRule="exact"/>
        <w:rPr>
          <w:sz w:val="20"/>
          <w:szCs w:val="20"/>
          <w:color w:val="auto"/>
        </w:rPr>
      </w:pPr>
    </w:p>
    <w:p>
      <w:pPr>
        <w:spacing w:after="0" w:line="399"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If a competitor announces a successful clinical study involving a product that may be competitive with one of our product candidates or an approval by a regulatory agency to market a competing product, such announcement may have a material adverse effect on our operations, or future prospects, or the price of our common stock.</w:t>
      </w:r>
    </w:p>
    <w:p>
      <w:pPr>
        <w:spacing w:after="0" w:line="4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4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COLLABORATIVE EFFORTS WITH OUR ACADEMIC AND CORPORATE PARTNERS MAY FAIL OR BE TERMINATED, RESULTING IN SIGNIFICANT DELAYS AND SUBSTANTIAL INCREASES IN OUR COSTS FOR RESEARCH, DEVELOPMENT, AND COMMERCIALIZATION OF SOME OF OUR PRODUCT CANDIDATES.</w:t>
      </w:r>
    </w:p>
    <w:p>
      <w:pPr>
        <w:spacing w:after="0" w:line="200" w:lineRule="exact"/>
        <w:rPr>
          <w:sz w:val="20"/>
          <w:szCs w:val="20"/>
          <w:color w:val="auto"/>
        </w:rPr>
      </w:pPr>
    </w:p>
    <w:p>
      <w:pPr>
        <w:spacing w:after="0" w:line="399"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We are party to various arrangements with academic and corporate partners and others. Our collaborators may also be our competitors, such as Amgen. The successful development of product candidates covered by these arrangements depends upon these outside parties fully performing their contractual responsibilities. If any of our collaborators breaches or terminates its agreement with us or otherwise fails to conduct its collaborative activities in a timely and thorough manner, the development or commercialization of the product candidate or research program under such collaborative arrangement may be delayed. If that is the case, we may be required to undertake unforeseen additional responsibilities or to devote unforeseen additional funds or other resources to such development or commercialization, or such development or commercialization could be terminated.</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For example, our collaboration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were to opt out of a product development program, and we were not to find a new partner, we would bear the full cost of the program which may be substantial. In addition, disagreements between collaborators and us could lead to delays in the collaborative research, development, or commercialization of certain products or could require or result in formal legal process or arbitration for resolution. These consequences could be time-consuming and expensive and could have material adverse effects on us.</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We may seek additional collaborative arrangements to develop and commercialize our products in the future. We may not be able to negotiate acceptable collaborative arrangements on favorable terms and these collaborative arrangements may not be successful. In addition, our collaborative partners may pursue alternative technologies or develop alternative compounds independently or in collaboration with others as a means of developing treatments for the</w:t>
      </w:r>
    </w:p>
    <w:p>
      <w:pPr>
        <w:sectPr>
          <w:pgSz w:w="11900" w:h="16899" w:orient="portrait"/>
          <w:cols w:equalWidth="0" w:num="1">
            <w:col w:w="10219"/>
          </w:cols>
          <w:pgMar w:left="240" w:top="315"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diseases targeted by their collaborative programs with us.</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142" w:right="1440" w:bottom="1440" w:gutter="0" w:footer="0" w:header="0"/>
          <w:type w:val="continuous"/>
        </w:sectPr>
      </w:pPr>
    </w:p>
    <w:bookmarkStart w:id="17" w:name="page18"/>
    <w:bookmarkEnd w:id="17"/>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12</w:t>
      </w:r>
    </w:p>
    <w:p>
      <w:pPr>
        <w:spacing w:after="0" w:line="200" w:lineRule="exact"/>
        <w:rPr>
          <w:sz w:val="20"/>
          <w:szCs w:val="20"/>
          <w:color w:val="auto"/>
        </w:rPr>
      </w:pPr>
    </w:p>
    <w:p>
      <w:pPr>
        <w:spacing w:after="0" w:line="207"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IF WE CAN NOT SUCCESSFULLY AND COST-EFFECTIVELY MANUFACTURE OUR PRODUCT CANDIDATES, OUR ABILITY TO CONDUCT CLINICAL TRIALS AND COMMERCIALIZE OUR PRODUCT CANDIDATES WOULD BE IMPAIRED.</w:t>
      </w:r>
    </w:p>
    <w:p>
      <w:pPr>
        <w:spacing w:after="0" w:line="200" w:lineRule="exact"/>
        <w:rPr>
          <w:sz w:val="20"/>
          <w:szCs w:val="20"/>
          <w:color w:val="auto"/>
        </w:rPr>
      </w:pPr>
    </w:p>
    <w:p>
      <w:pPr>
        <w:spacing w:after="0" w:line="397" w:lineRule="exact"/>
        <w:rPr>
          <w:sz w:val="20"/>
          <w:szCs w:val="20"/>
          <w:color w:val="auto"/>
        </w:rPr>
      </w:pPr>
    </w:p>
    <w:p>
      <w:pPr>
        <w:ind w:right="2099" w:firstLine="519"/>
        <w:spacing w:after="0" w:line="249" w:lineRule="auto"/>
        <w:rPr>
          <w:sz w:val="20"/>
          <w:szCs w:val="20"/>
          <w:color w:val="auto"/>
        </w:rPr>
      </w:pPr>
      <w:r>
        <w:rPr>
          <w:rFonts w:ascii="Courier New" w:cs="Courier New" w:eastAsia="Courier New" w:hAnsi="Courier New"/>
          <w:sz w:val="17"/>
          <w:szCs w:val="17"/>
          <w:color w:val="auto"/>
        </w:rPr>
        <w:t>Our ability to conduct timely preclinical and clinical research and development programs, obtain regulatory approval, commercialize our product candidates, and fulfill our contract manufacturing obligations to others will depend, in part, upon our ability to manufacture our products, either directly or through third parties, in accordance with FDA and other regulatory requirements.</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We may not be able to manufacture products successfully or in a cost-effective manner at our facilities. We may also have difficulties obtaining the raw materials and supplies necessary to manufacture our product candidates or the products we manufacture for others. If we are unable to develop our own manufacturing facilities or to obtain third-party manufacturing on acceptable terms, we may not be able to conduct certain future preclinical and clinical testing or to supply commercial quantities of our product candidates. Our dependence upon third parties for the manufacture of some of our products and related therapies may adversely affect our profit margins and our ability to develop and deliver products on a timely and competitive basis. For example, we are aware of only one supplier of the reagent necessary to produce a pegylated formulation of AXOKINE, which is substantially longer acting than unmodified AXOKINE in preclinical studies. Any problems with the supply of reagent from this vendor could result in the delay or interruption in the development of any pegylated form of AXOKINE.</w:t>
      </w:r>
    </w:p>
    <w:p>
      <w:pPr>
        <w:spacing w:after="0" w:line="4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In addition, if our manufacturing facilities fail to comply with FDA and other regulatory requirements, we will be required to suspend manufacturing. This will have a material adverse effect on our financial condition, results of operations and cash flow.</w:t>
      </w:r>
    </w:p>
    <w:p>
      <w:pPr>
        <w:spacing w:after="0" w:line="400" w:lineRule="exact"/>
        <w:rPr>
          <w:sz w:val="20"/>
          <w:szCs w:val="20"/>
          <w:color w:val="auto"/>
        </w:rPr>
      </w:pPr>
    </w:p>
    <w:p>
      <w:pPr>
        <w:jc w:val="both"/>
        <w:ind w:right="2099"/>
        <w:spacing w:after="0" w:line="250" w:lineRule="auto"/>
        <w:rPr>
          <w:sz w:val="20"/>
          <w:szCs w:val="20"/>
          <w:color w:val="auto"/>
        </w:rPr>
      </w:pPr>
      <w:r>
        <w:rPr>
          <w:rFonts w:ascii="Courier New" w:cs="Courier New" w:eastAsia="Courier New" w:hAnsi="Courier New"/>
          <w:sz w:val="17"/>
          <w:szCs w:val="17"/>
          <w:color w:val="auto"/>
        </w:rPr>
        <w:t>SINCE WE HAVE NO SALES AND MARKETING EXPERIENCE OR INFRASTRUCTURE, WE MAY HAVE TO ENGAGE THIRD PARTIES TO MARKET OUR PRODUCTS OR DEVELOP THIS EXPERIENCE AND INFRASTRUCTURE INTERNALLY WHICH WOULD BE TIME CONSUMING AND EXPENSIVE.</w:t>
      </w:r>
    </w:p>
    <w:p>
      <w:pPr>
        <w:spacing w:after="0" w:line="200" w:lineRule="exact"/>
        <w:rPr>
          <w:sz w:val="20"/>
          <w:szCs w:val="20"/>
          <w:color w:val="auto"/>
        </w:rPr>
      </w:pPr>
    </w:p>
    <w:p>
      <w:pPr>
        <w:spacing w:after="0" w:line="3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We have no internal sales, marketing and distribution experience or infrastructure and may have to rely significantly on arrangements with third parties in order to perform these functions. If we choose to depend on third parties for the marketing and sale of our products, the cost of using such third parties may adversely affect our profit margins. If we decide to perform sales, marketing and distribution functions ourselves, we would face a number of additional risks, including:</w:t>
      </w:r>
    </w:p>
    <w:p>
      <w:pPr>
        <w:spacing w:after="0" w:line="400" w:lineRule="exact"/>
        <w:rPr>
          <w:sz w:val="20"/>
          <w:szCs w:val="20"/>
          <w:color w:val="auto"/>
        </w:rPr>
      </w:pPr>
    </w:p>
    <w:p>
      <w:pPr>
        <w:ind w:left="740" w:right="1999" w:hanging="214"/>
        <w:spacing w:after="0" w:line="251" w:lineRule="auto"/>
        <w:tabs>
          <w:tab w:leader="none" w:pos="7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may not be able to attract and build a significant marketing or sales force;</w:t>
      </w:r>
    </w:p>
    <w:p>
      <w:pPr>
        <w:spacing w:after="0" w:line="196" w:lineRule="exact"/>
        <w:rPr>
          <w:rFonts w:ascii="Courier New" w:cs="Courier New" w:eastAsia="Courier New" w:hAnsi="Courier New"/>
          <w:sz w:val="17"/>
          <w:szCs w:val="17"/>
          <w:color w:val="auto"/>
        </w:rPr>
      </w:pPr>
    </w:p>
    <w:p>
      <w:pPr>
        <w:ind w:left="740" w:right="2099" w:hanging="214"/>
        <w:spacing w:after="0" w:line="251" w:lineRule="auto"/>
        <w:tabs>
          <w:tab w:leader="none" w:pos="7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significant cost of establishing a marketing or sales force may not be justifiable in light of any product revenues; and</w:t>
      </w:r>
    </w:p>
    <w:p>
      <w:pPr>
        <w:spacing w:after="0" w:line="396"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direct sales and marketing efforts may not be successful.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419"/>
        <w:spacing w:after="0" w:line="251" w:lineRule="auto"/>
        <w:rPr>
          <w:sz w:val="20"/>
          <w:szCs w:val="20"/>
          <w:color w:val="auto"/>
        </w:rPr>
      </w:pPr>
      <w:r>
        <w:rPr>
          <w:rFonts w:ascii="Courier New" w:cs="Courier New" w:eastAsia="Courier New" w:hAnsi="Courier New"/>
          <w:sz w:val="17"/>
          <w:szCs w:val="17"/>
          <w:color w:val="auto"/>
        </w:rPr>
        <w:t>WE MAY NOT BE ABLE TO ATTRACT OR RETAIN QUALIFIED SCIENTIFIC AND MANAGEMENT PERSONNEL, INCLUDING OUR KEY PERSONNEL, ON ACCEPTABLE TERMS.</w:t>
      </w:r>
    </w:p>
    <w:p>
      <w:pPr>
        <w:spacing w:after="0" w:line="200" w:lineRule="exact"/>
        <w:rPr>
          <w:sz w:val="20"/>
          <w:szCs w:val="20"/>
          <w:color w:val="auto"/>
        </w:rPr>
      </w:pPr>
    </w:p>
    <w:p>
      <w:pPr>
        <w:spacing w:after="0" w:line="396" w:lineRule="exact"/>
        <w:rPr>
          <w:sz w:val="20"/>
          <w:szCs w:val="20"/>
          <w:color w:val="auto"/>
        </w:rPr>
      </w:pPr>
    </w:p>
    <w:p>
      <w:pPr>
        <w:ind w:right="2099" w:firstLine="519"/>
        <w:spacing w:after="0" w:line="249" w:lineRule="auto"/>
        <w:rPr>
          <w:sz w:val="20"/>
          <w:szCs w:val="20"/>
          <w:color w:val="auto"/>
        </w:rPr>
      </w:pPr>
      <w:r>
        <w:rPr>
          <w:rFonts w:ascii="Courier New" w:cs="Courier New" w:eastAsia="Courier New" w:hAnsi="Courier New"/>
          <w:sz w:val="17"/>
          <w:szCs w:val="17"/>
          <w:color w:val="auto"/>
        </w:rPr>
        <w:t>We may not be able to retain our key personnel, in particular (1) our Chairman, P. Roy Vagelos, M.D., (2) our President and Chief Executive Officer, Leonard S. Schleifer, M.D., Ph.D. and (3) our Chief Scientific Officer, George D. Yancopoulos, M.D., Ph.D., on terms that are acceptable to us. In addition, our anticipated growth and expansion into new areas requiring additional expertise will place increased demands on our resources and require additional management personnel and the development of additional expertise by existing management personnel. Attracting and retaining qualified personnel is critical to our success. Many of our competitors are established pharmaceutical and biotechnology companies that may have greater success in recruiting skilled</w:t>
      </w:r>
    </w:p>
    <w:p>
      <w:pPr>
        <w:sectPr>
          <w:pgSz w:w="11900" w:h="16899" w:orient="portrait"/>
          <w:cols w:equalWidth="0" w:num="1">
            <w:col w:w="10219"/>
          </w:cols>
          <w:pgMar w:left="240" w:top="315" w:right="1440" w:bottom="0" w:gutter="0" w:footer="0" w:header="0"/>
        </w:sectPr>
      </w:pPr>
    </w:p>
    <w:bookmarkStart w:id="18" w:name="page19"/>
    <w:bookmarkEnd w:id="18"/>
    <w:p>
      <w:pPr>
        <w:ind w:right="1999"/>
        <w:spacing w:after="0" w:line="249" w:lineRule="auto"/>
        <w:rPr>
          <w:sz w:val="20"/>
          <w:szCs w:val="20"/>
          <w:color w:val="auto"/>
        </w:rPr>
      </w:pPr>
      <w:r>
        <w:rPr>
          <w:rFonts w:ascii="Courier New" w:cs="Courier New" w:eastAsia="Courier New" w:hAnsi="Courier New"/>
          <w:sz w:val="17"/>
          <w:szCs w:val="17"/>
          <w:color w:val="auto"/>
        </w:rPr>
        <w:t>scientific workers from the limited pool of available talent. The failure to attract and retain management and scientific personnel could have a material adverse effect on our research and development work and on the operation of our business.</w:t>
      </w:r>
    </w:p>
    <w:p>
      <w:pPr>
        <w:spacing w:after="0" w:line="4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142" w:right="1440" w:bottom="1440" w:gutter="0" w:footer="0" w:header="0"/>
        </w:sectPr>
      </w:pPr>
    </w:p>
    <w:bookmarkStart w:id="19" w:name="page20"/>
    <w:bookmarkEnd w:id="19"/>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13</w:t>
      </w:r>
    </w:p>
    <w:p>
      <w:pPr>
        <w:spacing w:after="0" w:line="207" w:lineRule="exact"/>
        <w:rPr>
          <w:sz w:val="20"/>
          <w:szCs w:val="20"/>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WE COULD BE EXPOSED TO SIGNIFICANT LIABILITY CLAIMS AND OUR INSURANCE COVERAGE MAY NOT BE ADEQUATE TO COVER THESE CLAIMS.</w:t>
      </w:r>
    </w:p>
    <w:p>
      <w:pPr>
        <w:spacing w:after="0" w:line="396"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testing, manufacturing, and marketing of human pharmaceutical products entails significant inherent risks. Their use in clinical trials and their sale may expose us to substantial liability claims. These claims might be made directly by patients, consumers, pharmaceutical companies, or others selling the products. We are insured by health care product liability insurance policies, including a policy carried by Amgen-Regeneron Partners, the purpose of which is to cover certain claims that could arise during the clinical trials of AXOKINE, the IL-1 Trap, and NT-3. We may not be able to maintain or renew the insurance we have or obtain additional coverage. If our insurance coverage is insufficient, a significant product liability claim or recall would have a material adverse effect on us.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RISKS RELATED TO INTELLECTUAL PROPERTY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WE MAY NOT BE ABLE TO OBTAIN AND ADEQUATELY PROTECT OUR INTELLECTUAL PROPERTY RIGHTS AND TO AVOID INFRINGING THE RIGHTS OF OTHERS.</w:t>
      </w:r>
    </w:p>
    <w:p>
      <w:pPr>
        <w:spacing w:after="0" w:line="200" w:lineRule="exact"/>
        <w:rPr>
          <w:sz w:val="20"/>
          <w:szCs w:val="20"/>
          <w:color w:val="auto"/>
        </w:rPr>
      </w:pPr>
    </w:p>
    <w:p>
      <w:pPr>
        <w:spacing w:after="0" w:line="396"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Our success depends to a large part upon our own, our licensors' and our collaborators' ability to obtain and defend patent rights and other intellectual property rights that are important to the commercialization of our product candidates. We or our licensors or collaborators have filed patent applications on products and processes relating to AXOKINE, Cytokine Traps, VEGF Trap, Angiopoietins, and NT-3, as well as other technologies and inventions in the United States and in certain foreign countries. Although we have obtained a number of U.S. patents, patent applications owned or licensed by us may not result in patents being issued. Moreover, these patents may not afford us protection against competitors with similar technology or products.</w:t>
      </w:r>
    </w:p>
    <w:p>
      <w:pPr>
        <w:spacing w:after="0" w:line="200" w:lineRule="exact"/>
        <w:rPr>
          <w:sz w:val="20"/>
          <w:szCs w:val="20"/>
          <w:color w:val="auto"/>
        </w:rPr>
      </w:pPr>
    </w:p>
    <w:p>
      <w:pPr>
        <w:spacing w:after="0" w:line="399"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Parts of our technology, techniques, and product candidates may conflict with patents owned by or granted to others. Any patent holders could sue us for damages and seek to prevent us from selling or developing our product candidates.</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September 2000, Immunex Corporation filed a request with the European Patent Office seeking the declaration of an Opposition regarding the scope of our European patent relating to Cytokine Traps. This is a legal challenge to the validity and scope of our patent. Although we plan to defend the patent diligently, the scope of the patent may be adversely affected following the outcome of the Opposition.</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Uncertainties resulting from the litigation and continuation of patent litigation or other proceedings could have a material adverse effect on our ability to compete in the marketplace. Any patent litigation or other proceeding even if resolved in our favor, absorbs significant financial resources and management time. Some of our competitors may be able to sustain these costs more effectively than we can because of their substantially greater financial and managerial resources. If a patent litigation or other intellectual property proceeding is resolved unfavorably to us, we may be enjoined from manufacturing or selling our products and services without a license from the other party and be held liable for significant damages. We may not be able to obtain any required license on commercially acceptable terms, if at all.</w:t>
      </w:r>
    </w:p>
    <w:p>
      <w:pPr>
        <w:spacing w:after="0" w:line="400"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IF WE ARE NOT ABLE TO KEEP OUR TRADE SECRETS CONFIDENTIAL, OUR TECHNOLOGY AND INFORMATION MAY BE USED BY OTHERS TO COMPETE AGAINST US.</w:t>
      </w:r>
    </w:p>
    <w:p>
      <w:pPr>
        <w:spacing w:after="0" w:line="396"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addition to our reliance on patents, we attempt to protect our proprietary products and processes by relying on trade secret laws, nondisclosure and confidentiality agreements, and exclusive licensing arrangements with our employees and certain other persons who have access to our proprietary products or processes or have licensing or research arrangements exclusive to us. These agreements or arrangements may not provide meaningful protection for our proprietary products and processes in the event of</w:t>
      </w:r>
    </w:p>
    <w:p>
      <w:pPr>
        <w:sectPr>
          <w:pgSz w:w="11900" w:h="16899" w:orient="portrait"/>
          <w:cols w:equalWidth="0" w:num="1">
            <w:col w:w="10219"/>
          </w:cols>
          <w:pgMar w:left="240" w:top="315" w:right="1440" w:bottom="0" w:gutter="0" w:footer="0" w:header="0"/>
        </w:sectPr>
      </w:pPr>
    </w:p>
    <w:bookmarkStart w:id="20" w:name="page21"/>
    <w:bookmarkEnd w:id="20"/>
    <w:p>
      <w:pPr>
        <w:ind w:right="2219"/>
        <w:spacing w:after="0" w:line="249" w:lineRule="auto"/>
        <w:rPr>
          <w:sz w:val="20"/>
          <w:szCs w:val="20"/>
          <w:color w:val="auto"/>
        </w:rPr>
      </w:pPr>
      <w:r>
        <w:rPr>
          <w:rFonts w:ascii="Courier New" w:cs="Courier New" w:eastAsia="Courier New" w:hAnsi="Courier New"/>
          <w:sz w:val="17"/>
          <w:szCs w:val="17"/>
          <w:color w:val="auto"/>
        </w:rPr>
        <w:t>unauthorized use or disclosure of such information. Others may independently develop substantially equivalent proprietary information and techniques or otherwise gain access to our trade secrets or technology which will adversely affect our competitive position.</w:t>
      </w:r>
    </w:p>
    <w:p>
      <w:pPr>
        <w:spacing w:after="0" w:line="4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142" w:right="1440" w:bottom="1440" w:gutter="0" w:footer="0" w:header="0"/>
        </w:sectPr>
      </w:pPr>
    </w:p>
    <w:bookmarkStart w:id="21" w:name="page22"/>
    <w:bookmarkEnd w:id="21"/>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14</w:t>
      </w:r>
    </w:p>
    <w:p>
      <w:pPr>
        <w:spacing w:after="0" w:line="207"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7"/>
          <w:szCs w:val="17"/>
          <w:color w:val="auto"/>
        </w:rPr>
        <w:t>IF WE BREACH ANY OF THE AGREEMENTS UNDER WHICH WE LICENSE TECHNOLOGY FROM OTHERS, WE COULD LOSE LICENSE RIGHTS THAT ARE IMPORTANT TO OUR BUSINESS.</w:t>
      </w:r>
    </w:p>
    <w:p>
      <w:pPr>
        <w:spacing w:after="0" w:line="396"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We are a party to technology licenses that are important to our business and expect to enter into additional licenses in the future. These licenses impose commercialization, sublicensing, royalty, insurance and other obligations on us. If we fail to comply with these requirements, our licensors may have the right to terminate our licenses which would have a negative impact on our business.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RISKS RELATING TO OUR COMMON STOCK</w:t>
      </w:r>
    </w:p>
    <w:p>
      <w:pPr>
        <w:spacing w:after="0" w:line="200" w:lineRule="exact"/>
        <w:rPr>
          <w:sz w:val="20"/>
          <w:szCs w:val="20"/>
          <w:color w:val="auto"/>
        </w:rPr>
      </w:pPr>
    </w:p>
    <w:p>
      <w:pPr>
        <w:spacing w:after="0" w:line="207" w:lineRule="exact"/>
        <w:rPr>
          <w:sz w:val="20"/>
          <w:szCs w:val="20"/>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OUR STOCK PRICE COULD BE VOLATILE WHICH COULD CAUSE YOU TO LOSE PART OR ALL OF YOUR INVESTMENT.</w:t>
      </w:r>
    </w:p>
    <w:p>
      <w:pPr>
        <w:spacing w:after="0" w:line="200" w:lineRule="exact"/>
        <w:rPr>
          <w:sz w:val="20"/>
          <w:szCs w:val="20"/>
          <w:color w:val="auto"/>
        </w:rPr>
      </w:pPr>
    </w:p>
    <w:p>
      <w:pPr>
        <w:spacing w:after="0" w:line="396"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There has been a history of significant volatility in the market price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of biotechnology companies, including our shares, and it is likely that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market price of our common stock will continue to be highly volatile.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1998, the bid price for our common stock fluctuated from a low of $5.75 a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a high of $11.00 a share. In 1999, the bid price fluctuated from a low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$5.38 per share to a high of $13.00 per share. From January 1, 2000 to March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2001, the bid price fluctuated from a low of $10.95 per share to a high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$57.38 per share. The following factors may have a significant effect 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 price of our common stock:</w:t>
      </w:r>
    </w:p>
    <w:p>
      <w:pPr>
        <w:spacing w:after="0" w:line="200" w:lineRule="exact"/>
        <w:rPr>
          <w:sz w:val="20"/>
          <w:szCs w:val="20"/>
          <w:color w:val="auto"/>
        </w:rPr>
      </w:pPr>
    </w:p>
    <w:p>
      <w:pPr>
        <w:spacing w:after="0" w:line="207" w:lineRule="exact"/>
        <w:rPr>
          <w:sz w:val="20"/>
          <w:szCs w:val="20"/>
          <w:color w:val="auto"/>
        </w:rPr>
      </w:pPr>
    </w:p>
    <w:p>
      <w:pPr>
        <w:ind w:left="740" w:hanging="214"/>
        <w:spacing w:after="0"/>
        <w:tabs>
          <w:tab w:leader="none" w:pos="7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fluctuations in our operating results;</w:t>
      </w:r>
    </w:p>
    <w:p>
      <w:pPr>
        <w:spacing w:after="0" w:line="207"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clinical trial results;</w:t>
      </w:r>
    </w:p>
    <w:p>
      <w:pPr>
        <w:spacing w:after="0" w:line="207" w:lineRule="exact"/>
        <w:rPr>
          <w:rFonts w:ascii="Courier New" w:cs="Courier New" w:eastAsia="Courier New" w:hAnsi="Courier New"/>
          <w:sz w:val="17"/>
          <w:szCs w:val="17"/>
          <w:color w:val="auto"/>
        </w:rPr>
      </w:pPr>
    </w:p>
    <w:p>
      <w:pPr>
        <w:ind w:left="740" w:right="1999" w:hanging="214"/>
        <w:spacing w:after="0" w:line="251" w:lineRule="auto"/>
        <w:tabs>
          <w:tab w:leader="none" w:pos="7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announcements of technological innovations or new commercial therapeutic products introduced by us or our competitors;</w:t>
      </w:r>
    </w:p>
    <w:p>
      <w:pPr>
        <w:spacing w:after="0" w:line="196"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governmental regulation;</w:t>
      </w:r>
    </w:p>
    <w:p>
      <w:pPr>
        <w:spacing w:after="0" w:line="207"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regulatory delays;</w:t>
      </w:r>
    </w:p>
    <w:p>
      <w:pPr>
        <w:spacing w:after="0" w:line="207"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litigation;</w:t>
      </w:r>
    </w:p>
    <w:p>
      <w:pPr>
        <w:spacing w:after="0" w:line="207"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developments in patent or other proprietary rights;</w:t>
      </w:r>
    </w:p>
    <w:p>
      <w:pPr>
        <w:spacing w:after="0" w:line="207" w:lineRule="exact"/>
        <w:rPr>
          <w:rFonts w:ascii="Courier New" w:cs="Courier New" w:eastAsia="Courier New" w:hAnsi="Courier New"/>
          <w:sz w:val="17"/>
          <w:szCs w:val="17"/>
          <w:color w:val="auto"/>
        </w:rPr>
      </w:pPr>
    </w:p>
    <w:p>
      <w:pPr>
        <w:ind w:left="740" w:right="1899" w:hanging="214"/>
        <w:spacing w:after="0" w:line="250" w:lineRule="auto"/>
        <w:tabs>
          <w:tab w:leader="none" w:pos="7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public concern as to the safety or other implications of the drugs sought to be developed by us or the genetic engineering involved in their production; and</w:t>
      </w:r>
    </w:p>
    <w:p>
      <w:pPr>
        <w:spacing w:after="0" w:line="197"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market conditions.</w:t>
      </w:r>
    </w:p>
    <w:p>
      <w:pPr>
        <w:spacing w:after="0" w:line="200" w:lineRule="exact"/>
        <w:rPr>
          <w:sz w:val="20"/>
          <w:szCs w:val="20"/>
          <w:color w:val="auto"/>
        </w:rPr>
      </w:pP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Any clinical trial results that are below the expectations of financial analysts or investors would most likely cause our stock price to drop dramatically. Similarly, our stock is likely to drop dramatically if we are not permitted by the FDA to commence a Phase III trial for AXOKINE in 2001 or if the Phase II NT-3 trials expected to be completed in mid-2001 fail to achieve positive results.</w:t>
      </w:r>
    </w:p>
    <w:p>
      <w:pPr>
        <w:spacing w:after="0" w:line="200" w:lineRule="exact"/>
        <w:rPr>
          <w:sz w:val="20"/>
          <w:szCs w:val="20"/>
          <w:color w:val="auto"/>
        </w:rPr>
      </w:pPr>
    </w:p>
    <w:p>
      <w:pPr>
        <w:spacing w:after="0" w:line="399"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7"/>
          <w:szCs w:val="17"/>
          <w:color w:val="auto"/>
        </w:rPr>
        <w:t>OUR EXISTING SHAREHOLDERS MAY BE ABLE TO EXERT SIGNIFICANT INFLUENCE OVER MATTERS REQUIRING STOCKHOLDER APPROVAL.</w:t>
      </w:r>
    </w:p>
    <w:p>
      <w:pPr>
        <w:spacing w:after="0" w:line="200" w:lineRule="exact"/>
        <w:rPr>
          <w:sz w:val="20"/>
          <w:szCs w:val="20"/>
          <w:color w:val="auto"/>
        </w:rPr>
      </w:pPr>
    </w:p>
    <w:p>
      <w:pPr>
        <w:spacing w:after="0" w:line="396"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Holders of Class A stock, who are the shareholders who purchased their stock from us before our initial public offering, are entitled to ten votes per share and holders of common stock are entitled to one vote per share. Upon completion of this offering, holders of Class A stock will hold 6.3% of the total of our outstanding shares of common stock and Class A stock, or collectively, our common shares, and have 40.2% of the combined voting power of the common shares. These shareholders, if acting together, will be in position to significantly influence the election of our directors and to effect or prevent certain corporate transactions which require majority or supermajority approval of the combined classes, including mergers and other business combinations. This may result in the company taking corporate actions that you may not consider to be in your best interest and may affect the price of your stock. Specifically, upon the completion of this offering:</w:t>
      </w:r>
    </w:p>
    <w:p>
      <w:pPr>
        <w:sectPr>
          <w:pgSz w:w="11900" w:h="16899" w:orient="portrait"/>
          <w:cols w:equalWidth="0" w:num="1">
            <w:col w:w="10219"/>
          </w:cols>
          <w:pgMar w:left="240" w:top="315" w:right="1440" w:bottom="0" w:gutter="0" w:footer="0" w:header="0"/>
        </w:sectPr>
      </w:pPr>
    </w:p>
    <w:bookmarkStart w:id="22" w:name="page23"/>
    <w:bookmarkEnd w:id="22"/>
    <w:p>
      <w:pPr>
        <w:ind w:left="214" w:right="2519" w:hanging="214"/>
        <w:spacing w:after="0" w:line="250" w:lineRule="auto"/>
        <w:tabs>
          <w:tab w:leader="none" w:pos="214"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current officers and directors will own 9.5% of our outstanding common shares and 38.5% of the combined voting power of our common shares;</w:t>
      </w:r>
    </w:p>
    <w:p>
      <w:pPr>
        <w:spacing w:after="0" w:line="197" w:lineRule="exact"/>
        <w:rPr>
          <w:sz w:val="20"/>
          <w:szCs w:val="20"/>
          <w:color w:val="auto"/>
        </w:rPr>
      </w:pPr>
    </w:p>
    <w:p>
      <w:pPr>
        <w:ind w:left="3634"/>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9693"/>
          </w:cols>
          <w:pgMar w:left="766" w:top="741"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7"/>
          <w:szCs w:val="17"/>
          <w:color w:val="auto"/>
        </w:rPr>
        <w:t>15</w:t>
      </w:r>
    </w:p>
    <w:p>
      <w:pPr>
        <w:spacing w:after="0" w:line="207" w:lineRule="exact"/>
        <w:rPr>
          <w:sz w:val="20"/>
          <w:szCs w:val="20"/>
          <w:color w:val="auto"/>
        </w:rPr>
      </w:pPr>
    </w:p>
    <w:p>
      <w:pPr>
        <w:ind w:left="740" w:right="2319" w:hanging="214"/>
        <w:spacing w:after="0" w:line="251" w:lineRule="auto"/>
        <w:tabs>
          <w:tab w:leader="none" w:pos="7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Procter &amp; Gamble will hold 16.3% of our outstanding common shares and 10.4% of the combined voting power of our common shares; and</w:t>
      </w:r>
    </w:p>
    <w:p>
      <w:pPr>
        <w:spacing w:after="0" w:line="396" w:lineRule="exact"/>
        <w:rPr>
          <w:rFonts w:ascii="Courier New" w:cs="Courier New" w:eastAsia="Courier New" w:hAnsi="Courier New"/>
          <w:sz w:val="17"/>
          <w:szCs w:val="17"/>
          <w:color w:val="auto"/>
        </w:rPr>
      </w:pPr>
    </w:p>
    <w:p>
      <w:pPr>
        <w:ind w:left="740" w:right="2219" w:hanging="214"/>
        <w:spacing w:after="0" w:line="251" w:lineRule="auto"/>
        <w:tabs>
          <w:tab w:leader="none" w:pos="7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Amgen will hold 12.0% of our outstanding common shares and 7.7% of the combined voting power of our common shares.</w:t>
      </w:r>
    </w:p>
    <w:p>
      <w:pPr>
        <w:spacing w:after="0" w:line="396" w:lineRule="exact"/>
        <w:rPr>
          <w:sz w:val="20"/>
          <w:szCs w:val="20"/>
          <w:color w:val="auto"/>
        </w:rPr>
      </w:pPr>
    </w:p>
    <w:p>
      <w:pPr>
        <w:ind w:right="2319"/>
        <w:spacing w:after="0" w:line="251" w:lineRule="auto"/>
        <w:rPr>
          <w:sz w:val="20"/>
          <w:szCs w:val="20"/>
          <w:color w:val="auto"/>
        </w:rPr>
      </w:pPr>
      <w:r>
        <w:rPr>
          <w:rFonts w:ascii="Courier New" w:cs="Courier New" w:eastAsia="Courier New" w:hAnsi="Courier New"/>
          <w:sz w:val="17"/>
          <w:szCs w:val="17"/>
          <w:color w:val="auto"/>
        </w:rPr>
        <w:t>WE HAVE ANTITAKEOVER DEFENSES THAT COULD DELAY OR PREVENT AN ACQUISITION AND COULD ADVERSELY AFFECT THE PRICE OF OUR COMMON STOCK.</w:t>
      </w:r>
    </w:p>
    <w:p>
      <w:pPr>
        <w:spacing w:after="0" w:line="1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New York corporate law and our amended and restated certificate of incorporation and by-laws contain provisions that could have the effect of delaying or preventing a change in control of our company or our management that shareholders may consider favorable or beneficial.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200" w:lineRule="exact"/>
        <w:rPr>
          <w:sz w:val="20"/>
          <w:szCs w:val="20"/>
          <w:color w:val="auto"/>
        </w:rPr>
      </w:pPr>
    </w:p>
    <w:p>
      <w:pPr>
        <w:ind w:left="740" w:right="1999" w:hanging="214"/>
        <w:spacing w:after="0" w:line="249" w:lineRule="auto"/>
        <w:tabs>
          <w:tab w:leader="none" w:pos="7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authorization to issue "blank check" preferred stock, which is preferred stock that can be created and issued by the board of directors without prior shareholder approval, with rights senior to our common stockholders; and</w:t>
      </w:r>
    </w:p>
    <w:p>
      <w:pPr>
        <w:spacing w:after="0" w:line="199" w:lineRule="exact"/>
        <w:rPr>
          <w:rFonts w:ascii="Courier New" w:cs="Courier New" w:eastAsia="Courier New" w:hAnsi="Courier New"/>
          <w:sz w:val="17"/>
          <w:szCs w:val="17"/>
          <w:color w:val="auto"/>
        </w:rPr>
      </w:pPr>
    </w:p>
    <w:p>
      <w:pPr>
        <w:ind w:left="740" w:right="2219" w:hanging="214"/>
        <w:spacing w:after="0" w:line="251" w:lineRule="auto"/>
        <w:tabs>
          <w:tab w:leader="none" w:pos="7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staggered board of directors, so that it would take three successive annual meetings to replace all directors.</w:t>
      </w:r>
    </w:p>
    <w:p>
      <w:pPr>
        <w:spacing w:after="0" w:line="197" w:lineRule="exact"/>
        <w:rPr>
          <w:sz w:val="20"/>
          <w:szCs w:val="20"/>
          <w:color w:val="auto"/>
        </w:rPr>
      </w:pPr>
    </w:p>
    <w:p>
      <w:pPr>
        <w:ind w:right="2219" w:firstLine="519"/>
        <w:spacing w:after="0" w:line="250" w:lineRule="auto"/>
        <w:rPr>
          <w:sz w:val="20"/>
          <w:szCs w:val="20"/>
          <w:color w:val="auto"/>
        </w:rPr>
      </w:pPr>
      <w:r>
        <w:rPr>
          <w:rFonts w:ascii="Courier New" w:cs="Courier New" w:eastAsia="Courier New" w:hAnsi="Courier New"/>
          <w:sz w:val="17"/>
          <w:szCs w:val="17"/>
          <w:color w:val="auto"/>
        </w:rPr>
        <w:t>In addition, we have a shareholders rights plan which will make it more difficult for a third party to acquire us without the support of our board of directors and principal shareholders.</w:t>
      </w:r>
    </w:p>
    <w:p>
      <w:pPr>
        <w:spacing w:after="0" w:line="197" w:lineRule="exact"/>
        <w:rPr>
          <w:sz w:val="20"/>
          <w:szCs w:val="20"/>
          <w:color w:val="auto"/>
        </w:rPr>
      </w:pPr>
    </w:p>
    <w:p>
      <w:pPr>
        <w:jc w:val="both"/>
        <w:ind w:right="2219"/>
        <w:spacing w:after="0" w:line="251" w:lineRule="auto"/>
        <w:rPr>
          <w:sz w:val="20"/>
          <w:szCs w:val="20"/>
          <w:color w:val="auto"/>
        </w:rPr>
      </w:pPr>
      <w:r>
        <w:rPr>
          <w:rFonts w:ascii="Courier New" w:cs="Courier New" w:eastAsia="Courier New" w:hAnsi="Courier New"/>
          <w:sz w:val="17"/>
          <w:szCs w:val="17"/>
          <w:color w:val="auto"/>
        </w:rPr>
        <w:t>A SIGNIFICANT NUMBER OF OUR SHARES ARE ELIGIBLE FOR RESALE. THIS COULD REDUCE OUR SHARE PRICE AND IMPAIR OUR ABILITY TO RAISE FUNDS IN NEW SHARE OFFERINGS.</w:t>
      </w:r>
    </w:p>
    <w:p>
      <w:pPr>
        <w:spacing w:after="0" w:line="396"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Procter &amp; Gamble and Amgen own 18.1% (or 6,662,505 shares) and 13.3% (or 4,916,808 shares), respectively, of our outstanding common shares. Our agreements with each of Procter &amp; Gamble and Amgen grant them demand and piggyback registration rights with respect to their shares of common stock. Either one of these companies could cause a significant number of shares of our common stock to be registered and sold in the public market, particularly in light of the discontinuation of certain of our collaborative efforts with Procter &amp; Gamble and Amgen, which could cause our stock price to decline.</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Immediately after completion of this offering, we will have 40,835,016 common shares outstanding and available for resale beginning at various points of time in the future. In addition, we will have 7,517,864 outstanding stock options held by our directors, officers, and employees and 107,400 warrants held by Medtronic as of February 23, 2001. Sales of substantial amounts of shares of our common stock in the public market after this offering, or the perception that those sales will occur, could cause the market price of our common stock to decline. Those sales also might make it more difficult for us to sell equity and equity-related securities in the future at a time and at a price that we consider appropriate.</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YOU WILL SUFFER IMMEDIATE AND SUBSTANTIAL DILUTION.</w:t>
      </w:r>
    </w:p>
    <w:p>
      <w:pPr>
        <w:spacing w:after="0" w:line="200" w:lineRule="exact"/>
        <w:rPr>
          <w:sz w:val="20"/>
          <w:szCs w:val="20"/>
          <w:color w:val="auto"/>
        </w:rPr>
      </w:pPr>
    </w:p>
    <w:p>
      <w:pPr>
        <w:spacing w:after="0" w:line="20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price you will pay for our common stock in this offering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substantially higher than the $7.19 pro forma net tangible book value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our outstanding common shares as of December 31, 2000. As a result, at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assumed offering price of $29.50, you will experience immediate dilution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$22.31 in net tangible book value per share, and our current shareholders will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experience an immediate increase in the net tangible book value per share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their common shares of $2.24.</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15" w:right="1440" w:bottom="1440" w:gutter="0" w:footer="0" w:header="0"/>
          <w:type w:val="continuous"/>
        </w:sectPr>
      </w:pPr>
    </w:p>
    <w:bookmarkStart w:id="24" w:name="page25"/>
    <w:bookmarkEnd w:id="24"/>
    <w:p>
      <w:pPr>
        <w:ind w:left="320"/>
        <w:spacing w:after="0"/>
        <w:rPr>
          <w:sz w:val="20"/>
          <w:szCs w:val="20"/>
          <w:color w:val="auto"/>
        </w:rPr>
      </w:pPr>
      <w:r>
        <w:rPr>
          <w:rFonts w:ascii="Courier New" w:cs="Courier New" w:eastAsia="Courier New" w:hAnsi="Courier New"/>
          <w:sz w:val="17"/>
          <w:szCs w:val="17"/>
          <w:color w:val="auto"/>
        </w:rPr>
        <w:t>16</w:t>
      </w: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FORWARD-LOOKING STATEMENTS</w:t>
      </w:r>
    </w:p>
    <w:p>
      <w:pPr>
        <w:spacing w:after="0" w:line="20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This prospectus and the documents incorporated by reference include forward-looking statements. We have based these forward-looking statements on our current expectations and projections about future events. These forward-looking statements include, among other things, statements relating to:</w:t>
      </w:r>
    </w:p>
    <w:p>
      <w:pPr>
        <w:spacing w:after="0" w:line="200" w:lineRule="exact"/>
        <w:rPr>
          <w:sz w:val="20"/>
          <w:szCs w:val="20"/>
          <w:color w:val="auto"/>
        </w:rPr>
      </w:pPr>
    </w:p>
    <w:p>
      <w:pPr>
        <w:ind w:left="740" w:hanging="214"/>
        <w:spacing w:after="0"/>
        <w:tabs>
          <w:tab w:leader="none" w:pos="7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anticipated business strategies;</w:t>
      </w:r>
    </w:p>
    <w:p>
      <w:pPr>
        <w:spacing w:after="0" w:line="207"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anticipated clinical trials;</w:t>
      </w:r>
    </w:p>
    <w:p>
      <w:pPr>
        <w:spacing w:after="0" w:line="207"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intention to introduce new products candidates;</w:t>
      </w:r>
    </w:p>
    <w:p>
      <w:pPr>
        <w:spacing w:after="0" w:line="207"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relationships with collaborators;</w:t>
      </w:r>
    </w:p>
    <w:p>
      <w:pPr>
        <w:spacing w:after="0" w:line="207"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anticipated trends in our businesses;</w:t>
      </w:r>
    </w:p>
    <w:p>
      <w:pPr>
        <w:spacing w:after="0" w:line="207"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future capital expenditures; and</w:t>
      </w:r>
    </w:p>
    <w:p>
      <w:pPr>
        <w:spacing w:after="0" w:line="207"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conduct clinical trials and obtain regulatory approval.</w:t>
      </w:r>
    </w:p>
    <w:p>
      <w:pPr>
        <w:spacing w:after="0" w:line="200" w:lineRule="exact"/>
        <w:rPr>
          <w:sz w:val="20"/>
          <w:szCs w:val="20"/>
          <w:color w:val="auto"/>
        </w:rPr>
      </w:pP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forward-looking statements included in this prospectus or in the documents incorporated by reference are subject to risks, uncertainties and assumptions about us. Our actual results of operations may differ materially from the forward-looking statements as a result of, among other things, the success or failure of our clinical trials, the speed at which our clinical trials progress, the success of our competitors in developing products equal or superior to ours, the success of our collaborative relationships and the other reasons described under "Risk Factors." We undertake no obligation to publicly update or revise any forward-looking statement, whether as a result of new information, future events or otherwise, except as required by law. In light of these risks, uncertainties and assumptions, the forward-looking events discussed in this prospectus might not occur.</w:t>
      </w:r>
    </w:p>
    <w:p>
      <w:pPr>
        <w:spacing w:after="0" w:line="400" w:lineRule="exact"/>
        <w:rPr>
          <w:sz w:val="20"/>
          <w:szCs w:val="20"/>
          <w:color w:val="auto"/>
        </w:rPr>
      </w:pPr>
    </w:p>
    <w:p>
      <w:pPr>
        <w:ind w:right="2519" w:firstLine="519"/>
        <w:spacing w:after="0" w:line="251" w:lineRule="auto"/>
        <w:rPr>
          <w:sz w:val="20"/>
          <w:szCs w:val="20"/>
          <w:color w:val="auto"/>
        </w:rPr>
      </w:pPr>
      <w:r>
        <w:rPr>
          <w:rFonts w:ascii="Courier New" w:cs="Courier New" w:eastAsia="Courier New" w:hAnsi="Courier New"/>
          <w:sz w:val="17"/>
          <w:szCs w:val="17"/>
          <w:color w:val="auto"/>
        </w:rPr>
        <w:t>For these statements, we claim the protection of the safe harbor for forward-looking statements contained in Section 21E of the Securities Act.</w:t>
      </w:r>
    </w:p>
    <w:p>
      <w:pPr>
        <w:spacing w:after="0" w:line="19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15"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17</w:t>
      </w: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USE OF PROCEEDS</w:t>
      </w:r>
    </w:p>
    <w:p>
      <w:pPr>
        <w:spacing w:after="0" w:line="200" w:lineRule="exact"/>
        <w:rPr>
          <w:sz w:val="20"/>
          <w:szCs w:val="20"/>
          <w:color w:val="auto"/>
        </w:rPr>
      </w:pPr>
    </w:p>
    <w:p>
      <w:pPr>
        <w:spacing w:after="0" w:line="20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We will receive approximately $111.4 million of net proceeds from the sale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4,000,000 shares of our common stock, based on the public offering price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$29.50 per share, after deducting underwriting discounts and commissions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estimated expenses of this offering. If the underwriters' over-allotment option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 exercised in full, we estimate that such net proceeds will be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$128.2 million.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We currently intend to use the net proceeds from this offering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40" w:right="1999" w:hanging="114"/>
        <w:spacing w:after="0" w:line="250" w:lineRule="auto"/>
        <w:tabs>
          <w:tab w:leader="none" w:pos="744"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approximately 50-70% for preclinical and clinical development of product candidates, including AXOKINE, pegylated AXOKINE, IL-1 Trap, IL-4/IL-13 Trap, VEGF Trap, and the Angiopoietins;</w:t>
      </w:r>
    </w:p>
    <w:p>
      <w:pPr>
        <w:spacing w:after="0" w:line="200" w:lineRule="exact"/>
        <w:rPr>
          <w:rFonts w:ascii="Courier New" w:cs="Courier New" w:eastAsia="Courier New" w:hAnsi="Courier New"/>
          <w:sz w:val="17"/>
          <w:szCs w:val="17"/>
          <w:color w:val="auto"/>
        </w:rPr>
      </w:pPr>
    </w:p>
    <w:p>
      <w:pPr>
        <w:spacing w:after="0" w:line="396"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approximately 10-30% for basic research activities;</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640" w:right="2319" w:hanging="114"/>
        <w:spacing w:after="0" w:line="250" w:lineRule="auto"/>
        <w:tabs>
          <w:tab w:leader="none" w:pos="744"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approximately 5-15% for the continued development of novel technology platforms, including potential efforts to commercialize these technologies; and</w:t>
      </w:r>
    </w:p>
    <w:p>
      <w:pPr>
        <w:spacing w:after="0" w:line="200" w:lineRule="exact"/>
        <w:rPr>
          <w:rFonts w:ascii="Courier New" w:cs="Courier New" w:eastAsia="Courier New" w:hAnsi="Courier New"/>
          <w:sz w:val="17"/>
          <w:szCs w:val="17"/>
          <w:color w:val="auto"/>
        </w:rPr>
      </w:pPr>
    </w:p>
    <w:p>
      <w:pPr>
        <w:spacing w:after="0" w:line="396" w:lineRule="exact"/>
        <w:rPr>
          <w:rFonts w:ascii="Courier New" w:cs="Courier New" w:eastAsia="Courier New" w:hAnsi="Courier New"/>
          <w:sz w:val="17"/>
          <w:szCs w:val="17"/>
          <w:color w:val="auto"/>
        </w:rPr>
      </w:pPr>
    </w:p>
    <w:p>
      <w:pPr>
        <w:ind w:left="640" w:right="2939" w:hanging="114"/>
        <w:spacing w:after="0" w:line="251" w:lineRule="auto"/>
        <w:tabs>
          <w:tab w:leader="none" w:pos="744"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remainder for general corporate purposes, including capital expenditures and working capital.</w:t>
      </w:r>
    </w:p>
    <w:p>
      <w:pPr>
        <w:spacing w:after="0" w:line="396"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Pending application of the net proceeds as described above, we intend to invest the net proceeds of this offering primarily in U.S. Government and other investment grade obligations, interest bearing money market funds and other financial instruments. See "Investment Company Act Considerations."</w:t>
      </w:r>
    </w:p>
    <w:p>
      <w:pPr>
        <w:spacing w:after="0" w:line="200"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DIVIDEND POLICY</w:t>
      </w:r>
    </w:p>
    <w:p>
      <w:pPr>
        <w:spacing w:after="0" w:line="200" w:lineRule="exact"/>
        <w:rPr>
          <w:sz w:val="20"/>
          <w:szCs w:val="20"/>
          <w:color w:val="auto"/>
        </w:rPr>
      </w:pPr>
    </w:p>
    <w:p>
      <w:pPr>
        <w:spacing w:after="0" w:line="207" w:lineRule="exact"/>
        <w:rPr>
          <w:sz w:val="20"/>
          <w:szCs w:val="20"/>
          <w:color w:val="auto"/>
        </w:rPr>
      </w:pPr>
    </w:p>
    <w:p>
      <w:pPr>
        <w:jc w:val="both"/>
        <w:ind w:right="1999" w:firstLine="519"/>
        <w:spacing w:after="0" w:line="249" w:lineRule="auto"/>
        <w:rPr>
          <w:sz w:val="20"/>
          <w:szCs w:val="20"/>
          <w:color w:val="auto"/>
        </w:rPr>
      </w:pPr>
      <w:r>
        <w:rPr>
          <w:rFonts w:ascii="Courier New" w:cs="Courier New" w:eastAsia="Courier New" w:hAnsi="Courier New"/>
          <w:sz w:val="17"/>
          <w:szCs w:val="17"/>
          <w:color w:val="auto"/>
        </w:rPr>
        <w:t>We have never paid cash dividends and do not anticipate paying any in the foreseeable future. In addition, under the terms of our financing from the New York State Urban Development Corporation for the purchase and renovation of our Rensselaer facility, we are not permitted to declare or pay cash dividends.</w:t>
      </w:r>
    </w:p>
    <w:p>
      <w:pPr>
        <w:spacing w:after="0" w:line="4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15"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7"/>
          <w:szCs w:val="17"/>
          <w:color w:val="auto"/>
        </w:rPr>
        <w:t>18</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CAPITALIZATION</w:t>
      </w:r>
    </w:p>
    <w:p>
      <w:pPr>
        <w:spacing w:after="0" w:line="200" w:lineRule="exact"/>
        <w:rPr>
          <w:sz w:val="20"/>
          <w:szCs w:val="20"/>
          <w:color w:val="auto"/>
        </w:rPr>
      </w:pPr>
    </w:p>
    <w:p>
      <w:pPr>
        <w:spacing w:after="0" w:line="20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The following table sets forth our capitalization as of December 31, 2000 and as adjusted to give effect to our sale of 4,000,000 shares of our common stock in this offering, at an assumed offering price of $29.50, after deducting underwriting discounts and commissions and estimated expenses of this offering, and the application of the estimated net proceeds. See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3"/>
          </w:tcPr>
          <w:p>
            <w:pPr>
              <w:jc w:val="center"/>
              <w:ind w:right="13"/>
              <w:spacing w:after="0"/>
              <w:rPr>
                <w:sz w:val="20"/>
                <w:szCs w:val="20"/>
                <w:color w:val="auto"/>
              </w:rPr>
            </w:pPr>
            <w:r>
              <w:rPr>
                <w:rFonts w:ascii="Courier New" w:cs="Courier New" w:eastAsia="Courier New" w:hAnsi="Courier New"/>
                <w:sz w:val="17"/>
                <w:szCs w:val="17"/>
                <w:color w:val="auto"/>
              </w:rPr>
              <w:t>AT DECEMBER 31, 2000</w:t>
            </w:r>
          </w:p>
        </w:tc>
      </w:tr>
      <w:tr>
        <w:trPr>
          <w:trHeight w:val="200"/>
        </w:trPr>
        <w:tc>
          <w:tcPr>
            <w:tcW w:w="6340" w:type="dxa"/>
            <w:vAlign w:val="bottom"/>
          </w:tcPr>
          <w:p>
            <w:pPr>
              <w:spacing w:after="0"/>
              <w:rPr>
                <w:sz w:val="17"/>
                <w:szCs w:val="17"/>
                <w:color w:val="auto"/>
              </w:rPr>
            </w:pPr>
          </w:p>
        </w:tc>
        <w:tc>
          <w:tcPr>
            <w:tcW w:w="26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373"/>
              <w:spacing w:after="0"/>
              <w:rPr>
                <w:sz w:val="20"/>
                <w:szCs w:val="20"/>
                <w:color w:val="auto"/>
              </w:rPr>
            </w:pPr>
            <w:r>
              <w:rPr>
                <w:rFonts w:ascii="Courier New" w:cs="Courier New" w:eastAsia="Courier New" w:hAnsi="Courier New"/>
                <w:sz w:val="17"/>
                <w:szCs w:val="17"/>
                <w:color w:val="auto"/>
                <w:w w:val="97"/>
              </w:rPr>
              <w:t>ACTUAL</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AS ADJUSTED</w:t>
            </w:r>
          </w:p>
        </w:tc>
      </w:tr>
      <w:tr>
        <w:trPr>
          <w:trHeight w:val="200"/>
        </w:trPr>
        <w:tc>
          <w:tcPr>
            <w:tcW w:w="6340" w:type="dxa"/>
            <w:vAlign w:val="bottom"/>
          </w:tcPr>
          <w:p>
            <w:pPr>
              <w:spacing w:after="0"/>
              <w:rPr>
                <w:sz w:val="17"/>
                <w:szCs w:val="17"/>
                <w:color w:val="auto"/>
              </w:rPr>
            </w:pPr>
          </w:p>
        </w:tc>
        <w:tc>
          <w:tcPr>
            <w:tcW w:w="13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3"/>
          </w:tcPr>
          <w:p>
            <w:pPr>
              <w:jc w:val="center"/>
              <w:ind w:right="33"/>
              <w:spacing w:after="0"/>
              <w:rPr>
                <w:sz w:val="20"/>
                <w:szCs w:val="20"/>
                <w:color w:val="auto"/>
              </w:rPr>
            </w:pPr>
            <w:r>
              <w:rPr>
                <w:rFonts w:ascii="Courier New" w:cs="Courier New" w:eastAsia="Courier New" w:hAnsi="Courier New"/>
                <w:sz w:val="17"/>
                <w:szCs w:val="17"/>
                <w:color w:val="auto"/>
              </w:rPr>
              <w:t>(IN THOUSANDS,</w:t>
            </w:r>
          </w:p>
        </w:tc>
      </w:tr>
      <w:tr>
        <w:trPr>
          <w:trHeight w:val="200"/>
        </w:trPr>
        <w:tc>
          <w:tcPr>
            <w:tcW w:w="6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3"/>
          </w:tcPr>
          <w:p>
            <w:pPr>
              <w:jc w:val="center"/>
              <w:ind w:right="33"/>
              <w:spacing w:after="0"/>
              <w:rPr>
                <w:sz w:val="20"/>
                <w:szCs w:val="20"/>
                <w:color w:val="auto"/>
              </w:rPr>
            </w:pPr>
            <w:r>
              <w:rPr>
                <w:rFonts w:ascii="Courier New" w:cs="Courier New" w:eastAsia="Courier New" w:hAnsi="Courier New"/>
                <w:sz w:val="17"/>
                <w:szCs w:val="17"/>
                <w:color w:val="auto"/>
              </w:rPr>
              <w:t>EXCEPT SHARE DATA)</w:t>
            </w:r>
          </w:p>
        </w:tc>
      </w:tr>
      <w:tr>
        <w:trPr>
          <w:trHeight w:val="4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Cash, cash equivalents and marketable securities............</w:t>
            </w:r>
          </w:p>
        </w:tc>
        <w:tc>
          <w:tcPr>
            <w:tcW w:w="13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$ 154,370</w:t>
            </w:r>
          </w:p>
        </w:tc>
        <w:tc>
          <w:tcPr>
            <w:tcW w:w="13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$ 265,770</w:t>
            </w:r>
          </w:p>
        </w:tc>
      </w:tr>
      <w:tr>
        <w:trPr>
          <w:trHeight w:val="200"/>
        </w:trPr>
        <w:tc>
          <w:tcPr>
            <w:tcW w:w="6340" w:type="dxa"/>
            <w:vAlign w:val="bottom"/>
          </w:tcPr>
          <w:p>
            <w:pPr>
              <w:spacing w:after="0"/>
              <w:rPr>
                <w:sz w:val="17"/>
                <w:szCs w:val="17"/>
                <w:color w:val="auto"/>
              </w:rPr>
            </w:pPr>
          </w:p>
        </w:tc>
        <w:tc>
          <w:tcPr>
            <w:tcW w:w="13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Capital lease obligations -- long-term portion..............</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603</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603</w:t>
            </w:r>
          </w:p>
        </w:tc>
      </w:tr>
      <w:tr>
        <w:trPr>
          <w:trHeight w:val="200"/>
        </w:trPr>
        <w:tc>
          <w:tcPr>
            <w:tcW w:w="6340" w:type="dxa"/>
            <w:vAlign w:val="bottom"/>
          </w:tcPr>
          <w:p>
            <w:pPr>
              <w:spacing w:after="0"/>
              <w:rPr>
                <w:sz w:val="17"/>
                <w:szCs w:val="17"/>
                <w:color w:val="auto"/>
              </w:rPr>
            </w:pPr>
          </w:p>
        </w:tc>
        <w:tc>
          <w:tcPr>
            <w:tcW w:w="13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Note payable -- long-term portion...........................</w:t>
            </w:r>
          </w:p>
        </w:tc>
        <w:tc>
          <w:tcPr>
            <w:tcW w:w="220" w:type="dxa"/>
            <w:vAlign w:val="bottom"/>
          </w:tcPr>
          <w:p>
            <w:pPr>
              <w:spacing w:after="0"/>
              <w:rPr>
                <w:sz w:val="17"/>
                <w:szCs w:val="17"/>
                <w:color w:val="auto"/>
              </w:rPr>
            </w:pPr>
          </w:p>
        </w:tc>
        <w:tc>
          <w:tcPr>
            <w:tcW w:w="10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1,466</w:t>
            </w:r>
          </w:p>
        </w:tc>
        <w:tc>
          <w:tcPr>
            <w:tcW w:w="3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1,466</w:t>
            </w:r>
          </w:p>
        </w:tc>
      </w:tr>
      <w:tr>
        <w:trPr>
          <w:trHeight w:val="200"/>
        </w:trPr>
        <w:tc>
          <w:tcPr>
            <w:tcW w:w="6340" w:type="dxa"/>
            <w:vAlign w:val="bottom"/>
          </w:tcPr>
          <w:p>
            <w:pPr>
              <w:spacing w:after="0"/>
              <w:rPr>
                <w:sz w:val="17"/>
                <w:szCs w:val="17"/>
                <w:color w:val="auto"/>
              </w:rPr>
            </w:pPr>
          </w:p>
        </w:tc>
        <w:tc>
          <w:tcPr>
            <w:tcW w:w="13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340" w:type="dxa"/>
            <w:vAlign w:val="bottom"/>
          </w:tcPr>
          <w:p>
            <w:pPr>
              <w:jc w:val="right"/>
              <w:ind w:right="4073"/>
              <w:spacing w:after="0"/>
              <w:rPr>
                <w:sz w:val="20"/>
                <w:szCs w:val="20"/>
                <w:color w:val="auto"/>
              </w:rPr>
            </w:pPr>
            <w:r>
              <w:rPr>
                <w:rFonts w:ascii="Courier New" w:cs="Courier New" w:eastAsia="Courier New" w:hAnsi="Courier New"/>
                <w:sz w:val="17"/>
                <w:szCs w:val="17"/>
                <w:color w:val="auto"/>
              </w:rPr>
              <w:t>Stockholders' equity:</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$.01 par value; 30,000,000 shares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authorized; issued and outstanding -- none.............</w:t>
            </w:r>
          </w:p>
        </w:tc>
        <w:tc>
          <w:tcPr>
            <w:tcW w:w="220" w:type="dxa"/>
            <w:vAlign w:val="bottom"/>
          </w:tcPr>
          <w:p>
            <w:pPr>
              <w:spacing w:after="0"/>
              <w:rPr>
                <w:sz w:val="17"/>
                <w:szCs w:val="17"/>
                <w:color w:val="auto"/>
              </w:rPr>
            </w:pPr>
          </w:p>
        </w:tc>
        <w:tc>
          <w:tcPr>
            <w:tcW w:w="10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Class A stock, $.001 par value, convertible into common</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6340" w:type="dxa"/>
            <w:vAlign w:val="bottom"/>
          </w:tcPr>
          <w:p>
            <w:pPr>
              <w:ind w:left="520"/>
              <w:spacing w:after="0"/>
              <w:rPr>
                <w:sz w:val="20"/>
                <w:szCs w:val="20"/>
                <w:color w:val="auto"/>
              </w:rPr>
            </w:pPr>
            <w:r>
              <w:rPr>
                <w:rFonts w:ascii="Courier New" w:cs="Courier New" w:eastAsia="Courier New" w:hAnsi="Courier New"/>
                <w:sz w:val="17"/>
                <w:szCs w:val="17"/>
                <w:color w:val="auto"/>
              </w:rPr>
              <w:t>stock; 40,000,000 shares authorized, 2,612,845 shares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issued and outstanding -- actual and as adjusted.......</w:t>
            </w:r>
          </w:p>
        </w:tc>
        <w:tc>
          <w:tcPr>
            <w:tcW w:w="220" w:type="dxa"/>
            <w:vAlign w:val="bottom"/>
          </w:tcPr>
          <w:p>
            <w:pPr>
              <w:spacing w:after="0"/>
              <w:rPr>
                <w:sz w:val="17"/>
                <w:szCs w:val="17"/>
                <w:color w:val="auto"/>
              </w:rPr>
            </w:pPr>
          </w:p>
        </w:tc>
        <w:tc>
          <w:tcPr>
            <w:tcW w:w="10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w:t>
            </w:r>
          </w:p>
        </w:tc>
        <w:tc>
          <w:tcPr>
            <w:tcW w:w="3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w:t>
            </w:r>
          </w:p>
        </w:tc>
      </w:tr>
      <w:tr>
        <w:trPr>
          <w:trHeight w:val="200"/>
        </w:trPr>
        <w:tc>
          <w:tcPr>
            <w:tcW w:w="6340" w:type="dxa"/>
            <w:vAlign w:val="bottom"/>
          </w:tcPr>
          <w:p>
            <w:pPr>
              <w:ind w:left="220"/>
              <w:spacing w:after="0"/>
              <w:rPr>
                <w:sz w:val="20"/>
                <w:szCs w:val="20"/>
                <w:color w:val="auto"/>
              </w:rPr>
            </w:pPr>
            <w:r>
              <w:rPr>
                <w:rFonts w:ascii="Courier New" w:cs="Courier New" w:eastAsia="Courier New" w:hAnsi="Courier New"/>
                <w:sz w:val="17"/>
                <w:szCs w:val="17"/>
                <w:color w:val="auto"/>
              </w:rPr>
              <w:t>Common stock, $.001 par value; 60,000,000 shares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6340" w:type="dxa"/>
            <w:vAlign w:val="bottom"/>
          </w:tcPr>
          <w:p>
            <w:pPr>
              <w:ind w:left="520"/>
              <w:spacing w:after="0"/>
              <w:rPr>
                <w:sz w:val="20"/>
                <w:szCs w:val="20"/>
                <w:color w:val="auto"/>
              </w:rPr>
            </w:pPr>
            <w:r>
              <w:rPr>
                <w:rFonts w:ascii="Courier New" w:cs="Courier New" w:eastAsia="Courier New" w:hAnsi="Courier New"/>
                <w:sz w:val="17"/>
                <w:szCs w:val="17"/>
                <w:color w:val="auto"/>
              </w:rPr>
              <w:t>authorized; 34,197,104 shares issued and</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6340" w:type="dxa"/>
            <w:vAlign w:val="bottom"/>
          </w:tcPr>
          <w:p>
            <w:pPr>
              <w:ind w:left="520"/>
              <w:spacing w:after="0"/>
              <w:rPr>
                <w:sz w:val="20"/>
                <w:szCs w:val="20"/>
                <w:color w:val="auto"/>
              </w:rPr>
            </w:pPr>
            <w:r>
              <w:rPr>
                <w:rFonts w:ascii="Courier New" w:cs="Courier New" w:eastAsia="Courier New" w:hAnsi="Courier New"/>
                <w:sz w:val="17"/>
                <w:szCs w:val="17"/>
                <w:color w:val="auto"/>
              </w:rPr>
              <w:t>outstanding -- actual; 38,197,104 shares issued and</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outstanding -- as adjusted.............................</w:t>
            </w:r>
          </w:p>
        </w:tc>
        <w:tc>
          <w:tcPr>
            <w:tcW w:w="220" w:type="dxa"/>
            <w:vAlign w:val="bottom"/>
          </w:tcPr>
          <w:p>
            <w:pPr>
              <w:spacing w:after="0"/>
              <w:rPr>
                <w:sz w:val="17"/>
                <w:szCs w:val="17"/>
                <w:color w:val="auto"/>
              </w:rPr>
            </w:pPr>
          </w:p>
        </w:tc>
        <w:tc>
          <w:tcPr>
            <w:tcW w:w="10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34</w:t>
            </w:r>
          </w:p>
        </w:tc>
        <w:tc>
          <w:tcPr>
            <w:tcW w:w="3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w:t>
            </w: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Additional paid-in capital................................</w:t>
            </w:r>
          </w:p>
        </w:tc>
        <w:tc>
          <w:tcPr>
            <w:tcW w:w="220" w:type="dxa"/>
            <w:vAlign w:val="bottom"/>
          </w:tcPr>
          <w:p>
            <w:pPr>
              <w:spacing w:after="0"/>
              <w:rPr>
                <w:sz w:val="17"/>
                <w:szCs w:val="17"/>
                <w:color w:val="auto"/>
              </w:rPr>
            </w:pPr>
          </w:p>
        </w:tc>
        <w:tc>
          <w:tcPr>
            <w:tcW w:w="10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406,391</w:t>
            </w:r>
          </w:p>
        </w:tc>
        <w:tc>
          <w:tcPr>
            <w:tcW w:w="3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517,787</w:t>
            </w: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Unearned compensation.....................................</w:t>
            </w:r>
          </w:p>
        </w:tc>
        <w:tc>
          <w:tcPr>
            <w:tcW w:w="220" w:type="dxa"/>
            <w:vAlign w:val="bottom"/>
          </w:tcPr>
          <w:p>
            <w:pPr>
              <w:spacing w:after="0"/>
              <w:rPr>
                <w:sz w:val="17"/>
                <w:szCs w:val="17"/>
                <w:color w:val="auto"/>
              </w:rPr>
            </w:pPr>
          </w:p>
        </w:tc>
        <w:tc>
          <w:tcPr>
            <w:tcW w:w="10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(1,314)</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(1,314)</w:t>
            </w: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Accumulated deficit.......................................</w:t>
            </w:r>
          </w:p>
        </w:tc>
        <w:tc>
          <w:tcPr>
            <w:tcW w:w="220" w:type="dxa"/>
            <w:vAlign w:val="bottom"/>
          </w:tcPr>
          <w:p>
            <w:pPr>
              <w:spacing w:after="0"/>
              <w:rPr>
                <w:sz w:val="17"/>
                <w:szCs w:val="17"/>
                <w:color w:val="auto"/>
              </w:rPr>
            </w:pPr>
          </w:p>
        </w:tc>
        <w:tc>
          <w:tcPr>
            <w:tcW w:w="10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(223,518)</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(223,518)</w:t>
            </w: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Accumulated other comprehensive income....................</w:t>
            </w:r>
          </w:p>
        </w:tc>
        <w:tc>
          <w:tcPr>
            <w:tcW w:w="220" w:type="dxa"/>
            <w:vAlign w:val="bottom"/>
          </w:tcPr>
          <w:p>
            <w:pPr>
              <w:spacing w:after="0"/>
              <w:rPr>
                <w:sz w:val="17"/>
                <w:szCs w:val="17"/>
                <w:color w:val="auto"/>
              </w:rPr>
            </w:pPr>
          </w:p>
        </w:tc>
        <w:tc>
          <w:tcPr>
            <w:tcW w:w="10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534</w:t>
            </w:r>
          </w:p>
        </w:tc>
        <w:tc>
          <w:tcPr>
            <w:tcW w:w="3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534</w:t>
            </w:r>
          </w:p>
        </w:tc>
      </w:tr>
      <w:tr>
        <w:trPr>
          <w:trHeight w:val="200"/>
        </w:trPr>
        <w:tc>
          <w:tcPr>
            <w:tcW w:w="6340" w:type="dxa"/>
            <w:vAlign w:val="bottom"/>
          </w:tcPr>
          <w:p>
            <w:pPr>
              <w:spacing w:after="0"/>
              <w:rPr>
                <w:sz w:val="17"/>
                <w:szCs w:val="17"/>
                <w:color w:val="auto"/>
              </w:rPr>
            </w:pPr>
          </w:p>
        </w:tc>
        <w:tc>
          <w:tcPr>
            <w:tcW w:w="13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stockholders' equity..................................</w:t>
            </w:r>
          </w:p>
        </w:tc>
        <w:tc>
          <w:tcPr>
            <w:tcW w:w="220" w:type="dxa"/>
            <w:vAlign w:val="bottom"/>
          </w:tcPr>
          <w:p>
            <w:pPr>
              <w:spacing w:after="0"/>
              <w:rPr>
                <w:sz w:val="17"/>
                <w:szCs w:val="17"/>
                <w:color w:val="auto"/>
              </w:rPr>
            </w:pPr>
          </w:p>
        </w:tc>
        <w:tc>
          <w:tcPr>
            <w:tcW w:w="10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182,130</w:t>
            </w:r>
          </w:p>
        </w:tc>
        <w:tc>
          <w:tcPr>
            <w:tcW w:w="36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293,530</w:t>
            </w:r>
          </w:p>
        </w:tc>
      </w:tr>
      <w:tr>
        <w:trPr>
          <w:trHeight w:val="200"/>
        </w:trPr>
        <w:tc>
          <w:tcPr>
            <w:tcW w:w="6340" w:type="dxa"/>
            <w:vAlign w:val="bottom"/>
          </w:tcPr>
          <w:p>
            <w:pPr>
              <w:spacing w:after="0"/>
              <w:rPr>
                <w:sz w:val="17"/>
                <w:szCs w:val="17"/>
                <w:color w:val="auto"/>
              </w:rPr>
            </w:pPr>
          </w:p>
        </w:tc>
        <w:tc>
          <w:tcPr>
            <w:tcW w:w="13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 capitalization........................................</w:t>
            </w:r>
          </w:p>
        </w:tc>
        <w:tc>
          <w:tcPr>
            <w:tcW w:w="13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$ 184,199</w:t>
            </w:r>
          </w:p>
        </w:tc>
        <w:tc>
          <w:tcPr>
            <w:tcW w:w="13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$ 295,599</w:t>
            </w:r>
          </w:p>
        </w:tc>
      </w:tr>
      <w:tr>
        <w:trPr>
          <w:trHeight w:val="200"/>
        </w:trPr>
        <w:tc>
          <w:tcPr>
            <w:tcW w:w="6340" w:type="dxa"/>
            <w:vAlign w:val="bottom"/>
          </w:tcPr>
          <w:p>
            <w:pPr>
              <w:spacing w:after="0"/>
              <w:rPr>
                <w:sz w:val="17"/>
                <w:szCs w:val="17"/>
                <w:color w:val="auto"/>
              </w:rPr>
            </w:pPr>
          </w:p>
        </w:tc>
        <w:tc>
          <w:tcPr>
            <w:tcW w:w="13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799"/>
        </w:trPr>
        <w:tc>
          <w:tcPr>
            <w:tcW w:w="6340" w:type="dxa"/>
            <w:vAlign w:val="bottom"/>
          </w:tcPr>
          <w:p>
            <w:pPr>
              <w:jc w:val="right"/>
              <w:ind w:right="1873"/>
              <w:spacing w:after="0"/>
              <w:rPr>
                <w:sz w:val="20"/>
                <w:szCs w:val="20"/>
                <w:color w:val="auto"/>
              </w:rPr>
            </w:pPr>
            <w:r>
              <w:rPr>
                <w:rFonts w:ascii="Courier New" w:cs="Courier New" w:eastAsia="Courier New" w:hAnsi="Courier New"/>
                <w:sz w:val="17"/>
                <w:szCs w:val="17"/>
                <w:color w:val="auto"/>
              </w:rPr>
              <w:t>15</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315"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7"/>
          <w:szCs w:val="17"/>
          <w:color w:val="auto"/>
        </w:rPr>
        <w:t>19</w:t>
      </w:r>
    </w:p>
    <w:p>
      <w:pPr>
        <w:spacing w:after="0" w:line="20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DILUTION</w:t>
      </w:r>
    </w:p>
    <w:p>
      <w:pPr>
        <w:spacing w:after="0" w:line="200" w:lineRule="exact"/>
        <w:rPr>
          <w:sz w:val="20"/>
          <w:szCs w:val="20"/>
          <w:color w:val="auto"/>
        </w:rPr>
      </w:pP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As of December 31, 2000, our net tangible book value before the offering was $182.1 million or $4.95 per common share. "Net tangible book value per share" is determined by dividing our net tangible book value (total assets less total liabilities) by the number of common shares outstanding. After giving effect to the sale of the shares of our common stock in this offering at an assumed offering price of $29.50 and after deducting underwriting discounts and commissions and the estimated expenses of this offering, our pro forma net tangible book value as of December 31, 2000 would have been $293.5 million in the aggregate, or $7.19 per common share. This represents an immediate increase in net tangible book value of $2.24 per common share to existing holders and immediate dilution of $22.31 per common share to new investors purchasing shares of common stock in this offering. The following table illustrates this per share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Assumed public offering price...............................</w:t>
            </w:r>
          </w:p>
        </w:tc>
        <w:tc>
          <w:tcPr>
            <w:tcW w:w="1920" w:type="dxa"/>
            <w:vAlign w:val="bottom"/>
          </w:tcPr>
          <w:p>
            <w:pPr>
              <w:jc w:val="right"/>
              <w:spacing w:after="0"/>
              <w:rPr>
                <w:sz w:val="20"/>
                <w:szCs w:val="20"/>
                <w:color w:val="auto"/>
              </w:rPr>
            </w:pPr>
            <w:r>
              <w:rPr>
                <w:rFonts w:ascii="Courier New" w:cs="Courier New" w:eastAsia="Courier New" w:hAnsi="Courier New"/>
                <w:sz w:val="17"/>
                <w:szCs w:val="17"/>
                <w:color w:val="auto"/>
              </w:rPr>
              <w:t>$29.50</w:t>
            </w:r>
          </w:p>
        </w:tc>
      </w:tr>
      <w:tr>
        <w:trPr>
          <w:trHeight w:val="200"/>
        </w:trPr>
        <w:tc>
          <w:tcPr>
            <w:tcW w:w="64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Net tangible book value per common share before this</w:t>
            </w:r>
          </w:p>
        </w:tc>
        <w:tc>
          <w:tcPr>
            <w:tcW w:w="1920" w:type="dxa"/>
            <w:vAlign w:val="bottom"/>
          </w:tcPr>
          <w:p>
            <w:pPr>
              <w:spacing w:after="0"/>
              <w:rPr>
                <w:sz w:val="17"/>
                <w:szCs w:val="17"/>
                <w:color w:val="auto"/>
              </w:rPr>
            </w:pPr>
          </w:p>
        </w:tc>
      </w:tr>
      <w:tr>
        <w:trPr>
          <w:trHeight w:val="200"/>
        </w:trPr>
        <w:tc>
          <w:tcPr>
            <w:tcW w:w="6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offering..............................................</w:t>
            </w:r>
          </w:p>
        </w:tc>
        <w:tc>
          <w:tcPr>
            <w:tcW w:w="192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$4.95</w:t>
            </w:r>
          </w:p>
        </w:tc>
      </w:tr>
      <w:tr>
        <w:trPr>
          <w:trHeight w:val="200"/>
        </w:trPr>
        <w:tc>
          <w:tcPr>
            <w:tcW w:w="6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Increase attributable to new investors.................</w:t>
            </w:r>
          </w:p>
        </w:tc>
        <w:tc>
          <w:tcPr>
            <w:tcW w:w="192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2.24</w:t>
            </w:r>
          </w:p>
        </w:tc>
      </w:tr>
      <w:tr>
        <w:trPr>
          <w:trHeight w:val="200"/>
        </w:trPr>
        <w:tc>
          <w:tcPr>
            <w:tcW w:w="6400" w:type="dxa"/>
            <w:vAlign w:val="bottom"/>
          </w:tcPr>
          <w:p>
            <w:pPr>
              <w:spacing w:after="0"/>
              <w:rPr>
                <w:sz w:val="17"/>
                <w:szCs w:val="17"/>
                <w:color w:val="auto"/>
              </w:rPr>
            </w:pPr>
          </w:p>
        </w:tc>
        <w:tc>
          <w:tcPr>
            <w:tcW w:w="192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w:t>
            </w:r>
          </w:p>
        </w:tc>
      </w:tr>
      <w:tr>
        <w:trPr>
          <w:trHeight w:val="200"/>
        </w:trPr>
        <w:tc>
          <w:tcPr>
            <w:tcW w:w="640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Pro forma net tangible book value per common share after</w:t>
            </w:r>
          </w:p>
        </w:tc>
        <w:tc>
          <w:tcPr>
            <w:tcW w:w="1920" w:type="dxa"/>
            <w:vAlign w:val="bottom"/>
          </w:tcPr>
          <w:p>
            <w:pPr>
              <w:spacing w:after="0"/>
              <w:rPr>
                <w:sz w:val="17"/>
                <w:szCs w:val="17"/>
                <w:color w:val="auto"/>
              </w:rPr>
            </w:pPr>
          </w:p>
        </w:tc>
      </w:tr>
      <w:tr>
        <w:trPr>
          <w:trHeight w:val="200"/>
        </w:trPr>
        <w:tc>
          <w:tcPr>
            <w:tcW w:w="6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this offering.............................................</w:t>
            </w:r>
          </w:p>
        </w:tc>
        <w:tc>
          <w:tcPr>
            <w:tcW w:w="1920" w:type="dxa"/>
            <w:vAlign w:val="bottom"/>
          </w:tcPr>
          <w:p>
            <w:pPr>
              <w:jc w:val="right"/>
              <w:spacing w:after="0"/>
              <w:rPr>
                <w:sz w:val="20"/>
                <w:szCs w:val="20"/>
                <w:color w:val="auto"/>
              </w:rPr>
            </w:pPr>
            <w:r>
              <w:rPr>
                <w:rFonts w:ascii="Courier New" w:cs="Courier New" w:eastAsia="Courier New" w:hAnsi="Courier New"/>
                <w:sz w:val="17"/>
                <w:szCs w:val="17"/>
                <w:color w:val="auto"/>
              </w:rPr>
              <w:t>7.19</w:t>
            </w:r>
          </w:p>
        </w:tc>
      </w:tr>
      <w:tr>
        <w:trPr>
          <w:trHeight w:val="200"/>
        </w:trPr>
        <w:tc>
          <w:tcPr>
            <w:tcW w:w="64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Dilution per common share to new investors..................</w:t>
            </w:r>
          </w:p>
        </w:tc>
        <w:tc>
          <w:tcPr>
            <w:tcW w:w="1920" w:type="dxa"/>
            <w:vAlign w:val="bottom"/>
          </w:tcPr>
          <w:p>
            <w:pPr>
              <w:jc w:val="right"/>
              <w:spacing w:after="0"/>
              <w:rPr>
                <w:sz w:val="20"/>
                <w:szCs w:val="20"/>
                <w:color w:val="auto"/>
              </w:rPr>
            </w:pPr>
            <w:r>
              <w:rPr>
                <w:rFonts w:ascii="Courier New" w:cs="Courier New" w:eastAsia="Courier New" w:hAnsi="Courier New"/>
                <w:sz w:val="17"/>
                <w:szCs w:val="17"/>
                <w:color w:val="auto"/>
              </w:rPr>
              <w:t>$22.31</w:t>
            </w:r>
          </w:p>
        </w:tc>
      </w:tr>
      <w:tr>
        <w:trPr>
          <w:trHeight w:val="200"/>
        </w:trPr>
        <w:tc>
          <w:tcPr>
            <w:tcW w:w="64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99" w:firstLine="519"/>
        <w:spacing w:after="0" w:line="250" w:lineRule="auto"/>
        <w:rPr>
          <w:sz w:val="20"/>
          <w:szCs w:val="20"/>
          <w:color w:val="auto"/>
        </w:rPr>
      </w:pPr>
      <w:r>
        <w:rPr>
          <w:rFonts w:ascii="Courier New" w:cs="Courier New" w:eastAsia="Courier New" w:hAnsi="Courier New"/>
          <w:sz w:val="17"/>
          <w:szCs w:val="17"/>
          <w:color w:val="auto"/>
        </w:rPr>
        <w:t>"Dilution per common share to new investors" means the difference between the public offering price per share of common stock and the pro forma net tangible book value per common share after giving effect to this offering.</w:t>
      </w:r>
    </w:p>
    <w:p>
      <w:pPr>
        <w:spacing w:after="0" w:line="19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15"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7"/>
          <w:szCs w:val="17"/>
          <w:color w:val="auto"/>
        </w:rPr>
        <w:t>20</w:t>
      </w:r>
    </w:p>
    <w:p>
      <w:pPr>
        <w:spacing w:after="0" w:line="207"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SELECTED FINANCIAL DATA</w:t>
      </w:r>
    </w:p>
    <w:p>
      <w:pPr>
        <w:spacing w:after="0" w:line="200" w:lineRule="exact"/>
        <w:rPr>
          <w:sz w:val="20"/>
          <w:szCs w:val="20"/>
          <w:color w:val="auto"/>
        </w:rPr>
      </w:pPr>
    </w:p>
    <w:p>
      <w:pPr>
        <w:spacing w:after="0" w:line="207" w:lineRule="exact"/>
        <w:rPr>
          <w:sz w:val="20"/>
          <w:szCs w:val="20"/>
          <w:color w:val="auto"/>
        </w:rPr>
      </w:pPr>
    </w:p>
    <w:p>
      <w:pPr>
        <w:ind w:right="1980" w:firstLine="519"/>
        <w:spacing w:after="0" w:line="249" w:lineRule="auto"/>
        <w:rPr>
          <w:sz w:val="20"/>
          <w:szCs w:val="20"/>
          <w:color w:val="auto"/>
        </w:rPr>
      </w:pPr>
      <w:r>
        <w:rPr>
          <w:rFonts w:ascii="Courier New" w:cs="Courier New" w:eastAsia="Courier New" w:hAnsi="Courier New"/>
          <w:sz w:val="17"/>
          <w:szCs w:val="17"/>
          <w:color w:val="auto"/>
        </w:rPr>
        <w:t>We have derived the selected financial data presented below for the years ended December 31, 2000, 1999 and 1998 and at December 31, 2000 and 1999 from our audited financial statements and notes thereto included in our Annual Report on Form 10-K for the year ended December 31, 2000 which is incorporated by reference in this prospectus. We have derived the selected financial data for the years ended December 31, 1997 and 1996 and at December 31, 1998, 1997 and 1996 from our audited financial statements and notes thereto not included in this prospectus. You should read the selected financial data together with the audited financial statements and the section entitled "Management's Discussion and Analysis of Financial Condition and Results of Operations" in our Annual Report on Form 10-K for the year ended December 31, 2000 which is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540" w:type="dxa"/>
            <w:vAlign w:val="bottom"/>
            <w:gridSpan w:val="3"/>
          </w:tcPr>
          <w:p>
            <w:pPr>
              <w:jc w:val="right"/>
              <w:ind w:right="653"/>
              <w:spacing w:after="0"/>
              <w:rPr>
                <w:sz w:val="20"/>
                <w:szCs w:val="20"/>
                <w:color w:val="auto"/>
              </w:rPr>
            </w:pPr>
            <w:r>
              <w:rPr>
                <w:rFonts w:ascii="Courier New" w:cs="Courier New" w:eastAsia="Courier New" w:hAnsi="Courier New"/>
                <w:sz w:val="17"/>
                <w:szCs w:val="17"/>
                <w:color w:val="auto"/>
              </w:rPr>
              <w:t>YEAR ENDED DECEMBER 31,</w:t>
            </w:r>
          </w:p>
        </w:tc>
        <w:tc>
          <w:tcPr>
            <w:tcW w:w="940" w:type="dxa"/>
            <w:vAlign w:val="bottom"/>
          </w:tcPr>
          <w:p>
            <w:pPr>
              <w:spacing w:after="0"/>
              <w:rPr>
                <w:sz w:val="16"/>
                <w:szCs w:val="16"/>
                <w:color w:val="auto"/>
              </w:rPr>
            </w:pPr>
          </w:p>
        </w:tc>
      </w:tr>
      <w:tr>
        <w:trPr>
          <w:trHeight w:val="200"/>
        </w:trPr>
        <w:tc>
          <w:tcPr>
            <w:tcW w:w="4680" w:type="dxa"/>
            <w:vAlign w:val="bottom"/>
          </w:tcPr>
          <w:p>
            <w:pPr>
              <w:spacing w:after="0"/>
              <w:rPr>
                <w:sz w:val="17"/>
                <w:szCs w:val="17"/>
                <w:color w:val="auto"/>
              </w:rPr>
            </w:pPr>
          </w:p>
        </w:tc>
        <w:tc>
          <w:tcPr>
            <w:tcW w:w="5620" w:type="dxa"/>
            <w:vAlign w:val="bottom"/>
            <w:gridSpan w:val="5"/>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4680" w:type="dxa"/>
            <w:vAlign w:val="bottom"/>
          </w:tcPr>
          <w:p>
            <w:pPr>
              <w:spacing w:after="0"/>
              <w:rPr>
                <w:sz w:val="17"/>
                <w:szCs w:val="17"/>
                <w:color w:val="auto"/>
              </w:rPr>
            </w:pPr>
          </w:p>
        </w:tc>
        <w:tc>
          <w:tcPr>
            <w:tcW w:w="11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2000</w:t>
            </w: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1999</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1998</w:t>
            </w:r>
          </w:p>
        </w:tc>
        <w:tc>
          <w:tcPr>
            <w:tcW w:w="12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1997</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1996</w:t>
            </w:r>
          </w:p>
        </w:tc>
      </w:tr>
      <w:tr>
        <w:trPr>
          <w:trHeight w:val="200"/>
        </w:trPr>
        <w:tc>
          <w:tcPr>
            <w:tcW w:w="46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w:t>
            </w:r>
          </w:p>
        </w:tc>
      </w:tr>
      <w:tr>
        <w:trPr>
          <w:trHeight w:val="200"/>
        </w:trPr>
        <w:tc>
          <w:tcPr>
            <w:tcW w:w="4680" w:type="dxa"/>
            <w:vAlign w:val="bottom"/>
          </w:tcPr>
          <w:p>
            <w:pPr>
              <w:spacing w:after="0"/>
              <w:rPr>
                <w:sz w:val="17"/>
                <w:szCs w:val="17"/>
                <w:color w:val="auto"/>
              </w:rPr>
            </w:pPr>
          </w:p>
        </w:tc>
        <w:tc>
          <w:tcPr>
            <w:tcW w:w="46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(IN THOUSANDS, EXCEPT PER SHARE DATA)</w:t>
            </w:r>
          </w:p>
        </w:tc>
        <w:tc>
          <w:tcPr>
            <w:tcW w:w="940" w:type="dxa"/>
            <w:vAlign w:val="bottom"/>
          </w:tcPr>
          <w:p>
            <w:pPr>
              <w:spacing w:after="0"/>
              <w:rPr>
                <w:sz w:val="17"/>
                <w:szCs w:val="17"/>
                <w:color w:val="auto"/>
              </w:rPr>
            </w:pPr>
          </w:p>
        </w:tc>
      </w:tr>
      <w:tr>
        <w:trPr>
          <w:trHeight w:val="400"/>
        </w:trPr>
        <w:tc>
          <w:tcPr>
            <w:tcW w:w="4680" w:type="dxa"/>
            <w:vAlign w:val="bottom"/>
          </w:tcPr>
          <w:p>
            <w:pPr>
              <w:spacing w:after="0"/>
              <w:rPr>
                <w:sz w:val="20"/>
                <w:szCs w:val="20"/>
                <w:color w:val="auto"/>
              </w:rPr>
            </w:pPr>
            <w:r>
              <w:rPr>
                <w:rFonts w:ascii="Courier New" w:cs="Courier New" w:eastAsia="Courier New" w:hAnsi="Courier New"/>
                <w:sz w:val="17"/>
                <w:szCs w:val="17"/>
                <w:color w:val="auto"/>
              </w:rPr>
              <w:t>STATEMENT OF OPERATIONS DATA:</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468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4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Contract research and development.........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$ 36,478</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$ 24,539</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$ 19,714</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$ 17,400</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$ 17,303</w:t>
            </w:r>
          </w:p>
        </w:tc>
      </w:tr>
      <w:tr>
        <w:trPr>
          <w:trHeight w:val="200"/>
        </w:trPr>
        <w:tc>
          <w:tcPr>
            <w:tcW w:w="4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Research progress payments................</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6,200</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9,500</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5,000</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4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Contract manufacturing....................</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16,598</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9,960</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9,113</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4,458</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2,451</w:t>
            </w:r>
          </w:p>
        </w:tc>
      </w:tr>
      <w:tr>
        <w:trPr>
          <w:trHeight w:val="200"/>
        </w:trPr>
        <w:tc>
          <w:tcPr>
            <w:tcW w:w="46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w:t>
            </w:r>
          </w:p>
        </w:tc>
      </w:tr>
      <w:tr>
        <w:trPr>
          <w:trHeight w:val="200"/>
        </w:trPr>
        <w:tc>
          <w:tcPr>
            <w:tcW w:w="46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59,276</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34,499</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38,327</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26,858</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19,754</w:t>
            </w:r>
          </w:p>
        </w:tc>
      </w:tr>
      <w:tr>
        <w:trPr>
          <w:trHeight w:val="200"/>
        </w:trPr>
        <w:tc>
          <w:tcPr>
            <w:tcW w:w="46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w:t>
            </w:r>
          </w:p>
        </w:tc>
      </w:tr>
      <w:tr>
        <w:trPr>
          <w:trHeight w:val="200"/>
        </w:trPr>
        <w:tc>
          <w:tcPr>
            <w:tcW w:w="468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4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Research and development..................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56,256</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44,940</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37,047</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27,770</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28,269</w:t>
            </w:r>
          </w:p>
        </w:tc>
      </w:tr>
      <w:tr>
        <w:trPr>
          <w:trHeight w:val="200"/>
        </w:trPr>
        <w:tc>
          <w:tcPr>
            <w:tcW w:w="4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General and administrative................</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8,309</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6,355</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5,838</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5,765</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5,880</w:t>
            </w:r>
          </w:p>
        </w:tc>
      </w:tr>
      <w:tr>
        <w:trPr>
          <w:trHeight w:val="200"/>
        </w:trPr>
        <w:tc>
          <w:tcPr>
            <w:tcW w:w="4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Depreciation and amortization.............</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4,421</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3,426</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3,019</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4,389</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6,084</w:t>
            </w:r>
          </w:p>
        </w:tc>
      </w:tr>
      <w:tr>
        <w:trPr>
          <w:trHeight w:val="200"/>
        </w:trPr>
        <w:tc>
          <w:tcPr>
            <w:tcW w:w="4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Contract manufacturing....................</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15,566</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3,612</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5,002</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2,617</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1,115</w:t>
            </w:r>
          </w:p>
        </w:tc>
      </w:tr>
      <w:tr>
        <w:trPr>
          <w:trHeight w:val="200"/>
        </w:trPr>
        <w:tc>
          <w:tcPr>
            <w:tcW w:w="46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w:t>
            </w:r>
          </w:p>
        </w:tc>
      </w:tr>
      <w:tr>
        <w:trPr>
          <w:trHeight w:val="200"/>
        </w:trPr>
        <w:tc>
          <w:tcPr>
            <w:tcW w:w="46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84,552</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58,333</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50,906</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40,541</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41,348</w:t>
            </w:r>
          </w:p>
        </w:tc>
      </w:tr>
      <w:tr>
        <w:trPr>
          <w:trHeight w:val="200"/>
        </w:trPr>
        <w:tc>
          <w:tcPr>
            <w:tcW w:w="46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w:t>
            </w:r>
          </w:p>
        </w:tc>
      </w:tr>
      <w:tr>
        <w:trPr>
          <w:trHeight w:val="200"/>
        </w:trPr>
        <w:tc>
          <w:tcPr>
            <w:tcW w:w="4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Loss from operations........................</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(25,276)</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(23,834)</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(12,579)</w:t>
            </w:r>
          </w:p>
        </w:tc>
        <w:tc>
          <w:tcPr>
            <w:tcW w:w="12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(13,683)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(21,594)</w:t>
            </w:r>
          </w:p>
        </w:tc>
      </w:tr>
      <w:tr>
        <w:trPr>
          <w:trHeight w:val="200"/>
        </w:trPr>
        <w:tc>
          <w:tcPr>
            <w:tcW w:w="46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w:t>
            </w:r>
          </w:p>
        </w:tc>
      </w:tr>
      <w:tr>
        <w:trPr>
          <w:trHeight w:val="200"/>
        </w:trPr>
        <w:tc>
          <w:tcPr>
            <w:tcW w:w="468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4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Investment income.........................</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8,480</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5,207</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6,866</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6,242</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4,360</w:t>
            </w:r>
          </w:p>
        </w:tc>
      </w:tr>
      <w:tr>
        <w:trPr>
          <w:trHeight w:val="200"/>
        </w:trPr>
        <w:tc>
          <w:tcPr>
            <w:tcW w:w="4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Loss in Amgen-Regeneron Partners..........</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(4,575)</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(4,159)</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(2,484)</w:t>
            </w:r>
          </w:p>
        </w:tc>
        <w:tc>
          <w:tcPr>
            <w:tcW w:w="12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(3,403)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(14,250)</w:t>
            </w:r>
          </w:p>
        </w:tc>
      </w:tr>
      <w:tr>
        <w:trPr>
          <w:trHeight w:val="200"/>
        </w:trPr>
        <w:tc>
          <w:tcPr>
            <w:tcW w:w="4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Interest expense..........................</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(281)</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(284)</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(428)</w:t>
            </w:r>
          </w:p>
        </w:tc>
        <w:tc>
          <w:tcPr>
            <w:tcW w:w="12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(735)</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(940)</w:t>
            </w:r>
          </w:p>
        </w:tc>
      </w:tr>
      <w:tr>
        <w:trPr>
          <w:trHeight w:val="200"/>
        </w:trPr>
        <w:tc>
          <w:tcPr>
            <w:tcW w:w="46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w:t>
            </w:r>
          </w:p>
        </w:tc>
      </w:tr>
      <w:tr>
        <w:trPr>
          <w:trHeight w:val="200"/>
        </w:trPr>
        <w:tc>
          <w:tcPr>
            <w:tcW w:w="46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3,624</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764</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3,954</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2,104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(10,830)</w:t>
            </w:r>
          </w:p>
        </w:tc>
      </w:tr>
      <w:tr>
        <w:trPr>
          <w:trHeight w:val="200"/>
        </w:trPr>
        <w:tc>
          <w:tcPr>
            <w:tcW w:w="46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w:t>
            </w:r>
          </w:p>
        </w:tc>
      </w:tr>
      <w:tr>
        <w:trPr>
          <w:trHeight w:val="200"/>
        </w:trPr>
        <w:tc>
          <w:tcPr>
            <w:tcW w:w="4680" w:type="dxa"/>
            <w:vAlign w:val="bottom"/>
          </w:tcPr>
          <w:p>
            <w:pPr>
              <w:spacing w:after="0"/>
              <w:rPr>
                <w:sz w:val="20"/>
                <w:szCs w:val="20"/>
                <w:color w:val="auto"/>
              </w:rPr>
            </w:pPr>
            <w:r>
              <w:rPr>
                <w:rFonts w:ascii="Courier New" w:cs="Courier New" w:eastAsia="Courier New" w:hAnsi="Courier New"/>
                <w:sz w:val="17"/>
                <w:szCs w:val="17"/>
                <w:color w:val="auto"/>
              </w:rPr>
              <w:t>Net loss before cumulative effect of a</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4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change in accounting principle............</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(21,652)</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(23,070)</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(8,625)</w:t>
            </w:r>
          </w:p>
        </w:tc>
        <w:tc>
          <w:tcPr>
            <w:tcW w:w="12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(11,579)</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(32,424)</w:t>
            </w:r>
          </w:p>
        </w:tc>
      </w:tr>
      <w:tr>
        <w:trPr>
          <w:trHeight w:val="200"/>
        </w:trPr>
        <w:tc>
          <w:tcPr>
            <w:tcW w:w="4680" w:type="dxa"/>
            <w:vAlign w:val="bottom"/>
          </w:tcPr>
          <w:p>
            <w:pPr>
              <w:spacing w:after="0"/>
              <w:rPr>
                <w:sz w:val="20"/>
                <w:szCs w:val="20"/>
                <w:color w:val="auto"/>
              </w:rPr>
            </w:pPr>
            <w:r>
              <w:rPr>
                <w:rFonts w:ascii="Courier New" w:cs="Courier New" w:eastAsia="Courier New" w:hAnsi="Courier New"/>
                <w:sz w:val="17"/>
                <w:szCs w:val="17"/>
                <w:color w:val="auto"/>
              </w:rPr>
              <w:t>Cumulative effect of adopting Staff</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4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Accounting Bulletin 101 ("SAB 101").......</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(1,563)</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46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w:t>
            </w:r>
          </w:p>
        </w:tc>
      </w:tr>
      <w:tr>
        <w:trPr>
          <w:trHeight w:val="200"/>
        </w:trPr>
        <w:tc>
          <w:tcPr>
            <w:tcW w:w="4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Net loss....................................</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$(23,215)</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$(23,070)</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(8,625)</w:t>
            </w:r>
          </w:p>
        </w:tc>
        <w:tc>
          <w:tcPr>
            <w:tcW w:w="12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$(11,579)</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$(32,424)</w:t>
            </w:r>
          </w:p>
        </w:tc>
      </w:tr>
      <w:tr>
        <w:trPr>
          <w:trHeight w:val="200"/>
        </w:trPr>
        <w:tc>
          <w:tcPr>
            <w:tcW w:w="46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w:t>
            </w:r>
          </w:p>
        </w:tc>
      </w:tr>
      <w:tr>
        <w:trPr>
          <w:trHeight w:val="200"/>
        </w:trPr>
        <w:tc>
          <w:tcPr>
            <w:tcW w:w="4680" w:type="dxa"/>
            <w:vAlign w:val="bottom"/>
          </w:tcPr>
          <w:p>
            <w:pPr>
              <w:spacing w:after="0"/>
              <w:rPr>
                <w:sz w:val="20"/>
                <w:szCs w:val="20"/>
                <w:color w:val="auto"/>
              </w:rPr>
            </w:pPr>
            <w:r>
              <w:rPr>
                <w:rFonts w:ascii="Courier New" w:cs="Courier New" w:eastAsia="Courier New" w:hAnsi="Courier New"/>
                <w:sz w:val="17"/>
                <w:szCs w:val="17"/>
                <w:color w:val="auto"/>
              </w:rPr>
              <w:t>Weighted average number of Class A and</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4680" w:type="dxa"/>
            <w:vAlign w:val="bottom"/>
          </w:tcPr>
          <w:p>
            <w:pPr>
              <w:ind w:left="220"/>
              <w:spacing w:after="0"/>
              <w:rPr>
                <w:sz w:val="20"/>
                <w:szCs w:val="20"/>
                <w:color w:val="auto"/>
              </w:rPr>
            </w:pPr>
            <w:r>
              <w:rPr>
                <w:rFonts w:ascii="Courier New" w:cs="Courier New" w:eastAsia="Courier New" w:hAnsi="Courier New"/>
                <w:sz w:val="17"/>
                <w:szCs w:val="17"/>
                <w:color w:val="auto"/>
              </w:rPr>
              <w:t>common stock outstanding, basic and</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4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diluted...................................</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34,950</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31,308</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30,992</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28,702</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24,464</w:t>
            </w:r>
          </w:p>
        </w:tc>
      </w:tr>
      <w:tr>
        <w:trPr>
          <w:trHeight w:val="200"/>
        </w:trPr>
        <w:tc>
          <w:tcPr>
            <w:tcW w:w="46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w:t>
            </w:r>
          </w:p>
        </w:tc>
      </w:tr>
      <w:tr>
        <w:trPr>
          <w:trHeight w:val="200"/>
        </w:trPr>
        <w:tc>
          <w:tcPr>
            <w:tcW w:w="4680" w:type="dxa"/>
            <w:vAlign w:val="bottom"/>
          </w:tcPr>
          <w:p>
            <w:pPr>
              <w:spacing w:after="0"/>
              <w:rPr>
                <w:sz w:val="20"/>
                <w:szCs w:val="20"/>
                <w:color w:val="auto"/>
              </w:rPr>
            </w:pPr>
            <w:r>
              <w:rPr>
                <w:rFonts w:ascii="Courier New" w:cs="Courier New" w:eastAsia="Courier New" w:hAnsi="Courier New"/>
                <w:sz w:val="17"/>
                <w:szCs w:val="17"/>
                <w:color w:val="auto"/>
              </w:rPr>
              <w:t>Net loss per share, basic and diluted:</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4680" w:type="dxa"/>
            <w:vAlign w:val="bottom"/>
          </w:tcPr>
          <w:p>
            <w:pPr>
              <w:ind w:left="220"/>
              <w:spacing w:after="0"/>
              <w:rPr>
                <w:sz w:val="20"/>
                <w:szCs w:val="20"/>
                <w:color w:val="auto"/>
              </w:rPr>
            </w:pPr>
            <w:r>
              <w:rPr>
                <w:rFonts w:ascii="Courier New" w:cs="Courier New" w:eastAsia="Courier New" w:hAnsi="Courier New"/>
                <w:sz w:val="17"/>
                <w:szCs w:val="17"/>
                <w:color w:val="auto"/>
              </w:rPr>
              <w:t>Net loss before cumulative effect of a</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4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change in accounting principle.........</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$(0.62)</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$(0.74)</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$(0.28)</w:t>
            </w:r>
          </w:p>
        </w:tc>
        <w:tc>
          <w:tcPr>
            <w:tcW w:w="12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$(0.40)</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($1.33)</w:t>
            </w:r>
          </w:p>
        </w:tc>
      </w:tr>
      <w:tr>
        <w:trPr>
          <w:trHeight w:val="200"/>
        </w:trPr>
        <w:tc>
          <w:tcPr>
            <w:tcW w:w="4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Cumulative effect of adopting SAB 101.....</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(0.04)</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46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w:t>
            </w:r>
          </w:p>
        </w:tc>
      </w:tr>
      <w:tr>
        <w:trPr>
          <w:trHeight w:val="200"/>
        </w:trPr>
        <w:tc>
          <w:tcPr>
            <w:tcW w:w="4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Net loss per share........................</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$(0.66)</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$(0.74)</w:t>
            </w:r>
          </w:p>
        </w:tc>
        <w:tc>
          <w:tcPr>
            <w:tcW w:w="11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$(0.28)</w:t>
            </w:r>
          </w:p>
        </w:tc>
        <w:tc>
          <w:tcPr>
            <w:tcW w:w="12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$(0.40)</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$(1.33)</w:t>
            </w:r>
          </w:p>
        </w:tc>
      </w:tr>
      <w:tr>
        <w:trPr>
          <w:trHeight w:val="200"/>
        </w:trPr>
        <w:tc>
          <w:tcPr>
            <w:tcW w:w="4680" w:type="dxa"/>
            <w:vAlign w:val="bottom"/>
          </w:tcPr>
          <w:p>
            <w:pPr>
              <w:spacing w:after="0"/>
              <w:rPr>
                <w:sz w:val="17"/>
                <w:szCs w:val="17"/>
                <w:color w:val="auto"/>
              </w:rPr>
            </w:pP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w:t>
            </w:r>
          </w:p>
        </w:tc>
      </w:tr>
    </w:tbl>
    <w:p>
      <w:pPr>
        <w:spacing w:after="0" w:line="200" w:lineRule="exact"/>
        <w:rPr>
          <w:sz w:val="20"/>
          <w:szCs w:val="20"/>
          <w:color w:val="auto"/>
        </w:rPr>
      </w:pPr>
    </w:p>
    <w:p>
      <w:pPr>
        <w:sectPr>
          <w:pgSz w:w="11900" w:h="16838" w:orient="portrait"/>
          <w:cols w:equalWidth="0" w:num="1">
            <w:col w:w="10300"/>
          </w:cols>
          <w:pgMar w:left="240" w:top="315" w:right="1359" w:bottom="981" w:gutter="0" w:footer="0" w:header="0"/>
        </w:sectPr>
      </w:pPr>
    </w:p>
    <w:p>
      <w:pPr>
        <w:spacing w:after="0" w:line="200" w:lineRule="exact"/>
        <w:rPr>
          <w:sz w:val="20"/>
          <w:szCs w:val="20"/>
          <w:color w:val="auto"/>
        </w:rPr>
      </w:pPr>
    </w:p>
    <w:p>
      <w:pPr>
        <w:spacing w:after="0" w:line="205"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300"/>
          </w:cols>
          <w:pgMar w:left="240" w:top="315" w:right="1359" w:bottom="981"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94"/>
        </w:trPr>
        <w:tc>
          <w:tcPr>
            <w:tcW w:w="4160" w:type="dxa"/>
            <w:vAlign w:val="bottom"/>
          </w:tcPr>
          <w:p>
            <w:pPr>
              <w:ind w:left="320"/>
              <w:spacing w:after="0"/>
              <w:rPr>
                <w:sz w:val="20"/>
                <w:szCs w:val="20"/>
                <w:color w:val="auto"/>
              </w:rPr>
            </w:pPr>
            <w:r>
              <w:rPr>
                <w:rFonts w:ascii="Courier New" w:cs="Courier New" w:eastAsia="Courier New" w:hAnsi="Courier New"/>
                <w:sz w:val="17"/>
                <w:szCs w:val="17"/>
                <w:color w:val="auto"/>
              </w:rPr>
              <w:t>21</w:t>
            </w:r>
          </w:p>
        </w:tc>
        <w:tc>
          <w:tcPr>
            <w:tcW w:w="1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999"/>
        </w:trPr>
        <w:tc>
          <w:tcPr>
            <w:tcW w:w="4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40" w:type="dxa"/>
            <w:vAlign w:val="bottom"/>
            <w:gridSpan w:val="2"/>
          </w:tcPr>
          <w:p>
            <w:pPr>
              <w:ind w:left="880"/>
              <w:spacing w:after="0"/>
              <w:rPr>
                <w:sz w:val="20"/>
                <w:szCs w:val="20"/>
                <w:color w:val="auto"/>
              </w:rPr>
            </w:pPr>
            <w:r>
              <w:rPr>
                <w:rFonts w:ascii="Courier New" w:cs="Courier New" w:eastAsia="Courier New" w:hAnsi="Courier New"/>
                <w:sz w:val="17"/>
                <w:szCs w:val="17"/>
                <w:color w:val="auto"/>
              </w:rPr>
              <w:t>AT DECEMBER 31,</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4160" w:type="dxa"/>
            <w:vAlign w:val="bottom"/>
          </w:tcPr>
          <w:p>
            <w:pPr>
              <w:spacing w:after="0"/>
              <w:rPr>
                <w:sz w:val="17"/>
                <w:szCs w:val="17"/>
                <w:color w:val="auto"/>
              </w:rPr>
            </w:pPr>
          </w:p>
        </w:tc>
        <w:tc>
          <w:tcPr>
            <w:tcW w:w="602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160" w:type="dxa"/>
            <w:vAlign w:val="bottom"/>
          </w:tcPr>
          <w:p>
            <w:pPr>
              <w:spacing w:after="0"/>
              <w:rPr>
                <w:sz w:val="17"/>
                <w:szCs w:val="17"/>
                <w:color w:val="auto"/>
              </w:rPr>
            </w:pPr>
          </w:p>
        </w:tc>
        <w:tc>
          <w:tcPr>
            <w:tcW w:w="17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2000</w:t>
            </w:r>
          </w:p>
        </w:tc>
        <w:tc>
          <w:tcPr>
            <w:tcW w:w="11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1999</w:t>
            </w: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1998</w:t>
            </w:r>
          </w:p>
        </w:tc>
        <w:tc>
          <w:tcPr>
            <w:tcW w:w="9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1997</w:t>
            </w:r>
          </w:p>
        </w:tc>
        <w:tc>
          <w:tcPr>
            <w:tcW w:w="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1996</w:t>
            </w:r>
          </w:p>
        </w:tc>
      </w:tr>
      <w:tr>
        <w:trPr>
          <w:trHeight w:val="200"/>
        </w:trPr>
        <w:tc>
          <w:tcPr>
            <w:tcW w:w="4160" w:type="dxa"/>
            <w:vAlign w:val="bottom"/>
          </w:tcPr>
          <w:p>
            <w:pPr>
              <w:spacing w:after="0"/>
              <w:rPr>
                <w:sz w:val="17"/>
                <w:szCs w:val="17"/>
                <w:color w:val="auto"/>
              </w:rPr>
            </w:pPr>
          </w:p>
        </w:tc>
        <w:tc>
          <w:tcPr>
            <w:tcW w:w="1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440" w:type="dxa"/>
            <w:vAlign w:val="bottom"/>
            <w:gridSpan w:val="2"/>
          </w:tcPr>
          <w:p>
            <w:pPr>
              <w:ind w:left="880"/>
              <w:spacing w:after="0"/>
              <w:rPr>
                <w:sz w:val="20"/>
                <w:szCs w:val="20"/>
                <w:color w:val="auto"/>
              </w:rPr>
            </w:pPr>
            <w:r>
              <w:rPr>
                <w:rFonts w:ascii="Courier New" w:cs="Courier New" w:eastAsia="Courier New" w:hAnsi="Courier New"/>
                <w:sz w:val="17"/>
                <w:szCs w:val="17"/>
                <w:color w:val="auto"/>
              </w:rPr>
              <w:t>(IN THOUSANDS)</w:t>
            </w: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0"/>
        </w:trPr>
        <w:tc>
          <w:tcPr>
            <w:tcW w:w="4160" w:type="dxa"/>
            <w:vAlign w:val="bottom"/>
          </w:tcPr>
          <w:p>
            <w:pPr>
              <w:spacing w:after="0"/>
              <w:rPr>
                <w:sz w:val="20"/>
                <w:szCs w:val="20"/>
                <w:color w:val="auto"/>
              </w:rPr>
            </w:pPr>
            <w:r>
              <w:rPr>
                <w:rFonts w:ascii="Courier New" w:cs="Courier New" w:eastAsia="Courier New" w:hAnsi="Courier New"/>
                <w:sz w:val="17"/>
                <w:szCs w:val="17"/>
                <w:color w:val="auto"/>
              </w:rPr>
              <w:t>BALANCE SHEET DATA:</w:t>
            </w:r>
          </w:p>
        </w:tc>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4160" w:type="dxa"/>
            <w:vAlign w:val="bottom"/>
          </w:tcPr>
          <w:p>
            <w:pPr>
              <w:spacing w:after="0"/>
              <w:rPr>
                <w:sz w:val="20"/>
                <w:szCs w:val="20"/>
                <w:color w:val="auto"/>
              </w:rPr>
            </w:pPr>
            <w:r>
              <w:rPr>
                <w:rFonts w:ascii="Courier New" w:cs="Courier New" w:eastAsia="Courier New" w:hAnsi="Courier New"/>
                <w:sz w:val="17"/>
                <w:szCs w:val="17"/>
                <w:color w:val="auto"/>
              </w:rPr>
              <w:t>Cash, cash equivalents and marketable</w:t>
            </w: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160" w:type="dxa"/>
            <w:vAlign w:val="bottom"/>
          </w:tcPr>
          <w:p>
            <w:pPr>
              <w:ind w:left="220"/>
              <w:spacing w:after="0"/>
              <w:rPr>
                <w:sz w:val="20"/>
                <w:szCs w:val="20"/>
                <w:color w:val="auto"/>
              </w:rPr>
            </w:pPr>
            <w:r>
              <w:rPr>
                <w:rFonts w:ascii="Courier New" w:cs="Courier New" w:eastAsia="Courier New" w:hAnsi="Courier New"/>
                <w:sz w:val="17"/>
                <w:szCs w:val="17"/>
                <w:color w:val="auto"/>
                <w:w w:val="89"/>
              </w:rPr>
              <w:t>securities.................................</w:t>
            </w:r>
          </w:p>
        </w:tc>
        <w:tc>
          <w:tcPr>
            <w:tcW w:w="1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$154,370</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$ 93,599</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$113,530</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7"/>
              </w:rPr>
              <w:t>$128,041</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$97,028</w:t>
            </w:r>
          </w:p>
        </w:tc>
      </w:tr>
      <w:tr>
        <w:trPr>
          <w:trHeight w:val="200"/>
        </w:trPr>
        <w:tc>
          <w:tcPr>
            <w:tcW w:w="4160" w:type="dxa"/>
            <w:vAlign w:val="bottom"/>
          </w:tcPr>
          <w:p>
            <w:pPr>
              <w:spacing w:after="0"/>
              <w:rPr>
                <w:sz w:val="20"/>
                <w:szCs w:val="20"/>
                <w:color w:val="auto"/>
              </w:rPr>
            </w:pPr>
            <w:r>
              <w:rPr>
                <w:rFonts w:ascii="Courier New" w:cs="Courier New" w:eastAsia="Courier New" w:hAnsi="Courier New"/>
                <w:sz w:val="17"/>
                <w:szCs w:val="17"/>
                <w:color w:val="auto"/>
                <w:w w:val="90"/>
              </w:rPr>
              <w:t>Total assets.................................</w:t>
            </w:r>
          </w:p>
        </w:tc>
        <w:tc>
          <w:tcPr>
            <w:tcW w:w="1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208,274</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136,999</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156,915</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168,380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137,582</w:t>
            </w:r>
          </w:p>
        </w:tc>
      </w:tr>
      <w:tr>
        <w:trPr>
          <w:trHeight w:val="200"/>
        </w:trPr>
        <w:tc>
          <w:tcPr>
            <w:tcW w:w="4160" w:type="dxa"/>
            <w:vAlign w:val="bottom"/>
          </w:tcPr>
          <w:p>
            <w:pPr>
              <w:spacing w:after="0"/>
              <w:rPr>
                <w:sz w:val="20"/>
                <w:szCs w:val="20"/>
                <w:color w:val="auto"/>
              </w:rPr>
            </w:pPr>
            <w:r>
              <w:rPr>
                <w:rFonts w:ascii="Courier New" w:cs="Courier New" w:eastAsia="Courier New" w:hAnsi="Courier New"/>
                <w:sz w:val="17"/>
                <w:szCs w:val="17"/>
                <w:color w:val="auto"/>
              </w:rPr>
              <w:t>Capital lease obligations and note</w:t>
            </w: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4160" w:type="dxa"/>
            <w:vAlign w:val="bottom"/>
          </w:tcPr>
          <w:p>
            <w:pPr>
              <w:ind w:left="220"/>
              <w:spacing w:after="0"/>
              <w:rPr>
                <w:sz w:val="20"/>
                <w:szCs w:val="20"/>
                <w:color w:val="auto"/>
              </w:rPr>
            </w:pPr>
            <w:r>
              <w:rPr>
                <w:rFonts w:ascii="Courier New" w:cs="Courier New" w:eastAsia="Courier New" w:hAnsi="Courier New"/>
                <w:sz w:val="17"/>
                <w:szCs w:val="17"/>
                <w:color w:val="auto"/>
                <w:w w:val="89"/>
              </w:rPr>
              <w:t>payable, long-term portion.................</w:t>
            </w:r>
          </w:p>
        </w:tc>
        <w:tc>
          <w:tcPr>
            <w:tcW w:w="1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2,069</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2,731</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3,066</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3,752</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5,148</w:t>
            </w:r>
          </w:p>
        </w:tc>
      </w:tr>
      <w:tr>
        <w:trPr>
          <w:trHeight w:val="200"/>
        </w:trPr>
        <w:tc>
          <w:tcPr>
            <w:tcW w:w="4160" w:type="dxa"/>
            <w:vAlign w:val="bottom"/>
          </w:tcPr>
          <w:p>
            <w:pPr>
              <w:spacing w:after="0"/>
              <w:rPr>
                <w:sz w:val="20"/>
                <w:szCs w:val="20"/>
                <w:color w:val="auto"/>
              </w:rPr>
            </w:pPr>
            <w:r>
              <w:rPr>
                <w:rFonts w:ascii="Courier New" w:cs="Courier New" w:eastAsia="Courier New" w:hAnsi="Courier New"/>
                <w:sz w:val="17"/>
                <w:szCs w:val="17"/>
                <w:color w:val="auto"/>
                <w:w w:val="90"/>
              </w:rPr>
              <w:t>Stockholders' equity.........................</w:t>
            </w:r>
          </w:p>
        </w:tc>
        <w:tc>
          <w:tcPr>
            <w:tcW w:w="17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182,130</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109,532</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131,227</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138,897</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106,931</w:t>
            </w:r>
          </w:p>
        </w:tc>
      </w:tr>
      <w:tr>
        <w:trPr>
          <w:trHeight w:val="799"/>
        </w:trPr>
        <w:tc>
          <w:tcPr>
            <w:tcW w:w="4160" w:type="dxa"/>
            <w:vAlign w:val="bottom"/>
          </w:tcPr>
          <w:p>
            <w:pPr>
              <w:spacing w:after="0"/>
              <w:rPr>
                <w:sz w:val="24"/>
                <w:szCs w:val="24"/>
                <w:color w:val="auto"/>
              </w:rPr>
            </w:pPr>
          </w:p>
        </w:tc>
        <w:tc>
          <w:tcPr>
            <w:tcW w:w="1720" w:type="dxa"/>
            <w:vAlign w:val="bottom"/>
          </w:tcPr>
          <w:p>
            <w:pPr>
              <w:jc w:val="right"/>
              <w:ind w:right="1413"/>
              <w:spacing w:after="0"/>
              <w:rPr>
                <w:sz w:val="20"/>
                <w:szCs w:val="20"/>
                <w:color w:val="auto"/>
              </w:rPr>
            </w:pPr>
            <w:r>
              <w:rPr>
                <w:rFonts w:ascii="Courier New" w:cs="Courier New" w:eastAsia="Courier New" w:hAnsi="Courier New"/>
                <w:sz w:val="17"/>
                <w:szCs w:val="17"/>
                <w:color w:val="auto"/>
                <w:w w:val="97"/>
              </w:rPr>
              <w:t>18</w:t>
            </w: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315"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7"/>
          <w:szCs w:val="17"/>
          <w:color w:val="auto"/>
        </w:rPr>
        <w:t>22</w:t>
      </w:r>
    </w:p>
    <w:p>
      <w:pPr>
        <w:spacing w:after="0" w:line="20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BUSINESS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We are a biopharmaceutical company that discovers, develops and intends to commercialize therapeutic drugs for the treatment of serious medical conditions. Our product pipeline includes drug candidates for the treatment of obesity, rheumatoid arthritis and other inflammatory conditions, cancer and related disorders, allergies, asthma, and other diseases and disorders.</w:t>
      </w:r>
    </w:p>
    <w:p>
      <w:pPr>
        <w:spacing w:after="0" w:line="4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Our core business strategy is to combine our strong foundation in science and technology with state-of-the-art manufacturing and clinical development capabilities to build a successful, integrated biopharmaceutical company. Our efforts have yielded a diverse and growing pipeline of product candidates that have the potential to address a variety of unmet medical needs. A key aspect of our strategy is to retain significant ownership and commercialization rights to our pipeline. The ability to participate in the commercialization of our products will enable us to retain the majority of the potential economic rewards from discovering and developing our pipeline. Longer-term, we will continue to invest in the development of additional enabling technologies to assist in our efforts to identify, develop, and commercialize new product candidates.</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OUR INDEPENDENT PROGRAMS</w:t>
      </w:r>
    </w:p>
    <w:p>
      <w:pPr>
        <w:spacing w:after="0" w:line="200" w:lineRule="exact"/>
        <w:rPr>
          <w:sz w:val="20"/>
          <w:szCs w:val="20"/>
          <w:color w:val="auto"/>
        </w:rPr>
      </w:pPr>
    </w:p>
    <w:p>
      <w:pPr>
        <w:spacing w:after="0" w:line="207" w:lineRule="exact"/>
        <w:rPr>
          <w:sz w:val="20"/>
          <w:szCs w:val="20"/>
          <w:color w:val="auto"/>
        </w:rPr>
      </w:pPr>
    </w:p>
    <w:p>
      <w:pPr>
        <w:ind w:right="1999" w:firstLine="519"/>
        <w:spacing w:after="0" w:line="251" w:lineRule="auto"/>
        <w:rPr>
          <w:sz w:val="20"/>
          <w:szCs w:val="20"/>
          <w:color w:val="auto"/>
        </w:rPr>
      </w:pPr>
      <w:r>
        <w:rPr>
          <w:rFonts w:ascii="Courier New" w:cs="Courier New" w:eastAsia="Courier New" w:hAnsi="Courier New"/>
          <w:sz w:val="17"/>
          <w:szCs w:val="17"/>
          <w:color w:val="auto"/>
        </w:rPr>
        <w:t>The following table lists the programs and product candidates for which we retain sole ownership and marketing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80" w:type="dxa"/>
            <w:vAlign w:val="bottom"/>
          </w:tcPr>
          <w:p>
            <w:pPr>
              <w:ind w:left="840"/>
              <w:spacing w:after="0"/>
              <w:rPr>
                <w:sz w:val="20"/>
                <w:szCs w:val="20"/>
                <w:color w:val="auto"/>
              </w:rPr>
            </w:pPr>
            <w:r>
              <w:rPr>
                <w:rFonts w:ascii="Courier New" w:cs="Courier New" w:eastAsia="Courier New" w:hAnsi="Courier New"/>
                <w:sz w:val="17"/>
                <w:szCs w:val="17"/>
                <w:color w:val="auto"/>
              </w:rPr>
              <w:t>PROGRAM AND PRODUCT CANDIDATE</w:t>
            </w:r>
          </w:p>
        </w:tc>
        <w:tc>
          <w:tcPr>
            <w:tcW w:w="3740" w:type="dxa"/>
            <w:vAlign w:val="bottom"/>
          </w:tcPr>
          <w:p>
            <w:pPr>
              <w:ind w:left="840"/>
              <w:spacing w:after="0"/>
              <w:rPr>
                <w:sz w:val="20"/>
                <w:szCs w:val="20"/>
                <w:color w:val="auto"/>
              </w:rPr>
            </w:pPr>
            <w:r>
              <w:rPr>
                <w:rFonts w:ascii="Courier New" w:cs="Courier New" w:eastAsia="Courier New" w:hAnsi="Courier New"/>
                <w:sz w:val="17"/>
                <w:szCs w:val="17"/>
                <w:color w:val="auto"/>
              </w:rPr>
              <w:t>TARGETED INDICATION</w:t>
            </w:r>
          </w:p>
        </w:tc>
        <w:tc>
          <w:tcPr>
            <w:tcW w:w="1260" w:type="dxa"/>
            <w:vAlign w:val="bottom"/>
          </w:tcPr>
          <w:p>
            <w:pPr>
              <w:ind w:left="420"/>
              <w:spacing w:after="0"/>
              <w:rPr>
                <w:sz w:val="20"/>
                <w:szCs w:val="20"/>
                <w:color w:val="auto"/>
              </w:rPr>
            </w:pPr>
            <w:r>
              <w:rPr>
                <w:rFonts w:ascii="Courier New" w:cs="Courier New" w:eastAsia="Courier New" w:hAnsi="Courier New"/>
                <w:sz w:val="17"/>
                <w:szCs w:val="17"/>
                <w:color w:val="auto"/>
              </w:rPr>
              <w:t>STAGE</w:t>
            </w:r>
          </w:p>
        </w:tc>
      </w:tr>
      <w:tr>
        <w:trPr>
          <w:trHeight w:val="200"/>
        </w:trPr>
        <w:tc>
          <w:tcPr>
            <w:tcW w:w="4880" w:type="dxa"/>
            <w:vAlign w:val="bottom"/>
          </w:tcPr>
          <w:p>
            <w:pPr>
              <w:ind w:left="840"/>
              <w:spacing w:after="0"/>
              <w:rPr>
                <w:sz w:val="20"/>
                <w:szCs w:val="20"/>
                <w:color w:val="auto"/>
              </w:rPr>
            </w:pPr>
            <w:r>
              <w:rPr>
                <w:rFonts w:ascii="Courier New" w:cs="Courier New" w:eastAsia="Courier New" w:hAnsi="Courier New"/>
                <w:sz w:val="17"/>
                <w:szCs w:val="17"/>
                <w:color w:val="auto"/>
              </w:rPr>
              <w:t>-----------------------------</w:t>
            </w:r>
          </w:p>
        </w:tc>
        <w:tc>
          <w:tcPr>
            <w:tcW w:w="3740" w:type="dxa"/>
            <w:vAlign w:val="bottom"/>
          </w:tcPr>
          <w:p>
            <w:pPr>
              <w:ind w:left="840"/>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AXOKINE(R)</w:t>
            </w:r>
          </w:p>
        </w:tc>
        <w:tc>
          <w:tcPr>
            <w:tcW w:w="3740" w:type="dxa"/>
            <w:vAlign w:val="bottom"/>
          </w:tcPr>
          <w:p>
            <w:pPr>
              <w:ind w:left="120"/>
              <w:spacing w:after="0"/>
              <w:rPr>
                <w:sz w:val="20"/>
                <w:szCs w:val="20"/>
                <w:color w:val="auto"/>
              </w:rPr>
            </w:pPr>
            <w:r>
              <w:rPr>
                <w:rFonts w:ascii="Courier New" w:cs="Courier New" w:eastAsia="Courier New" w:hAnsi="Courier New"/>
                <w:sz w:val="17"/>
                <w:szCs w:val="17"/>
                <w:color w:val="auto"/>
              </w:rPr>
              <w:t>Obesity</w:t>
            </w:r>
          </w:p>
        </w:tc>
        <w:tc>
          <w:tcPr>
            <w:tcW w:w="1260" w:type="dxa"/>
            <w:vAlign w:val="bottom"/>
          </w:tcPr>
          <w:p>
            <w:pPr>
              <w:ind w:left="120"/>
              <w:spacing w:after="0"/>
              <w:rPr>
                <w:sz w:val="20"/>
                <w:szCs w:val="20"/>
                <w:color w:val="auto"/>
              </w:rPr>
            </w:pPr>
            <w:r>
              <w:rPr>
                <w:rFonts w:ascii="Courier New" w:cs="Courier New" w:eastAsia="Courier New" w:hAnsi="Courier New"/>
                <w:sz w:val="17"/>
                <w:szCs w:val="17"/>
                <w:color w:val="auto"/>
              </w:rPr>
              <w:t>Clinical</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PEGYLATED AXOKINE</w:t>
            </w:r>
          </w:p>
        </w:tc>
        <w:tc>
          <w:tcPr>
            <w:tcW w:w="3740" w:type="dxa"/>
            <w:vAlign w:val="bottom"/>
          </w:tcPr>
          <w:p>
            <w:pPr>
              <w:ind w:left="120"/>
              <w:spacing w:after="0"/>
              <w:rPr>
                <w:sz w:val="20"/>
                <w:szCs w:val="20"/>
                <w:color w:val="auto"/>
              </w:rPr>
            </w:pPr>
            <w:r>
              <w:rPr>
                <w:rFonts w:ascii="Courier New" w:cs="Courier New" w:eastAsia="Courier New" w:hAnsi="Courier New"/>
                <w:sz w:val="17"/>
                <w:szCs w:val="17"/>
                <w:color w:val="auto"/>
              </w:rPr>
              <w:t>Obesity</w:t>
            </w:r>
          </w:p>
        </w:tc>
        <w:tc>
          <w:tcPr>
            <w:tcW w:w="1260" w:type="dxa"/>
            <w:vAlign w:val="bottom"/>
          </w:tcPr>
          <w:p>
            <w:pPr>
              <w:ind w:left="120"/>
              <w:spacing w:after="0"/>
              <w:rPr>
                <w:sz w:val="20"/>
                <w:szCs w:val="20"/>
                <w:color w:val="auto"/>
              </w:rPr>
            </w:pPr>
            <w:r>
              <w:rPr>
                <w:rFonts w:ascii="Courier New" w:cs="Courier New" w:eastAsia="Courier New" w:hAnsi="Courier New"/>
                <w:sz w:val="17"/>
                <w:szCs w:val="17"/>
                <w:color w:val="auto"/>
                <w:w w:val="99"/>
              </w:rPr>
              <w:t>Preclinical</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IL-1 TRAP</w:t>
            </w:r>
          </w:p>
        </w:tc>
        <w:tc>
          <w:tcPr>
            <w:tcW w:w="3740" w:type="dxa"/>
            <w:vAlign w:val="bottom"/>
          </w:tcPr>
          <w:p>
            <w:pPr>
              <w:ind w:left="120"/>
              <w:spacing w:after="0"/>
              <w:rPr>
                <w:sz w:val="20"/>
                <w:szCs w:val="20"/>
                <w:color w:val="auto"/>
              </w:rPr>
            </w:pPr>
            <w:r>
              <w:rPr>
                <w:rFonts w:ascii="Courier New" w:cs="Courier New" w:eastAsia="Courier New" w:hAnsi="Courier New"/>
                <w:sz w:val="17"/>
                <w:szCs w:val="17"/>
                <w:color w:val="auto"/>
              </w:rPr>
              <w:t>Rheumatoid arthritis</w:t>
            </w:r>
          </w:p>
        </w:tc>
        <w:tc>
          <w:tcPr>
            <w:tcW w:w="1260" w:type="dxa"/>
            <w:vAlign w:val="bottom"/>
          </w:tcPr>
          <w:p>
            <w:pPr>
              <w:ind w:left="120"/>
              <w:spacing w:after="0"/>
              <w:rPr>
                <w:sz w:val="20"/>
                <w:szCs w:val="20"/>
                <w:color w:val="auto"/>
              </w:rPr>
            </w:pPr>
            <w:r>
              <w:rPr>
                <w:rFonts w:ascii="Courier New" w:cs="Courier New" w:eastAsia="Courier New" w:hAnsi="Courier New"/>
                <w:sz w:val="17"/>
                <w:szCs w:val="17"/>
                <w:color w:val="auto"/>
              </w:rPr>
              <w:t>Clinical</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IL-4/13 TRAP</w:t>
            </w:r>
          </w:p>
        </w:tc>
        <w:tc>
          <w:tcPr>
            <w:tcW w:w="3740" w:type="dxa"/>
            <w:vAlign w:val="bottom"/>
          </w:tcPr>
          <w:p>
            <w:pPr>
              <w:ind w:left="120"/>
              <w:spacing w:after="0"/>
              <w:rPr>
                <w:sz w:val="20"/>
                <w:szCs w:val="20"/>
                <w:color w:val="auto"/>
              </w:rPr>
            </w:pPr>
            <w:r>
              <w:rPr>
                <w:rFonts w:ascii="Courier New" w:cs="Courier New" w:eastAsia="Courier New" w:hAnsi="Courier New"/>
                <w:sz w:val="17"/>
                <w:szCs w:val="17"/>
                <w:color w:val="auto"/>
              </w:rPr>
              <w:t>Asthma and allergic disorders</w:t>
            </w:r>
          </w:p>
        </w:tc>
        <w:tc>
          <w:tcPr>
            <w:tcW w:w="1260" w:type="dxa"/>
            <w:vAlign w:val="bottom"/>
          </w:tcPr>
          <w:p>
            <w:pPr>
              <w:ind w:left="120"/>
              <w:spacing w:after="0"/>
              <w:rPr>
                <w:sz w:val="20"/>
                <w:szCs w:val="20"/>
                <w:color w:val="auto"/>
              </w:rPr>
            </w:pPr>
            <w:r>
              <w:rPr>
                <w:rFonts w:ascii="Courier New" w:cs="Courier New" w:eastAsia="Courier New" w:hAnsi="Courier New"/>
                <w:sz w:val="17"/>
                <w:szCs w:val="17"/>
                <w:color w:val="auto"/>
                <w:w w:val="99"/>
              </w:rPr>
              <w:t>Preclinical</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TRAPS FOR IL-2, IL-3, IL-4, IL-5, IL-6, IL-15,</w:t>
            </w:r>
          </w:p>
        </w:tc>
        <w:tc>
          <w:tcPr>
            <w:tcW w:w="3740" w:type="dxa"/>
            <w:vAlign w:val="bottom"/>
          </w:tcPr>
          <w:p>
            <w:pPr>
              <w:ind w:left="120"/>
              <w:spacing w:after="0"/>
              <w:rPr>
                <w:sz w:val="20"/>
                <w:szCs w:val="20"/>
                <w:color w:val="auto"/>
              </w:rPr>
            </w:pPr>
            <w:r>
              <w:rPr>
                <w:rFonts w:ascii="Courier New" w:cs="Courier New" w:eastAsia="Courier New" w:hAnsi="Courier New"/>
                <w:sz w:val="17"/>
                <w:szCs w:val="17"/>
                <w:color w:val="auto"/>
              </w:rPr>
              <w:t>Multiple diseases</w:t>
            </w:r>
          </w:p>
        </w:tc>
        <w:tc>
          <w:tcPr>
            <w:tcW w:w="1260" w:type="dxa"/>
            <w:vAlign w:val="bottom"/>
          </w:tcPr>
          <w:p>
            <w:pPr>
              <w:ind w:left="120"/>
              <w:spacing w:after="0"/>
              <w:rPr>
                <w:sz w:val="20"/>
                <w:szCs w:val="20"/>
                <w:color w:val="auto"/>
              </w:rPr>
            </w:pPr>
            <w:r>
              <w:rPr>
                <w:rFonts w:ascii="Courier New" w:cs="Courier New" w:eastAsia="Courier New" w:hAnsi="Courier New"/>
                <w:sz w:val="17"/>
                <w:szCs w:val="17"/>
                <w:color w:val="auto"/>
              </w:rPr>
              <w:t>Research</w:t>
            </w:r>
          </w:p>
        </w:tc>
      </w:tr>
      <w:tr>
        <w:trPr>
          <w:trHeight w:val="200"/>
        </w:trPr>
        <w:tc>
          <w:tcPr>
            <w:tcW w:w="4880" w:type="dxa"/>
            <w:vAlign w:val="bottom"/>
          </w:tcPr>
          <w:p>
            <w:pPr>
              <w:ind w:left="220"/>
              <w:spacing w:after="0"/>
              <w:rPr>
                <w:sz w:val="20"/>
                <w:szCs w:val="20"/>
                <w:color w:val="auto"/>
              </w:rPr>
            </w:pPr>
            <w:r>
              <w:rPr>
                <w:rFonts w:ascii="Courier New" w:cs="Courier New" w:eastAsia="Courier New" w:hAnsi="Courier New"/>
                <w:sz w:val="17"/>
                <w:szCs w:val="17"/>
                <w:color w:val="auto"/>
              </w:rPr>
              <w:t>GAMMA-INTERFERON, TGF-BETA AND OTHERS</w:t>
            </w:r>
          </w:p>
        </w:tc>
        <w:tc>
          <w:tcPr>
            <w:tcW w:w="3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VEGF TRAP</w:t>
            </w:r>
          </w:p>
        </w:tc>
        <w:tc>
          <w:tcPr>
            <w:tcW w:w="3740" w:type="dxa"/>
            <w:vAlign w:val="bottom"/>
          </w:tcPr>
          <w:p>
            <w:pPr>
              <w:ind w:left="120"/>
              <w:spacing w:after="0"/>
              <w:rPr>
                <w:sz w:val="20"/>
                <w:szCs w:val="20"/>
                <w:color w:val="auto"/>
              </w:rPr>
            </w:pPr>
            <w:r>
              <w:rPr>
                <w:rFonts w:ascii="Courier New" w:cs="Courier New" w:eastAsia="Courier New" w:hAnsi="Courier New"/>
                <w:sz w:val="17"/>
                <w:szCs w:val="17"/>
                <w:color w:val="auto"/>
              </w:rPr>
              <w:t>Cancer and related conditions</w:t>
            </w:r>
          </w:p>
        </w:tc>
        <w:tc>
          <w:tcPr>
            <w:tcW w:w="1260" w:type="dxa"/>
            <w:vAlign w:val="bottom"/>
          </w:tcPr>
          <w:p>
            <w:pPr>
              <w:ind w:left="120"/>
              <w:spacing w:after="0"/>
              <w:rPr>
                <w:sz w:val="20"/>
                <w:szCs w:val="20"/>
                <w:color w:val="auto"/>
              </w:rPr>
            </w:pPr>
            <w:r>
              <w:rPr>
                <w:rFonts w:ascii="Courier New" w:cs="Courier New" w:eastAsia="Courier New" w:hAnsi="Courier New"/>
                <w:sz w:val="17"/>
                <w:szCs w:val="17"/>
                <w:color w:val="auto"/>
                <w:w w:val="99"/>
              </w:rPr>
              <w:t>Preclinical</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ANGIOPOIETIN-1</w:t>
            </w:r>
          </w:p>
        </w:tc>
        <w:tc>
          <w:tcPr>
            <w:tcW w:w="3740" w:type="dxa"/>
            <w:vAlign w:val="bottom"/>
          </w:tcPr>
          <w:p>
            <w:pPr>
              <w:ind w:left="120"/>
              <w:spacing w:after="0"/>
              <w:rPr>
                <w:sz w:val="20"/>
                <w:szCs w:val="20"/>
                <w:color w:val="auto"/>
              </w:rPr>
            </w:pPr>
            <w:r>
              <w:rPr>
                <w:rFonts w:ascii="Courier New" w:cs="Courier New" w:eastAsia="Courier New" w:hAnsi="Courier New"/>
                <w:sz w:val="17"/>
                <w:szCs w:val="17"/>
                <w:color w:val="auto"/>
              </w:rPr>
              <w:t>Vascular leak and edema</w:t>
            </w:r>
          </w:p>
        </w:tc>
        <w:tc>
          <w:tcPr>
            <w:tcW w:w="1260" w:type="dxa"/>
            <w:vAlign w:val="bottom"/>
          </w:tcPr>
          <w:p>
            <w:pPr>
              <w:ind w:left="120"/>
              <w:spacing w:after="0"/>
              <w:rPr>
                <w:sz w:val="20"/>
                <w:szCs w:val="20"/>
                <w:color w:val="auto"/>
              </w:rPr>
            </w:pPr>
            <w:r>
              <w:rPr>
                <w:rFonts w:ascii="Courier New" w:cs="Courier New" w:eastAsia="Courier New" w:hAnsi="Courier New"/>
                <w:sz w:val="17"/>
                <w:szCs w:val="17"/>
                <w:color w:val="auto"/>
                <w:w w:val="99"/>
              </w:rPr>
              <w:t>Preclinical</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EPHRINS, ANGIOPOIETIN-2</w:t>
            </w:r>
          </w:p>
        </w:tc>
        <w:tc>
          <w:tcPr>
            <w:tcW w:w="3740" w:type="dxa"/>
            <w:vAlign w:val="bottom"/>
          </w:tcPr>
          <w:p>
            <w:pPr>
              <w:ind w:left="120"/>
              <w:spacing w:after="0"/>
              <w:rPr>
                <w:sz w:val="20"/>
                <w:szCs w:val="20"/>
                <w:color w:val="auto"/>
              </w:rPr>
            </w:pPr>
            <w:r>
              <w:rPr>
                <w:rFonts w:ascii="Courier New" w:cs="Courier New" w:eastAsia="Courier New" w:hAnsi="Courier New"/>
                <w:sz w:val="17"/>
                <w:szCs w:val="17"/>
                <w:color w:val="auto"/>
              </w:rPr>
              <w:t>Cancer and ischemia</w:t>
            </w:r>
          </w:p>
        </w:tc>
        <w:tc>
          <w:tcPr>
            <w:tcW w:w="1260" w:type="dxa"/>
            <w:vAlign w:val="bottom"/>
          </w:tcPr>
          <w:p>
            <w:pPr>
              <w:ind w:left="120"/>
              <w:spacing w:after="0"/>
              <w:rPr>
                <w:sz w:val="20"/>
                <w:szCs w:val="20"/>
                <w:color w:val="auto"/>
              </w:rPr>
            </w:pPr>
            <w:r>
              <w:rPr>
                <w:rFonts w:ascii="Courier New" w:cs="Courier New" w:eastAsia="Courier New" w:hAnsi="Courier New"/>
                <w:sz w:val="17"/>
                <w:szCs w:val="17"/>
                <w:color w:val="auto"/>
              </w:rPr>
              <w:t>Research</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REGENERON ORPHAN RECEPTORS (RORS)</w:t>
            </w:r>
          </w:p>
        </w:tc>
        <w:tc>
          <w:tcPr>
            <w:tcW w:w="3740" w:type="dxa"/>
            <w:vAlign w:val="bottom"/>
          </w:tcPr>
          <w:p>
            <w:pPr>
              <w:ind w:left="120"/>
              <w:spacing w:after="0"/>
              <w:rPr>
                <w:sz w:val="20"/>
                <w:szCs w:val="20"/>
                <w:color w:val="auto"/>
              </w:rPr>
            </w:pPr>
            <w:r>
              <w:rPr>
                <w:rFonts w:ascii="Courier New" w:cs="Courier New" w:eastAsia="Courier New" w:hAnsi="Courier New"/>
                <w:sz w:val="17"/>
                <w:szCs w:val="17"/>
                <w:color w:val="auto"/>
              </w:rPr>
              <w:t>Osteoarthritis and other cartilage</w:t>
            </w:r>
          </w:p>
        </w:tc>
        <w:tc>
          <w:tcPr>
            <w:tcW w:w="1260" w:type="dxa"/>
            <w:vAlign w:val="bottom"/>
          </w:tcPr>
          <w:p>
            <w:pPr>
              <w:ind w:left="120"/>
              <w:spacing w:after="0"/>
              <w:rPr>
                <w:sz w:val="20"/>
                <w:szCs w:val="20"/>
                <w:color w:val="auto"/>
              </w:rPr>
            </w:pPr>
            <w:r>
              <w:rPr>
                <w:rFonts w:ascii="Courier New" w:cs="Courier New" w:eastAsia="Courier New" w:hAnsi="Courier New"/>
                <w:sz w:val="17"/>
                <w:szCs w:val="17"/>
                <w:color w:val="auto"/>
              </w:rPr>
              <w:t>Research</w:t>
            </w:r>
          </w:p>
        </w:tc>
      </w:tr>
    </w:tbl>
    <w:p>
      <w:pPr>
        <w:spacing w:after="0" w:line="6"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diseases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219" w:firstLine="519"/>
        <w:spacing w:after="0" w:line="251" w:lineRule="auto"/>
        <w:rPr>
          <w:sz w:val="20"/>
          <w:szCs w:val="20"/>
          <w:color w:val="auto"/>
        </w:rPr>
      </w:pPr>
      <w:r>
        <w:rPr>
          <w:rFonts w:ascii="Courier New" w:cs="Courier New" w:eastAsia="Courier New" w:hAnsi="Courier New"/>
          <w:sz w:val="17"/>
          <w:szCs w:val="17"/>
          <w:color w:val="auto"/>
        </w:rPr>
        <w:t>AXOKINE. AXOKINE is our patented second generation ciliary neurotrophic factor, called CNTF. We are developing AXOKINE for the treatment of obesity.</w:t>
      </w:r>
    </w:p>
    <w:p>
      <w:pPr>
        <w:spacing w:after="0" w:line="396"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Obesity is a major health problem in all developed countries. The prevalence of obesity in the United States has increased substantially during the past decade. A 1999 Congressional Report funded by the National Institutes of Health confirmed that obesity significantly increases a number of health risks, including Type II diabetes. Obesity-related conditions, such as stroke and myocardial infarct are estimated to contribute to about 300,000 deaths yearly, ranking second only to smoking as a cause of preventable death. Current treatment of obesity consists of diet, exercise and other lifestyle changes, and a limited number of drugs. There are two approved drugs currently indicated for the treatment of obesity -- sibutramine (Meridia(R), a registered trademark of Knoll Pharmaceutical Company), and orlistat (Xenical(R), a registered trademark of Hoffman-La Roche, Inc.). According to their approved product labels, over a twelve month treatment period, these drugs, at their approved starting doses, have produced weight loss of between approximately five and nine pounds as compared to patients taking placebo.</w:t>
      </w:r>
    </w:p>
    <w:p>
      <w:pPr>
        <w:sectPr>
          <w:pgSz w:w="11900" w:h="16838" w:orient="portrait"/>
          <w:cols w:equalWidth="0" w:num="1">
            <w:col w:w="10219"/>
          </w:cols>
          <w:pgMar w:left="240" w:top="315" w:right="1440" w:bottom="981" w:gutter="0" w:footer="0" w:header="0"/>
        </w:sectPr>
      </w:pPr>
    </w:p>
    <w:p>
      <w:pPr>
        <w:spacing w:after="0" w:line="4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315" w:right="1440" w:bottom="981" w:gutter="0" w:footer="0" w:header="0"/>
          <w:type w:val="continuous"/>
        </w:sectPr>
      </w:pPr>
    </w:p>
    <w:bookmarkStart w:id="31" w:name="page32"/>
    <w:bookmarkEnd w:id="31"/>
    <w:p>
      <w:pPr>
        <w:ind w:left="320"/>
        <w:spacing w:after="0"/>
        <w:rPr>
          <w:sz w:val="20"/>
          <w:szCs w:val="20"/>
          <w:color w:val="auto"/>
        </w:rPr>
      </w:pPr>
      <w:r>
        <w:rPr>
          <w:rFonts w:ascii="Courier New" w:cs="Courier New" w:eastAsia="Courier New" w:hAnsi="Courier New"/>
          <w:sz w:val="17"/>
          <w:szCs w:val="17"/>
          <w:color w:val="auto"/>
        </w:rPr>
        <w:t>23</w:t>
      </w:r>
    </w:p>
    <w:p>
      <w:pPr>
        <w:spacing w:after="0" w:line="200" w:lineRule="exact"/>
        <w:rPr>
          <w:sz w:val="20"/>
          <w:szCs w:val="20"/>
          <w:color w:val="auto"/>
        </w:rPr>
      </w:pP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November 2000, we announced the preliminary results of a Phase II clinical trial, which tested the safety and efficacy of AXOKINE in severely obese patients. This Phase II trial was a randomized, double-blind, placebo-controlled, out-patient study conducted at seven sites in the United States. Following an initial two week "run-in period," all subjects received twelve weeks of daily treatment, administered under the skin by patient self-injection. A total of 170 patients were divided into five patient groups. The first four patient groups comprised the pre-specified population for the primary analyses and received placebo, a daily dose of 0.3 micrograms (mcg) of AXOKINE per kilogram (kg), a daily dose of 1.0 mcg/kg, or a daily dose of 2.0 mcg/kg, in each case, over the twelve week treatment period. A fifth group received a daily dose of 1.0 mcg/kg for eight weeks, followed by a blinded withdrawal period in which they received placebo for four weeks. The pre-specified end points of the study were change in weight for the patients who completed the full twelve weeks of treatment ("Completer Analysis"), and change in weight for all patients, whether or not they completed the full twelve weeks of treatment ("Last Observed Value Analysis"). All AXOKINE-treated groups showed medically meaningful and statistically significant weight loss compared to placebo. Summarized below are the results of the four groups comprising the primary analyses.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720" w:type="dxa"/>
            <w:vAlign w:val="bottom"/>
          </w:tcPr>
          <w:p>
            <w:pPr>
              <w:spacing w:after="0"/>
              <w:rPr>
                <w:sz w:val="16"/>
                <w:szCs w:val="16"/>
                <w:color w:val="auto"/>
              </w:rPr>
            </w:pPr>
          </w:p>
        </w:tc>
        <w:tc>
          <w:tcPr>
            <w:tcW w:w="5040" w:type="dxa"/>
            <w:vAlign w:val="bottom"/>
            <w:gridSpan w:val="2"/>
          </w:tcPr>
          <w:p>
            <w:pPr>
              <w:jc w:val="center"/>
              <w:ind w:right="73"/>
              <w:spacing w:after="0"/>
              <w:rPr>
                <w:sz w:val="20"/>
                <w:szCs w:val="20"/>
                <w:color w:val="auto"/>
              </w:rPr>
            </w:pPr>
            <w:r>
              <w:rPr>
                <w:rFonts w:ascii="Courier New" w:cs="Courier New" w:eastAsia="Courier New" w:hAnsi="Courier New"/>
                <w:sz w:val="17"/>
                <w:szCs w:val="17"/>
                <w:color w:val="auto"/>
              </w:rPr>
              <w:t>COMPLETER ANALYSIS</w:t>
            </w:r>
          </w:p>
        </w:tc>
      </w:tr>
      <w:tr>
        <w:trPr>
          <w:trHeight w:val="799"/>
        </w:trPr>
        <w:tc>
          <w:tcPr>
            <w:tcW w:w="1720" w:type="dxa"/>
            <w:vAlign w:val="bottom"/>
          </w:tcPr>
          <w:p>
            <w:pPr>
              <w:spacing w:after="0"/>
              <w:rPr>
                <w:sz w:val="24"/>
                <w:szCs w:val="24"/>
                <w:color w:val="auto"/>
              </w:rPr>
            </w:pPr>
          </w:p>
        </w:tc>
        <w:tc>
          <w:tcPr>
            <w:tcW w:w="2700" w:type="dxa"/>
            <w:vAlign w:val="bottom"/>
          </w:tcPr>
          <w:p>
            <w:pPr>
              <w:jc w:val="center"/>
              <w:ind w:left="433"/>
              <w:spacing w:after="0"/>
              <w:rPr>
                <w:sz w:val="20"/>
                <w:szCs w:val="20"/>
                <w:color w:val="auto"/>
              </w:rPr>
            </w:pPr>
            <w:r>
              <w:rPr>
                <w:rFonts w:ascii="Courier New" w:cs="Courier New" w:eastAsia="Courier New" w:hAnsi="Courier New"/>
                <w:sz w:val="17"/>
                <w:szCs w:val="17"/>
                <w:color w:val="auto"/>
              </w:rPr>
              <w:t>MEAN WEIGHT CHANGE</w:t>
            </w:r>
          </w:p>
        </w:tc>
        <w:tc>
          <w:tcPr>
            <w:tcW w:w="2340" w:type="dxa"/>
            <w:vAlign w:val="bottom"/>
          </w:tcPr>
          <w:p>
            <w:pPr>
              <w:spacing w:after="0"/>
              <w:rPr>
                <w:sz w:val="24"/>
                <w:szCs w:val="24"/>
                <w:color w:val="auto"/>
              </w:rPr>
            </w:pPr>
          </w:p>
        </w:tc>
      </w:tr>
      <w:tr>
        <w:trPr>
          <w:trHeight w:val="200"/>
        </w:trPr>
        <w:tc>
          <w:tcPr>
            <w:tcW w:w="1720" w:type="dxa"/>
            <w:vAlign w:val="bottom"/>
          </w:tcPr>
          <w:p>
            <w:pPr>
              <w:spacing w:after="0"/>
              <w:rPr>
                <w:sz w:val="17"/>
                <w:szCs w:val="17"/>
                <w:color w:val="auto"/>
              </w:rPr>
            </w:pPr>
          </w:p>
        </w:tc>
        <w:tc>
          <w:tcPr>
            <w:tcW w:w="2700" w:type="dxa"/>
            <w:vAlign w:val="bottom"/>
          </w:tcPr>
          <w:p>
            <w:pPr>
              <w:ind w:left="880"/>
              <w:spacing w:after="0"/>
              <w:rPr>
                <w:sz w:val="20"/>
                <w:szCs w:val="20"/>
                <w:color w:val="auto"/>
              </w:rPr>
            </w:pPr>
            <w:r>
              <w:rPr>
                <w:rFonts w:ascii="Courier New" w:cs="Courier New" w:eastAsia="Courier New" w:hAnsi="Courier New"/>
                <w:sz w:val="17"/>
                <w:szCs w:val="17"/>
                <w:color w:val="auto"/>
              </w:rPr>
              <w:t>FROM BASELINE</w:t>
            </w:r>
          </w:p>
        </w:tc>
        <w:tc>
          <w:tcPr>
            <w:tcW w:w="2340" w:type="dxa"/>
            <w:vAlign w:val="bottom"/>
          </w:tcPr>
          <w:p>
            <w:pPr>
              <w:jc w:val="center"/>
              <w:ind w:left="73"/>
              <w:spacing w:after="0"/>
              <w:rPr>
                <w:sz w:val="20"/>
                <w:szCs w:val="20"/>
                <w:color w:val="auto"/>
              </w:rPr>
            </w:pPr>
            <w:r>
              <w:rPr>
                <w:rFonts w:ascii="Courier New" w:cs="Courier New" w:eastAsia="Courier New" w:hAnsi="Courier New"/>
                <w:sz w:val="17"/>
                <w:szCs w:val="17"/>
                <w:color w:val="auto"/>
              </w:rPr>
              <w:t>p VALUE</w:t>
            </w:r>
          </w:p>
        </w:tc>
      </w:tr>
      <w:tr>
        <w:trPr>
          <w:trHeight w:val="200"/>
        </w:trPr>
        <w:tc>
          <w:tcPr>
            <w:tcW w:w="1720" w:type="dxa"/>
            <w:vAlign w:val="bottom"/>
          </w:tcPr>
          <w:p>
            <w:pPr>
              <w:spacing w:after="0"/>
              <w:rPr>
                <w:sz w:val="17"/>
                <w:szCs w:val="17"/>
                <w:color w:val="auto"/>
              </w:rPr>
            </w:pPr>
          </w:p>
        </w:tc>
        <w:tc>
          <w:tcPr>
            <w:tcW w:w="2700" w:type="dxa"/>
            <w:vAlign w:val="bottom"/>
          </w:tcPr>
          <w:p>
            <w:pPr>
              <w:jc w:val="center"/>
              <w:ind w:left="433"/>
              <w:spacing w:after="0"/>
              <w:rPr>
                <w:sz w:val="20"/>
                <w:szCs w:val="20"/>
                <w:color w:val="auto"/>
              </w:rPr>
            </w:pPr>
            <w:r>
              <w:rPr>
                <w:rFonts w:ascii="Courier New" w:cs="Courier New" w:eastAsia="Courier New" w:hAnsi="Courier New"/>
                <w:sz w:val="17"/>
                <w:szCs w:val="17"/>
                <w:color w:val="auto"/>
              </w:rPr>
              <w:t>(POUNDS)</w:t>
            </w:r>
          </w:p>
        </w:tc>
        <w:tc>
          <w:tcPr>
            <w:tcW w:w="2340" w:type="dxa"/>
            <w:vAlign w:val="bottom"/>
          </w:tcPr>
          <w:p>
            <w:pPr>
              <w:jc w:val="center"/>
              <w:ind w:left="73"/>
              <w:spacing w:after="0"/>
              <w:rPr>
                <w:sz w:val="20"/>
                <w:szCs w:val="20"/>
                <w:color w:val="auto"/>
              </w:rPr>
            </w:pPr>
            <w:r>
              <w:rPr>
                <w:rFonts w:ascii="Courier New" w:cs="Courier New" w:eastAsia="Courier New" w:hAnsi="Courier New"/>
                <w:sz w:val="17"/>
                <w:szCs w:val="17"/>
                <w:color w:val="auto"/>
              </w:rPr>
              <w:t>(RELATIVE TO PLACEBO)</w:t>
            </w:r>
          </w:p>
        </w:tc>
      </w:tr>
      <w:tr>
        <w:trPr>
          <w:trHeight w:val="200"/>
        </w:trPr>
        <w:tc>
          <w:tcPr>
            <w:tcW w:w="1720" w:type="dxa"/>
            <w:vAlign w:val="bottom"/>
          </w:tcPr>
          <w:p>
            <w:pPr>
              <w:spacing w:after="0"/>
              <w:rPr>
                <w:sz w:val="17"/>
                <w:szCs w:val="17"/>
                <w:color w:val="auto"/>
              </w:rPr>
            </w:pPr>
          </w:p>
        </w:tc>
        <w:tc>
          <w:tcPr>
            <w:tcW w:w="2700" w:type="dxa"/>
            <w:vAlign w:val="bottom"/>
          </w:tcPr>
          <w:p>
            <w:pPr>
              <w:jc w:val="center"/>
              <w:ind w:left="433"/>
              <w:spacing w:after="0"/>
              <w:rPr>
                <w:sz w:val="20"/>
                <w:szCs w:val="20"/>
                <w:color w:val="auto"/>
              </w:rPr>
            </w:pPr>
            <w:r>
              <w:rPr>
                <w:rFonts w:ascii="Courier New" w:cs="Courier New" w:eastAsia="Courier New" w:hAnsi="Courier New"/>
                <w:sz w:val="17"/>
                <w:szCs w:val="17"/>
                <w:color w:val="auto"/>
              </w:rPr>
              <w:t>------------------</w:t>
            </w:r>
          </w:p>
        </w:tc>
        <w:tc>
          <w:tcPr>
            <w:tcW w:w="2340" w:type="dxa"/>
            <w:vAlign w:val="bottom"/>
          </w:tcPr>
          <w:p>
            <w:pPr>
              <w:jc w:val="center"/>
              <w:ind w:left="73"/>
              <w:spacing w:after="0"/>
              <w:rPr>
                <w:sz w:val="20"/>
                <w:szCs w:val="20"/>
                <w:color w:val="auto"/>
              </w:rPr>
            </w:pPr>
            <w:r>
              <w:rPr>
                <w:rFonts w:ascii="Courier New" w:cs="Courier New" w:eastAsia="Courier New" w:hAnsi="Courier New"/>
                <w:sz w:val="17"/>
                <w:szCs w:val="17"/>
                <w:color w:val="auto"/>
              </w:rPr>
              <w:t>---------------------</w:t>
            </w:r>
          </w:p>
        </w:tc>
      </w:tr>
      <w:tr>
        <w:trPr>
          <w:trHeight w:val="400"/>
        </w:trPr>
        <w:tc>
          <w:tcPr>
            <w:tcW w:w="1720" w:type="dxa"/>
            <w:vAlign w:val="bottom"/>
          </w:tcPr>
          <w:p>
            <w:pPr>
              <w:spacing w:after="0"/>
              <w:rPr>
                <w:sz w:val="20"/>
                <w:szCs w:val="20"/>
                <w:color w:val="auto"/>
              </w:rPr>
            </w:pPr>
            <w:r>
              <w:rPr>
                <w:rFonts w:ascii="Courier New" w:cs="Courier New" w:eastAsia="Courier New" w:hAnsi="Courier New"/>
                <w:sz w:val="17"/>
                <w:szCs w:val="17"/>
                <w:color w:val="auto"/>
              </w:rPr>
              <w:t>Placebo</w:t>
            </w:r>
          </w:p>
        </w:tc>
        <w:tc>
          <w:tcPr>
            <w:tcW w:w="2700" w:type="dxa"/>
            <w:vAlign w:val="bottom"/>
          </w:tcPr>
          <w:p>
            <w:pPr>
              <w:jc w:val="center"/>
              <w:ind w:left="433"/>
              <w:spacing w:after="0"/>
              <w:rPr>
                <w:sz w:val="20"/>
                <w:szCs w:val="20"/>
                <w:color w:val="auto"/>
              </w:rPr>
            </w:pPr>
            <w:r>
              <w:rPr>
                <w:rFonts w:ascii="Courier New" w:cs="Courier New" w:eastAsia="Courier New" w:hAnsi="Courier New"/>
                <w:sz w:val="17"/>
                <w:szCs w:val="17"/>
                <w:color w:val="auto"/>
              </w:rPr>
              <w:t>+1.3</w:t>
            </w:r>
          </w:p>
        </w:tc>
        <w:tc>
          <w:tcPr>
            <w:tcW w:w="23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w:t>
            </w:r>
          </w:p>
        </w:tc>
      </w:tr>
      <w:tr>
        <w:trPr>
          <w:trHeight w:val="200"/>
        </w:trPr>
        <w:tc>
          <w:tcPr>
            <w:tcW w:w="1720" w:type="dxa"/>
            <w:vAlign w:val="bottom"/>
          </w:tcPr>
          <w:p>
            <w:pPr>
              <w:jc w:val="center"/>
              <w:ind w:right="573"/>
              <w:spacing w:after="0"/>
              <w:rPr>
                <w:sz w:val="20"/>
                <w:szCs w:val="20"/>
                <w:color w:val="auto"/>
              </w:rPr>
            </w:pPr>
            <w:r>
              <w:rPr>
                <w:rFonts w:ascii="Courier New" w:cs="Courier New" w:eastAsia="Courier New" w:hAnsi="Courier New"/>
                <w:sz w:val="17"/>
                <w:szCs w:val="17"/>
                <w:color w:val="auto"/>
              </w:rPr>
              <w:t>(n=19)</w:t>
            </w:r>
          </w:p>
        </w:tc>
        <w:tc>
          <w:tcPr>
            <w:tcW w:w="27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0"/>
        </w:trPr>
        <w:tc>
          <w:tcPr>
            <w:tcW w:w="1720" w:type="dxa"/>
            <w:vAlign w:val="bottom"/>
          </w:tcPr>
          <w:p>
            <w:pPr>
              <w:jc w:val="center"/>
              <w:ind w:right="593"/>
              <w:spacing w:after="0"/>
              <w:rPr>
                <w:sz w:val="20"/>
                <w:szCs w:val="20"/>
                <w:color w:val="auto"/>
              </w:rPr>
            </w:pPr>
            <w:r>
              <w:rPr>
                <w:rFonts w:ascii="Courier New" w:cs="Courier New" w:eastAsia="Courier New" w:hAnsi="Courier New"/>
                <w:sz w:val="17"/>
                <w:szCs w:val="17"/>
                <w:color w:val="auto"/>
              </w:rPr>
              <w:t>0.3 mcg/kg</w:t>
            </w:r>
          </w:p>
        </w:tc>
        <w:tc>
          <w:tcPr>
            <w:tcW w:w="2700" w:type="dxa"/>
            <w:vAlign w:val="bottom"/>
          </w:tcPr>
          <w:p>
            <w:pPr>
              <w:jc w:val="center"/>
              <w:ind w:left="433"/>
              <w:spacing w:after="0"/>
              <w:rPr>
                <w:sz w:val="20"/>
                <w:szCs w:val="20"/>
                <w:color w:val="auto"/>
              </w:rPr>
            </w:pPr>
            <w:r>
              <w:rPr>
                <w:rFonts w:ascii="Courier New" w:cs="Courier New" w:eastAsia="Courier New" w:hAnsi="Courier New"/>
                <w:sz w:val="17"/>
                <w:szCs w:val="17"/>
                <w:color w:val="auto"/>
              </w:rPr>
              <w:t>-3.4</w:t>
            </w:r>
          </w:p>
        </w:tc>
        <w:tc>
          <w:tcPr>
            <w:tcW w:w="23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p = 0.01</w:t>
            </w:r>
          </w:p>
        </w:tc>
      </w:tr>
      <w:tr>
        <w:trPr>
          <w:trHeight w:val="200"/>
        </w:trPr>
        <w:tc>
          <w:tcPr>
            <w:tcW w:w="1720" w:type="dxa"/>
            <w:vAlign w:val="bottom"/>
          </w:tcPr>
          <w:p>
            <w:pPr>
              <w:jc w:val="center"/>
              <w:ind w:right="573"/>
              <w:spacing w:after="0"/>
              <w:rPr>
                <w:sz w:val="20"/>
                <w:szCs w:val="20"/>
                <w:color w:val="auto"/>
              </w:rPr>
            </w:pPr>
            <w:r>
              <w:rPr>
                <w:rFonts w:ascii="Courier New" w:cs="Courier New" w:eastAsia="Courier New" w:hAnsi="Courier New"/>
                <w:sz w:val="17"/>
                <w:szCs w:val="17"/>
                <w:color w:val="auto"/>
              </w:rPr>
              <w:t>(n=23)</w:t>
            </w:r>
          </w:p>
        </w:tc>
        <w:tc>
          <w:tcPr>
            <w:tcW w:w="27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0"/>
        </w:trPr>
        <w:tc>
          <w:tcPr>
            <w:tcW w:w="1720" w:type="dxa"/>
            <w:vAlign w:val="bottom"/>
          </w:tcPr>
          <w:p>
            <w:pPr>
              <w:jc w:val="center"/>
              <w:ind w:right="593"/>
              <w:spacing w:after="0"/>
              <w:rPr>
                <w:sz w:val="20"/>
                <w:szCs w:val="20"/>
                <w:color w:val="auto"/>
              </w:rPr>
            </w:pPr>
            <w:r>
              <w:rPr>
                <w:rFonts w:ascii="Courier New" w:cs="Courier New" w:eastAsia="Courier New" w:hAnsi="Courier New"/>
                <w:sz w:val="17"/>
                <w:szCs w:val="17"/>
                <w:color w:val="auto"/>
              </w:rPr>
              <w:t>1.0 mcg/kg</w:t>
            </w:r>
          </w:p>
        </w:tc>
        <w:tc>
          <w:tcPr>
            <w:tcW w:w="2700" w:type="dxa"/>
            <w:vAlign w:val="bottom"/>
          </w:tcPr>
          <w:p>
            <w:pPr>
              <w:jc w:val="center"/>
              <w:ind w:left="433"/>
              <w:spacing w:after="0"/>
              <w:rPr>
                <w:sz w:val="20"/>
                <w:szCs w:val="20"/>
                <w:color w:val="auto"/>
              </w:rPr>
            </w:pPr>
            <w:r>
              <w:rPr>
                <w:rFonts w:ascii="Courier New" w:cs="Courier New" w:eastAsia="Courier New" w:hAnsi="Courier New"/>
                <w:sz w:val="17"/>
                <w:szCs w:val="17"/>
                <w:color w:val="auto"/>
              </w:rPr>
              <w:t>-8.9</w:t>
            </w:r>
          </w:p>
        </w:tc>
        <w:tc>
          <w:tcPr>
            <w:tcW w:w="2340" w:type="dxa"/>
            <w:vAlign w:val="bottom"/>
          </w:tcPr>
          <w:p>
            <w:pPr>
              <w:jc w:val="center"/>
              <w:ind w:right="293"/>
              <w:spacing w:after="0"/>
              <w:rPr>
                <w:sz w:val="20"/>
                <w:szCs w:val="20"/>
                <w:color w:val="auto"/>
              </w:rPr>
            </w:pPr>
            <w:r>
              <w:rPr>
                <w:rFonts w:ascii="Courier New" w:cs="Courier New" w:eastAsia="Courier New" w:hAnsi="Courier New"/>
                <w:sz w:val="17"/>
                <w:szCs w:val="17"/>
                <w:color w:val="auto"/>
              </w:rPr>
              <w:t>p &lt; 0.0001</w:t>
            </w:r>
          </w:p>
        </w:tc>
      </w:tr>
      <w:tr>
        <w:trPr>
          <w:trHeight w:val="200"/>
        </w:trPr>
        <w:tc>
          <w:tcPr>
            <w:tcW w:w="1720" w:type="dxa"/>
            <w:vAlign w:val="bottom"/>
          </w:tcPr>
          <w:p>
            <w:pPr>
              <w:jc w:val="center"/>
              <w:ind w:right="573"/>
              <w:spacing w:after="0"/>
              <w:rPr>
                <w:sz w:val="20"/>
                <w:szCs w:val="20"/>
                <w:color w:val="auto"/>
              </w:rPr>
            </w:pPr>
            <w:r>
              <w:rPr>
                <w:rFonts w:ascii="Courier New" w:cs="Courier New" w:eastAsia="Courier New" w:hAnsi="Courier New"/>
                <w:sz w:val="17"/>
                <w:szCs w:val="17"/>
                <w:color w:val="auto"/>
              </w:rPr>
              <w:t>(n=26)</w:t>
            </w:r>
          </w:p>
        </w:tc>
        <w:tc>
          <w:tcPr>
            <w:tcW w:w="27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0"/>
        </w:trPr>
        <w:tc>
          <w:tcPr>
            <w:tcW w:w="1720" w:type="dxa"/>
            <w:vAlign w:val="bottom"/>
          </w:tcPr>
          <w:p>
            <w:pPr>
              <w:jc w:val="center"/>
              <w:ind w:right="593"/>
              <w:spacing w:after="0"/>
              <w:rPr>
                <w:sz w:val="20"/>
                <w:szCs w:val="20"/>
                <w:color w:val="auto"/>
              </w:rPr>
            </w:pPr>
            <w:r>
              <w:rPr>
                <w:rFonts w:ascii="Courier New" w:cs="Courier New" w:eastAsia="Courier New" w:hAnsi="Courier New"/>
                <w:sz w:val="17"/>
                <w:szCs w:val="17"/>
                <w:color w:val="auto"/>
              </w:rPr>
              <w:t>2.0 mcg/kg</w:t>
            </w:r>
          </w:p>
        </w:tc>
        <w:tc>
          <w:tcPr>
            <w:tcW w:w="2700" w:type="dxa"/>
            <w:vAlign w:val="bottom"/>
          </w:tcPr>
          <w:p>
            <w:pPr>
              <w:jc w:val="center"/>
              <w:ind w:left="433"/>
              <w:spacing w:after="0"/>
              <w:rPr>
                <w:sz w:val="20"/>
                <w:szCs w:val="20"/>
                <w:color w:val="auto"/>
              </w:rPr>
            </w:pPr>
            <w:r>
              <w:rPr>
                <w:rFonts w:ascii="Courier New" w:cs="Courier New" w:eastAsia="Courier New" w:hAnsi="Courier New"/>
                <w:sz w:val="17"/>
                <w:szCs w:val="17"/>
                <w:color w:val="auto"/>
              </w:rPr>
              <w:t>-7.5</w:t>
            </w:r>
          </w:p>
        </w:tc>
        <w:tc>
          <w:tcPr>
            <w:tcW w:w="2340" w:type="dxa"/>
            <w:vAlign w:val="bottom"/>
          </w:tcPr>
          <w:p>
            <w:pPr>
              <w:jc w:val="center"/>
              <w:ind w:right="293"/>
              <w:spacing w:after="0"/>
              <w:rPr>
                <w:sz w:val="20"/>
                <w:szCs w:val="20"/>
                <w:color w:val="auto"/>
              </w:rPr>
            </w:pPr>
            <w:r>
              <w:rPr>
                <w:rFonts w:ascii="Courier New" w:cs="Courier New" w:eastAsia="Courier New" w:hAnsi="Courier New"/>
                <w:sz w:val="17"/>
                <w:szCs w:val="17"/>
                <w:color w:val="auto"/>
              </w:rPr>
              <w:t>p &lt; 0.0001</w:t>
            </w:r>
          </w:p>
        </w:tc>
      </w:tr>
      <w:tr>
        <w:trPr>
          <w:trHeight w:val="200"/>
        </w:trPr>
        <w:tc>
          <w:tcPr>
            <w:tcW w:w="1720" w:type="dxa"/>
            <w:vAlign w:val="bottom"/>
          </w:tcPr>
          <w:p>
            <w:pPr>
              <w:jc w:val="center"/>
              <w:ind w:right="573"/>
              <w:spacing w:after="0"/>
              <w:rPr>
                <w:sz w:val="20"/>
                <w:szCs w:val="20"/>
                <w:color w:val="auto"/>
              </w:rPr>
            </w:pPr>
            <w:r>
              <w:rPr>
                <w:rFonts w:ascii="Courier New" w:cs="Courier New" w:eastAsia="Courier New" w:hAnsi="Courier New"/>
                <w:sz w:val="17"/>
                <w:szCs w:val="17"/>
                <w:color w:val="auto"/>
              </w:rPr>
              <w:t>(n=19)</w:t>
            </w:r>
          </w:p>
        </w:tc>
        <w:tc>
          <w:tcPr>
            <w:tcW w:w="27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599"/>
        </w:trPr>
        <w:tc>
          <w:tcPr>
            <w:tcW w:w="1720" w:type="dxa"/>
            <w:vAlign w:val="bottom"/>
          </w:tcPr>
          <w:p>
            <w:pPr>
              <w:spacing w:after="0"/>
              <w:rPr>
                <w:sz w:val="24"/>
                <w:szCs w:val="24"/>
                <w:color w:val="auto"/>
              </w:rPr>
            </w:pPr>
          </w:p>
        </w:tc>
        <w:tc>
          <w:tcPr>
            <w:tcW w:w="5040" w:type="dxa"/>
            <w:vAlign w:val="bottom"/>
            <w:gridSpan w:val="2"/>
          </w:tcPr>
          <w:p>
            <w:pPr>
              <w:jc w:val="center"/>
              <w:ind w:right="73"/>
              <w:spacing w:after="0"/>
              <w:rPr>
                <w:sz w:val="20"/>
                <w:szCs w:val="20"/>
                <w:color w:val="auto"/>
              </w:rPr>
            </w:pPr>
            <w:r>
              <w:rPr>
                <w:rFonts w:ascii="Courier New" w:cs="Courier New" w:eastAsia="Courier New" w:hAnsi="Courier New"/>
                <w:sz w:val="17"/>
                <w:szCs w:val="17"/>
                <w:color w:val="auto"/>
              </w:rPr>
              <w:t>LAST OBSERVED VALUE ANALYSIS</w:t>
            </w:r>
          </w:p>
        </w:tc>
      </w:tr>
      <w:tr>
        <w:trPr>
          <w:trHeight w:val="799"/>
        </w:trPr>
        <w:tc>
          <w:tcPr>
            <w:tcW w:w="1720" w:type="dxa"/>
            <w:vAlign w:val="bottom"/>
          </w:tcPr>
          <w:p>
            <w:pPr>
              <w:spacing w:after="0"/>
              <w:rPr>
                <w:sz w:val="24"/>
                <w:szCs w:val="24"/>
                <w:color w:val="auto"/>
              </w:rPr>
            </w:pPr>
          </w:p>
        </w:tc>
        <w:tc>
          <w:tcPr>
            <w:tcW w:w="2700" w:type="dxa"/>
            <w:vAlign w:val="bottom"/>
          </w:tcPr>
          <w:p>
            <w:pPr>
              <w:jc w:val="center"/>
              <w:ind w:left="433"/>
              <w:spacing w:after="0"/>
              <w:rPr>
                <w:sz w:val="20"/>
                <w:szCs w:val="20"/>
                <w:color w:val="auto"/>
              </w:rPr>
            </w:pPr>
            <w:r>
              <w:rPr>
                <w:rFonts w:ascii="Courier New" w:cs="Courier New" w:eastAsia="Courier New" w:hAnsi="Courier New"/>
                <w:sz w:val="17"/>
                <w:szCs w:val="17"/>
                <w:color w:val="auto"/>
              </w:rPr>
              <w:t>MEAN WEIGHT CHANGE</w:t>
            </w:r>
          </w:p>
        </w:tc>
        <w:tc>
          <w:tcPr>
            <w:tcW w:w="2340" w:type="dxa"/>
            <w:vAlign w:val="bottom"/>
          </w:tcPr>
          <w:p>
            <w:pPr>
              <w:spacing w:after="0"/>
              <w:rPr>
                <w:sz w:val="24"/>
                <w:szCs w:val="24"/>
                <w:color w:val="auto"/>
              </w:rPr>
            </w:pPr>
          </w:p>
        </w:tc>
      </w:tr>
      <w:tr>
        <w:trPr>
          <w:trHeight w:val="200"/>
        </w:trPr>
        <w:tc>
          <w:tcPr>
            <w:tcW w:w="1720" w:type="dxa"/>
            <w:vAlign w:val="bottom"/>
          </w:tcPr>
          <w:p>
            <w:pPr>
              <w:spacing w:after="0"/>
              <w:rPr>
                <w:sz w:val="17"/>
                <w:szCs w:val="17"/>
                <w:color w:val="auto"/>
              </w:rPr>
            </w:pPr>
          </w:p>
        </w:tc>
        <w:tc>
          <w:tcPr>
            <w:tcW w:w="2700" w:type="dxa"/>
            <w:vAlign w:val="bottom"/>
          </w:tcPr>
          <w:p>
            <w:pPr>
              <w:ind w:left="880"/>
              <w:spacing w:after="0"/>
              <w:rPr>
                <w:sz w:val="20"/>
                <w:szCs w:val="20"/>
                <w:color w:val="auto"/>
              </w:rPr>
            </w:pPr>
            <w:r>
              <w:rPr>
                <w:rFonts w:ascii="Courier New" w:cs="Courier New" w:eastAsia="Courier New" w:hAnsi="Courier New"/>
                <w:sz w:val="17"/>
                <w:szCs w:val="17"/>
                <w:color w:val="auto"/>
              </w:rPr>
              <w:t>FROM BASELINE</w:t>
            </w:r>
          </w:p>
        </w:tc>
        <w:tc>
          <w:tcPr>
            <w:tcW w:w="2340" w:type="dxa"/>
            <w:vAlign w:val="bottom"/>
          </w:tcPr>
          <w:p>
            <w:pPr>
              <w:jc w:val="center"/>
              <w:ind w:left="73"/>
              <w:spacing w:after="0"/>
              <w:rPr>
                <w:sz w:val="20"/>
                <w:szCs w:val="20"/>
                <w:color w:val="auto"/>
              </w:rPr>
            </w:pPr>
            <w:r>
              <w:rPr>
                <w:rFonts w:ascii="Courier New" w:cs="Courier New" w:eastAsia="Courier New" w:hAnsi="Courier New"/>
                <w:sz w:val="17"/>
                <w:szCs w:val="17"/>
                <w:color w:val="auto"/>
              </w:rPr>
              <w:t>p VALUE</w:t>
            </w:r>
          </w:p>
        </w:tc>
      </w:tr>
      <w:tr>
        <w:trPr>
          <w:trHeight w:val="200"/>
        </w:trPr>
        <w:tc>
          <w:tcPr>
            <w:tcW w:w="1720" w:type="dxa"/>
            <w:vAlign w:val="bottom"/>
          </w:tcPr>
          <w:p>
            <w:pPr>
              <w:spacing w:after="0"/>
              <w:rPr>
                <w:sz w:val="17"/>
                <w:szCs w:val="17"/>
                <w:color w:val="auto"/>
              </w:rPr>
            </w:pPr>
          </w:p>
        </w:tc>
        <w:tc>
          <w:tcPr>
            <w:tcW w:w="2700" w:type="dxa"/>
            <w:vAlign w:val="bottom"/>
          </w:tcPr>
          <w:p>
            <w:pPr>
              <w:jc w:val="center"/>
              <w:ind w:left="433"/>
              <w:spacing w:after="0"/>
              <w:rPr>
                <w:sz w:val="20"/>
                <w:szCs w:val="20"/>
                <w:color w:val="auto"/>
              </w:rPr>
            </w:pPr>
            <w:r>
              <w:rPr>
                <w:rFonts w:ascii="Courier New" w:cs="Courier New" w:eastAsia="Courier New" w:hAnsi="Courier New"/>
                <w:sz w:val="17"/>
                <w:szCs w:val="17"/>
                <w:color w:val="auto"/>
              </w:rPr>
              <w:t>(POUNDS)</w:t>
            </w:r>
          </w:p>
        </w:tc>
        <w:tc>
          <w:tcPr>
            <w:tcW w:w="2340" w:type="dxa"/>
            <w:vAlign w:val="bottom"/>
          </w:tcPr>
          <w:p>
            <w:pPr>
              <w:jc w:val="center"/>
              <w:ind w:left="73"/>
              <w:spacing w:after="0"/>
              <w:rPr>
                <w:sz w:val="20"/>
                <w:szCs w:val="20"/>
                <w:color w:val="auto"/>
              </w:rPr>
            </w:pPr>
            <w:r>
              <w:rPr>
                <w:rFonts w:ascii="Courier New" w:cs="Courier New" w:eastAsia="Courier New" w:hAnsi="Courier New"/>
                <w:sz w:val="17"/>
                <w:szCs w:val="17"/>
                <w:color w:val="auto"/>
              </w:rPr>
              <w:t>(RELATIVE TO PLACEBO)</w:t>
            </w:r>
          </w:p>
        </w:tc>
      </w:tr>
      <w:tr>
        <w:trPr>
          <w:trHeight w:val="200"/>
        </w:trPr>
        <w:tc>
          <w:tcPr>
            <w:tcW w:w="1720" w:type="dxa"/>
            <w:vAlign w:val="bottom"/>
          </w:tcPr>
          <w:p>
            <w:pPr>
              <w:spacing w:after="0"/>
              <w:rPr>
                <w:sz w:val="17"/>
                <w:szCs w:val="17"/>
                <w:color w:val="auto"/>
              </w:rPr>
            </w:pPr>
          </w:p>
        </w:tc>
        <w:tc>
          <w:tcPr>
            <w:tcW w:w="2700" w:type="dxa"/>
            <w:vAlign w:val="bottom"/>
          </w:tcPr>
          <w:p>
            <w:pPr>
              <w:jc w:val="center"/>
              <w:ind w:left="433"/>
              <w:spacing w:after="0"/>
              <w:rPr>
                <w:sz w:val="20"/>
                <w:szCs w:val="20"/>
                <w:color w:val="auto"/>
              </w:rPr>
            </w:pPr>
            <w:r>
              <w:rPr>
                <w:rFonts w:ascii="Courier New" w:cs="Courier New" w:eastAsia="Courier New" w:hAnsi="Courier New"/>
                <w:sz w:val="17"/>
                <w:szCs w:val="17"/>
                <w:color w:val="auto"/>
              </w:rPr>
              <w:t>------------------</w:t>
            </w:r>
          </w:p>
        </w:tc>
        <w:tc>
          <w:tcPr>
            <w:tcW w:w="2340" w:type="dxa"/>
            <w:vAlign w:val="bottom"/>
          </w:tcPr>
          <w:p>
            <w:pPr>
              <w:jc w:val="center"/>
              <w:ind w:left="73"/>
              <w:spacing w:after="0"/>
              <w:rPr>
                <w:sz w:val="20"/>
                <w:szCs w:val="20"/>
                <w:color w:val="auto"/>
              </w:rPr>
            </w:pPr>
            <w:r>
              <w:rPr>
                <w:rFonts w:ascii="Courier New" w:cs="Courier New" w:eastAsia="Courier New" w:hAnsi="Courier New"/>
                <w:sz w:val="17"/>
                <w:szCs w:val="17"/>
                <w:color w:val="auto"/>
              </w:rPr>
              <w:t>---------------------</w:t>
            </w:r>
          </w:p>
        </w:tc>
      </w:tr>
      <w:tr>
        <w:trPr>
          <w:trHeight w:val="400"/>
        </w:trPr>
        <w:tc>
          <w:tcPr>
            <w:tcW w:w="1720" w:type="dxa"/>
            <w:vAlign w:val="bottom"/>
          </w:tcPr>
          <w:p>
            <w:pPr>
              <w:spacing w:after="0"/>
              <w:rPr>
                <w:sz w:val="20"/>
                <w:szCs w:val="20"/>
                <w:color w:val="auto"/>
              </w:rPr>
            </w:pPr>
            <w:r>
              <w:rPr>
                <w:rFonts w:ascii="Courier New" w:cs="Courier New" w:eastAsia="Courier New" w:hAnsi="Courier New"/>
                <w:sz w:val="17"/>
                <w:szCs w:val="17"/>
                <w:color w:val="auto"/>
              </w:rPr>
              <w:t>Placebo</w:t>
            </w:r>
          </w:p>
        </w:tc>
        <w:tc>
          <w:tcPr>
            <w:tcW w:w="2700" w:type="dxa"/>
            <w:vAlign w:val="bottom"/>
          </w:tcPr>
          <w:p>
            <w:pPr>
              <w:jc w:val="center"/>
              <w:ind w:left="433"/>
              <w:spacing w:after="0"/>
              <w:rPr>
                <w:sz w:val="20"/>
                <w:szCs w:val="20"/>
                <w:color w:val="auto"/>
              </w:rPr>
            </w:pPr>
            <w:r>
              <w:rPr>
                <w:rFonts w:ascii="Courier New" w:cs="Courier New" w:eastAsia="Courier New" w:hAnsi="Courier New"/>
                <w:sz w:val="17"/>
                <w:szCs w:val="17"/>
                <w:color w:val="auto"/>
              </w:rPr>
              <w:t>+0.6</w:t>
            </w:r>
          </w:p>
        </w:tc>
        <w:tc>
          <w:tcPr>
            <w:tcW w:w="23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w:t>
            </w:r>
          </w:p>
        </w:tc>
      </w:tr>
      <w:tr>
        <w:trPr>
          <w:trHeight w:val="200"/>
        </w:trPr>
        <w:tc>
          <w:tcPr>
            <w:tcW w:w="1720" w:type="dxa"/>
            <w:vAlign w:val="bottom"/>
          </w:tcPr>
          <w:p>
            <w:pPr>
              <w:jc w:val="center"/>
              <w:ind w:right="573"/>
              <w:spacing w:after="0"/>
              <w:rPr>
                <w:sz w:val="20"/>
                <w:szCs w:val="20"/>
                <w:color w:val="auto"/>
              </w:rPr>
            </w:pPr>
            <w:r>
              <w:rPr>
                <w:rFonts w:ascii="Courier New" w:cs="Courier New" w:eastAsia="Courier New" w:hAnsi="Courier New"/>
                <w:sz w:val="17"/>
                <w:szCs w:val="17"/>
                <w:color w:val="auto"/>
              </w:rPr>
              <w:t>(n=31)</w:t>
            </w:r>
          </w:p>
        </w:tc>
        <w:tc>
          <w:tcPr>
            <w:tcW w:w="27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0"/>
        </w:trPr>
        <w:tc>
          <w:tcPr>
            <w:tcW w:w="1720" w:type="dxa"/>
            <w:vAlign w:val="bottom"/>
          </w:tcPr>
          <w:p>
            <w:pPr>
              <w:jc w:val="center"/>
              <w:ind w:right="593"/>
              <w:spacing w:after="0"/>
              <w:rPr>
                <w:sz w:val="20"/>
                <w:szCs w:val="20"/>
                <w:color w:val="auto"/>
              </w:rPr>
            </w:pPr>
            <w:r>
              <w:rPr>
                <w:rFonts w:ascii="Courier New" w:cs="Courier New" w:eastAsia="Courier New" w:hAnsi="Courier New"/>
                <w:sz w:val="17"/>
                <w:szCs w:val="17"/>
                <w:color w:val="auto"/>
              </w:rPr>
              <w:t>0.3 mcg/kg</w:t>
            </w:r>
          </w:p>
        </w:tc>
        <w:tc>
          <w:tcPr>
            <w:tcW w:w="2700" w:type="dxa"/>
            <w:vAlign w:val="bottom"/>
          </w:tcPr>
          <w:p>
            <w:pPr>
              <w:jc w:val="center"/>
              <w:ind w:left="433"/>
              <w:spacing w:after="0"/>
              <w:rPr>
                <w:sz w:val="20"/>
                <w:szCs w:val="20"/>
                <w:color w:val="auto"/>
              </w:rPr>
            </w:pPr>
            <w:r>
              <w:rPr>
                <w:rFonts w:ascii="Courier New" w:cs="Courier New" w:eastAsia="Courier New" w:hAnsi="Courier New"/>
                <w:sz w:val="17"/>
                <w:szCs w:val="17"/>
                <w:color w:val="auto"/>
              </w:rPr>
              <w:t>-2.4</w:t>
            </w:r>
          </w:p>
        </w:tc>
        <w:tc>
          <w:tcPr>
            <w:tcW w:w="234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p = 0.04</w:t>
            </w:r>
          </w:p>
        </w:tc>
      </w:tr>
      <w:tr>
        <w:trPr>
          <w:trHeight w:val="200"/>
        </w:trPr>
        <w:tc>
          <w:tcPr>
            <w:tcW w:w="1720" w:type="dxa"/>
            <w:vAlign w:val="bottom"/>
          </w:tcPr>
          <w:p>
            <w:pPr>
              <w:jc w:val="center"/>
              <w:ind w:right="573"/>
              <w:spacing w:after="0"/>
              <w:rPr>
                <w:sz w:val="20"/>
                <w:szCs w:val="20"/>
                <w:color w:val="auto"/>
              </w:rPr>
            </w:pPr>
            <w:r>
              <w:rPr>
                <w:rFonts w:ascii="Courier New" w:cs="Courier New" w:eastAsia="Courier New" w:hAnsi="Courier New"/>
                <w:sz w:val="17"/>
                <w:szCs w:val="17"/>
                <w:color w:val="auto"/>
              </w:rPr>
              <w:t>(n=31)</w:t>
            </w:r>
          </w:p>
        </w:tc>
        <w:tc>
          <w:tcPr>
            <w:tcW w:w="27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0"/>
        </w:trPr>
        <w:tc>
          <w:tcPr>
            <w:tcW w:w="1720" w:type="dxa"/>
            <w:vAlign w:val="bottom"/>
          </w:tcPr>
          <w:p>
            <w:pPr>
              <w:jc w:val="center"/>
              <w:ind w:right="593"/>
              <w:spacing w:after="0"/>
              <w:rPr>
                <w:sz w:val="20"/>
                <w:szCs w:val="20"/>
                <w:color w:val="auto"/>
              </w:rPr>
            </w:pPr>
            <w:r>
              <w:rPr>
                <w:rFonts w:ascii="Courier New" w:cs="Courier New" w:eastAsia="Courier New" w:hAnsi="Courier New"/>
                <w:sz w:val="17"/>
                <w:szCs w:val="17"/>
                <w:color w:val="auto"/>
              </w:rPr>
              <w:t>1.0 mcg/kg</w:t>
            </w:r>
          </w:p>
        </w:tc>
        <w:tc>
          <w:tcPr>
            <w:tcW w:w="2700" w:type="dxa"/>
            <w:vAlign w:val="bottom"/>
          </w:tcPr>
          <w:p>
            <w:pPr>
              <w:jc w:val="center"/>
              <w:ind w:left="433"/>
              <w:spacing w:after="0"/>
              <w:rPr>
                <w:sz w:val="20"/>
                <w:szCs w:val="20"/>
                <w:color w:val="auto"/>
              </w:rPr>
            </w:pPr>
            <w:r>
              <w:rPr>
                <w:rFonts w:ascii="Courier New" w:cs="Courier New" w:eastAsia="Courier New" w:hAnsi="Courier New"/>
                <w:sz w:val="17"/>
                <w:szCs w:val="17"/>
                <w:color w:val="auto"/>
              </w:rPr>
              <w:t>-7.5</w:t>
            </w:r>
          </w:p>
        </w:tc>
        <w:tc>
          <w:tcPr>
            <w:tcW w:w="2340" w:type="dxa"/>
            <w:vAlign w:val="bottom"/>
          </w:tcPr>
          <w:p>
            <w:pPr>
              <w:jc w:val="center"/>
              <w:ind w:right="293"/>
              <w:spacing w:after="0"/>
              <w:rPr>
                <w:sz w:val="20"/>
                <w:szCs w:val="20"/>
                <w:color w:val="auto"/>
              </w:rPr>
            </w:pPr>
            <w:r>
              <w:rPr>
                <w:rFonts w:ascii="Courier New" w:cs="Courier New" w:eastAsia="Courier New" w:hAnsi="Courier New"/>
                <w:sz w:val="17"/>
                <w:szCs w:val="17"/>
                <w:color w:val="auto"/>
              </w:rPr>
              <w:t>p &lt; 0.0001</w:t>
            </w:r>
          </w:p>
        </w:tc>
      </w:tr>
      <w:tr>
        <w:trPr>
          <w:trHeight w:val="200"/>
        </w:trPr>
        <w:tc>
          <w:tcPr>
            <w:tcW w:w="1720" w:type="dxa"/>
            <w:vAlign w:val="bottom"/>
          </w:tcPr>
          <w:p>
            <w:pPr>
              <w:jc w:val="center"/>
              <w:ind w:right="573"/>
              <w:spacing w:after="0"/>
              <w:rPr>
                <w:sz w:val="20"/>
                <w:szCs w:val="20"/>
                <w:color w:val="auto"/>
              </w:rPr>
            </w:pPr>
            <w:r>
              <w:rPr>
                <w:rFonts w:ascii="Courier New" w:cs="Courier New" w:eastAsia="Courier New" w:hAnsi="Courier New"/>
                <w:sz w:val="17"/>
                <w:szCs w:val="17"/>
                <w:color w:val="auto"/>
              </w:rPr>
              <w:t>(n=37)</w:t>
            </w:r>
          </w:p>
        </w:tc>
        <w:tc>
          <w:tcPr>
            <w:tcW w:w="27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0"/>
        </w:trPr>
        <w:tc>
          <w:tcPr>
            <w:tcW w:w="1720" w:type="dxa"/>
            <w:vAlign w:val="bottom"/>
          </w:tcPr>
          <w:p>
            <w:pPr>
              <w:jc w:val="center"/>
              <w:ind w:right="593"/>
              <w:spacing w:after="0"/>
              <w:rPr>
                <w:sz w:val="20"/>
                <w:szCs w:val="20"/>
                <w:color w:val="auto"/>
              </w:rPr>
            </w:pPr>
            <w:r>
              <w:rPr>
                <w:rFonts w:ascii="Courier New" w:cs="Courier New" w:eastAsia="Courier New" w:hAnsi="Courier New"/>
                <w:sz w:val="17"/>
                <w:szCs w:val="17"/>
                <w:color w:val="auto"/>
              </w:rPr>
              <w:t>2.0 mcg/kg</w:t>
            </w:r>
          </w:p>
        </w:tc>
        <w:tc>
          <w:tcPr>
            <w:tcW w:w="2700" w:type="dxa"/>
            <w:vAlign w:val="bottom"/>
          </w:tcPr>
          <w:p>
            <w:pPr>
              <w:jc w:val="center"/>
              <w:ind w:left="433"/>
              <w:spacing w:after="0"/>
              <w:rPr>
                <w:sz w:val="20"/>
                <w:szCs w:val="20"/>
                <w:color w:val="auto"/>
              </w:rPr>
            </w:pPr>
            <w:r>
              <w:rPr>
                <w:rFonts w:ascii="Courier New" w:cs="Courier New" w:eastAsia="Courier New" w:hAnsi="Courier New"/>
                <w:sz w:val="17"/>
                <w:szCs w:val="17"/>
                <w:color w:val="auto"/>
              </w:rPr>
              <w:t>-5.8</w:t>
            </w:r>
          </w:p>
        </w:tc>
        <w:tc>
          <w:tcPr>
            <w:tcW w:w="2340" w:type="dxa"/>
            <w:vAlign w:val="bottom"/>
          </w:tcPr>
          <w:p>
            <w:pPr>
              <w:jc w:val="center"/>
              <w:ind w:right="293"/>
              <w:spacing w:after="0"/>
              <w:rPr>
                <w:sz w:val="20"/>
                <w:szCs w:val="20"/>
                <w:color w:val="auto"/>
              </w:rPr>
            </w:pPr>
            <w:r>
              <w:rPr>
                <w:rFonts w:ascii="Courier New" w:cs="Courier New" w:eastAsia="Courier New" w:hAnsi="Courier New"/>
                <w:sz w:val="17"/>
                <w:szCs w:val="17"/>
                <w:color w:val="auto"/>
              </w:rPr>
              <w:t>p &lt; 0.0001</w:t>
            </w:r>
          </w:p>
        </w:tc>
      </w:tr>
      <w:tr>
        <w:trPr>
          <w:trHeight w:val="200"/>
        </w:trPr>
        <w:tc>
          <w:tcPr>
            <w:tcW w:w="1720" w:type="dxa"/>
            <w:vAlign w:val="bottom"/>
          </w:tcPr>
          <w:p>
            <w:pPr>
              <w:jc w:val="center"/>
              <w:ind w:right="573"/>
              <w:spacing w:after="0"/>
              <w:rPr>
                <w:sz w:val="20"/>
                <w:szCs w:val="20"/>
                <w:color w:val="auto"/>
              </w:rPr>
            </w:pPr>
            <w:r>
              <w:rPr>
                <w:rFonts w:ascii="Courier New" w:cs="Courier New" w:eastAsia="Courier New" w:hAnsi="Courier New"/>
                <w:sz w:val="17"/>
                <w:szCs w:val="17"/>
                <w:color w:val="auto"/>
              </w:rPr>
              <w:t>(n=33)</w:t>
            </w:r>
          </w:p>
        </w:tc>
        <w:tc>
          <w:tcPr>
            <w:tcW w:w="2700" w:type="dxa"/>
            <w:vAlign w:val="bottom"/>
          </w:tcPr>
          <w:p>
            <w:pPr>
              <w:spacing w:after="0"/>
              <w:rPr>
                <w:sz w:val="17"/>
                <w:szCs w:val="17"/>
                <w:color w:val="auto"/>
              </w:rPr>
            </w:pPr>
          </w:p>
        </w:tc>
        <w:tc>
          <w:tcPr>
            <w:tcW w:w="23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As used in the table above, "n" refers to the number of patients in each patient group. The reference to "p" value (relative to placebo) means the probability of being wrong when asserting that a true difference exists between the results for the patient group in question and the placebo group. For example, a p-value of less than 0.0001 indicates that there is a less than one in ten thousand chance that the mean weight loss observed in the group treated with drug and the mean weight loss observed in the group treated with placebo are the same.</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trial established the optimal dose of AXOKINE to be 1.0 mcg/kg daily. Patients who received the optimal dose of AXOKINE over the twelve week treatment period averaged 10 pounds more weight loss than patients on placebo. Moreover, 46% of these patients in the optimal dose group lost at least 10 pounds, compared to just 5% of the patients who received placebo. Nausea was shown not to be a factor that determined average weight loss in this Phase II study.</w:t>
      </w:r>
    </w:p>
    <w:p>
      <w:pPr>
        <w:sectPr>
          <w:pgSz w:w="11900" w:h="16838" w:orient="portrait"/>
          <w:cols w:equalWidth="0" w:num="1">
            <w:col w:w="10219"/>
          </w:cols>
          <w:pgMar w:left="240" w:top="315" w:right="1440" w:bottom="0" w:gutter="0" w:footer="0" w:header="0"/>
        </w:sectPr>
      </w:pPr>
    </w:p>
    <w:bookmarkStart w:id="32" w:name="page33"/>
    <w:bookmarkEnd w:id="32"/>
    <w:p>
      <w:pPr>
        <w:ind w:right="1899" w:firstLine="519"/>
        <w:spacing w:after="0" w:line="249" w:lineRule="auto"/>
        <w:rPr>
          <w:sz w:val="20"/>
          <w:szCs w:val="20"/>
          <w:color w:val="auto"/>
        </w:rPr>
      </w:pPr>
      <w:r>
        <w:rPr>
          <w:rFonts w:ascii="Courier New" w:cs="Courier New" w:eastAsia="Courier New" w:hAnsi="Courier New"/>
          <w:sz w:val="17"/>
          <w:szCs w:val="17"/>
          <w:color w:val="auto"/>
        </w:rPr>
        <w:t>The 38 patients in the fifth group who received 1.0 mcg/kg of AXOKINE daily for eight weeks followed by the four week blinded withdrawal period lost weight during the treatment period and did not regain weight while taking placebo during the withdrawal period.</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On February 28, 2001, we announced that based on a preliminary analysis of interim data, patients who received AXOKINE therapy during the Phase II study maintained their average weight loss during the three months following their last AXOKINE treatment, relative to patients who received placebo. Moreover, patients in the fifth group who were treated with AXOKINE for only eight weeks continued to maintain their average weight loss for an additional four months following their last treatment. This preliminary analysis is based on a total of 87 patients, comprised of patients from all five groups, who completed the full twelve weeks of treatment in the study and the twelve week follow-up.</w:t>
      </w:r>
    </w:p>
    <w:p>
      <w:pPr>
        <w:spacing w:after="0" w:line="4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541"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7"/>
          <w:szCs w:val="17"/>
          <w:color w:val="auto"/>
        </w:rPr>
        <w:t>24</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No serious adverse events associated with the drug were reported during the trial and the drug was generally well tolerated, as reflected by the following ratio of patients in each treatment group completing the full twelve weeks of treatment according to the protocol: placebo, 61%; 0.3 mcg/kg, 74%; 1.0 mcg/kg, 70%, and 2.0 mcg/kg, 58%. The most common side effect was dose-dependent injection site reactions (skin redness), which occurred in all patient groups, including placebo, and were generally mild. Other side effects associated with the drug included cough and vomiting, which were notable only in the 2.0 mcg/kg dose group, and nausea, which occurred most frequently in the 2.0 mcg/kg dose group. There was no increase compared to placebo in the incidence of herpes simplex infections in patients taking AXOKINE. Neutralizing antibodies, based on a laboratory test, were not dose-related and occurred in less than 10% of all patients receiving AXOKINE.</w:t>
      </w:r>
    </w:p>
    <w:p>
      <w:pPr>
        <w:spacing w:after="0" w:line="4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Subject to discussions with the FDA, we intend to initiate Phase III testing of AXOKINE in severely obese patients in mid-2001. This Phase III program likely will involve the enrollment of several thousand severely obese patients with a primary double-blind treatment period of approximately one year and an additional one year follow-up treatment period.</w:t>
      </w:r>
    </w:p>
    <w:p>
      <w:pPr>
        <w:spacing w:after="0" w:line="4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March 2000, we established a research and development collaboration with Emisphere Technologies, Inc. to utilize Emisphere's oral drug delivery technology for AXOKINE. In preliminary preclinical pharmacokinetic studies, the Emisphere technology was able to achieve measurable blood levels of AXOKINE.</w:t>
      </w:r>
    </w:p>
    <w:p>
      <w:pPr>
        <w:spacing w:after="0" w:line="4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PEGYLATED AXOKINE. We are developing a pegylated version of AXOKINE (pegAXOKINE) as a more potent, longer-acting form of the protein. PegAXOKINE may allow for less frequent and/or lower dosing in patients. PegAXOKINE currently is in late-stage preclinical development and we anticipate initiating a Phase I clinical trial in mid-2001. Shearwater Corporation has contracted with us to develop and supply the pegylated reagent for this product candidate.</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CYTOKINE TRAPS. Our research on the CNTF class of neurotrophic factors led to the discovery that CNTF, although it is a neurotrophic factor, belongs to the "superfamily" of signaling molecules referred to as cytokines. Cytokines are soluble proteins secreted by the cells of the body. In many cases, cytokines act as messengers to help regulate immune and inflammatory responses. In excess, cytokines can be harmful and have been linked to a variety of diseases. Blocking cytokines and growth factors is a proven therapeutic approach with a number of drugs already approved or in clinical development. The cytokine superfamily includes factors such as erythropoietin, thrombopoietin, granulocyte-colony stimulating factor and the interleukins (or ILs).</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the early 1990's, our scientists made a breakthrough in understanding how receptors work for an entire class of interleukins in the human body. Based on this finding, we developed a family of antagonists referred to as "Cytokine Traps." This includes Cytokine Traps for IL-1, IL-4, and IL-6, and a single Trap that blocks both IL-4 and IL-13. Because these Traps mimic the body's natural receptors, they are effective at catching and holding the cytokines. With cytokines trapped, the immune system responds as if the perceived threat is under control.</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preclinical studies, these Cytokine Traps are more potent than other antagonists, potentially allowing lower levels of the drug to be used. Moreover, because these Cytokine Traps are comprised entirely of natural human-derived protein sequences they may be less likely to induce an immune reaction in humans. Because pathological levels of IL-1, IL-4, IL-6 and IL-13 seem to contribute to a variety of disease states, these Cytokine Traps have the potential to be important therapeutic agents.</w:t>
      </w:r>
    </w:p>
    <w:p>
      <w:pPr>
        <w:spacing w:after="0" w:line="200" w:lineRule="exact"/>
        <w:rPr>
          <w:sz w:val="20"/>
          <w:szCs w:val="20"/>
          <w:color w:val="auto"/>
        </w:rPr>
      </w:pPr>
    </w:p>
    <w:p>
      <w:pPr>
        <w:spacing w:after="0" w:line="399" w:lineRule="exact"/>
        <w:rPr>
          <w:sz w:val="20"/>
          <w:szCs w:val="20"/>
          <w:color w:val="auto"/>
        </w:rPr>
      </w:pPr>
    </w:p>
    <w:p>
      <w:pPr>
        <w:ind w:right="1899" w:firstLine="831"/>
        <w:spacing w:after="0" w:line="249" w:lineRule="auto"/>
        <w:rPr>
          <w:sz w:val="20"/>
          <w:szCs w:val="20"/>
          <w:color w:val="auto"/>
        </w:rPr>
      </w:pPr>
      <w:r>
        <w:rPr>
          <w:rFonts w:ascii="Courier New" w:cs="Courier New" w:eastAsia="Courier New" w:hAnsi="Courier New"/>
          <w:sz w:val="17"/>
          <w:szCs w:val="17"/>
          <w:color w:val="auto"/>
        </w:rPr>
        <w:t>IL-1 Trap. In December 2000, we initiated a Phase I study of the IL-1 Trap to assess its safety and tolerability in patients with rheumatoid arthritis. The placebo-controlled, double-blind, dose-escalation study is being conducted at several centers in the United States and includes a single dose phase and a multiple dose phase. We expect the study to be completed in the second half of 2001. The IL-1 Trap is also being evaluated for potential uses in treating other inflammatory diseases.</w:t>
      </w:r>
    </w:p>
    <w:p>
      <w:pPr>
        <w:sectPr>
          <w:pgSz w:w="11900" w:h="16838" w:orient="portrait"/>
          <w:cols w:equalWidth="0" w:num="1">
            <w:col w:w="10219"/>
          </w:cols>
          <w:pgMar w:left="240" w:top="315" w:right="1440" w:bottom="0" w:gutter="0" w:footer="0" w:header="0"/>
        </w:sectPr>
      </w:pPr>
    </w:p>
    <w:bookmarkStart w:id="34" w:name="page35"/>
    <w:bookmarkEnd w:id="34"/>
    <w:p>
      <w:pPr>
        <w:ind w:right="2319" w:firstLine="519"/>
        <w:spacing w:after="0" w:line="248" w:lineRule="auto"/>
        <w:rPr>
          <w:sz w:val="20"/>
          <w:szCs w:val="20"/>
          <w:color w:val="auto"/>
        </w:rPr>
      </w:pPr>
      <w:r>
        <w:rPr>
          <w:rFonts w:ascii="Courier New" w:cs="Courier New" w:eastAsia="Courier New" w:hAnsi="Courier New"/>
          <w:sz w:val="17"/>
          <w:szCs w:val="17"/>
          <w:color w:val="auto"/>
        </w:rPr>
        <w:t>Rheumatoid arthritis is a chronic disease in which the immune system attacks the tissue that lines and cushions joints. Over time, the cartilage, bone, and ligaments of the joint erode, leading to progressive</w:t>
      </w:r>
    </w:p>
    <w:p>
      <w:pPr>
        <w:spacing w:after="0" w:line="2"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142" w:right="1440" w:bottom="1440" w:gutter="0" w:footer="0" w:header="0"/>
        </w:sectPr>
      </w:pPr>
    </w:p>
    <w:bookmarkStart w:id="35" w:name="page36"/>
    <w:bookmarkEnd w:id="35"/>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25</w:t>
      </w:r>
    </w:p>
    <w:p>
      <w:pPr>
        <w:spacing w:after="0" w:line="200" w:lineRule="exact"/>
        <w:rPr>
          <w:sz w:val="20"/>
          <w:szCs w:val="20"/>
          <w:color w:val="auto"/>
        </w:rPr>
      </w:pP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joint deformity and joint destruction, generally in the hand, wrist, knee, and foot. Joints become painful and swollen and motion is limited. Over time, the cartilage erodes, resulting in structural damage to the joint. Over two million people, 1% of the U.S. population, are estimated to have rheumatoid arthritis, and 10% of those eventually become disabled. Women account for roughly two-thirds of these patients.</w:t>
      </w:r>
    </w:p>
    <w:p>
      <w:pPr>
        <w:spacing w:after="0" w:line="200" w:lineRule="exact"/>
        <w:rPr>
          <w:sz w:val="20"/>
          <w:szCs w:val="20"/>
          <w:color w:val="auto"/>
        </w:rPr>
      </w:pPr>
    </w:p>
    <w:p>
      <w:pPr>
        <w:spacing w:after="0" w:line="399" w:lineRule="exact"/>
        <w:rPr>
          <w:sz w:val="20"/>
          <w:szCs w:val="20"/>
          <w:color w:val="auto"/>
        </w:rPr>
      </w:pPr>
    </w:p>
    <w:p>
      <w:pPr>
        <w:ind w:right="2099" w:firstLine="519"/>
        <w:spacing w:after="0" w:line="249" w:lineRule="auto"/>
        <w:rPr>
          <w:sz w:val="20"/>
          <w:szCs w:val="20"/>
          <w:color w:val="auto"/>
        </w:rPr>
      </w:pPr>
      <w:r>
        <w:rPr>
          <w:rFonts w:ascii="Courier New" w:cs="Courier New" w:eastAsia="Courier New" w:hAnsi="Courier New"/>
          <w:sz w:val="17"/>
          <w:szCs w:val="17"/>
          <w:color w:val="auto"/>
        </w:rPr>
        <w:t>Rheumatoid arthritis involves an excess of certain cytokines, including IL-1 and tumor necrosis factor (TNF). Drugs that block TNF have already been approved for the treatment of rheumatoid arthritis, while animal studies indicate that IL-1 is also an attractive target for drug development in this disease. In animal models, our IL-1 Trap is a potent blocker of IL-1 activity, has a long half-life in the blood, penetrates into the inflamed joint, and blocks cartilage erosion.</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While both TNF and IL-1 can induce arthritis, IL-1 more potently induces cartilage destruction in animal models. In addition, the arthritis caused by TNF in some animals can be prevented by blocking the action of IL-1, indicating that the arthritogenic action of TNF may be mediated, in part, through IL-1. Even stronger evidence for the role of IL-1 in rheumatoid arthritis is that mice that are deficient in the interleukin-1 receptor antagonist (IL-1-ra), a naturally occurring blocker of IL-1 action, develop spontaneously occurring arthritis. The validation of IL-1 blockade as a target for drugs to treat rheumatoid arthritis also appears to have been demonstrated by the positive results reported by another company with administration of IL-1-ra in clinical trials in patients with rheumatoid arthritis.</w:t>
      </w:r>
    </w:p>
    <w:p>
      <w:pPr>
        <w:spacing w:after="0" w:line="200" w:lineRule="exact"/>
        <w:rPr>
          <w:sz w:val="20"/>
          <w:szCs w:val="20"/>
          <w:color w:val="auto"/>
        </w:rPr>
      </w:pPr>
    </w:p>
    <w:p>
      <w:pPr>
        <w:spacing w:after="0" w:line="399" w:lineRule="exact"/>
        <w:rPr>
          <w:sz w:val="20"/>
          <w:szCs w:val="20"/>
          <w:color w:val="auto"/>
        </w:rPr>
      </w:pPr>
    </w:p>
    <w:p>
      <w:pPr>
        <w:ind w:right="1899" w:firstLine="831"/>
        <w:spacing w:after="0" w:line="249" w:lineRule="auto"/>
        <w:rPr>
          <w:sz w:val="20"/>
          <w:szCs w:val="20"/>
          <w:color w:val="auto"/>
        </w:rPr>
      </w:pPr>
      <w:r>
        <w:rPr>
          <w:rFonts w:ascii="Courier New" w:cs="Courier New" w:eastAsia="Courier New" w:hAnsi="Courier New"/>
          <w:sz w:val="17"/>
          <w:szCs w:val="17"/>
          <w:color w:val="auto"/>
        </w:rPr>
        <w:t>IL-4/IL-13 Trap. Antagonists for IL-4 and IL-13 may be therapeutically useful in a number of allergy and asthma-related conditions, including as adjuncts to vaccines where blocking IL-4 and IL-13 may help to elicit more of the desired type of immune response to the vaccine. We have developed both an IL-4 Trap and an IL-4/IL-13 Trap, which is a single molecule that can block both interleukin-4 and interleukin-13. We expect to initiate a clinical trial of a dual IL-4/IL-13 Trap to assess its safety and tolerability for the treatment of asthma/allergy-related conditions late in 2001.</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One in 13 Americans suffers from allergies and one in 18 suffers from asthma. The number of people afflicted with these diseases has been growing at an alarming rate. It is believed that IL-4 and IL-13 play a role in these diseases. These two cytokines are essential to the normal functioning of the immune system, creating a vital communication link between white blood cells. In the case of asthma and allergies, however, there are too many interleukins present, causing the immune system to overact. Our IL-4/IL-13 Trap may offer unique advantages over other products and product candidates for asthma and allergy-related conditions because of its ability to block both of the cytokines thought to be at the root of these disorders.</w:t>
      </w:r>
    </w:p>
    <w:p>
      <w:pPr>
        <w:spacing w:after="0" w:line="200" w:lineRule="exact"/>
        <w:rPr>
          <w:sz w:val="20"/>
          <w:szCs w:val="20"/>
          <w:color w:val="auto"/>
        </w:rPr>
      </w:pPr>
    </w:p>
    <w:p>
      <w:pPr>
        <w:spacing w:after="0" w:line="399" w:lineRule="exact"/>
        <w:rPr>
          <w:sz w:val="20"/>
          <w:szCs w:val="20"/>
          <w:color w:val="auto"/>
        </w:rPr>
      </w:pPr>
    </w:p>
    <w:p>
      <w:pPr>
        <w:ind w:right="1899" w:firstLine="831"/>
        <w:spacing w:after="0" w:line="249" w:lineRule="auto"/>
        <w:rPr>
          <w:sz w:val="20"/>
          <w:szCs w:val="20"/>
          <w:color w:val="auto"/>
        </w:rPr>
      </w:pPr>
      <w:r>
        <w:rPr>
          <w:rFonts w:ascii="Courier New" w:cs="Courier New" w:eastAsia="Courier New" w:hAnsi="Courier New"/>
          <w:sz w:val="17"/>
          <w:szCs w:val="17"/>
          <w:color w:val="auto"/>
        </w:rPr>
        <w:t>Other Cytokine Traps. We have a late stage research program underway for an IL-6 Cytokine Trap. IL-6 has been implicated in the pathology and progression of multiple myeloma, certain solid tumors, AIDS, lymphomas (both AIDS-related and non-AIDS-related), osteoporosis, and other conditions. We also have patents covering additional Cytokine Traps for IL-2, IL-3, IL-5, IL-15, gamma-interferon, transforming growth factor beta, and others, which are being pursued at the research level. Our research regarding protein-based cytokine antagonists currently includes molecular and cellular research to improve or modify Cytokine Trap technology, process development efforts to produce experimental and clinical research supplies, and in vivo and in vitro studies to further understand and demonstrate the efficacy of the Cytokine Traps.</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VEGF TRAP AND ANGIOPOIETINS. A plentiful blood supply is required to nourish every tissue and organ of the body. Diseases such as diabetes and atherosclerosis wreak their havoc, in part, by destroying blood vessels (arteries, veins, and capillaries) and compromising blood flow. Decreases in blood flow (known as ischemia) can result in non-healing skin ulcers and gangrene, painful limbs that cannot tolerate exercise, loss of vision, and heart attacks. In other cases, disease processes can damage blood vessels by breaking down vessel walls, resulting in defective and leaky vessels. Leaking vessels can</w:t>
      </w:r>
    </w:p>
    <w:p>
      <w:pPr>
        <w:sectPr>
          <w:pgSz w:w="11900" w:h="16899" w:orient="portrait"/>
          <w:cols w:equalWidth="0" w:num="1">
            <w:col w:w="10219"/>
          </w:cols>
          <w:pgMar w:left="240" w:top="315" w:right="1440" w:bottom="0" w:gutter="0" w:footer="0" w:header="0"/>
        </w:sectPr>
      </w:pPr>
    </w:p>
    <w:bookmarkStart w:id="36" w:name="page37"/>
    <w:bookmarkEnd w:id="36"/>
    <w:p>
      <w:pPr>
        <w:ind w:right="1899"/>
        <w:spacing w:after="0" w:line="249" w:lineRule="auto"/>
        <w:rPr>
          <w:sz w:val="20"/>
          <w:szCs w:val="20"/>
          <w:color w:val="auto"/>
        </w:rPr>
      </w:pPr>
      <w:r>
        <w:rPr>
          <w:rFonts w:ascii="Courier New" w:cs="Courier New" w:eastAsia="Courier New" w:hAnsi="Courier New"/>
          <w:sz w:val="17"/>
          <w:szCs w:val="17"/>
          <w:color w:val="auto"/>
        </w:rPr>
        <w:t>lead to swelling and edema, as occurs in brain tumors following ischemic stroke, in diabetic retinopathy, and in arthritis and other inflammatory diseases. Finally, some disease processes such as tumor growth depend on the induction of new blood vessels.</w:t>
      </w:r>
    </w:p>
    <w:p>
      <w:pPr>
        <w:spacing w:after="0" w:line="4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14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7"/>
          <w:szCs w:val="17"/>
          <w:color w:val="auto"/>
        </w:rPr>
        <w:t>26</w:t>
      </w:r>
    </w:p>
    <w:p>
      <w:pPr>
        <w:spacing w:after="0" w:line="200" w:lineRule="exact"/>
        <w:rPr>
          <w:sz w:val="20"/>
          <w:szCs w:val="20"/>
          <w:color w:val="auto"/>
        </w:rPr>
      </w:pPr>
    </w:p>
    <w:p>
      <w:pPr>
        <w:spacing w:after="0" w:line="20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Depending on the clinical situation, positively or negatively regulating blood vessel growth could have important therapeutic benefits, as could the repair of damaged and leaky vessels. Thus, building new vessels, by a process known as angiogenesis, can improve circulation to ischemic limbs and heart, aid in healing of skin ulcers or other chronic wounds, and in establishing tissue grafts. Reciprocally, blocking tumor-induced angiogenesis can blunt tumor growth. In addition, repairing leaky vessels can reverse swelling and edema.</w:t>
      </w:r>
    </w:p>
    <w:p>
      <w:pPr>
        <w:spacing w:after="0" w:line="4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Vascular endothelial growth factor (VEGF) was the first growth factor shown to be specific for blood vessels, by virtue of having its receptor specifically expressed on blood vessel cells. Our scientists discovered a second family of angiogenic growth factors, termed the Angiopoietins, and we have received patents for the members of this family. The Angiopoietins include naturally occurring positive and negative regulators of angiogenesis, as described in numerous scientific manuscripts published by our scientists and their collaborators.</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Our studies have revealed that VEGF and the Angiopoietins normally function in a coordinated and collaborative manner during blood vessel growth. Thus, the growth of new blood vessels to nourish ischemic tissue appears to require use of both these agents. In addition, Angiopoietin-1 seems to play a critical role in stabilizing the vessel wall, and the use of this growth factor can prevent or repair leaky vessels in animal models. In terms of blocking vessel growth, manipulation of both VEGF and Angiopoietin seems to be of value.</w:t>
      </w:r>
    </w:p>
    <w:p>
      <w:pPr>
        <w:spacing w:after="0" w:line="200" w:lineRule="exact"/>
        <w:rPr>
          <w:sz w:val="20"/>
          <w:szCs w:val="20"/>
          <w:color w:val="auto"/>
        </w:rPr>
      </w:pPr>
    </w:p>
    <w:p>
      <w:pPr>
        <w:spacing w:after="0" w:line="399"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Currently, we have a highly potent VEGF antagonist, termed the VEGF Trap, in preclinical development as an anti-angiogenic agent for cancer. We expect to begin a clinical trial of the VEGF Trap as a potential treatment for harmful angiogenesis or vascular leak in settings of cancer and/or other conditions in mid-2001. In addition, we are evaluating Angiopoietin-1 and engineered designer versions of Angiopoietins in preclinical studies to determine their utility for repairing blood vessel leak and for growing blood vessels in ischemia.</w:t>
      </w:r>
    </w:p>
    <w:p>
      <w:pPr>
        <w:spacing w:after="0" w:line="400" w:lineRule="exact"/>
        <w:rPr>
          <w:sz w:val="20"/>
          <w:szCs w:val="20"/>
          <w:color w:val="auto"/>
        </w:rPr>
      </w:pPr>
    </w:p>
    <w:p>
      <w:pPr>
        <w:ind w:right="1899" w:firstLine="519"/>
        <w:spacing w:after="0" w:line="250" w:lineRule="auto"/>
        <w:rPr>
          <w:sz w:val="20"/>
          <w:szCs w:val="20"/>
          <w:color w:val="auto"/>
        </w:rPr>
      </w:pPr>
      <w:r>
        <w:rPr>
          <w:rFonts w:ascii="Courier New" w:cs="Courier New" w:eastAsia="Courier New" w:hAnsi="Courier New"/>
          <w:sz w:val="17"/>
          <w:szCs w:val="17"/>
          <w:color w:val="auto"/>
        </w:rPr>
        <w:t>We and others have identified a family of growth factors termed the Ephrins and their receptors termed the Ephs. Members of this family have specific roles in angiogenesis and hemopoiesis, which are being pursued in preclinical studies.</w:t>
      </w:r>
    </w:p>
    <w:p>
      <w:pPr>
        <w:spacing w:after="0" w:line="1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CARTILAGE GROWTH FACTOR SYSTEM AND OSTEOARTHRITIS. Osteoarthritis results from the wearing down of the articular cartilage surfaces that cover joints. Thus, growth factors that specifically act on cartilage cells could have utility in osteoarthritis. Our scientists have discovered a growth factor receptor system selectively expressed by cartilage cells, termed Regeneron Orphan Receptor 2 (ROR2). Furthermore, our scientists have demonstrated that this growth factor receptor system is required for normal cartilage development in mice. In addition, together with collaborators, our scientists have proven that mutations in this growth factor receptor system cause inherited defects in cartilage development in humans. Thus, this growth factor receptor system is a promising new target for cartilage diseases such as osteoarthritis.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OUR COLLABORATIVE PROGRAMS</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MUSCLE ATROPHY AND RELATED DISORDERS. Muscle atrophy occurs in many neuromuscular diseases and also when muscle is unused, as often occurs during prolonged hospital stays and during convalescence. Currently, physicians have few options to prescribe for patients with muscle atrophy or other muscle conditions which afflict millions of patients globally. Thus, a factor that might have beneficial effects on skeletal muscle could have significant clinical benefit. Our muscle program is currently focused on conducting in vivo and in vitro experiments with the objective of demonstrating and further understanding the molecular mechanisms involved in muscle atrophy and hypertrophy. This work is being conducted in collaboration with scientists at Procter &amp; Gamble as part of our collaboration.</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NT-3. Amgen-Regeneron Partners' clinical development of NT-3 is currently focused on the treatment of constipating conditions. In 1998, we, on behalf of Amgen-Regeneron Partners, completed a small clinical study that included healthy volunteers and patients suffering from severe idiopathic constipation. We also conducted additional small studies in patients who suffer from constipation</w:t>
      </w:r>
    </w:p>
    <w:p>
      <w:pPr>
        <w:sectPr>
          <w:pgSz w:w="11900" w:h="16838" w:orient="portrait"/>
          <w:cols w:equalWidth="0" w:num="1">
            <w:col w:w="10219"/>
          </w:cols>
          <w:pgMar w:left="240" w:top="315" w:right="1440" w:bottom="382" w:gutter="0" w:footer="0" w:header="0"/>
        </w:sectPr>
      </w:pPr>
    </w:p>
    <w:p>
      <w:pPr>
        <w:spacing w:after="0" w:line="2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315" w:right="1440" w:bottom="382" w:gutter="0" w:footer="0" w:header="0"/>
          <w:type w:val="continuous"/>
        </w:sectPr>
      </w:pPr>
    </w:p>
    <w:bookmarkStart w:id="38" w:name="page39"/>
    <w:bookmarkEnd w:id="38"/>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27</w:t>
      </w:r>
    </w:p>
    <w:p>
      <w:pPr>
        <w:spacing w:after="0" w:line="200" w:lineRule="exact"/>
        <w:rPr>
          <w:sz w:val="20"/>
          <w:szCs w:val="20"/>
          <w:color w:val="auto"/>
        </w:rPr>
      </w:pP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associated with conditions such as spinal cord injury and the use of narcotic analgesics. In 2000, we initiated double-blind, placebo-controlled Phase II studies of NT-3 in patients with functional constipation and in spinal cord injury patients with bowel dysfunction. These studies currently are underway and we expect them to be completed in mid-2001. Amgen-Regeneron Partners is developing NT-3 in the United States under a license from Takeda Chemical Industries, Ltd.</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OTHER EARLY STAGE PROGRAMS: FIBROSIS AND G-PROTEIN COUPLED RECEPTORS. Fibrotic diseases, such as cirrhosis, result from the excess production of fibrous extracellular matrix by certain cell types that are inappropriately activated in these diseases. We and our collaborators identified orphan receptors, termed Discoidin Domain Receptors 1 and 2 (DDR1 and DDR2), that are expressed by the activated cell types in fibrotic disease. We have further shown that these receptors bind and are activated by the fibrous matrix they produce. Thus, these receptors are important new targets in fibrotic disease.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Our work in this area is currently focused on determining whether selective inhibition or activation of DDR1 and DDR2 would be beneficial in the setting of fibrotic disease. Further, we are studying key signaling pathways which allow particular fibrosis-inducing cells to multiply. Inhibition of such pathways may be useful in preventing the development of fibrosis. These research activities are being conducted in collaboration with scientists at Procter &amp; Gamble.</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We also have a research program focused on the discovery and characterization of G-Protein Coupled Receptors, which have historically been among the most useful targets for pharmaceuticals. We use a genomics approach to discover new receptors and then we characterize these receptors in our disease models by examining their expression. Early stage research work on selected G-Protein Coupled Receptors is being conducted in collaboration with scientists at Procter &amp; Gamble.</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OUR TECHNOLOGY PLATFORMS</w:t>
      </w:r>
    </w:p>
    <w:p>
      <w:pPr>
        <w:spacing w:after="0" w:line="200" w:lineRule="exact"/>
        <w:rPr>
          <w:sz w:val="20"/>
          <w:szCs w:val="20"/>
          <w:color w:val="auto"/>
        </w:rPr>
      </w:pPr>
    </w:p>
    <w:p>
      <w:pPr>
        <w:spacing w:after="0" w:line="207" w:lineRule="exact"/>
        <w:rPr>
          <w:sz w:val="20"/>
          <w:szCs w:val="20"/>
          <w:color w:val="auto"/>
        </w:rPr>
      </w:pPr>
    </w:p>
    <w:p>
      <w:pPr>
        <w:ind w:right="2099" w:firstLine="519"/>
        <w:spacing w:after="0" w:line="249" w:lineRule="auto"/>
        <w:rPr>
          <w:sz w:val="20"/>
          <w:szCs w:val="20"/>
          <w:color w:val="auto"/>
        </w:rPr>
      </w:pPr>
      <w:r>
        <w:rPr>
          <w:rFonts w:ascii="Courier New" w:cs="Courier New" w:eastAsia="Courier New" w:hAnsi="Courier New"/>
          <w:sz w:val="17"/>
          <w:szCs w:val="17"/>
          <w:color w:val="auto"/>
        </w:rPr>
        <w:t>Our ability to discover and develop product candidates for a wide variety of serious medical conditions results from the leveraging of our powerful technology platforms, many of which were developed or enhanced by us. Although the primary use of these technology platforms is for our own research and development programs, we are also exploring the possibilities of exploiting these technologies commercially through, for example, direct licensing or sale of technology, or the establishment of research collaborations to discover and develop drug targets.</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TARGETED GENOMICS(TM): In contrast to basic genomics approaches, which attempt to identify every gene in a cell or genome, we use Targeted Genomics approaches to identify specific genes likely to be of therapeutic interest. These approaches do not depend on random gene sequencing, but rather on function-based approaches to specifically target the discovery of genes for growth factors, peptides, and their receptors that are most likely to have use for developing drug candidates. This technology has already led to our discovery of the Angiopoietin and Ephrin growth factor families for angiogenesis and vascular disorders, the MuSK growth factor receptor system for muscle disorders, and the Regeneron Orphan Receptor (ROR) growth factor receptor system that regulates cartilage formation.</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HIGH THROUGHPUT FUNCTIONOMICS(TM): A major challenge facing the biopharmaceutical industry in the post-genomic era involves the efficient assignment of function to random gene sequences to enable the identification of validated drug targets. One way to help determine the function of a gene is to generate mice in which the gene is removed (referred to as "knockout mice"), or is over-produced (referred to as "transgenic mice"), or in which a color-producing gene is substituted for the gene of interest (referred to as "reporter knockin mice") to identify which cells in the body are expressing the gene. Until recently, technical hurdles involved in the generation of mouse models restricted the ability to produce multiple models quickly and efficiently. We have developed proprietary technology that we believe will allow</w:t>
      </w:r>
    </w:p>
    <w:p>
      <w:pPr>
        <w:sectPr>
          <w:pgSz w:w="11900" w:h="16899" w:orient="portrait"/>
          <w:cols w:equalWidth="0" w:num="1">
            <w:col w:w="10219"/>
          </w:cols>
          <w:pgMar w:left="240" w:top="315" w:right="1440" w:bottom="0" w:gutter="0" w:footer="0" w:header="0"/>
        </w:sectPr>
      </w:pPr>
    </w:p>
    <w:bookmarkStart w:id="39" w:name="page40"/>
    <w:bookmarkEnd w:id="39"/>
    <w:p>
      <w:pPr>
        <w:ind w:right="2219"/>
        <w:spacing w:after="0" w:line="251" w:lineRule="auto"/>
        <w:rPr>
          <w:sz w:val="20"/>
          <w:szCs w:val="20"/>
          <w:color w:val="auto"/>
        </w:rPr>
      </w:pPr>
      <w:r>
        <w:rPr>
          <w:rFonts w:ascii="Courier New" w:cs="Courier New" w:eastAsia="Courier New" w:hAnsi="Courier New"/>
          <w:sz w:val="17"/>
          <w:szCs w:val="17"/>
          <w:color w:val="auto"/>
        </w:rPr>
        <w:t>for the rapid and efficient production of genetically modified mice on a high throughput scale enabling rapid assignment of function to gene sequences.</w:t>
      </w:r>
    </w:p>
    <w:p>
      <w:pPr>
        <w:spacing w:after="0" w:line="396" w:lineRule="exact"/>
        <w:rPr>
          <w:sz w:val="20"/>
          <w:szCs w:val="20"/>
          <w:color w:val="auto"/>
        </w:rPr>
      </w:pPr>
    </w:p>
    <w:p>
      <w:pPr>
        <w:ind w:right="2419" w:firstLine="519"/>
        <w:spacing w:after="0" w:line="250" w:lineRule="auto"/>
        <w:rPr>
          <w:sz w:val="20"/>
          <w:szCs w:val="20"/>
          <w:color w:val="auto"/>
        </w:rPr>
      </w:pPr>
      <w:r>
        <w:rPr>
          <w:rFonts w:ascii="Courier New" w:cs="Courier New" w:eastAsia="Courier New" w:hAnsi="Courier New"/>
          <w:sz w:val="17"/>
          <w:szCs w:val="17"/>
          <w:color w:val="auto"/>
        </w:rPr>
        <w:t>DESIGNER PROTEIN THERAPEUTICS(TM): In cases in which the natural gene product is itself not a product candidate, we utilize our Designer Protein Therapeutics platform to genetically engineer product candidates</w:t>
      </w:r>
    </w:p>
    <w:p>
      <w:pPr>
        <w:spacing w:after="0" w:line="19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14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7"/>
          <w:szCs w:val="17"/>
          <w:color w:val="auto"/>
        </w:rPr>
        <w:t>28</w:t>
      </w:r>
    </w:p>
    <w:p>
      <w:pPr>
        <w:spacing w:after="0" w:line="200" w:lineRule="exact"/>
        <w:rPr>
          <w:sz w:val="20"/>
          <w:szCs w:val="20"/>
          <w:color w:val="auto"/>
        </w:rPr>
      </w:pP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with the desired properties. We use these technologies to develop derivatives of growth factors and their receptors, which can allow for modified agonistic or antagonistic properties that may prove to be therapeutically useful. Examples include the generation of AXOKINE and the development of Cytokine Traps and the VEGF Trap. This technology platform has already produced more than 10 patented proteins, including the IL-1 Trap currently in Phase I clinical testing, and several others in preclinical development.</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COLLABORATIVE RELATIONSHIPS</w:t>
      </w:r>
    </w:p>
    <w:p>
      <w:pPr>
        <w:spacing w:after="0" w:line="200" w:lineRule="exact"/>
        <w:rPr>
          <w:sz w:val="20"/>
          <w:szCs w:val="20"/>
          <w:color w:val="auto"/>
        </w:rPr>
      </w:pP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addition to our independent programs, we currently conduct programs in collaboration with academic and corporate partners. We have entered into research collaboration and licensing agreements with various corporate partners, including Procter &amp; Gamble, Medarex, Amgen, and Sumitomo Pharmaceuticals.</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PROCTER &amp; GAMBLE. In May 1997, we entered into a long-term collaboration agreement with Procter &amp; Gamble to discover, develop, and commercialize pharmaceutical products. Procter &amp; Gamble agreed over the first five years of the 1997 collaboration to purchase up to $60.0 million of our equity, of which $42.9 million was purchased in June 1997 and $17.1 million was purchased in August 2000. These equity purchases were in addition to a purchase by Procter &amp; Gamble of $10.0 million of our common stock that was completed in March 1997. Procter &amp; Gamble also agreed over the first five years of the 1997 collaboration to provide funding in support of our research efforts related to the collaboration, of which we had received $44.9 million through December 31, 2000. In September 1997, we and Procter &amp; Gamble amended the 1997 collaboration agreement to include AXOKINE and related molecules. Procter &amp; Gamble paid us research progress payments of $5.0 million in 1997 and $5.0 million in 1998 upon the achievement of defined milestones related to AXOKINE. During the third quarter of 1999, Procter &amp; Gamble returned the product rights to AXOKINE to us and ended related research support for our AXOKINE program. However, Procter &amp; Gamble will be entitled to receive a small royalty on any sales of AXOKINE.</w:t>
      </w:r>
    </w:p>
    <w:p>
      <w:pPr>
        <w:spacing w:after="0" w:line="200" w:lineRule="exact"/>
        <w:rPr>
          <w:sz w:val="20"/>
          <w:szCs w:val="20"/>
          <w:color w:val="auto"/>
        </w:rPr>
      </w:pPr>
    </w:p>
    <w:p>
      <w:pPr>
        <w:spacing w:after="0" w:line="399"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In August 2000, Procter &amp; Gamble made two non-recurring research progress payments to us totaling $3.5 million. In addition, in August 2000, we and Procter &amp; Gamble agreed through a binding memorandum of understanding to enter into a new collaboration agreement, replacing the companies' 1997 collaboration agreement. The new agreement extends Procter &amp; Gamble's obligation to fund our research under the new collaboration through December 2005, with no further research obligations by either party thereafter, and focuses the companies' collaborative research on therapeutic areas that are of particular interest to Procter &amp; Gamble, including muscle atrophy and muscle diseases, fibrotic diseases, and selected G-Protein Coupled Receptors. For each of these program areas, the parties contribute research activities and necessary intellectual property rights pursuant to mutually agreed upon plans and budgets established by operating committees. Neither party may independently perform research on targets subject to research or development activities under the collaboration. In addition, during the research term and for five years thereafter, neither party may develop or commercialize a product that competes with a product developed as part of the collaboration.</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Pursuant to the August 2000 binding memorandum of understanding, we and Procter &amp; Gamble have divided rights to the programs from the 1997 collaboration agreement that are no longer part of the companies' collaboration. Procter &amp; Gamble has obtained rights to certain early stage programs. We have rights to all other research programs including exclusive rights to the VEGF Trap, the Angiopoietins and Regeneron's Orphan Receptors (RORs). Any drugs that result from the new collaboration will continue to be jointly developed and marketed worldwide, with the companies equally sharing development costs and profits. Under the new agreement, beginning in the first quarter of 2001, research support from Procter &amp; Gamble will be $2.5 million per quarter (before adjustments for future inflation) through December 2005.</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new collaboration agreement will expire on the later of December 31, 2005 or the termination of research, development, or commercial activities relating to compounds that meet predefined success criteria before that date. In addition, if either party successfully develops a compound covered under the</w:t>
      </w:r>
    </w:p>
    <w:p>
      <w:pPr>
        <w:sectPr>
          <w:pgSz w:w="11900" w:h="16838" w:orient="portrait"/>
          <w:cols w:equalWidth="0" w:num="1">
            <w:col w:w="10219"/>
          </w:cols>
          <w:pgMar w:left="240" w:top="315" w:right="1440" w:bottom="0" w:gutter="0" w:footer="0" w:header="0"/>
        </w:sectPr>
      </w:pPr>
    </w:p>
    <w:bookmarkStart w:id="41" w:name="page42"/>
    <w:bookmarkEnd w:id="41"/>
    <w:p>
      <w:pPr>
        <w:ind w:left="296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9019"/>
          </w:cols>
          <w:pgMar w:left="1440" w:top="342" w:right="1440" w:bottom="1440" w:gutter="0" w:footer="0" w:header="0"/>
        </w:sectPr>
      </w:pPr>
    </w:p>
    <w:bookmarkStart w:id="42" w:name="page43"/>
    <w:bookmarkEnd w:id="42"/>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29</w:t>
      </w:r>
    </w:p>
    <w:p>
      <w:pPr>
        <w:spacing w:after="0" w:line="200" w:lineRule="exact"/>
        <w:rPr>
          <w:sz w:val="20"/>
          <w:szCs w:val="20"/>
          <w:color w:val="auto"/>
        </w:rPr>
      </w:pP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agreement to a predefined development stage during the two-year period following December 31, 2005, the parties shall meet to determine whether to reconvene joint development of the compound under the agreement. The agreement is also subject to termination if either party enters bankruptcy, breaches its material obligations, or undergoes a change of control.</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addition to these termination rights, the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opts out of a product development program, and we do not find a new partner, we would bear the full cost of the program.</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MEDAREX. In March 2000, we entered into a collaboration under a binding memorandum of understanding with Medarex to discover, develop, and commercialize human antibodies as therapeutics. We will contribute our expertise in discovering and characterizing proteins as drug targets, and Medarex will contribute its HuMAb-Mouse(TM) technology to create fully human antibody products for those targets. Together we have selected more than twenty initial targets, including growth factors, cytokines, and receptors, and plan to add additional targets in the future. We and Medarex intend to prioritize targets based upon a variety of criteria, including target validation, reagent availability, market opportunity, competitive factors, intellectual property position, and the expected feasibility of obtaining antibodies that have the desired properties. The HuMAb-Mouse is a transgenic mouse whose genes for creating mouse antibodies have been inactivated and replaced by human antibody genes. This makes it possible to rapidly create and develop fully human antibodies as drug candidates.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Under the agreement, Medarex and we will share equally all development, manufacturing, and clinical costs of jointly developed products and all net profits and losses. Each of us has the right to opt out of the joint development of an antigen target and receive instead milestones and royalty payments on net sales as may be negotiated by the parties. The agreement terminates upon the later of three years or the date on which neither party is exploiting any jointly developed products. During the term of the agreement, neither party may independently develop any antibody-based products against any of the targets included within the collaboration. In addition, we and Medarex have agreed not to purchase more than twenty percent of each other's stock.</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EMISPHERE. In March 2000, we signed an agreement with Emisphere to establish a research and development collaboration to utilize Emisphere's oral drug delivery technology for AXOKINE. In preliminary preclinical pharmacokinetic studies, the Emisphere technology was able to achieve measurable blood levels of AXOKINE. Under the terms of the agreement, we will support research at Emisphere and make payments, including license and milestone payments, based on the satisfaction of pre-determined criteria during the development of orally delivered AXOKINE. The parties have established a steering committee to determine these milestones, which trigger either payment obligations or termination rights for us. The first of these milestones is based on the status of the program as of March 31, 2001. The steering committee shall meet on at least a quarterly basis to review the results of the program. In addition, the agreement is also subject to termination if either party breaches its material obligations thereunder. During the term of the agreement, we will receive exclusive worldwide commercialization rights to oral products that result from the collaboration and pay Emisphere a royalty on sales of any such products.</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SHEARWATER. In December 2000, we entered into a license and supply agreement with Shearwater Corporation under which Shearwater will develop and supply a pegylated reagent that could be used to formulate a modified form of AXOKINE. In preclinical studies, a pegylated AXOKINE was substantially longer lasting than unmodified AXOKINE. This may allow less frequent and/or lower dosing in patients. Under the terms of the agreement, Shearwater will develop and supply the reagent and we will manufacture and have exclusive rights to pegylated AXOKINE. Shearwater is entitled to receive milestone payments based on the development of the modified AXOKINE and will be the exclusive supplier of the reagent. We will pay Shearwater a royalty not to exceed 2.5% on sales of any</w:t>
      </w:r>
    </w:p>
    <w:p>
      <w:pPr>
        <w:sectPr>
          <w:pgSz w:w="11900" w:h="16899" w:orient="portrait"/>
          <w:cols w:equalWidth="0" w:num="1">
            <w:col w:w="10219"/>
          </w:cols>
          <w:pgMar w:left="240" w:top="315" w:right="1440" w:bottom="0" w:gutter="0" w:footer="0" w:header="0"/>
        </w:sectPr>
      </w:pPr>
    </w:p>
    <w:bookmarkStart w:id="43" w:name="page44"/>
    <w:bookmarkEnd w:id="43"/>
    <w:p>
      <w:pPr>
        <w:ind w:right="2099"/>
        <w:spacing w:after="0" w:line="251" w:lineRule="auto"/>
        <w:rPr>
          <w:sz w:val="20"/>
          <w:szCs w:val="20"/>
          <w:color w:val="auto"/>
        </w:rPr>
      </w:pPr>
      <w:r>
        <w:rPr>
          <w:rFonts w:ascii="Courier New" w:cs="Courier New" w:eastAsia="Courier New" w:hAnsi="Courier New"/>
          <w:sz w:val="17"/>
          <w:szCs w:val="17"/>
          <w:color w:val="auto"/>
        </w:rPr>
        <w:t>pegylated AXOKINE. The agreement remains in force until the later of ten years from the grant of the first</w:t>
      </w:r>
    </w:p>
    <w:p>
      <w:pPr>
        <w:spacing w:after="0" w:line="396"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142" w:right="1440" w:bottom="1440" w:gutter="0" w:footer="0" w:header="0"/>
        </w:sectPr>
      </w:pPr>
    </w:p>
    <w:bookmarkStart w:id="44" w:name="page45"/>
    <w:bookmarkEnd w:id="44"/>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30</w:t>
      </w:r>
    </w:p>
    <w:p>
      <w:pPr>
        <w:spacing w:after="0" w:line="200" w:lineRule="exact"/>
        <w:rPr>
          <w:sz w:val="20"/>
          <w:szCs w:val="20"/>
          <w:color w:val="auto"/>
        </w:rPr>
      </w:pP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marketing approval for a pegylated AXOKINE or the last to expire patent covering Shearwater's pegylated reagent. In addition, each party shall have the right to terminate the agreement upon bankruptcy of the other party or the other party's breach of a material obligation under the agreement. We have additional termination rights if market or other conditions, including regulatory restrictions, seriously inhibit the ability to develop or market pegylated AXOKINE.</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AMGEN. In August 1990, we entered into a collaboration agreement with Amgen to develop and attempt to commercialize two proprietary products, BDNF and NT-3, in the United States. Pursuant to the agreement with Amgen, we formed a partnership with Amgen (Amgen-Regeneron Partners) to complete the development and commercialization of these product candidates. We are required to fund 50% of the development costs of Amgen-Regeneron Partners to maintain 50% of the commercialization rights. Assuming equal capital contributions to Amgen-Regeneron Partners, we and Amgen share any profits or losses of Amgen-Regeneron Partners equally. Under our agreement with Amgen we are attempting to develop with Amgen and, if such effort is successful, commercialize, market and distribute NT-3 in the United States through Amgen-Regeneron Partners.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Our agreement with Amgen will continue for the longer of the life of the patents covering NT-3 or BDNF or fifteen years from the date on which either product candidate is approved for commercial marketing in any country. The agreement is also subject to termination if either party enters into bankruptcy or breaches its material obligations thereunder. During the term of the agreement, there are restrictions on the ability of either party to independently conduct research or development of NT-3 or BDNF without the other party. Our aggregate capital contribution to Amgen-Regeneron Partners from the partnership's inception in June 1993 through December 31, 2000 was $56.2 million. We expect that our capital contributions for 2001 will total at least $2.2 million. These contributions could increase or decrease, depending upon, among other things, the nature and cost of ongoing and additional NT-3 studies that Amgen-Regeneron Partners may conduct, the outcomes of those studies, and costs associated with the discontinuation of the BDNF studies.</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development and commercialization of NT-3 outside of the United States, Japan, China, and certain other Pacific Rim countries, if any, will be conducted solely by Amgen through a license from us and from Takeda Chemical Industries, Ltd. In return, we will receive royalty payments based on Amgen's net sales of any products in the licensed territory. In the licensed territory, Amgen is solely responsible for funding clinical development and related costs of the licensed products, as well as costs of their commercial exploitation, and has sole discretion with respect to all such development, manufacturing, and marketing of the products and sole responsibility for filing applications for regulatory approvals.</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Amgen-Regeneron Partners was conducting clinical trials of BDNF for the treatment of amyotrophic lateral sclerosis (or ALS). Following notification that BDNF did not provide any therapeutic advantage to ALS patients in the clinical trials, we and Amgen discontinued the development of BDNF for ALS in January 2001.</w:t>
      </w:r>
    </w:p>
    <w:p>
      <w:pPr>
        <w:spacing w:after="0" w:line="200" w:lineRule="exact"/>
        <w:rPr>
          <w:sz w:val="20"/>
          <w:szCs w:val="20"/>
          <w:color w:val="auto"/>
        </w:rPr>
      </w:pPr>
    </w:p>
    <w:p>
      <w:pPr>
        <w:spacing w:after="0" w:line="399"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During October 2000, we and Amgen entered into an agreement whereby we acquired Amgen's patents and patent applications relating to CNTF and related molecules for $1.0 million. As part of this agreement, we granted back to Amgen exclusive, royalty free rights under these patents and patent applications solely for human ophthalmic uses. In addition, we agreed not to sue Amgen under our patents and patent applications relating to CNTF and related molecules solely for human ophthalmic uses.</w:t>
      </w:r>
    </w:p>
    <w:p>
      <w:pPr>
        <w:spacing w:after="0" w:line="200" w:lineRule="exact"/>
        <w:rPr>
          <w:sz w:val="20"/>
          <w:szCs w:val="20"/>
          <w:color w:val="auto"/>
        </w:rPr>
      </w:pPr>
    </w:p>
    <w:p>
      <w:pPr>
        <w:spacing w:after="0" w:line="399"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SUMITOMO. In March 1989, Sumitomo Chemical Company, Ltd. entered into a Technology Development Agreement with us and paid us $5.6 million. In addition, Sumitomo Chemical purchased $4.4 million of our equity. In connection with this agreement, we granted Sumitomo Chemical a limited right of first negotiation, over a fifteen year period, to license up to three of our product candidates to commercialize in Japan on financial and commercial terms as we may offer. If</w:t>
      </w:r>
    </w:p>
    <w:p>
      <w:pPr>
        <w:sectPr>
          <w:pgSz w:w="11900" w:h="16899" w:orient="portrait"/>
          <w:cols w:equalWidth="0" w:num="1">
            <w:col w:w="10219"/>
          </w:cols>
          <w:pgMar w:left="240" w:top="315" w:right="1440" w:bottom="0" w:gutter="0" w:footer="0" w:header="0"/>
        </w:sectPr>
      </w:pPr>
    </w:p>
    <w:bookmarkStart w:id="45" w:name="page46"/>
    <w:bookmarkEnd w:id="45"/>
    <w:p>
      <w:pPr>
        <w:ind w:right="1899"/>
        <w:spacing w:after="0" w:line="249" w:lineRule="auto"/>
        <w:rPr>
          <w:sz w:val="20"/>
          <w:szCs w:val="20"/>
          <w:color w:val="auto"/>
        </w:rPr>
      </w:pPr>
      <w:r>
        <w:rPr>
          <w:rFonts w:ascii="Courier New" w:cs="Courier New" w:eastAsia="Courier New" w:hAnsi="Courier New"/>
          <w:sz w:val="17"/>
          <w:szCs w:val="17"/>
          <w:color w:val="auto"/>
        </w:rPr>
        <w:t>Sumitomo Chemical decides it does not wish to enter into a license agreement with us on the terms we propose, we are free to license the product candidate to any other third party in Japan on terms and conditions no more favorable to a third party licensee than those offered to Sumitomo Chemical. We are obligated periodically to inform and, if requested, to meet with Sumitomo Chemical management about our progress in research</w:t>
      </w:r>
    </w:p>
    <w:p>
      <w:pPr>
        <w:spacing w:after="0" w:line="2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142" w:right="1440" w:bottom="1440" w:gutter="0" w:footer="0" w:header="0"/>
        </w:sectPr>
      </w:pPr>
    </w:p>
    <w:bookmarkStart w:id="46" w:name="page47"/>
    <w:bookmarkEnd w:id="46"/>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31</w:t>
      </w:r>
    </w:p>
    <w:p>
      <w:pPr>
        <w:spacing w:after="0" w:line="200" w:lineRule="exact"/>
        <w:rPr>
          <w:sz w:val="20"/>
          <w:szCs w:val="20"/>
          <w:color w:val="auto"/>
        </w:rPr>
      </w:pP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and development. This agreement shall expire on the earlier of March 20, 2004 or the date that Sumitomo Chemical licenses three product candidates from us, provided that the parties may extend the agreement for an additional five-year term.</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BDNF is licensed to Sumitomo Pharmaceuticals (a subsidiary of Sumitomo Chemical) for development in Japan. Under our agreement, we supply Sumitomo Pharmaceuticals with BDNF for clinical and preclinical testing and receive payments for manufacturing costs and research progress payments based on the development of BDNF. In addition, we will receive a royalty based on any potential BDNF sales in Japan. The agreement expires at the later of fifteen years from the date of the first commercial sale of BDNF in Japan and the last to expire patent covering BDNF in Japan. In addition, Sumitomo Pharmaceuticals has the unilateral right to terminate the agreement at any time. In light of the recent Amgen-Regeneron Partners' clinical trial results for BDNF, it is likely that Sumitomo Pharmaceuticals will exercise its discretionary right to terminate the license with us for BDNF and, other than amounts currently outstanding and any wind-down costs, we would not expect to receive further payments from Sumitomo Pharmaceuticals for research progress payments, contract research and development, or contract manufacturing. We recognized revenue from Sumitomo Pharmaceuticals of $7.6 million in 2000, $0.1 million in 1999, and $8.8 million in 1998.</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MANUFACTURING</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We maintain an 8,000 square foot manufacturing facility in Tarrytown, New York. This facility, which was designed to comply with FDA current good manufacturing practices (called GMP), produces preclinical and clinical supplies of our product candidates.</w:t>
      </w:r>
    </w:p>
    <w:p>
      <w:pPr>
        <w:spacing w:after="0" w:line="200" w:lineRule="exact"/>
        <w:rPr>
          <w:sz w:val="20"/>
          <w:szCs w:val="20"/>
          <w:color w:val="auto"/>
        </w:rPr>
      </w:pPr>
    </w:p>
    <w:p>
      <w:pPr>
        <w:ind w:right="2319" w:firstLine="519"/>
        <w:spacing w:after="0" w:line="249" w:lineRule="auto"/>
        <w:rPr>
          <w:sz w:val="20"/>
          <w:szCs w:val="20"/>
          <w:color w:val="auto"/>
        </w:rPr>
      </w:pPr>
      <w:r>
        <w:rPr>
          <w:rFonts w:ascii="Courier New" w:cs="Courier New" w:eastAsia="Courier New" w:hAnsi="Courier New"/>
          <w:sz w:val="17"/>
          <w:szCs w:val="17"/>
          <w:color w:val="auto"/>
        </w:rPr>
        <w:t>In 1993, we purchased our 100,000 square foot Rensselaer, New York manufacturing facility, which is being used to manufacture drugs for our own preclinical and clinical studies. We also use the facility to manufacture a product for Merck under a long-term contract.</w:t>
      </w:r>
    </w:p>
    <w:p>
      <w:pPr>
        <w:spacing w:after="0" w:line="200" w:lineRule="exact"/>
        <w:rPr>
          <w:sz w:val="20"/>
          <w:szCs w:val="20"/>
          <w:color w:val="auto"/>
        </w:rPr>
      </w:pPr>
    </w:p>
    <w:p>
      <w:pPr>
        <w:ind w:right="2739" w:firstLine="519"/>
        <w:spacing w:after="0" w:line="251" w:lineRule="auto"/>
        <w:rPr>
          <w:sz w:val="20"/>
          <w:szCs w:val="20"/>
          <w:color w:val="auto"/>
        </w:rPr>
      </w:pPr>
      <w:r>
        <w:rPr>
          <w:rFonts w:ascii="Courier New" w:cs="Courier New" w:eastAsia="Courier New" w:hAnsi="Courier New"/>
          <w:sz w:val="17"/>
          <w:szCs w:val="17"/>
          <w:color w:val="auto"/>
        </w:rPr>
        <w:t>Currently we dedicate approximately 200 people to our manufacturing operations at these facilities.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PATENTS, TRADEMARKS AND TRADE SECRETS</w:t>
      </w:r>
    </w:p>
    <w:p>
      <w:pPr>
        <w:spacing w:after="0" w:line="200" w:lineRule="exact"/>
        <w:rPr>
          <w:sz w:val="20"/>
          <w:szCs w:val="20"/>
          <w:color w:val="auto"/>
        </w:rPr>
      </w:pP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Our success depends, in part, on our ability to obtain patents, maintain trade secret protection and operate without infringing on the proprietary rights of third parties. Our policy is to file patent applications to protect technology, inventions, and improvements that are considered important to the development of our business. We have been granted 55 U.S. patents and we have more than 100 pending applications. We are the exclusive or nonexclusive licensee of a number of additional U.S. patents and patent applications. We also rely upon trade secrets, know-how, and continuing technological innovation to develop and maintain our competitive position. We or our licensors or collaborators have filed patent applications on products and processes relating to neurotrophic factors and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pacing w:after="0" w:line="200" w:lineRule="exact"/>
        <w:rPr>
          <w:sz w:val="20"/>
          <w:szCs w:val="20"/>
          <w:color w:val="auto"/>
        </w:rPr>
      </w:pPr>
    </w:p>
    <w:p>
      <w:pPr>
        <w:spacing w:after="0" w:line="399"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In September 2000, Immunex filed a request with the European Patent Office seeking the declaration of an Opposition regarding our European patent relating to Cytokine Traps. This is a legal challenge to the validity and scope of our patent. Although we plan to defend the patent diligently, the scope of the patent may be adversely affected following the outcome of the Opposition.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be significant</w:t>
      </w:r>
    </w:p>
    <w:p>
      <w:pPr>
        <w:sectPr>
          <w:pgSz w:w="11900" w:h="16899" w:orient="portrait"/>
          <w:cols w:equalWidth="0" w:num="1">
            <w:col w:w="10219"/>
          </w:cols>
          <w:pgMar w:left="240" w:top="315" w:right="1440" w:bottom="0" w:gutter="0" w:footer="0" w:header="0"/>
        </w:sectPr>
      </w:pPr>
    </w:p>
    <w:bookmarkStart w:id="47" w:name="page48"/>
    <w:bookmarkEnd w:id="47"/>
    <w:p>
      <w:pPr>
        <w:ind w:right="3039"/>
        <w:spacing w:after="0" w:line="251" w:lineRule="auto"/>
        <w:rPr>
          <w:sz w:val="20"/>
          <w:szCs w:val="20"/>
          <w:color w:val="auto"/>
        </w:rPr>
      </w:pPr>
      <w:r>
        <w:rPr>
          <w:rFonts w:ascii="Courier New" w:cs="Courier New" w:eastAsia="Courier New" w:hAnsi="Courier New"/>
          <w:sz w:val="17"/>
          <w:szCs w:val="17"/>
          <w:color w:val="auto"/>
        </w:rPr>
        <w:t>if they acquire or discover patentable inventions, form collaborative arrangements, or merge with large pharmaceutical companies.</w:t>
      </w:r>
    </w:p>
    <w:p>
      <w:pPr>
        <w:spacing w:after="0" w:line="396"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14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7"/>
          <w:szCs w:val="17"/>
          <w:color w:val="auto"/>
        </w:rPr>
        <w:t>32</w:t>
      </w:r>
    </w:p>
    <w:p>
      <w:pPr>
        <w:spacing w:after="0" w:line="200" w:lineRule="exact"/>
        <w:rPr>
          <w:sz w:val="20"/>
          <w:szCs w:val="20"/>
          <w:color w:val="auto"/>
        </w:rPr>
      </w:pP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Even if we achieve product commercialization, one or more of our competitors may achieve product commercialization earlier than we do or obtain patent protection that dominates or adversely affects our activities. Our ability to compete will depend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AXOKINE: There is substantial competition in the discovery and development of treatments for obesity. In addition, there are well-established and cost-effective prescription and over-the-counter treatments for this condition. For example, Hoffmann-La Roche and Knoll Pharmaceuticals already market well-established drugs for the treatment of obesity and Amgen and a number of other pharmaceutical companies are developing leptin and related molecules. Clinical trials of leptin are under way. Some of these drugs may offer competitive advantages over AXOKINE. For example, AXOKINE currently is available only in injectable form, while the currently available marketed drugs for the treatment of obesity are delivered in oral dosage forms, which generally are favored by patients over injectable drugs. Therefore, even if AXOKINE is approved for sale, the fact that it must be delivered by injection may severely limit its market acceptance among patients and physicians.</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CYTOKINE TRAPS: Similarly, marketed products for the treatment of rheumatoid arthritis and asthma are available as either oral or inhaled drugs, whereas our Cytokine Traps currently are only planned for clinical trials as injectables. The markets for both rheumatoid arthritis and asthma are very competitive. Several new, highly successful drugs recently became available for these disease states. Examples include the TNF-antagonists Enbrel(R) (a registered trademark of Immunex Corporation) and Remicade(R) (a registered trademark of Centocor, Inc.) for rheumatoid arthritis and the leukotriene-modifier Singulair(R) (a registered trademark of Merck &amp; Co., Inc.), as well as various inexpensive corticosteroid drugs for asthma.</w:t>
      </w:r>
    </w:p>
    <w:p>
      <w:pPr>
        <w:spacing w:after="0" w:line="200" w:lineRule="exact"/>
        <w:rPr>
          <w:sz w:val="20"/>
          <w:szCs w:val="20"/>
          <w:color w:val="auto"/>
        </w:rPr>
      </w:pPr>
    </w:p>
    <w:p>
      <w:pPr>
        <w:spacing w:after="0" w:line="399"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VEGF TRAP: Many companies are developing drugs designed to block the actions of VEGF specifically and angiogenesis in general. A variety of approaches have been employed, including antibodies to VEGF, antibodies to the VEGF receptor, small molecule antagonists to the VEGF receptor tyrosine kinase, as well as multiple other anti-angiogenesis strategies. Many of these alternative approaches may offer competitive advantages to our VEGF Trap in efficacy, side-effect profile, cost, or form of delivery. Additionally, many of these developmental drugs may be at a more advanced stage of development than our product candidate.</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NT-3: The treatment of constipating conditions is highly competitive, with a number of companies providing over-the-counter remedies and other competitors attempting to discover and develop improved over-the-counter or prescription treatments. These products may offer competitive advantages over our NT-3 product candidate in efficacy, side-effect profile, cost, or form of delivery.</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OTHER AREAS: Many pharmaceutical and biotechnology companies are attempting to discover and develop small-molecule based therapeutics, similar in at least certain respects to our program with Procter &amp; Gamble.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using tyrosine kinase receptors, orphan receptors, and compounds that are the focus of other research or development programs we are now conducting. These competitors include Amgen and Genentech, Inc., as well as many others.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ectPr>
          <w:pgSz w:w="11900" w:h="16838" w:orient="portrait"/>
          <w:cols w:equalWidth="0" w:num="1">
            <w:col w:w="10219"/>
          </w:cols>
          <w:pgMar w:left="240" w:top="315" w:right="1440" w:bottom="175" w:gutter="0" w:footer="0" w:header="0"/>
        </w:sectPr>
      </w:pPr>
    </w:p>
    <w:bookmarkStart w:id="49" w:name="page50"/>
    <w:bookmarkEnd w:id="49"/>
    <w:p>
      <w:pPr>
        <w:jc w:val="both"/>
        <w:ind w:right="2099" w:firstLine="519"/>
        <w:spacing w:after="0" w:line="250" w:lineRule="auto"/>
        <w:rPr>
          <w:sz w:val="20"/>
          <w:szCs w:val="20"/>
          <w:color w:val="auto"/>
        </w:rPr>
      </w:pPr>
      <w:r>
        <w:rPr>
          <w:rFonts w:ascii="Courier New" w:cs="Courier New" w:eastAsia="Courier New" w:hAnsi="Courier New"/>
          <w:sz w:val="17"/>
          <w:szCs w:val="17"/>
          <w:color w:val="auto"/>
        </w:rPr>
        <w:t>If a competitor announces a successful clinical study involving a product that may be competitive with one of our product candidates or an approval by a regulatory agency of the marketing of a competitive</w:t>
      </w:r>
    </w:p>
    <w:p>
      <w:pPr>
        <w:spacing w:after="0" w:line="39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342" w:right="1440" w:bottom="1440" w:gutter="0" w:footer="0" w:header="0"/>
        </w:sectPr>
      </w:pPr>
    </w:p>
    <w:bookmarkStart w:id="50" w:name="page51"/>
    <w:bookmarkEnd w:id="50"/>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33</w:t>
      </w:r>
    </w:p>
    <w:p>
      <w:pPr>
        <w:spacing w:after="0" w:line="200" w:lineRule="exact"/>
        <w:rPr>
          <w:sz w:val="20"/>
          <w:szCs w:val="20"/>
          <w:color w:val="auto"/>
        </w:rPr>
      </w:pPr>
    </w:p>
    <w:p>
      <w:pPr>
        <w:spacing w:after="0" w:line="207" w:lineRule="exact"/>
        <w:rPr>
          <w:sz w:val="20"/>
          <w:szCs w:val="20"/>
          <w:color w:val="auto"/>
        </w:rPr>
      </w:pPr>
    </w:p>
    <w:p>
      <w:pPr>
        <w:ind w:right="1899"/>
        <w:spacing w:after="0" w:line="251" w:lineRule="auto"/>
        <w:rPr>
          <w:sz w:val="20"/>
          <w:szCs w:val="20"/>
          <w:color w:val="auto"/>
        </w:rPr>
      </w:pPr>
      <w:r>
        <w:rPr>
          <w:rFonts w:ascii="Courier New" w:cs="Courier New" w:eastAsia="Courier New" w:hAnsi="Courier New"/>
          <w:sz w:val="17"/>
          <w:szCs w:val="17"/>
          <w:color w:val="auto"/>
        </w:rPr>
        <w:t>product, such announcement may have a material adverse effect on our operations, or future prospects, or the price of our common stock.</w:t>
      </w:r>
    </w:p>
    <w:p>
      <w:pPr>
        <w:spacing w:after="0" w:line="200" w:lineRule="exact"/>
        <w:rPr>
          <w:sz w:val="20"/>
          <w:szCs w:val="20"/>
          <w:color w:val="auto"/>
        </w:rPr>
      </w:pPr>
    </w:p>
    <w:p>
      <w:pPr>
        <w:spacing w:after="0" w:line="396"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GOVERNMENT REGULATION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Producing and marketing our product candidates and our research and development activities are subject to regulations relating to product safety and efficacy by numerous governmental authorities in the United States and other countries. In the United States, drugs are subject to rigorous FDA regulation. The Federal Food, Drug and Cosmetic Act and other federal and state statutes and regulations govern, among other things, the testing, manufacture, safety, effectiveness, labeling, storage, record keeping, approval, advertising, and promotion of our products.</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51" w:lineRule="auto"/>
        <w:rPr>
          <w:sz w:val="20"/>
          <w:szCs w:val="20"/>
          <w:color w:val="auto"/>
        </w:rPr>
      </w:pPr>
      <w:r>
        <w:rPr>
          <w:rFonts w:ascii="Courier New" w:cs="Courier New" w:eastAsia="Courier New" w:hAnsi="Courier New"/>
          <w:sz w:val="17"/>
          <w:szCs w:val="17"/>
          <w:color w:val="auto"/>
        </w:rPr>
        <w:t>Before we may market a pharmaceutical product in the United States, the FDA requires us to complete the following steps:</w:t>
      </w:r>
    </w:p>
    <w:p>
      <w:pPr>
        <w:spacing w:after="0" w:line="200" w:lineRule="exact"/>
        <w:rPr>
          <w:sz w:val="20"/>
          <w:szCs w:val="20"/>
          <w:color w:val="auto"/>
        </w:rPr>
      </w:pPr>
    </w:p>
    <w:p>
      <w:pPr>
        <w:spacing w:after="0" w:line="396" w:lineRule="exact"/>
        <w:rPr>
          <w:sz w:val="20"/>
          <w:szCs w:val="20"/>
          <w:color w:val="auto"/>
        </w:rPr>
      </w:pPr>
    </w:p>
    <w:p>
      <w:pPr>
        <w:ind w:left="740" w:hanging="214"/>
        <w:spacing w:after="0"/>
        <w:tabs>
          <w:tab w:leader="none" w:pos="74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preclinical laboratory and animal tests;</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640" w:right="1899" w:hanging="114"/>
        <w:spacing w:after="0" w:line="251" w:lineRule="auto"/>
        <w:tabs>
          <w:tab w:leader="none" w:pos="744"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submission to the FDA of an investigational new drug application, or IND, which must become effective before human clinical trials may commence;</w:t>
      </w:r>
    </w:p>
    <w:p>
      <w:pPr>
        <w:spacing w:after="0" w:line="200" w:lineRule="exact"/>
        <w:rPr>
          <w:rFonts w:ascii="Courier New" w:cs="Courier New" w:eastAsia="Courier New" w:hAnsi="Courier New"/>
          <w:sz w:val="17"/>
          <w:szCs w:val="17"/>
          <w:color w:val="auto"/>
        </w:rPr>
      </w:pPr>
    </w:p>
    <w:p>
      <w:pPr>
        <w:spacing w:after="0" w:line="396" w:lineRule="exact"/>
        <w:rPr>
          <w:rFonts w:ascii="Courier New" w:cs="Courier New" w:eastAsia="Courier New" w:hAnsi="Courier New"/>
          <w:sz w:val="17"/>
          <w:szCs w:val="17"/>
          <w:color w:val="auto"/>
        </w:rPr>
      </w:pPr>
    </w:p>
    <w:p>
      <w:pPr>
        <w:ind w:left="640" w:right="1999" w:hanging="114"/>
        <w:spacing w:after="0" w:line="250" w:lineRule="auto"/>
        <w:tabs>
          <w:tab w:leader="none" w:pos="744"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adequate and well controlled human clinical trials conforming with good laboratory and clinical practices to establish the safety and efficacy of the product;</w:t>
      </w:r>
    </w:p>
    <w:p>
      <w:pPr>
        <w:spacing w:after="0" w:line="200" w:lineRule="exact"/>
        <w:rPr>
          <w:rFonts w:ascii="Courier New" w:cs="Courier New" w:eastAsia="Courier New" w:hAnsi="Courier New"/>
          <w:sz w:val="17"/>
          <w:szCs w:val="17"/>
          <w:color w:val="auto"/>
        </w:rPr>
      </w:pPr>
    </w:p>
    <w:p>
      <w:pPr>
        <w:spacing w:after="0" w:line="396" w:lineRule="exact"/>
        <w:rPr>
          <w:rFonts w:ascii="Courier New" w:cs="Courier New" w:eastAsia="Courier New" w:hAnsi="Courier New"/>
          <w:sz w:val="17"/>
          <w:szCs w:val="17"/>
          <w:color w:val="auto"/>
        </w:rPr>
      </w:pPr>
    </w:p>
    <w:p>
      <w:pPr>
        <w:ind w:left="640" w:right="1999" w:hanging="114"/>
        <w:spacing w:after="0" w:line="250" w:lineRule="auto"/>
        <w:tabs>
          <w:tab w:leader="none" w:pos="744"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submission to the FDA of a New Drug Application, or NDA, with respect to drugs, and a Biological License Application, or BLA, with respect to biological products; and</w:t>
      </w:r>
    </w:p>
    <w:p>
      <w:pPr>
        <w:spacing w:after="0" w:line="200" w:lineRule="exact"/>
        <w:rPr>
          <w:rFonts w:ascii="Courier New" w:cs="Courier New" w:eastAsia="Courier New" w:hAnsi="Courier New"/>
          <w:sz w:val="17"/>
          <w:szCs w:val="17"/>
          <w:color w:val="auto"/>
        </w:rPr>
      </w:pPr>
    </w:p>
    <w:p>
      <w:pPr>
        <w:spacing w:after="0" w:line="396" w:lineRule="exact"/>
        <w:rPr>
          <w:rFonts w:ascii="Courier New" w:cs="Courier New" w:eastAsia="Courier New" w:hAnsi="Courier New"/>
          <w:sz w:val="17"/>
          <w:szCs w:val="17"/>
          <w:color w:val="auto"/>
        </w:rPr>
      </w:pPr>
    </w:p>
    <w:p>
      <w:pPr>
        <w:ind w:left="640" w:right="1999" w:hanging="114"/>
        <w:spacing w:after="0" w:line="251" w:lineRule="auto"/>
        <w:tabs>
          <w:tab w:leader="none" w:pos="744"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FDA approval of the NDA or BLA before any commercial sale or shipment of the product.</w:t>
      </w:r>
    </w:p>
    <w:p>
      <w:pPr>
        <w:spacing w:after="0" w:line="200" w:lineRule="exact"/>
        <w:rPr>
          <w:sz w:val="20"/>
          <w:szCs w:val="20"/>
          <w:color w:val="auto"/>
        </w:rPr>
      </w:pPr>
    </w:p>
    <w:p>
      <w:pPr>
        <w:spacing w:after="0" w:line="396"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addition, the FDA requires the registration of each drug and approval of each manufacturing establishment. Domestic manufacturing establishments are subject to FDA inspection and must comply with current good manufacturing practices, or cGMP, for pharmaceutical products.</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Preclinical tests include laboratory evaluation and animal studies to assess the potential safety and efficacy of the product and its formulation. To comply with FDA regulations, laboratories must conduct these preclinical safety tests according to Good Laboratory Practices. The results of the preclinical tests are submitted to the FDA as part of an IND, and the FDA reviews the results before the commencement of human clinical trials. Unless the FDA objects, the IND will become effective 30 days following its receipt. There is no certainty that submission of an IND will result in FDA authorization to commence clinical trials. Similarly, once we have completed early stage clinical</w:t>
      </w:r>
    </w:p>
    <w:p>
      <w:pPr>
        <w:sectPr>
          <w:pgSz w:w="11900" w:h="16899" w:orient="portrait"/>
          <w:cols w:equalWidth="0" w:num="1">
            <w:col w:w="10219"/>
          </w:cols>
          <w:pgMar w:left="240" w:top="315" w:right="1440" w:bottom="0" w:gutter="0" w:footer="0" w:header="0"/>
        </w:sectPr>
      </w:pPr>
    </w:p>
    <w:bookmarkStart w:id="51" w:name="page52"/>
    <w:bookmarkEnd w:id="51"/>
    <w:p>
      <w:pPr>
        <w:ind w:right="2319"/>
        <w:spacing w:after="0" w:line="251" w:lineRule="auto"/>
        <w:rPr>
          <w:sz w:val="20"/>
          <w:szCs w:val="20"/>
          <w:color w:val="auto"/>
        </w:rPr>
      </w:pPr>
      <w:r>
        <w:rPr>
          <w:rFonts w:ascii="Courier New" w:cs="Courier New" w:eastAsia="Courier New" w:hAnsi="Courier New"/>
          <w:sz w:val="17"/>
          <w:szCs w:val="17"/>
          <w:color w:val="auto"/>
        </w:rPr>
        <w:t>testing of product candidates, there is no assurance that we will be able to commence large scale clinical trials.</w:t>
      </w:r>
    </w:p>
    <w:p>
      <w:pPr>
        <w:spacing w:after="0" w:line="200" w:lineRule="exact"/>
        <w:rPr>
          <w:sz w:val="20"/>
          <w:szCs w:val="20"/>
          <w:color w:val="auto"/>
        </w:rPr>
      </w:pPr>
    </w:p>
    <w:p>
      <w:pPr>
        <w:spacing w:after="0" w:line="396"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Human clinical trials involve the administration of the investigational compound to patients or other volunteers under the supervision of a qualified principal investigator. Clinical trials are conducted in accordance with protocols that detail the objectives of the study, the parameters to be used to monitor safety and the efficacy criteria to be evaluated. Each protocol must be submitted to the FDA as part of the IND. Further, each clinical study must be conducted under the auspices of an independent institutional review board, or IRB, at the institution where the study will be conducted. The IRB will consider, among other things, ethical factors, the safety of human subjects and the possible liability of the institution.</w:t>
      </w:r>
    </w:p>
    <w:p>
      <w:pPr>
        <w:spacing w:after="0" w:line="4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142" w:right="1440" w:bottom="1440" w:gutter="0" w:footer="0" w:header="0"/>
        </w:sectPr>
      </w:pPr>
    </w:p>
    <w:bookmarkStart w:id="52" w:name="page53"/>
    <w:bookmarkEnd w:id="52"/>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34</w:t>
      </w:r>
    </w:p>
    <w:p>
      <w:pPr>
        <w:spacing w:after="0" w:line="200" w:lineRule="exact"/>
        <w:rPr>
          <w:sz w:val="20"/>
          <w:szCs w:val="20"/>
          <w:color w:val="auto"/>
        </w:rPr>
      </w:pP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Clinical trials are typically conducted in four sequential phases, which may overlap. In Phase I, the initial introduction of the product into human subjects, the product is tested for safety (adverse effects), dosage tolerance, metabolism, distribution, excretion and clinical pharmacology. Phase II involves studies in a limited patient population:</w:t>
      </w:r>
    </w:p>
    <w:p>
      <w:pPr>
        <w:spacing w:after="0" w:line="200" w:lineRule="exact"/>
        <w:rPr>
          <w:sz w:val="20"/>
          <w:szCs w:val="20"/>
          <w:color w:val="auto"/>
        </w:rPr>
      </w:pPr>
    </w:p>
    <w:p>
      <w:pPr>
        <w:spacing w:after="0" w:line="399" w:lineRule="exact"/>
        <w:rPr>
          <w:sz w:val="20"/>
          <w:szCs w:val="20"/>
          <w:color w:val="auto"/>
        </w:rPr>
      </w:pPr>
    </w:p>
    <w:p>
      <w:pPr>
        <w:ind w:left="640" w:right="2939" w:hanging="114"/>
        <w:spacing w:after="0" w:line="251" w:lineRule="auto"/>
        <w:tabs>
          <w:tab w:leader="none" w:pos="744"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efficacy of the product for specific, targeted indications;</w:t>
      </w:r>
    </w:p>
    <w:p>
      <w:pPr>
        <w:spacing w:after="0" w:line="200" w:lineRule="exact"/>
        <w:rPr>
          <w:rFonts w:ascii="Courier New" w:cs="Courier New" w:eastAsia="Courier New" w:hAnsi="Courier New"/>
          <w:sz w:val="17"/>
          <w:szCs w:val="17"/>
          <w:color w:val="auto"/>
        </w:rPr>
      </w:pPr>
    </w:p>
    <w:p>
      <w:pPr>
        <w:spacing w:after="0" w:line="396"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dosage tolerance and optimal dosage; and</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identify possible adverse effects and safety risks.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219" w:firstLine="519"/>
        <w:spacing w:after="0" w:line="251" w:lineRule="auto"/>
        <w:rPr>
          <w:sz w:val="20"/>
          <w:szCs w:val="20"/>
          <w:color w:val="auto"/>
        </w:rPr>
      </w:pPr>
      <w:r>
        <w:rPr>
          <w:rFonts w:ascii="Courier New" w:cs="Courier New" w:eastAsia="Courier New" w:hAnsi="Courier New"/>
          <w:sz w:val="17"/>
          <w:szCs w:val="17"/>
          <w:color w:val="auto"/>
        </w:rPr>
        <w:t>When a product is found to be effective and to have an acceptable safety profile in Phase II evaluations, Phase III trials are undertaken:</w:t>
      </w:r>
    </w:p>
    <w:p>
      <w:pPr>
        <w:spacing w:after="0" w:line="200" w:lineRule="exact"/>
        <w:rPr>
          <w:sz w:val="20"/>
          <w:szCs w:val="20"/>
          <w:color w:val="auto"/>
        </w:rPr>
      </w:pPr>
    </w:p>
    <w:p>
      <w:pPr>
        <w:spacing w:after="0" w:line="396" w:lineRule="exact"/>
        <w:rPr>
          <w:sz w:val="20"/>
          <w:szCs w:val="20"/>
          <w:color w:val="auto"/>
        </w:rPr>
      </w:pPr>
    </w:p>
    <w:p>
      <w:pPr>
        <w:ind w:left="740" w:hanging="214"/>
        <w:spacing w:after="0"/>
        <w:tabs>
          <w:tab w:leader="none" w:pos="7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continue to evaluate clinical efficacy; and</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640" w:right="2519" w:hanging="114"/>
        <w:spacing w:after="0" w:line="251" w:lineRule="auto"/>
        <w:tabs>
          <w:tab w:leader="none" w:pos="744"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test further for safety within an expanded patient population at geographically dispersed clinical study sites.</w:t>
      </w:r>
    </w:p>
    <w:p>
      <w:pPr>
        <w:spacing w:after="0" w:line="200" w:lineRule="exact"/>
        <w:rPr>
          <w:sz w:val="20"/>
          <w:szCs w:val="20"/>
          <w:color w:val="auto"/>
        </w:rPr>
      </w:pPr>
    </w:p>
    <w:p>
      <w:pPr>
        <w:spacing w:after="0" w:line="396" w:lineRule="exact"/>
        <w:rPr>
          <w:sz w:val="20"/>
          <w:szCs w:val="20"/>
          <w:color w:val="auto"/>
        </w:rPr>
      </w:pPr>
    </w:p>
    <w:p>
      <w:pPr>
        <w:ind w:right="2219" w:firstLine="519"/>
        <w:spacing w:after="0" w:line="249" w:lineRule="auto"/>
        <w:rPr>
          <w:sz w:val="20"/>
          <w:szCs w:val="20"/>
          <w:color w:val="auto"/>
        </w:rPr>
      </w:pPr>
      <w:r>
        <w:rPr>
          <w:rFonts w:ascii="Courier New" w:cs="Courier New" w:eastAsia="Courier New" w:hAnsi="Courier New"/>
          <w:sz w:val="17"/>
          <w:szCs w:val="17"/>
          <w:color w:val="auto"/>
        </w:rPr>
        <w:t>We may not successfully complete clinical testing of our products within any specified time period, if at all. Furthermore, we or the FDA may suspend clinical trials at any time if it is felt that the subjects or patients are being exposed to an unacceptable health risk.</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results of the pharmaceutical development, preclinical studies and clinical studies are submitted to the FDA in the form of an NDA or BLA to approve marketing and commercial shipment of the product. The testing and approval process frequently requires substantial time and effort and approval may not be granted on a timely basis, if at all. The FDA may deny an NDA or BLA if applicable regulatory criteria are not satisfied, require additional testing or information or require postmarketing testing and surveillance to monitor the safety and efficacy of the product. Notwithstanding the submission of this data, the FDA may ultimately decide that the application does not satisfy its regulatory criteria for approval. Finally, product approvals may be withdrawn if compliance with regulatory standards is not maintained or if problems including adverse side effects occur following initial marketing.</w:t>
      </w:r>
    </w:p>
    <w:p>
      <w:pPr>
        <w:spacing w:after="0" w:line="200" w:lineRule="exact"/>
        <w:rPr>
          <w:sz w:val="20"/>
          <w:szCs w:val="20"/>
          <w:color w:val="auto"/>
        </w:rPr>
      </w:pPr>
    </w:p>
    <w:p>
      <w:pPr>
        <w:spacing w:after="0" w:line="399" w:lineRule="exact"/>
        <w:rPr>
          <w:sz w:val="20"/>
          <w:szCs w:val="20"/>
          <w:color w:val="auto"/>
        </w:rPr>
      </w:pPr>
    </w:p>
    <w:p>
      <w:pPr>
        <w:ind w:right="2099" w:firstLine="519"/>
        <w:spacing w:after="0" w:line="249" w:lineRule="auto"/>
        <w:rPr>
          <w:sz w:val="20"/>
          <w:szCs w:val="20"/>
          <w:color w:val="auto"/>
        </w:rPr>
      </w:pPr>
      <w:r>
        <w:rPr>
          <w:rFonts w:ascii="Courier New" w:cs="Courier New" w:eastAsia="Courier New" w:hAnsi="Courier New"/>
          <w:sz w:val="17"/>
          <w:szCs w:val="17"/>
          <w:color w:val="auto"/>
        </w:rPr>
        <w:t>Among the conditions for NDA or BLA approval is that the prospective manufacturer's quality control and manufacturing procedures conform to current Good Manufacturing Practices. In complying with standards set forth in these regulations, manufacturers must continue to expend time, monies and effort in the area of production and quality control to ensure full compliance.</w:t>
      </w:r>
    </w:p>
    <w:p>
      <w:pPr>
        <w:spacing w:after="0" w:line="200" w:lineRule="exact"/>
        <w:rPr>
          <w:sz w:val="20"/>
          <w:szCs w:val="20"/>
          <w:color w:val="auto"/>
        </w:rPr>
      </w:pPr>
    </w:p>
    <w:p>
      <w:pPr>
        <w:spacing w:after="0" w:line="399" w:lineRule="exact"/>
        <w:rPr>
          <w:sz w:val="20"/>
          <w:szCs w:val="20"/>
          <w:color w:val="auto"/>
        </w:rPr>
      </w:pPr>
    </w:p>
    <w:p>
      <w:pPr>
        <w:ind w:right="2319" w:firstLine="519"/>
        <w:spacing w:after="0" w:line="249" w:lineRule="auto"/>
        <w:rPr>
          <w:sz w:val="20"/>
          <w:szCs w:val="20"/>
          <w:color w:val="auto"/>
        </w:rPr>
      </w:pPr>
      <w:r>
        <w:rPr>
          <w:rFonts w:ascii="Courier New" w:cs="Courier New" w:eastAsia="Courier New" w:hAnsi="Courier New"/>
          <w:sz w:val="17"/>
          <w:szCs w:val="17"/>
          <w:color w:val="auto"/>
        </w:rPr>
        <w:t>In addition to FDA regulations, we are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and other present and future federal, state or local regulations.</w:t>
      </w:r>
    </w:p>
    <w:p>
      <w:pPr>
        <w:spacing w:after="0" w:line="200" w:lineRule="exact"/>
        <w:rPr>
          <w:sz w:val="20"/>
          <w:szCs w:val="20"/>
          <w:color w:val="auto"/>
        </w:rPr>
      </w:pPr>
    </w:p>
    <w:p>
      <w:pPr>
        <w:spacing w:after="0" w:line="399"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For marketing outside the United States, we also are subject to foreign regulatory requirements governing human clinical trials and marketing approval for pharmaceutical products. The requirements governing the conduct of clinical trials, product licensing, pricing and reimbursement vary widely from country to country. Whether or not we obtain FDA approval, we must obtain approval of a</w:t>
      </w:r>
    </w:p>
    <w:p>
      <w:pPr>
        <w:sectPr>
          <w:pgSz w:w="11900" w:h="16899" w:orient="portrait"/>
          <w:cols w:equalWidth="0" w:num="1">
            <w:col w:w="10219"/>
          </w:cols>
          <w:pgMar w:left="240" w:top="315" w:right="1440" w:bottom="0" w:gutter="0" w:footer="0" w:header="0"/>
        </w:sectPr>
      </w:pPr>
    </w:p>
    <w:bookmarkStart w:id="53" w:name="page54"/>
    <w:bookmarkEnd w:id="53"/>
    <w:p>
      <w:pPr>
        <w:ind w:right="1999"/>
        <w:spacing w:after="0" w:line="249" w:lineRule="auto"/>
        <w:rPr>
          <w:sz w:val="20"/>
          <w:szCs w:val="20"/>
          <w:color w:val="auto"/>
        </w:rPr>
      </w:pPr>
      <w:r>
        <w:rPr>
          <w:rFonts w:ascii="Courier New" w:cs="Courier New" w:eastAsia="Courier New" w:hAnsi="Courier New"/>
          <w:sz w:val="17"/>
          <w:szCs w:val="17"/>
          <w:color w:val="auto"/>
        </w:rPr>
        <w:t>product by the comparable regulatory authorities of foreign countries before manufacturing or marketing the product in those countries. The approval process varies from country to country and the time required for these approvals may differ substantially from that required for FDA approval. The clinical trials conducted in one country may not be accepted by other countries and approval in one country may not result in approval in any other country.</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200" w:lineRule="exact"/>
        <w:rPr>
          <w:sz w:val="20"/>
          <w:szCs w:val="20"/>
          <w:color w:val="auto"/>
        </w:rPr>
      </w:pPr>
    </w:p>
    <w:p>
      <w:pPr>
        <w:spacing w:after="0" w:line="207" w:lineRule="exact"/>
        <w:rPr>
          <w:sz w:val="20"/>
          <w:szCs w:val="20"/>
          <w:color w:val="auto"/>
        </w:rPr>
      </w:pPr>
    </w:p>
    <w:p>
      <w:pPr>
        <w:ind w:right="2099" w:firstLine="519"/>
        <w:spacing w:after="0" w:line="249" w:lineRule="auto"/>
        <w:rPr>
          <w:sz w:val="20"/>
          <w:szCs w:val="20"/>
          <w:color w:val="auto"/>
        </w:rPr>
      </w:pPr>
      <w:r>
        <w:rPr>
          <w:rFonts w:ascii="Courier New" w:cs="Courier New" w:eastAsia="Courier New" w:hAnsi="Courier New"/>
          <w:sz w:val="17"/>
          <w:szCs w:val="17"/>
          <w:color w:val="auto"/>
        </w:rPr>
        <w:t>As of January 31, 2001, we had 505 full-time employees, 95 of whom hold a Ph.D. or M.D. degree or both. We believe that we have been successful in attracting skilled and experienced personnel in a highly competitive environment.</w:t>
      </w:r>
    </w:p>
    <w:p>
      <w:pPr>
        <w:spacing w:after="0" w:line="4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142"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7"/>
          <w:szCs w:val="17"/>
          <w:color w:val="auto"/>
        </w:rPr>
        <w:t>35</w:t>
      </w:r>
    </w:p>
    <w:p>
      <w:pPr>
        <w:spacing w:after="0" w:line="20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MANAGEMENT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AND EXECUTIVE OFFICERS</w:t>
      </w:r>
    </w:p>
    <w:p>
      <w:pPr>
        <w:spacing w:after="0" w:line="207" w:lineRule="exact"/>
        <w:rPr>
          <w:sz w:val="20"/>
          <w:szCs w:val="20"/>
          <w:color w:val="auto"/>
        </w:rPr>
      </w:pPr>
    </w:p>
    <w:p>
      <w:pPr>
        <w:ind w:right="2180" w:firstLine="519"/>
        <w:spacing w:after="0" w:line="251" w:lineRule="auto"/>
        <w:rPr>
          <w:sz w:val="20"/>
          <w:szCs w:val="20"/>
          <w:color w:val="auto"/>
        </w:rPr>
      </w:pPr>
      <w:r>
        <w:rPr>
          <w:rFonts w:ascii="Courier New" w:cs="Courier New" w:eastAsia="Courier New" w:hAnsi="Courier New"/>
          <w:sz w:val="17"/>
          <w:szCs w:val="17"/>
          <w:color w:val="auto"/>
        </w:rPr>
        <w:t>The following table provides information with respect to our directors and executive officers as of December 31, 2000:</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8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AGE</w:t>
            </w:r>
          </w:p>
        </w:tc>
        <w:tc>
          <w:tcPr>
            <w:tcW w:w="5260" w:type="dxa"/>
            <w:vAlign w:val="bottom"/>
          </w:tcPr>
          <w:p>
            <w:pPr>
              <w:ind w:left="2240"/>
              <w:spacing w:after="0"/>
              <w:rPr>
                <w:sz w:val="20"/>
                <w:szCs w:val="20"/>
                <w:color w:val="auto"/>
              </w:rPr>
            </w:pPr>
            <w:r>
              <w:rPr>
                <w:rFonts w:ascii="Courier New" w:cs="Courier New" w:eastAsia="Courier New" w:hAnsi="Courier New"/>
                <w:sz w:val="17"/>
                <w:szCs w:val="17"/>
                <w:color w:val="auto"/>
              </w:rPr>
              <w:t>POSITION</w:t>
            </w:r>
          </w:p>
        </w:tc>
      </w:tr>
      <w:tr>
        <w:trPr>
          <w:trHeight w:val="200"/>
        </w:trPr>
        <w:tc>
          <w:tcPr>
            <w:tcW w:w="44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2460"/>
              <w:spacing w:after="0"/>
              <w:rPr>
                <w:sz w:val="20"/>
                <w:szCs w:val="20"/>
                <w:color w:val="auto"/>
              </w:rPr>
            </w:pPr>
            <w:r>
              <w:rPr>
                <w:rFonts w:ascii="Courier New" w:cs="Courier New" w:eastAsia="Courier New" w:hAnsi="Courier New"/>
                <w:sz w:val="17"/>
                <w:szCs w:val="17"/>
                <w:color w:val="auto"/>
              </w:rPr>
              <w:t>--------</w:t>
            </w:r>
          </w:p>
        </w:tc>
      </w:tr>
      <w:tr>
        <w:trPr>
          <w:trHeight w:val="400"/>
        </w:trPr>
        <w:tc>
          <w:tcPr>
            <w:tcW w:w="4480" w:type="dxa"/>
            <w:vAlign w:val="bottom"/>
          </w:tcPr>
          <w:p>
            <w:pPr>
              <w:spacing w:after="0"/>
              <w:rPr>
                <w:sz w:val="20"/>
                <w:szCs w:val="20"/>
                <w:color w:val="auto"/>
              </w:rPr>
            </w:pPr>
            <w:r>
              <w:rPr>
                <w:rFonts w:ascii="Courier New" w:cs="Courier New" w:eastAsia="Courier New" w:hAnsi="Courier New"/>
                <w:sz w:val="17"/>
                <w:szCs w:val="17"/>
                <w:color w:val="auto"/>
              </w:rPr>
              <w:t>P. Roy Vagelos, M.D.......................</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71</w:t>
            </w:r>
          </w:p>
        </w:tc>
        <w:tc>
          <w:tcPr>
            <w:tcW w:w="5260" w:type="dxa"/>
            <w:vAlign w:val="bottom"/>
          </w:tcPr>
          <w:p>
            <w:pPr>
              <w:ind w:left="60"/>
              <w:spacing w:after="0"/>
              <w:rPr>
                <w:sz w:val="20"/>
                <w:szCs w:val="20"/>
                <w:color w:val="auto"/>
              </w:rPr>
            </w:pPr>
            <w:r>
              <w:rPr>
                <w:rFonts w:ascii="Courier New" w:cs="Courier New" w:eastAsia="Courier New" w:hAnsi="Courier New"/>
                <w:sz w:val="17"/>
                <w:szCs w:val="17"/>
                <w:color w:val="auto"/>
              </w:rPr>
              <w:t>Chairman of the Board of Directors (Class II)</w:t>
            </w:r>
          </w:p>
        </w:tc>
      </w:tr>
      <w:tr>
        <w:trPr>
          <w:trHeight w:val="200"/>
        </w:trPr>
        <w:tc>
          <w:tcPr>
            <w:tcW w:w="4480" w:type="dxa"/>
            <w:vAlign w:val="bottom"/>
          </w:tcPr>
          <w:p>
            <w:pPr>
              <w:spacing w:after="0"/>
              <w:rPr>
                <w:sz w:val="20"/>
                <w:szCs w:val="20"/>
                <w:color w:val="auto"/>
              </w:rPr>
            </w:pPr>
            <w:r>
              <w:rPr>
                <w:rFonts w:ascii="Courier New" w:cs="Courier New" w:eastAsia="Courier New" w:hAnsi="Courier New"/>
                <w:sz w:val="17"/>
                <w:szCs w:val="17"/>
                <w:color w:val="auto"/>
              </w:rPr>
              <w:t>Leonard S. Schleifer, M.D., Ph.D. ........</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48</w:t>
            </w:r>
          </w:p>
        </w:tc>
        <w:tc>
          <w:tcPr>
            <w:tcW w:w="5260" w:type="dxa"/>
            <w:vAlign w:val="bottom"/>
          </w:tcPr>
          <w:p>
            <w:pPr>
              <w:ind w:left="60"/>
              <w:spacing w:after="0"/>
              <w:rPr>
                <w:sz w:val="20"/>
                <w:szCs w:val="20"/>
                <w:color w:val="auto"/>
              </w:rPr>
            </w:pPr>
            <w:r>
              <w:rPr>
                <w:rFonts w:ascii="Courier New" w:cs="Courier New" w:eastAsia="Courier New" w:hAnsi="Courier New"/>
                <w:sz w:val="17"/>
                <w:szCs w:val="17"/>
                <w:color w:val="auto"/>
              </w:rPr>
              <w:t>Director (Class I), President, Chief Executive</w:t>
            </w:r>
          </w:p>
        </w:tc>
      </w:tr>
      <w:tr>
        <w:trPr>
          <w:trHeight w:val="200"/>
        </w:trPr>
        <w:tc>
          <w:tcPr>
            <w:tcW w:w="4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60" w:type="dxa"/>
            <w:vAlign w:val="bottom"/>
          </w:tcPr>
          <w:p>
            <w:pPr>
              <w:ind w:left="260"/>
              <w:spacing w:after="0"/>
              <w:rPr>
                <w:sz w:val="20"/>
                <w:szCs w:val="20"/>
                <w:color w:val="auto"/>
              </w:rPr>
            </w:pPr>
            <w:r>
              <w:rPr>
                <w:rFonts w:ascii="Courier New" w:cs="Courier New" w:eastAsia="Courier New" w:hAnsi="Courier New"/>
                <w:sz w:val="17"/>
                <w:szCs w:val="17"/>
                <w:color w:val="auto"/>
              </w:rPr>
              <w:t>Officer and Founder</w:t>
            </w:r>
          </w:p>
        </w:tc>
      </w:tr>
      <w:tr>
        <w:trPr>
          <w:trHeight w:val="200"/>
        </w:trPr>
        <w:tc>
          <w:tcPr>
            <w:tcW w:w="4480" w:type="dxa"/>
            <w:vAlign w:val="bottom"/>
          </w:tcPr>
          <w:p>
            <w:pPr>
              <w:spacing w:after="0"/>
              <w:rPr>
                <w:sz w:val="20"/>
                <w:szCs w:val="20"/>
                <w:color w:val="auto"/>
              </w:rPr>
            </w:pPr>
            <w:r>
              <w:rPr>
                <w:rFonts w:ascii="Courier New" w:cs="Courier New" w:eastAsia="Courier New" w:hAnsi="Courier New"/>
                <w:sz w:val="17"/>
                <w:szCs w:val="17"/>
                <w:color w:val="auto"/>
              </w:rPr>
              <w:t>George D. Yancopoulos, M.D., Ph.D. .......</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41</w:t>
            </w:r>
          </w:p>
        </w:tc>
        <w:tc>
          <w:tcPr>
            <w:tcW w:w="5260" w:type="dxa"/>
            <w:vAlign w:val="bottom"/>
          </w:tcPr>
          <w:p>
            <w:pPr>
              <w:ind w:left="60"/>
              <w:spacing w:after="0"/>
              <w:rPr>
                <w:sz w:val="20"/>
                <w:szCs w:val="20"/>
                <w:color w:val="auto"/>
              </w:rPr>
            </w:pPr>
            <w:r>
              <w:rPr>
                <w:rFonts w:ascii="Courier New" w:cs="Courier New" w:eastAsia="Courier New" w:hAnsi="Courier New"/>
                <w:sz w:val="17"/>
                <w:szCs w:val="17"/>
                <w:color w:val="auto"/>
              </w:rPr>
              <w:t>Executive Vice President and Chief Scientific</w:t>
            </w:r>
          </w:p>
        </w:tc>
      </w:tr>
      <w:tr>
        <w:trPr>
          <w:trHeight w:val="200"/>
        </w:trPr>
        <w:tc>
          <w:tcPr>
            <w:tcW w:w="4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60" w:type="dxa"/>
            <w:vAlign w:val="bottom"/>
          </w:tcPr>
          <w:p>
            <w:pPr>
              <w:ind w:left="260"/>
              <w:spacing w:after="0"/>
              <w:rPr>
                <w:sz w:val="20"/>
                <w:szCs w:val="20"/>
                <w:color w:val="auto"/>
              </w:rPr>
            </w:pPr>
            <w:r>
              <w:rPr>
                <w:rFonts w:ascii="Courier New" w:cs="Courier New" w:eastAsia="Courier New" w:hAnsi="Courier New"/>
                <w:sz w:val="17"/>
                <w:szCs w:val="17"/>
                <w:color w:val="auto"/>
              </w:rPr>
              <w:t>Officer and President, Regeneron Research</w:t>
            </w:r>
          </w:p>
        </w:tc>
      </w:tr>
      <w:tr>
        <w:trPr>
          <w:trHeight w:val="200"/>
        </w:trPr>
        <w:tc>
          <w:tcPr>
            <w:tcW w:w="4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60" w:type="dxa"/>
            <w:vAlign w:val="bottom"/>
          </w:tcPr>
          <w:p>
            <w:pPr>
              <w:ind w:left="260"/>
              <w:spacing w:after="0"/>
              <w:rPr>
                <w:sz w:val="20"/>
                <w:szCs w:val="20"/>
                <w:color w:val="auto"/>
              </w:rPr>
            </w:pPr>
            <w:r>
              <w:rPr>
                <w:rFonts w:ascii="Courier New" w:cs="Courier New" w:eastAsia="Courier New" w:hAnsi="Courier New"/>
                <w:sz w:val="17"/>
                <w:szCs w:val="17"/>
                <w:color w:val="auto"/>
              </w:rPr>
              <w:t>Laboratories</w:t>
            </w:r>
          </w:p>
        </w:tc>
      </w:tr>
      <w:tr>
        <w:trPr>
          <w:trHeight w:val="200"/>
        </w:trPr>
        <w:tc>
          <w:tcPr>
            <w:tcW w:w="4480" w:type="dxa"/>
            <w:vAlign w:val="bottom"/>
          </w:tcPr>
          <w:p>
            <w:pPr>
              <w:spacing w:after="0"/>
              <w:rPr>
                <w:sz w:val="20"/>
                <w:szCs w:val="20"/>
                <w:color w:val="auto"/>
              </w:rPr>
            </w:pPr>
            <w:r>
              <w:rPr>
                <w:rFonts w:ascii="Courier New" w:cs="Courier New" w:eastAsia="Courier New" w:hAnsi="Courier New"/>
                <w:sz w:val="17"/>
                <w:szCs w:val="17"/>
                <w:color w:val="auto"/>
              </w:rPr>
              <w:t>Murray A. Goldberg........................</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56</w:t>
            </w:r>
          </w:p>
        </w:tc>
        <w:tc>
          <w:tcPr>
            <w:tcW w:w="5260" w:type="dxa"/>
            <w:vAlign w:val="bottom"/>
          </w:tcPr>
          <w:p>
            <w:pPr>
              <w:ind w:left="60"/>
              <w:spacing w:after="0"/>
              <w:rPr>
                <w:sz w:val="20"/>
                <w:szCs w:val="20"/>
                <w:color w:val="auto"/>
              </w:rPr>
            </w:pPr>
            <w:r>
              <w:rPr>
                <w:rFonts w:ascii="Courier New" w:cs="Courier New" w:eastAsia="Courier New" w:hAnsi="Courier New"/>
                <w:sz w:val="17"/>
                <w:szCs w:val="17"/>
                <w:color w:val="auto"/>
              </w:rPr>
              <w:t>Senior Vice President, Finance &amp; Administration,</w:t>
            </w:r>
          </w:p>
        </w:tc>
      </w:tr>
      <w:tr>
        <w:trPr>
          <w:trHeight w:val="200"/>
        </w:trPr>
        <w:tc>
          <w:tcPr>
            <w:tcW w:w="4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60" w:type="dxa"/>
            <w:vAlign w:val="bottom"/>
          </w:tcPr>
          <w:p>
            <w:pPr>
              <w:ind w:left="260"/>
              <w:spacing w:after="0"/>
              <w:rPr>
                <w:sz w:val="20"/>
                <w:szCs w:val="20"/>
                <w:color w:val="auto"/>
              </w:rPr>
            </w:pPr>
            <w:r>
              <w:rPr>
                <w:rFonts w:ascii="Courier New" w:cs="Courier New" w:eastAsia="Courier New" w:hAnsi="Courier New"/>
                <w:sz w:val="17"/>
                <w:szCs w:val="17"/>
                <w:color w:val="auto"/>
              </w:rPr>
              <w:t>Chief Financial Officer, Treasurer, and</w:t>
            </w:r>
          </w:p>
        </w:tc>
      </w:tr>
      <w:tr>
        <w:trPr>
          <w:trHeight w:val="200"/>
        </w:trPr>
        <w:tc>
          <w:tcPr>
            <w:tcW w:w="4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60" w:type="dxa"/>
            <w:vAlign w:val="bottom"/>
          </w:tcPr>
          <w:p>
            <w:pPr>
              <w:ind w:left="260"/>
              <w:spacing w:after="0"/>
              <w:rPr>
                <w:sz w:val="20"/>
                <w:szCs w:val="20"/>
                <w:color w:val="auto"/>
              </w:rPr>
            </w:pPr>
            <w:r>
              <w:rPr>
                <w:rFonts w:ascii="Courier New" w:cs="Courier New" w:eastAsia="Courier New" w:hAnsi="Courier New"/>
                <w:sz w:val="17"/>
                <w:szCs w:val="17"/>
                <w:color w:val="auto"/>
              </w:rPr>
              <w:t>Assistant Secretary</w:t>
            </w:r>
          </w:p>
        </w:tc>
      </w:tr>
      <w:tr>
        <w:trPr>
          <w:trHeight w:val="200"/>
        </w:trPr>
        <w:tc>
          <w:tcPr>
            <w:tcW w:w="4480" w:type="dxa"/>
            <w:vAlign w:val="bottom"/>
          </w:tcPr>
          <w:p>
            <w:pPr>
              <w:spacing w:after="0"/>
              <w:rPr>
                <w:sz w:val="20"/>
                <w:szCs w:val="20"/>
                <w:color w:val="auto"/>
              </w:rPr>
            </w:pPr>
            <w:r>
              <w:rPr>
                <w:rFonts w:ascii="Courier New" w:cs="Courier New" w:eastAsia="Courier New" w:hAnsi="Courier New"/>
                <w:sz w:val="17"/>
                <w:szCs w:val="17"/>
                <w:color w:val="auto"/>
              </w:rPr>
              <w:t>Randall G. Rupp, Ph.D. ...................</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53</w:t>
            </w:r>
          </w:p>
        </w:tc>
        <w:tc>
          <w:tcPr>
            <w:tcW w:w="5260" w:type="dxa"/>
            <w:vAlign w:val="bottom"/>
          </w:tcPr>
          <w:p>
            <w:pPr>
              <w:ind w:left="60"/>
              <w:spacing w:after="0"/>
              <w:rPr>
                <w:sz w:val="20"/>
                <w:szCs w:val="20"/>
                <w:color w:val="auto"/>
              </w:rPr>
            </w:pPr>
            <w:r>
              <w:rPr>
                <w:rFonts w:ascii="Courier New" w:cs="Courier New" w:eastAsia="Courier New" w:hAnsi="Courier New"/>
                <w:sz w:val="17"/>
                <w:szCs w:val="17"/>
                <w:color w:val="auto"/>
              </w:rPr>
              <w:t>Senior Vice President, Manufacturing and Process</w:t>
            </w:r>
          </w:p>
        </w:tc>
      </w:tr>
      <w:tr>
        <w:trPr>
          <w:trHeight w:val="200"/>
        </w:trPr>
        <w:tc>
          <w:tcPr>
            <w:tcW w:w="4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60" w:type="dxa"/>
            <w:vAlign w:val="bottom"/>
          </w:tcPr>
          <w:p>
            <w:pPr>
              <w:ind w:left="260"/>
              <w:spacing w:after="0"/>
              <w:rPr>
                <w:sz w:val="20"/>
                <w:szCs w:val="20"/>
                <w:color w:val="auto"/>
              </w:rPr>
            </w:pPr>
            <w:r>
              <w:rPr>
                <w:rFonts w:ascii="Courier New" w:cs="Courier New" w:eastAsia="Courier New" w:hAnsi="Courier New"/>
                <w:sz w:val="17"/>
                <w:szCs w:val="17"/>
                <w:color w:val="auto"/>
              </w:rPr>
              <w:t>Sciences</w:t>
            </w:r>
          </w:p>
        </w:tc>
      </w:tr>
      <w:tr>
        <w:trPr>
          <w:trHeight w:val="200"/>
        </w:trPr>
        <w:tc>
          <w:tcPr>
            <w:tcW w:w="4480" w:type="dxa"/>
            <w:vAlign w:val="bottom"/>
          </w:tcPr>
          <w:p>
            <w:pPr>
              <w:spacing w:after="0"/>
              <w:rPr>
                <w:sz w:val="20"/>
                <w:szCs w:val="20"/>
                <w:color w:val="auto"/>
              </w:rPr>
            </w:pPr>
            <w:r>
              <w:rPr>
                <w:rFonts w:ascii="Courier New" w:cs="Courier New" w:eastAsia="Courier New" w:hAnsi="Courier New"/>
                <w:sz w:val="17"/>
                <w:szCs w:val="17"/>
                <w:color w:val="auto"/>
              </w:rPr>
              <w:t>Neil Stahl, Ph.D. ........................</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44</w:t>
            </w:r>
          </w:p>
        </w:tc>
        <w:tc>
          <w:tcPr>
            <w:tcW w:w="5260" w:type="dxa"/>
            <w:vAlign w:val="bottom"/>
          </w:tcPr>
          <w:p>
            <w:pPr>
              <w:ind w:left="60"/>
              <w:spacing w:after="0"/>
              <w:rPr>
                <w:sz w:val="20"/>
                <w:szCs w:val="20"/>
                <w:color w:val="auto"/>
              </w:rPr>
            </w:pPr>
            <w:r>
              <w:rPr>
                <w:rFonts w:ascii="Courier New" w:cs="Courier New" w:eastAsia="Courier New" w:hAnsi="Courier New"/>
                <w:sz w:val="17"/>
                <w:szCs w:val="17"/>
                <w:color w:val="auto"/>
              </w:rPr>
              <w:t>Senior Vice President, Preclinical Development and</w:t>
            </w:r>
          </w:p>
        </w:tc>
      </w:tr>
      <w:tr>
        <w:trPr>
          <w:trHeight w:val="200"/>
        </w:trPr>
        <w:tc>
          <w:tcPr>
            <w:tcW w:w="4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60" w:type="dxa"/>
            <w:vAlign w:val="bottom"/>
          </w:tcPr>
          <w:p>
            <w:pPr>
              <w:ind w:left="260"/>
              <w:spacing w:after="0"/>
              <w:rPr>
                <w:sz w:val="20"/>
                <w:szCs w:val="20"/>
                <w:color w:val="auto"/>
              </w:rPr>
            </w:pPr>
            <w:r>
              <w:rPr>
                <w:rFonts w:ascii="Courier New" w:cs="Courier New" w:eastAsia="Courier New" w:hAnsi="Courier New"/>
                <w:sz w:val="17"/>
                <w:szCs w:val="17"/>
                <w:color w:val="auto"/>
              </w:rPr>
              <w:t>Biomolecular Science</w:t>
            </w:r>
          </w:p>
        </w:tc>
      </w:tr>
      <w:tr>
        <w:trPr>
          <w:trHeight w:val="200"/>
        </w:trPr>
        <w:tc>
          <w:tcPr>
            <w:tcW w:w="4480" w:type="dxa"/>
            <w:vAlign w:val="bottom"/>
          </w:tcPr>
          <w:p>
            <w:pPr>
              <w:spacing w:after="0"/>
              <w:rPr>
                <w:sz w:val="20"/>
                <w:szCs w:val="20"/>
                <w:color w:val="auto"/>
              </w:rPr>
            </w:pPr>
            <w:r>
              <w:rPr>
                <w:rFonts w:ascii="Courier New" w:cs="Courier New" w:eastAsia="Courier New" w:hAnsi="Courier New"/>
                <w:sz w:val="17"/>
                <w:szCs w:val="17"/>
                <w:color w:val="auto"/>
              </w:rPr>
              <w:t>Charles A. Baker..........................</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68</w:t>
            </w:r>
          </w:p>
        </w:tc>
        <w:tc>
          <w:tcPr>
            <w:tcW w:w="5260" w:type="dxa"/>
            <w:vAlign w:val="bottom"/>
          </w:tcPr>
          <w:p>
            <w:pPr>
              <w:ind w:left="60"/>
              <w:spacing w:after="0"/>
              <w:rPr>
                <w:sz w:val="20"/>
                <w:szCs w:val="20"/>
                <w:color w:val="auto"/>
              </w:rPr>
            </w:pPr>
            <w:r>
              <w:rPr>
                <w:rFonts w:ascii="Courier New" w:cs="Courier New" w:eastAsia="Courier New" w:hAnsi="Courier New"/>
                <w:sz w:val="17"/>
                <w:szCs w:val="17"/>
                <w:color w:val="auto"/>
              </w:rPr>
              <w:t>Director (Class III)</w:t>
            </w:r>
          </w:p>
        </w:tc>
      </w:tr>
      <w:tr>
        <w:trPr>
          <w:trHeight w:val="200"/>
        </w:trPr>
        <w:tc>
          <w:tcPr>
            <w:tcW w:w="4480" w:type="dxa"/>
            <w:vAlign w:val="bottom"/>
          </w:tcPr>
          <w:p>
            <w:pPr>
              <w:spacing w:after="0"/>
              <w:rPr>
                <w:sz w:val="20"/>
                <w:szCs w:val="20"/>
                <w:color w:val="auto"/>
              </w:rPr>
            </w:pPr>
            <w:r>
              <w:rPr>
                <w:rFonts w:ascii="Courier New" w:cs="Courier New" w:eastAsia="Courier New" w:hAnsi="Courier New"/>
                <w:sz w:val="17"/>
                <w:szCs w:val="17"/>
                <w:color w:val="auto"/>
              </w:rPr>
              <w:t>Michael S. Brown, M.D. ...................</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59</w:t>
            </w:r>
          </w:p>
        </w:tc>
        <w:tc>
          <w:tcPr>
            <w:tcW w:w="5260" w:type="dxa"/>
            <w:vAlign w:val="bottom"/>
          </w:tcPr>
          <w:p>
            <w:pPr>
              <w:ind w:left="60"/>
              <w:spacing w:after="0"/>
              <w:rPr>
                <w:sz w:val="20"/>
                <w:szCs w:val="20"/>
                <w:color w:val="auto"/>
              </w:rPr>
            </w:pPr>
            <w:r>
              <w:rPr>
                <w:rFonts w:ascii="Courier New" w:cs="Courier New" w:eastAsia="Courier New" w:hAnsi="Courier New"/>
                <w:sz w:val="17"/>
                <w:szCs w:val="17"/>
                <w:color w:val="auto"/>
              </w:rPr>
              <w:t>Director (Class III) and Member of Scientific</w:t>
            </w:r>
          </w:p>
        </w:tc>
      </w:tr>
      <w:tr>
        <w:trPr>
          <w:trHeight w:val="200"/>
        </w:trPr>
        <w:tc>
          <w:tcPr>
            <w:tcW w:w="4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60" w:type="dxa"/>
            <w:vAlign w:val="bottom"/>
          </w:tcPr>
          <w:p>
            <w:pPr>
              <w:ind w:left="260"/>
              <w:spacing w:after="0"/>
              <w:rPr>
                <w:sz w:val="20"/>
                <w:szCs w:val="20"/>
                <w:color w:val="auto"/>
              </w:rPr>
            </w:pPr>
            <w:r>
              <w:rPr>
                <w:rFonts w:ascii="Courier New" w:cs="Courier New" w:eastAsia="Courier New" w:hAnsi="Courier New"/>
                <w:sz w:val="17"/>
                <w:szCs w:val="17"/>
                <w:color w:val="auto"/>
              </w:rPr>
              <w:t>Advisory Board</w:t>
            </w:r>
          </w:p>
        </w:tc>
      </w:tr>
      <w:tr>
        <w:trPr>
          <w:trHeight w:val="200"/>
        </w:trPr>
        <w:tc>
          <w:tcPr>
            <w:tcW w:w="4480" w:type="dxa"/>
            <w:vAlign w:val="bottom"/>
          </w:tcPr>
          <w:p>
            <w:pPr>
              <w:spacing w:after="0"/>
              <w:rPr>
                <w:sz w:val="20"/>
                <w:szCs w:val="20"/>
                <w:color w:val="auto"/>
              </w:rPr>
            </w:pPr>
            <w:r>
              <w:rPr>
                <w:rFonts w:ascii="Courier New" w:cs="Courier New" w:eastAsia="Courier New" w:hAnsi="Courier New"/>
                <w:sz w:val="17"/>
                <w:szCs w:val="17"/>
                <w:color w:val="auto"/>
              </w:rPr>
              <w:t>Alfred G. Gilman, M.D., Ph.D. ............</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59</w:t>
            </w:r>
          </w:p>
        </w:tc>
        <w:tc>
          <w:tcPr>
            <w:tcW w:w="5260" w:type="dxa"/>
            <w:vAlign w:val="bottom"/>
          </w:tcPr>
          <w:p>
            <w:pPr>
              <w:ind w:left="60"/>
              <w:spacing w:after="0"/>
              <w:rPr>
                <w:sz w:val="20"/>
                <w:szCs w:val="20"/>
                <w:color w:val="auto"/>
              </w:rPr>
            </w:pPr>
            <w:r>
              <w:rPr>
                <w:rFonts w:ascii="Courier New" w:cs="Courier New" w:eastAsia="Courier New" w:hAnsi="Courier New"/>
                <w:sz w:val="17"/>
                <w:szCs w:val="17"/>
                <w:color w:val="auto"/>
              </w:rPr>
              <w:t>Director (Class II), Member of Scientific Advisory</w:t>
            </w:r>
          </w:p>
        </w:tc>
      </w:tr>
      <w:tr>
        <w:trPr>
          <w:trHeight w:val="200"/>
        </w:trPr>
        <w:tc>
          <w:tcPr>
            <w:tcW w:w="4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60" w:type="dxa"/>
            <w:vAlign w:val="bottom"/>
          </w:tcPr>
          <w:p>
            <w:pPr>
              <w:ind w:left="260"/>
              <w:spacing w:after="0"/>
              <w:rPr>
                <w:sz w:val="20"/>
                <w:szCs w:val="20"/>
                <w:color w:val="auto"/>
              </w:rPr>
            </w:pPr>
            <w:r>
              <w:rPr>
                <w:rFonts w:ascii="Courier New" w:cs="Courier New" w:eastAsia="Courier New" w:hAnsi="Courier New"/>
                <w:sz w:val="17"/>
                <w:szCs w:val="17"/>
                <w:color w:val="auto"/>
              </w:rPr>
              <w:t>Board and Co-Founder</w:t>
            </w:r>
          </w:p>
        </w:tc>
      </w:tr>
      <w:tr>
        <w:trPr>
          <w:trHeight w:val="200"/>
        </w:trPr>
        <w:tc>
          <w:tcPr>
            <w:tcW w:w="4480" w:type="dxa"/>
            <w:vAlign w:val="bottom"/>
          </w:tcPr>
          <w:p>
            <w:pPr>
              <w:spacing w:after="0"/>
              <w:rPr>
                <w:sz w:val="20"/>
                <w:szCs w:val="20"/>
                <w:color w:val="auto"/>
              </w:rPr>
            </w:pPr>
            <w:r>
              <w:rPr>
                <w:rFonts w:ascii="Courier New" w:cs="Courier New" w:eastAsia="Courier New" w:hAnsi="Courier New"/>
                <w:sz w:val="17"/>
                <w:szCs w:val="17"/>
                <w:color w:val="auto"/>
              </w:rPr>
              <w:t>Joseph L. Goldstein, M.D. ................</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60</w:t>
            </w:r>
          </w:p>
        </w:tc>
        <w:tc>
          <w:tcPr>
            <w:tcW w:w="5260" w:type="dxa"/>
            <w:vAlign w:val="bottom"/>
          </w:tcPr>
          <w:p>
            <w:pPr>
              <w:ind w:left="60"/>
              <w:spacing w:after="0"/>
              <w:rPr>
                <w:sz w:val="20"/>
                <w:szCs w:val="20"/>
                <w:color w:val="auto"/>
              </w:rPr>
            </w:pPr>
            <w:r>
              <w:rPr>
                <w:rFonts w:ascii="Courier New" w:cs="Courier New" w:eastAsia="Courier New" w:hAnsi="Courier New"/>
                <w:sz w:val="17"/>
                <w:szCs w:val="17"/>
                <w:color w:val="auto"/>
              </w:rPr>
              <w:t>Director (Class II) and Member of Scientific</w:t>
            </w:r>
          </w:p>
        </w:tc>
      </w:tr>
      <w:tr>
        <w:trPr>
          <w:trHeight w:val="200"/>
        </w:trPr>
        <w:tc>
          <w:tcPr>
            <w:tcW w:w="4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60" w:type="dxa"/>
            <w:vAlign w:val="bottom"/>
          </w:tcPr>
          <w:p>
            <w:pPr>
              <w:ind w:left="260"/>
              <w:spacing w:after="0"/>
              <w:rPr>
                <w:sz w:val="20"/>
                <w:szCs w:val="20"/>
                <w:color w:val="auto"/>
              </w:rPr>
            </w:pPr>
            <w:r>
              <w:rPr>
                <w:rFonts w:ascii="Courier New" w:cs="Courier New" w:eastAsia="Courier New" w:hAnsi="Courier New"/>
                <w:sz w:val="17"/>
                <w:szCs w:val="17"/>
                <w:color w:val="auto"/>
              </w:rPr>
              <w:t>Advisory Board</w:t>
            </w:r>
          </w:p>
        </w:tc>
      </w:tr>
      <w:tr>
        <w:trPr>
          <w:trHeight w:val="200"/>
        </w:trPr>
        <w:tc>
          <w:tcPr>
            <w:tcW w:w="4480" w:type="dxa"/>
            <w:vAlign w:val="bottom"/>
          </w:tcPr>
          <w:p>
            <w:pPr>
              <w:spacing w:after="0"/>
              <w:rPr>
                <w:sz w:val="20"/>
                <w:szCs w:val="20"/>
                <w:color w:val="auto"/>
              </w:rPr>
            </w:pPr>
            <w:r>
              <w:rPr>
                <w:rFonts w:ascii="Courier New" w:cs="Courier New" w:eastAsia="Courier New" w:hAnsi="Courier New"/>
                <w:sz w:val="17"/>
                <w:szCs w:val="17"/>
                <w:color w:val="auto"/>
              </w:rPr>
              <w:t>Fred A. Middleton.........................</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51</w:t>
            </w:r>
          </w:p>
        </w:tc>
        <w:tc>
          <w:tcPr>
            <w:tcW w:w="5260" w:type="dxa"/>
            <w:vAlign w:val="bottom"/>
          </w:tcPr>
          <w:p>
            <w:pPr>
              <w:ind w:left="60"/>
              <w:spacing w:after="0"/>
              <w:rPr>
                <w:sz w:val="20"/>
                <w:szCs w:val="20"/>
                <w:color w:val="auto"/>
              </w:rPr>
            </w:pPr>
            <w:r>
              <w:rPr>
                <w:rFonts w:ascii="Courier New" w:cs="Courier New" w:eastAsia="Courier New" w:hAnsi="Courier New"/>
                <w:sz w:val="17"/>
                <w:szCs w:val="17"/>
                <w:color w:val="auto"/>
              </w:rPr>
              <w:t>Director (Class I)</w:t>
            </w:r>
          </w:p>
        </w:tc>
      </w:tr>
      <w:tr>
        <w:trPr>
          <w:trHeight w:val="200"/>
        </w:trPr>
        <w:tc>
          <w:tcPr>
            <w:tcW w:w="4480" w:type="dxa"/>
            <w:vAlign w:val="bottom"/>
          </w:tcPr>
          <w:p>
            <w:pPr>
              <w:spacing w:after="0"/>
              <w:rPr>
                <w:sz w:val="20"/>
                <w:szCs w:val="20"/>
                <w:color w:val="auto"/>
              </w:rPr>
            </w:pPr>
            <w:r>
              <w:rPr>
                <w:rFonts w:ascii="Courier New" w:cs="Courier New" w:eastAsia="Courier New" w:hAnsi="Courier New"/>
                <w:sz w:val="17"/>
                <w:szCs w:val="17"/>
                <w:color w:val="auto"/>
              </w:rPr>
              <w:t>Eric M. Shooter, Ph.D. ...................</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76</w:t>
            </w:r>
          </w:p>
        </w:tc>
        <w:tc>
          <w:tcPr>
            <w:tcW w:w="5260" w:type="dxa"/>
            <w:vAlign w:val="bottom"/>
          </w:tcPr>
          <w:p>
            <w:pPr>
              <w:ind w:left="60"/>
              <w:spacing w:after="0"/>
              <w:rPr>
                <w:sz w:val="20"/>
                <w:szCs w:val="20"/>
                <w:color w:val="auto"/>
              </w:rPr>
            </w:pPr>
            <w:r>
              <w:rPr>
                <w:rFonts w:ascii="Courier New" w:cs="Courier New" w:eastAsia="Courier New" w:hAnsi="Courier New"/>
                <w:sz w:val="17"/>
                <w:szCs w:val="17"/>
                <w:color w:val="auto"/>
              </w:rPr>
              <w:t>Director (Class I), Member of Scientific Advisory</w:t>
            </w:r>
          </w:p>
        </w:tc>
      </w:tr>
      <w:tr>
        <w:trPr>
          <w:trHeight w:val="200"/>
        </w:trPr>
        <w:tc>
          <w:tcPr>
            <w:tcW w:w="4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60" w:type="dxa"/>
            <w:vAlign w:val="bottom"/>
          </w:tcPr>
          <w:p>
            <w:pPr>
              <w:ind w:left="260"/>
              <w:spacing w:after="0"/>
              <w:rPr>
                <w:sz w:val="20"/>
                <w:szCs w:val="20"/>
                <w:color w:val="auto"/>
              </w:rPr>
            </w:pPr>
            <w:r>
              <w:rPr>
                <w:rFonts w:ascii="Courier New" w:cs="Courier New" w:eastAsia="Courier New" w:hAnsi="Courier New"/>
                <w:sz w:val="17"/>
                <w:szCs w:val="17"/>
                <w:color w:val="auto"/>
              </w:rPr>
              <w:t>Board and Co-Founder</w:t>
            </w:r>
          </w:p>
        </w:tc>
      </w:tr>
      <w:tr>
        <w:trPr>
          <w:trHeight w:val="200"/>
        </w:trPr>
        <w:tc>
          <w:tcPr>
            <w:tcW w:w="4480" w:type="dxa"/>
            <w:vAlign w:val="bottom"/>
          </w:tcPr>
          <w:p>
            <w:pPr>
              <w:spacing w:after="0"/>
              <w:rPr>
                <w:sz w:val="20"/>
                <w:szCs w:val="20"/>
                <w:color w:val="auto"/>
              </w:rPr>
            </w:pPr>
            <w:r>
              <w:rPr>
                <w:rFonts w:ascii="Courier New" w:cs="Courier New" w:eastAsia="Courier New" w:hAnsi="Courier New"/>
                <w:sz w:val="17"/>
                <w:szCs w:val="17"/>
                <w:color w:val="auto"/>
              </w:rPr>
              <w:t>George L. Sing............................</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51</w:t>
            </w:r>
          </w:p>
        </w:tc>
        <w:tc>
          <w:tcPr>
            <w:tcW w:w="5260" w:type="dxa"/>
            <w:vAlign w:val="bottom"/>
          </w:tcPr>
          <w:p>
            <w:pPr>
              <w:ind w:left="60"/>
              <w:spacing w:after="0"/>
              <w:rPr>
                <w:sz w:val="20"/>
                <w:szCs w:val="20"/>
                <w:color w:val="auto"/>
              </w:rPr>
            </w:pPr>
            <w:r>
              <w:rPr>
                <w:rFonts w:ascii="Courier New" w:cs="Courier New" w:eastAsia="Courier New" w:hAnsi="Courier New"/>
                <w:sz w:val="17"/>
                <w:szCs w:val="17"/>
                <w:color w:val="auto"/>
              </w:rPr>
              <w:t>Director (Class III)</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180" w:firstLine="519"/>
        <w:spacing w:after="0" w:line="249" w:lineRule="auto"/>
        <w:rPr>
          <w:sz w:val="20"/>
          <w:szCs w:val="20"/>
          <w:color w:val="auto"/>
        </w:rPr>
      </w:pPr>
      <w:r>
        <w:rPr>
          <w:rFonts w:ascii="Courier New" w:cs="Courier New" w:eastAsia="Courier New" w:hAnsi="Courier New"/>
          <w:sz w:val="17"/>
          <w:szCs w:val="17"/>
          <w:color w:val="auto"/>
        </w:rPr>
        <w:t>The Board of Directors is divided into three classes, denominated Class I, Class II and Class III, with members of each class holding office for staggered three-year terms. Our Class I Directors will stand for election in 2001. Our Scientific Advisory Board consists of individuals with recognized expertise in neurobiology, clinical neurology, molecular biology and related fields who advise us about present and long-term scientific planning, research and development.</w:t>
      </w:r>
    </w:p>
    <w:p>
      <w:pPr>
        <w:spacing w:after="0" w:line="200" w:lineRule="exact"/>
        <w:rPr>
          <w:sz w:val="20"/>
          <w:szCs w:val="20"/>
          <w:color w:val="auto"/>
        </w:rPr>
      </w:pPr>
    </w:p>
    <w:p>
      <w:pPr>
        <w:ind w:right="2080" w:firstLine="519"/>
        <w:spacing w:after="0" w:line="249" w:lineRule="auto"/>
        <w:rPr>
          <w:sz w:val="20"/>
          <w:szCs w:val="20"/>
          <w:color w:val="auto"/>
        </w:rPr>
      </w:pPr>
      <w:r>
        <w:rPr>
          <w:rFonts w:ascii="Courier New" w:cs="Courier New" w:eastAsia="Courier New" w:hAnsi="Courier New"/>
          <w:sz w:val="17"/>
          <w:szCs w:val="17"/>
          <w:color w:val="auto"/>
        </w:rPr>
        <w:t>P. ROY VAGELOS, M.D., 71, has been chairman of the board of our company and a member of the Scientific Advisory Board since January 1995. He became a part-time employee of Regeneron in January 1999. Prior to joining Regeneron, Dr. Vagelos was Chairman of the Board and Chief Executive Officer of Merck &amp; Co., Inc. He joined Merck in 1975, became a director in 1984, President and Chief Executive Officer in 1985 and Chairman in 1986. Dr. Vagelos retired from all positions with Merck in 1994. Dr. Vagelos is the President and Chief Executive Officer and a Trustee of the American School of Classical Studies at Athens. He is also currently a member of the Board of Directors of The Prudential Insurance Company.</w:t>
      </w:r>
    </w:p>
    <w:p>
      <w:pPr>
        <w:spacing w:after="0" w:line="200" w:lineRule="exact"/>
        <w:rPr>
          <w:sz w:val="20"/>
          <w:szCs w:val="20"/>
          <w:color w:val="auto"/>
        </w:rPr>
      </w:pPr>
    </w:p>
    <w:p>
      <w:pPr>
        <w:ind w:right="2080" w:firstLine="519"/>
        <w:spacing w:after="0" w:line="249" w:lineRule="auto"/>
        <w:rPr>
          <w:sz w:val="20"/>
          <w:szCs w:val="20"/>
          <w:color w:val="auto"/>
        </w:rPr>
      </w:pPr>
      <w:r>
        <w:rPr>
          <w:rFonts w:ascii="Courier New" w:cs="Courier New" w:eastAsia="Courier New" w:hAnsi="Courier New"/>
          <w:sz w:val="17"/>
          <w:szCs w:val="17"/>
          <w:color w:val="auto"/>
        </w:rPr>
        <w:t>LEONARD S. SCHLEIFER, M.D., Ph.D., 48, founded our company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received his M.D. and Ph.D. in Pharmacology from the University of Virginia. Dr. Schleifer is a licensed physician and is certified in Neurology by the American Board of Psychiatry and Neurology.</w:t>
      </w:r>
    </w:p>
    <w:p>
      <w:pPr>
        <w:sectPr>
          <w:pgSz w:w="11900" w:h="16838" w:orient="portrait"/>
          <w:cols w:equalWidth="0" w:num="1">
            <w:col w:w="10400"/>
          </w:cols>
          <w:pgMar w:left="240" w:top="315" w:right="1259" w:bottom="1440" w:gutter="0" w:footer="0" w:header="0"/>
        </w:sectPr>
      </w:pPr>
    </w:p>
    <w:p>
      <w:pPr>
        <w:spacing w:after="0" w:line="2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400"/>
          </w:cols>
          <w:pgMar w:left="240" w:top="315" w:right="1259" w:bottom="1440" w:gutter="0" w:footer="0" w:header="0"/>
          <w:type w:val="continuous"/>
        </w:sectPr>
      </w:pPr>
    </w:p>
    <w:bookmarkStart w:id="55" w:name="page56"/>
    <w:bookmarkEnd w:id="55"/>
    <w:p>
      <w:pPr>
        <w:ind w:left="320"/>
        <w:spacing w:after="0"/>
        <w:rPr>
          <w:sz w:val="20"/>
          <w:szCs w:val="20"/>
          <w:color w:val="auto"/>
        </w:rPr>
      </w:pPr>
      <w:r>
        <w:rPr>
          <w:rFonts w:ascii="Courier New" w:cs="Courier New" w:eastAsia="Courier New" w:hAnsi="Courier New"/>
          <w:sz w:val="17"/>
          <w:szCs w:val="17"/>
          <w:color w:val="auto"/>
        </w:rPr>
        <w:t>36</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GEORGE D. YANCOPOULOS, M.D., PH.D., 41, Executive Vice President and Chief Scientific Officer and President, Regeneron Research Laboratories, was until December 2000 our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In a 1997 survey by the Institute for Scientific Information, he was listed among the 11 most highly cited scientists and was the only non-academic scientist in that group.</w:t>
      </w:r>
    </w:p>
    <w:p>
      <w:pPr>
        <w:spacing w:after="0" w:line="4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MURRAY A. GOLDBERG, 56, Senior Vice President, Finance and Administration, Chief Financial Officer, Treasurer, and Assistant Secretary, was until December 2000 our Vice President, Finance and Administration, Chief Financial Officer and Treasurer, a position he held since March 1995, and Assistant Secretary, a position he held since January 2000. Prior to joining us,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w:t>
      </w:r>
    </w:p>
    <w:p>
      <w:pPr>
        <w:spacing w:after="0" w:line="4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RANDALL G. RUPP, PH.D., 53, Senior Vice President, Manufacturing and Process Sciences, was until December 2000 our Vice President, Manufacturing and Process Science, a position he held since January 1992. Dr. Rupp was our director of manufacturing from July 1991 until December 1992. He received his Ph.D. in Biomedical Sciences from the University of Texas, M.D. Anderson Hospital and Tumor Institution, Houston.</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NEIL STAHL, PH.D., 44, Senior Vice President, Preclinical Development and Biomolecular Science, was until December 2000 our Vice President, Preclinical Development and Biomolecular Sciences, a position he held since January 2000. He joined us in 1991. Before becoming Vice President, Biomolecular Sciences in July 1997, Dr. Stahl was Director, Cytokines and Signal Transduction. Dr. Stahl received his Ph.D. in Biochemistry from Brandeis University.</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CHARLES A. BAKER, 68, has been a director of our company since February of 1989. In September of 2000, Mr. Baker retired as Chairman, President, and Chief Executive Officer of The Liposome Company, Inc., a position he had held since December of 1989. During his career, Mr. Baker served in a senior management capacity in various pharmaceutical companies, including his tenures as Group Vice President, Squibb Corporation (now Bristol-Myers Squibb) and President, Squibb International. He also held various senior executive positions at Abbott Laboratories and Pfizer, Inc. Mr. Baker currently is a member of the Board of Directors of Progenics Pharmaceuticals, Inc. and a member of the Council of Visitors of the Marine Biological Laboratories at Woods Hole, Massachusetts (a not-for-profit organization). He is also a special limited partner in Sanderling Ventures, which is a shareholder of Regeneron.</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MICHAEL S. BROWN, M.D., 59, has been a director of our company since June</w:t>
      </w:r>
    </w:p>
    <w:p>
      <w:pPr>
        <w:spacing w:after="0" w:line="7" w:lineRule="exact"/>
        <w:rPr>
          <w:sz w:val="20"/>
          <w:szCs w:val="20"/>
          <w:color w:val="auto"/>
        </w:rPr>
      </w:pPr>
    </w:p>
    <w:p>
      <w:pPr>
        <w:jc w:val="both"/>
        <w:ind w:right="1899"/>
        <w:spacing w:after="0" w:line="248" w:lineRule="auto"/>
        <w:rPr>
          <w:sz w:val="20"/>
          <w:szCs w:val="20"/>
          <w:color w:val="auto"/>
        </w:rPr>
      </w:pPr>
      <w:r>
        <w:rPr>
          <w:rFonts w:ascii="Courier New" w:cs="Courier New" w:eastAsia="Courier New" w:hAnsi="Courier New"/>
          <w:sz w:val="17"/>
          <w:szCs w:val="17"/>
          <w:color w:val="auto"/>
        </w:rPr>
        <w:t>1991 and a member of our Scientific Advisory Board since January 1988. Dr. Brown is Professor of Medicine and Genetics and the Director of the Center for Genetic Diseases at The University of Texas Southwestern Medical Center at Dallas. He is a member of the National Academy of Sciences. He is a Director of Pfizer, Inc.</w:t>
      </w:r>
    </w:p>
    <w:p>
      <w:pPr>
        <w:spacing w:after="0" w:line="3"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His scientific contributions in cholesterol and lipid metabolism were made in collaboration with Dr. Joseph L. Goldstein. Dr. Brown and Dr. Goldstein jointly received the Nobel Prize for Physiology or Medicine in 1985.</w:t>
      </w:r>
    </w:p>
    <w:p>
      <w:pPr>
        <w:spacing w:after="0" w:line="1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ALFRED G. GILMAN, M.D., PH.D., 59, a co-founder of our company, has been a director of our company since July 1990 and a member of our Scientific Advisory Board since 1988. Dr. Gilman has been the Raymond and Ellen Willie Professor of Molecular Neuropharmacology and Chairman of the Department of Pharmacology at The University of Texas Southwestern Medical Center at Dallas since 1981 and was named a Regental Professor in 1995. Dr. Gilman is a member of the National Academy of Sciences. He is the Consulting Editor of "Goodman and Gilman's The Pharmacological Basis of Therapeutics," the leading medical pharmacology textbook. Dr. Gilman received the Nobel Prize for</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315" w:right="1440" w:bottom="1440" w:gutter="0" w:footer="0" w:header="0"/>
          <w:type w:val="continuous"/>
        </w:sectPr>
      </w:pPr>
    </w:p>
    <w:bookmarkStart w:id="56" w:name="page57"/>
    <w:bookmarkEnd w:id="56"/>
    <w:p>
      <w:pPr>
        <w:ind w:left="320"/>
        <w:spacing w:after="0"/>
        <w:rPr>
          <w:sz w:val="20"/>
          <w:szCs w:val="20"/>
          <w:color w:val="auto"/>
        </w:rPr>
      </w:pPr>
      <w:r>
        <w:rPr>
          <w:rFonts w:ascii="Courier New" w:cs="Courier New" w:eastAsia="Courier New" w:hAnsi="Courier New"/>
          <w:sz w:val="17"/>
          <w:szCs w:val="17"/>
          <w:color w:val="auto"/>
        </w:rPr>
        <w:t>37</w:t>
      </w:r>
    </w:p>
    <w:p>
      <w:pPr>
        <w:spacing w:after="0" w:line="207" w:lineRule="exact"/>
        <w:rPr>
          <w:sz w:val="20"/>
          <w:szCs w:val="20"/>
          <w:color w:val="auto"/>
        </w:rPr>
      </w:pPr>
    </w:p>
    <w:p>
      <w:pPr>
        <w:ind w:right="1899"/>
        <w:spacing w:after="0" w:line="251" w:lineRule="auto"/>
        <w:rPr>
          <w:sz w:val="20"/>
          <w:szCs w:val="20"/>
          <w:color w:val="auto"/>
        </w:rPr>
      </w:pPr>
      <w:r>
        <w:rPr>
          <w:rFonts w:ascii="Courier New" w:cs="Courier New" w:eastAsia="Courier New" w:hAnsi="Courier New"/>
          <w:sz w:val="17"/>
          <w:szCs w:val="17"/>
          <w:color w:val="auto"/>
        </w:rPr>
        <w:t>Physiology or Medicine in 1994. Dr. Gilman is a member of the Board of Directors of Eli Lilly &amp; Company.</w:t>
      </w:r>
    </w:p>
    <w:p>
      <w:pPr>
        <w:spacing w:after="0" w:line="1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JOSEPH L. GOLDSTEIN, M.D., 60, has been a director of our company since June 1991 and a member of our Scientific Advisory Board since January 1988. Dr. Goldstein has been the Professor of Medicine and Genetics and Chairman of the Department of Molecular Genetics at The University of Texas Southwestern Medical Center at Dallas for more than five years. Dr. Goldstein is a member of the National Academy of Sciences. Dr. Goldstein and Dr. Brown jointly received the Nobel Prize for Physiology or Medicine in 1985.</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FRED A. MIDDLETON, 51, has been a director of our company since July 1990. Mr. Middleton is a General Partner of Sanderling Ventures, a venture capital firm he co-founded with Dr. Robert McNeil in December 1987 specializing in early stage biomedical companies. Sanderling Ventures is a shareholder of the Company. Between 1984 and 1987, he was Managing General Partner of Morgan Stanley Ventures and, from 1978 through 1984, was Vice President and Chief Financial Officer of Genentech, Inc. and President, Genentech Development Corporation.</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ERIC M. SHOOTER, PH.D., 76, a co-founder of our company, has been a director of our company and member of the Scientific Advisory Board since 1988. Dr. Shooter has been a professor at Stanford University School of Medicine since 1968. He was the founding Chairman of the Department of Neurobiology at Stanford University School of Medicine in 1975 and served as its Chairman until 1987. He is a Fellow of the Royal Society of England and a member of the National Academy of Sciences.</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GEORGE L. SING, 51, has been a director of our company since January 1988. Since 1998, he has been a Managing Director of Caduceus Capital Partners, a venture capital investment firm in the health care field. From 1993 to 1998 Mr. Sing was a general partner of Zitan Capital Partners, an investment and advisory firm. From February 1990 until February 14, 1991, Mr. Sing served as a consultant to Merrill Lynch Venture Capital Inc. From 1982 to February 1990, Mr. Sing was a Vice President and member of the Board of Directors of Merrill Lynch Venture Capital Inc., a venture capital firm.</w:t>
      </w:r>
    </w:p>
    <w:p>
      <w:pPr>
        <w:spacing w:after="0" w:line="20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INVESTMENT COMPANY ACT CONSIDERATIONS</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Investment Company Act of 1940, as amended, requires the registration of, and imposes various substantive restrictions on, certain companies that engage primarily, or propose to engage primarily, in the business of investing, reinvesting or trading in securities, or fail certain statistical tests regarding the composition of assets and sources of income and are not primarily engaged in businesses other than investing, holding, owning, or trading securities. We presently satisfy these statistical tests and intend to remain primarily engaged in businesses other than investing, reinvesting, owning, holding, or trading securities. In addition, we are relying on an SEC position that biotechnology companies such as our company are not investment companies required to register under the 1940 Act. We will seek temporarily to invest the proceeds of this offering, pending their use as described under the caption "Use of Proceeds." We expect to continue to be able to avoid registration requirements of the 1940 Act. If we were required to register as an investment company under the 1940 Act, we would become subject to substantial regulations with respect to our capital structure, management, operations, transactions with affiliates described in the 1940 Act and other matters. Application of the provisions of this Act would have a material adverse effect on our business.</w:t>
      </w:r>
    </w:p>
    <w:p>
      <w:pPr>
        <w:spacing w:after="0" w:line="2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315"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7"/>
          <w:szCs w:val="17"/>
          <w:color w:val="auto"/>
        </w:rPr>
        <w:t>38</w:t>
      </w:r>
    </w:p>
    <w:p>
      <w:pPr>
        <w:spacing w:after="0" w:line="20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DESCRIPTION OF CAPITAL STOCK</w:t>
      </w:r>
    </w:p>
    <w:p>
      <w:pPr>
        <w:spacing w:after="0" w:line="200" w:lineRule="exact"/>
        <w:rPr>
          <w:sz w:val="20"/>
          <w:szCs w:val="20"/>
          <w:color w:val="auto"/>
        </w:rPr>
      </w:pP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Our authorized capital stock consists of 60,000,000 shares of common stock, par value $.001 per share, 40,000,000 shares of Class A stock, par value $.001 per share, and 30,000,000 shares of preferred stock, par value $.01 per share. As of February 23, 2001, 34,259,851 shares of our common stock were outstanding and held by 608 shareholders of record and 2,575,165 shares of our Class A stock were outstanding and held by 65 shareholders of record. The following is a summary description of our capital stock. For more information, see our Restated Certificate of Incorporation, a copy of which is incorporated by reference as an exhibit to the registration statement of which this prospectus forms a part.</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AND CLASS A STOCK</w:t>
      </w:r>
    </w:p>
    <w:p>
      <w:pPr>
        <w:spacing w:after="0" w:line="207" w:lineRule="exact"/>
        <w:rPr>
          <w:sz w:val="20"/>
          <w:szCs w:val="20"/>
          <w:color w:val="auto"/>
        </w:rPr>
      </w:pPr>
    </w:p>
    <w:p>
      <w:pPr>
        <w:ind w:right="1999" w:firstLine="519"/>
        <w:spacing w:after="0" w:line="250" w:lineRule="auto"/>
        <w:rPr>
          <w:sz w:val="20"/>
          <w:szCs w:val="20"/>
          <w:color w:val="auto"/>
        </w:rPr>
      </w:pPr>
      <w:r>
        <w:rPr>
          <w:rFonts w:ascii="Courier New" w:cs="Courier New" w:eastAsia="Courier New" w:hAnsi="Courier New"/>
          <w:sz w:val="17"/>
          <w:szCs w:val="17"/>
          <w:color w:val="auto"/>
        </w:rPr>
        <w:t>General. The rights of holders of common stock and holders of Class A stock are identical except for voting and conversion rights and restrictions on transferability.</w:t>
      </w:r>
    </w:p>
    <w:p>
      <w:pPr>
        <w:spacing w:after="0" w:line="1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Voting Rights. The holders of Class A stock are entitled to ten votes per share and the holders of common stock are entitled to one vote per share. Except as otherwise required by law or as described below, holders of Class A stock will vote together as a single class on all matters presented to the shareholders for their vote or approval, including the election of directors. Shareholders are not entitled to vote cumulatively for the election of directors and no class of outstanding common stock acting alone is entitled to elect any directors.</w:t>
      </w:r>
    </w:p>
    <w:p>
      <w:pPr>
        <w:spacing w:after="0" w:line="400" w:lineRule="exact"/>
        <w:rPr>
          <w:sz w:val="20"/>
          <w:szCs w:val="20"/>
          <w:color w:val="auto"/>
        </w:rPr>
      </w:pPr>
    </w:p>
    <w:p>
      <w:pPr>
        <w:ind w:right="1999" w:firstLine="519"/>
        <w:spacing w:after="0" w:line="251" w:lineRule="auto"/>
        <w:rPr>
          <w:sz w:val="20"/>
          <w:szCs w:val="20"/>
          <w:color w:val="auto"/>
        </w:rPr>
      </w:pPr>
      <w:r>
        <w:rPr>
          <w:rFonts w:ascii="Courier New" w:cs="Courier New" w:eastAsia="Courier New" w:hAnsi="Courier New"/>
          <w:sz w:val="17"/>
          <w:szCs w:val="17"/>
          <w:color w:val="auto"/>
        </w:rPr>
        <w:t>Transfer Restrictions. Class A stock is subject to certain limitations on transfer that do not apply to the common stock.</w:t>
      </w:r>
    </w:p>
    <w:p>
      <w:pPr>
        <w:spacing w:after="0" w:line="1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Dividends and Liquidation. Holders of Class A stock and holders of our common stock have an equal right to 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400" w:lineRule="exact"/>
        <w:rPr>
          <w:sz w:val="20"/>
          <w:szCs w:val="20"/>
          <w:color w:val="auto"/>
        </w:rPr>
      </w:pPr>
    </w:p>
    <w:p>
      <w:pPr>
        <w:ind w:right="2099" w:firstLine="519"/>
        <w:spacing w:after="0" w:line="249" w:lineRule="auto"/>
        <w:rPr>
          <w:sz w:val="20"/>
          <w:szCs w:val="20"/>
          <w:color w:val="auto"/>
        </w:rPr>
      </w:pPr>
      <w:r>
        <w:rPr>
          <w:rFonts w:ascii="Courier New" w:cs="Courier New" w:eastAsia="Courier New" w:hAnsi="Courier New"/>
          <w:sz w:val="17"/>
          <w:szCs w:val="17"/>
          <w:color w:val="auto"/>
        </w:rPr>
        <w:t>Optional Conversion Rights. Each share of Class A stock may, at any time and at the option of the holder, be converted into one fully paid and nonassessable share of common stock. Upon conversion, such shares of common stock would not be subject to restrictions on transfer that applied to the shares of Class A stock prior to conversion except to the extent such restrictions are imposed under applicable securities laws.</w:t>
      </w:r>
    </w:p>
    <w:p>
      <w:pPr>
        <w:spacing w:after="0" w:line="200" w:lineRule="exact"/>
        <w:rPr>
          <w:sz w:val="20"/>
          <w:szCs w:val="20"/>
          <w:color w:val="auto"/>
        </w:rPr>
      </w:pPr>
    </w:p>
    <w:p>
      <w:pPr>
        <w:ind w:right="2319" w:firstLine="519"/>
        <w:spacing w:after="0" w:line="251" w:lineRule="auto"/>
        <w:rPr>
          <w:sz w:val="20"/>
          <w:szCs w:val="20"/>
          <w:color w:val="auto"/>
        </w:rPr>
      </w:pPr>
      <w:r>
        <w:rPr>
          <w:rFonts w:ascii="Courier New" w:cs="Courier New" w:eastAsia="Courier New" w:hAnsi="Courier New"/>
          <w:sz w:val="17"/>
          <w:szCs w:val="17"/>
          <w:color w:val="auto"/>
        </w:rPr>
        <w:t>The shares of common stock are not convertible into or exchangeable for shares of Class A stock or any other of our shares or securities.</w:t>
      </w:r>
    </w:p>
    <w:p>
      <w:pPr>
        <w:spacing w:after="0" w:line="197" w:lineRule="exact"/>
        <w:rPr>
          <w:sz w:val="20"/>
          <w:szCs w:val="20"/>
          <w:color w:val="auto"/>
        </w:rPr>
      </w:pPr>
    </w:p>
    <w:p>
      <w:pPr>
        <w:ind w:right="2099" w:firstLine="519"/>
        <w:spacing w:after="0" w:line="249" w:lineRule="auto"/>
        <w:rPr>
          <w:sz w:val="20"/>
          <w:szCs w:val="20"/>
          <w:color w:val="auto"/>
        </w:rPr>
      </w:pPr>
      <w:r>
        <w:rPr>
          <w:rFonts w:ascii="Courier New" w:cs="Courier New" w:eastAsia="Courier New" w:hAnsi="Courier New"/>
          <w:sz w:val="17"/>
          <w:szCs w:val="17"/>
          <w:color w:val="auto"/>
        </w:rPr>
        <w:t>Other Provisions. Holders of Class A stock and common stock have no preemptive rights to subscribe to any additional securities of any class which we may issue and there are no redemption provisions or sinking fund provisions applicable to either such class, nor is the Class A stock or the common stock subject to calls or assessments.</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Nasdaq National Market Listing. Our common stock is quoted on the Nasdaq National Market. The current rules of the National Association of Securities Dealers, Inc. (the "NASD") effectively preclude the trading or quotation through the Nasdaq National Market of any securities of an issuer which has issued securities or taken other corporate action that would have the effect of nullifying, restricting, or disparately reducing the per share voting of an outstanding class or classes of equity securities registered under section 12 of the Exchange Act. Certain national securities exchanges have adopted similar rules or policies. We do not intend to issue any additional shares of any stock that would make it ineligible for</w:t>
      </w:r>
    </w:p>
    <w:p>
      <w:pPr>
        <w:sectPr>
          <w:pgSz w:w="11900" w:h="16838" w:orient="portrait"/>
          <w:cols w:equalWidth="0" w:num="1">
            <w:col w:w="10219"/>
          </w:cols>
          <w:pgMar w:left="240" w:top="315" w:right="1440" w:bottom="781" w:gutter="0" w:footer="0" w:header="0"/>
        </w:sectPr>
      </w:pPr>
    </w:p>
    <w:p>
      <w:pPr>
        <w:spacing w:after="0" w:line="2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315" w:right="1440" w:bottom="781" w:gutter="0" w:footer="0" w:header="0"/>
          <w:type w:val="continuous"/>
        </w:sectPr>
      </w:pPr>
    </w:p>
    <w:bookmarkStart w:id="58" w:name="page59"/>
    <w:bookmarkEnd w:id="58"/>
    <w:p>
      <w:pPr>
        <w:ind w:left="320"/>
        <w:spacing w:after="0"/>
        <w:rPr>
          <w:sz w:val="20"/>
          <w:szCs w:val="20"/>
          <w:color w:val="auto"/>
        </w:rPr>
      </w:pPr>
      <w:r>
        <w:rPr>
          <w:rFonts w:ascii="Courier New" w:cs="Courier New" w:eastAsia="Courier New" w:hAnsi="Courier New"/>
          <w:sz w:val="17"/>
          <w:szCs w:val="17"/>
          <w:color w:val="auto"/>
        </w:rPr>
        <w:t>39</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inclusion on the Nasdaq National Market or any national securities exchange. However, if we issue additional stock that causes us to become ineligible for continued inclusion on the Nasdaq National Market, then the ineligibility would be likely to materially reduce the liquidity of an investment in our common stock and would likely depress its market value below that which would otherwise prevail.</w:t>
      </w:r>
    </w:p>
    <w:p>
      <w:pPr>
        <w:spacing w:after="0" w:line="200" w:lineRule="exact"/>
        <w:rPr>
          <w:sz w:val="20"/>
          <w:szCs w:val="20"/>
          <w:color w:val="auto"/>
        </w:rPr>
      </w:pPr>
    </w:p>
    <w:p>
      <w:pPr>
        <w:ind w:right="2319" w:firstLine="519"/>
        <w:spacing w:after="0" w:line="251" w:lineRule="auto"/>
        <w:rPr>
          <w:sz w:val="20"/>
          <w:szCs w:val="20"/>
          <w:color w:val="auto"/>
        </w:rPr>
      </w:pPr>
      <w:r>
        <w:rPr>
          <w:rFonts w:ascii="Courier New" w:cs="Courier New" w:eastAsia="Courier New" w:hAnsi="Courier New"/>
          <w:sz w:val="17"/>
          <w:szCs w:val="17"/>
          <w:color w:val="auto"/>
        </w:rPr>
        <w:t>Transfer Agent and Registrar. The Transfer Agent and Registrar for the common stock is American Stock Transfer &amp; Trust Company.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STOCK</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Our Restated Certificate of Incorporation allows us to issue up to 30,000,000 shares of preferred stock in one or more series and as may be determined by our Board of Directors who may establish from time to time the number of shares to be included in each such series, to fix the designation, powers, preference and rights of the shares of each such series and any qualifications, limitations, or restrictions thereof and to increase or decrease the number of shares of any such series without any further vote or action by the shareholders. Our Board of Directors may authorize, without shareholder approval, the issuance of preferred stock with 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REGISTRATION RIGHTS OF CERTAIN HOLDERS</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Certain of our shareholders have registration rights. Under the agreements between us and the holders of registration rights, certain holders may under certain circumstances request that we file a registration statement under the Securities Act and, upon such request and subject to certain minimum size conditions, we will generally be required to use our best efforts to effect any such registration. We are not generally required to effect more than two such registrations. However, we are required under certain circumstances to effect an unlimited number of Form S-3 or similar short form registrations for such holders. We are generally obligated to bear the expenses, other than underwriting discounts and sales commissions, of all of these registrations.</w:t>
      </w:r>
    </w:p>
    <w:p>
      <w:pPr>
        <w:spacing w:after="0" w:line="4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 addition, if we propose to register any of our securities, either for our own account or for the account of other shareholders, with certain exceptions, we are required to notify the holders noted above and to include in such registration all of the shares of our common stock requested to be included by such holders.</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RIGHTS PLAN</w:t>
      </w:r>
    </w:p>
    <w:p>
      <w:pPr>
        <w:spacing w:after="0" w:line="200" w:lineRule="exact"/>
        <w:rPr>
          <w:sz w:val="20"/>
          <w:szCs w:val="20"/>
          <w:color w:val="auto"/>
        </w:rPr>
      </w:pPr>
    </w:p>
    <w:p>
      <w:pPr>
        <w:spacing w:after="0" w:line="20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In September 1996, we adopted a Shareholder Rights Plan. Our rights agreement provides that each of our common shares will have one right to purchase a unit consisting of one-thousandth of a preferred share at a purchase price of $120 per unit.</w:t>
      </w:r>
    </w:p>
    <w:p>
      <w:pPr>
        <w:spacing w:after="0" w:line="4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Initially, the rights under our rights agreement are attached to outstanding certificates representing our common shares and no separate certificates representing the rights will be distributed. The rights will separate from our common shares and be represented by separate certificates approximately 10 days after someone acquires or commences a tender offer for 20% of our outstanding common shares.</w:t>
      </w:r>
    </w:p>
    <w:p>
      <w:pPr>
        <w:spacing w:after="0" w:line="200" w:lineRule="exact"/>
        <w:rPr>
          <w:sz w:val="20"/>
          <w:szCs w:val="20"/>
          <w:color w:val="auto"/>
        </w:rPr>
      </w:pPr>
    </w:p>
    <w:p>
      <w:pPr>
        <w:ind w:right="1899" w:firstLine="519"/>
        <w:spacing w:after="0" w:line="250" w:lineRule="auto"/>
        <w:rPr>
          <w:sz w:val="20"/>
          <w:szCs w:val="20"/>
          <w:color w:val="auto"/>
        </w:rPr>
      </w:pPr>
      <w:r>
        <w:rPr>
          <w:rFonts w:ascii="Courier New" w:cs="Courier New" w:eastAsia="Courier New" w:hAnsi="Courier New"/>
          <w:sz w:val="17"/>
          <w:szCs w:val="17"/>
          <w:color w:val="auto"/>
        </w:rPr>
        <w:t>After the rights separate from our common shares, certificates representing the rights will be mailed to record holders of our common stock. Once distributed, the rights certificates alone will represent the rights.</w:t>
      </w:r>
    </w:p>
    <w:p>
      <w:pPr>
        <w:spacing w:after="0" w:line="3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All of our common shares issued prior to the date the rights separate from the common shares will be issued with the rights attached. The rights are not exercisable until the date the rights separate from the common shares. We may redeem the rights by action of the Board of Directors, at which time the rights will terminate and the holder of the rights will have only the right to receive $0.01 per right. The rights will expire automatically on October 18, 2006 unless earlier redeemed or exchanged by us.</w:t>
      </w:r>
    </w:p>
    <w:p>
      <w:pPr>
        <w:sectPr>
          <w:pgSz w:w="11900" w:h="16838" w:orient="portrait"/>
          <w:cols w:equalWidth="0" w:num="1">
            <w:col w:w="10219"/>
          </w:cols>
          <w:pgMar w:left="240" w:top="315" w:right="1440" w:bottom="0" w:gutter="0" w:footer="0" w:header="0"/>
        </w:sectPr>
      </w:pPr>
    </w:p>
    <w:p>
      <w:pPr>
        <w:spacing w:after="0" w:line="4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315" w:right="1440" w:bottom="0" w:gutter="0" w:footer="0" w:header="0"/>
          <w:type w:val="continuous"/>
        </w:sectPr>
      </w:pPr>
    </w:p>
    <w:bookmarkStart w:id="59" w:name="page60"/>
    <w:bookmarkEnd w:id="59"/>
    <w:p>
      <w:pPr>
        <w:ind w:left="320"/>
        <w:spacing w:after="0"/>
        <w:rPr>
          <w:sz w:val="20"/>
          <w:szCs w:val="20"/>
          <w:color w:val="auto"/>
        </w:rPr>
      </w:pPr>
      <w:r>
        <w:rPr>
          <w:rFonts w:ascii="Courier New" w:cs="Courier New" w:eastAsia="Courier New" w:hAnsi="Courier New"/>
          <w:sz w:val="17"/>
          <w:szCs w:val="17"/>
          <w:color w:val="auto"/>
        </w:rPr>
        <w:t>40</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If an acquiror obtains or has the right to obtain 20% or more of our common shares, then each right will entitle the holder to purchase a number of our common shares initially equal to two times the purchase price of each right, unless the acquisition is made pursuant to a tender or exchange offer for all of our outstanding shares at a price determined by a majority of our independent directors. In this event, rights held by the acquiring person shall become null and void.</w:t>
      </w:r>
    </w:p>
    <w:p>
      <w:pPr>
        <w:spacing w:after="0" w:line="200" w:lineRule="exact"/>
        <w:rPr>
          <w:sz w:val="20"/>
          <w:szCs w:val="20"/>
          <w:color w:val="auto"/>
        </w:rPr>
      </w:pPr>
    </w:p>
    <w:p>
      <w:pPr>
        <w:ind w:right="2219" w:firstLine="519"/>
        <w:spacing w:after="0" w:line="250" w:lineRule="auto"/>
        <w:rPr>
          <w:sz w:val="20"/>
          <w:szCs w:val="20"/>
          <w:color w:val="auto"/>
        </w:rPr>
      </w:pPr>
      <w:r>
        <w:rPr>
          <w:rFonts w:ascii="Courier New" w:cs="Courier New" w:eastAsia="Courier New" w:hAnsi="Courier New"/>
          <w:sz w:val="17"/>
          <w:szCs w:val="17"/>
          <w:color w:val="auto"/>
        </w:rPr>
        <w:t>In certain circumstances, a right will entitle the holder to purchase a number of shares of common stock of the acquiror having a then current market value of twice the right's purchase price.</w:t>
      </w:r>
    </w:p>
    <w:p>
      <w:pPr>
        <w:spacing w:after="0" w:line="197" w:lineRule="exact"/>
        <w:rPr>
          <w:sz w:val="20"/>
          <w:szCs w:val="20"/>
          <w:color w:val="auto"/>
        </w:rPr>
      </w:pPr>
    </w:p>
    <w:p>
      <w:pPr>
        <w:ind w:right="2319" w:firstLine="519"/>
        <w:spacing w:after="0" w:line="251" w:lineRule="auto"/>
        <w:rPr>
          <w:sz w:val="20"/>
          <w:szCs w:val="20"/>
          <w:color w:val="auto"/>
        </w:rPr>
      </w:pPr>
      <w:r>
        <w:rPr>
          <w:rFonts w:ascii="Courier New" w:cs="Courier New" w:eastAsia="Courier New" w:hAnsi="Courier New"/>
          <w:sz w:val="17"/>
          <w:szCs w:val="17"/>
          <w:color w:val="auto"/>
        </w:rPr>
        <w:t>Holders of rights will have no rights as our stockholders including the right to vote or receive dividends, simply by virtue of holding the rights.</w:t>
      </w:r>
    </w:p>
    <w:p>
      <w:pPr>
        <w:spacing w:after="0" w:line="19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Our rights agreement may have anti-takeover effects. The rights may cause substantial dilution to a person or group that attempts to acquire us. Accordingly, the existence of the rights may deter acquirors from making takeover proposals or tender offers. However, the rights are not intended to prevent a takeover, but rather are designed to enhance the ability of our board to negotiate with an acquiror on behalf of all the shareholders. In addition, the rights should not interfere with a proxy contest.</w:t>
      </w:r>
    </w:p>
    <w:p>
      <w:pPr>
        <w:spacing w:after="0" w:line="2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315"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7"/>
          <w:szCs w:val="17"/>
          <w:color w:val="auto"/>
        </w:rPr>
        <w:t>41</w:t>
      </w:r>
    </w:p>
    <w:p>
      <w:pPr>
        <w:spacing w:after="0" w:line="20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UNDERWRITING</w:t>
      </w:r>
    </w:p>
    <w:p>
      <w:pPr>
        <w:spacing w:after="0" w:line="20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Merrill Lynch, Pierce, Fenner &amp; Smith Incorporated, J.P. Morgan Securities Inc. and Robertson Stephens, Inc. are acting as representatives of each of the underwriters named below. Subject to the terms and conditions described in a purchase agreement among us and the underwriters, we have agreed to sell to the underwriters and the underwriters severally have agreed to purchase from us the number of shares of common stock listed opposite their names below.</w:t>
      </w:r>
    </w:p>
    <w:p>
      <w:pPr>
        <w:spacing w:after="0" w:line="200" w:lineRule="exact"/>
        <w:rPr>
          <w:sz w:val="20"/>
          <w:szCs w:val="20"/>
          <w:color w:val="auto"/>
        </w:rPr>
      </w:pPr>
    </w:p>
    <w:p>
      <w:pPr>
        <w:spacing w:after="0" w:line="399" w:lineRule="exact"/>
        <w:rPr>
          <w:sz w:val="20"/>
          <w:szCs w:val="20"/>
          <w:color w:val="auto"/>
        </w:rPr>
      </w:pPr>
    </w:p>
    <w:p>
      <w:pPr>
        <w:ind w:left="6760"/>
        <w:spacing w:after="0"/>
        <w:rPr>
          <w:sz w:val="20"/>
          <w:szCs w:val="20"/>
          <w:color w:val="auto"/>
        </w:rPr>
      </w:pPr>
      <w:r>
        <w:rPr>
          <w:rFonts w:ascii="Courier New" w:cs="Courier New" w:eastAsia="Courier New" w:hAnsi="Courier New"/>
          <w:sz w:val="17"/>
          <w:szCs w:val="17"/>
          <w:color w:val="auto"/>
        </w:rPr>
        <w:t>NUMBER</w:t>
      </w:r>
    </w:p>
    <w:p>
      <w:pPr>
        <w:spacing w:after="0" w:line="7" w:lineRule="exact"/>
        <w:rPr>
          <w:sz w:val="20"/>
          <w:szCs w:val="20"/>
          <w:color w:val="auto"/>
        </w:rPr>
      </w:pPr>
    </w:p>
    <w:p>
      <w:pPr>
        <w:ind w:left="2500"/>
        <w:spacing w:after="0"/>
        <w:tabs>
          <w:tab w:leader="none" w:pos="6640" w:val="left"/>
        </w:tabs>
        <w:rPr>
          <w:sz w:val="20"/>
          <w:szCs w:val="20"/>
          <w:color w:val="auto"/>
        </w:rPr>
      </w:pPr>
      <w:r>
        <w:rPr>
          <w:rFonts w:ascii="Courier New" w:cs="Courier New" w:eastAsia="Courier New" w:hAnsi="Courier New"/>
          <w:sz w:val="17"/>
          <w:szCs w:val="17"/>
          <w:color w:val="auto"/>
        </w:rPr>
        <w:t>UNDERWRITER</w:t>
      </w:r>
      <w:r>
        <w:rPr>
          <w:sz w:val="20"/>
          <w:szCs w:val="20"/>
          <w:color w:val="auto"/>
        </w:rPr>
        <w:tab/>
      </w:r>
      <w:r>
        <w:rPr>
          <w:rFonts w:ascii="Courier New" w:cs="Courier New" w:eastAsia="Courier New" w:hAnsi="Courier New"/>
          <w:sz w:val="17"/>
          <w:szCs w:val="17"/>
          <w:color w:val="auto"/>
        </w:rPr>
        <w:t>OF SHARES</w:t>
      </w:r>
    </w:p>
    <w:p>
      <w:pPr>
        <w:spacing w:after="0" w:line="7" w:lineRule="exact"/>
        <w:rPr>
          <w:sz w:val="20"/>
          <w:szCs w:val="20"/>
          <w:color w:val="auto"/>
        </w:rPr>
      </w:pPr>
    </w:p>
    <w:p>
      <w:pPr>
        <w:ind w:left="2500"/>
        <w:spacing w:after="0"/>
        <w:tabs>
          <w:tab w:leader="none" w:pos="66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Pierce, Fenner &amp; Smith</w:t>
      </w:r>
    </w:p>
    <w:p>
      <w:pPr>
        <w:spacing w:after="0" w:line="7"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J.P. Morgan Securities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Robertson Stephens, Inc.....................................</w:t>
      </w:r>
    </w:p>
    <w:p>
      <w:pPr>
        <w:spacing w:after="0" w:line="7" w:lineRule="exact"/>
        <w:rPr>
          <w:sz w:val="20"/>
          <w:szCs w:val="20"/>
          <w:color w:val="auto"/>
        </w:rPr>
      </w:pPr>
    </w:p>
    <w:p>
      <w:pPr>
        <w:ind w:left="66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1360"/>
        <w:spacing w:after="0"/>
        <w:tabs>
          <w:tab w:leader="none" w:pos="6640" w:val="left"/>
        </w:tabs>
        <w:rPr>
          <w:sz w:val="20"/>
          <w:szCs w:val="20"/>
          <w:color w:val="auto"/>
        </w:rPr>
      </w:pPr>
      <w:r>
        <w:rPr>
          <w:rFonts w:ascii="Courier New" w:cs="Courier New" w:eastAsia="Courier New" w:hAnsi="Courier New"/>
          <w:sz w:val="17"/>
          <w:szCs w:val="17"/>
          <w:color w:val="auto"/>
        </w:rPr>
        <w:t>Total..........................................</w:t>
      </w:r>
      <w:r>
        <w:rPr>
          <w:sz w:val="20"/>
          <w:szCs w:val="20"/>
          <w:color w:val="auto"/>
        </w:rPr>
        <w:tab/>
      </w:r>
      <w:r>
        <w:rPr>
          <w:rFonts w:ascii="Courier New" w:cs="Courier New" w:eastAsia="Courier New" w:hAnsi="Courier New"/>
          <w:sz w:val="17"/>
          <w:szCs w:val="17"/>
          <w:color w:val="auto"/>
        </w:rPr>
        <w:t>4,000,000</w:t>
      </w:r>
    </w:p>
    <w:p>
      <w:pPr>
        <w:spacing w:after="0" w:line="7" w:lineRule="exact"/>
        <w:rPr>
          <w:sz w:val="20"/>
          <w:szCs w:val="20"/>
          <w:color w:val="auto"/>
        </w:rPr>
      </w:pPr>
    </w:p>
    <w:p>
      <w:pPr>
        <w:ind w:left="66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ind w:right="2099" w:firstLine="519"/>
        <w:spacing w:after="0" w:line="249" w:lineRule="auto"/>
        <w:rPr>
          <w:sz w:val="20"/>
          <w:szCs w:val="20"/>
          <w:color w:val="auto"/>
        </w:rPr>
      </w:pPr>
      <w:r>
        <w:rPr>
          <w:rFonts w:ascii="Courier New" w:cs="Courier New" w:eastAsia="Courier New" w:hAnsi="Courier New"/>
          <w:sz w:val="17"/>
          <w:szCs w:val="17"/>
          <w:color w:val="auto"/>
        </w:rPr>
        <w:t>The underwriters have agreed to purchase all of the shares sold under the purchase agreement if any of these shares are purchased. If an underwriter defaults, the purchase agreement provides that the purchase commitments of the nondefaulting underwriters may be increased or the purchase agreement may be terminated.</w:t>
      </w:r>
    </w:p>
    <w:p>
      <w:pPr>
        <w:spacing w:after="0" w:line="200" w:lineRule="exact"/>
        <w:rPr>
          <w:sz w:val="20"/>
          <w:szCs w:val="20"/>
          <w:color w:val="auto"/>
        </w:rPr>
      </w:pPr>
    </w:p>
    <w:p>
      <w:pPr>
        <w:ind w:right="1899" w:firstLine="519"/>
        <w:spacing w:after="0" w:line="250" w:lineRule="auto"/>
        <w:rPr>
          <w:sz w:val="20"/>
          <w:szCs w:val="20"/>
          <w:color w:val="auto"/>
        </w:rPr>
      </w:pPr>
      <w:r>
        <w:rPr>
          <w:rFonts w:ascii="Courier New" w:cs="Courier New" w:eastAsia="Courier New" w:hAnsi="Courier New"/>
          <w:sz w:val="17"/>
          <w:szCs w:val="17"/>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9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underwriters are offering the shares, subject to prior sale, when, as and if issued to and accepted by them, subject to approval of legal matters by their counsel, including the validity of the shares, and other conditions contained in the purchase agreement, such as the receipt by the underwriters of officers' certificates and legal opinions. The underwriters reserve the right to withdraw, cancel or modify offers to the public and to reject orders in whole or in part.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COMMISSIONS AND DISCOUNTS</w:t>
      </w:r>
    </w:p>
    <w:p>
      <w:pPr>
        <w:spacing w:after="0" w:line="207" w:lineRule="exact"/>
        <w:rPr>
          <w:sz w:val="20"/>
          <w:szCs w:val="20"/>
          <w:color w:val="auto"/>
        </w:rPr>
      </w:pPr>
    </w:p>
    <w:p>
      <w:pPr>
        <w:ind w:right="2099" w:firstLine="519"/>
        <w:spacing w:after="0" w:line="248" w:lineRule="auto"/>
        <w:rPr>
          <w:sz w:val="20"/>
          <w:szCs w:val="20"/>
          <w:color w:val="auto"/>
        </w:rPr>
      </w:pPr>
      <w:r>
        <w:rPr>
          <w:rFonts w:ascii="Courier New" w:cs="Courier New" w:eastAsia="Courier New" w:hAnsi="Courier New"/>
          <w:sz w:val="17"/>
          <w:szCs w:val="17"/>
          <w:color w:val="auto"/>
        </w:rPr>
        <w:t>The underwriters have advised us that they propose initially to offer the shares to the public at the public offering price on the cover page of this prospectus and to dealers at that price less a concession not in excess of</w:t>
      </w:r>
    </w:p>
    <w:p>
      <w:pPr>
        <w:spacing w:after="0" w:line="2" w:lineRule="exact"/>
        <w:rPr>
          <w:sz w:val="20"/>
          <w:szCs w:val="20"/>
          <w:color w:val="auto"/>
        </w:rPr>
      </w:pPr>
    </w:p>
    <w:p>
      <w:pPr>
        <w:ind w:left="840" w:hanging="833"/>
        <w:spacing w:after="0"/>
        <w:tabs>
          <w:tab w:leader="none" w:pos="8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share. The underwriters may allow, and the dealers may reallow, a</w:t>
      </w:r>
    </w:p>
    <w:p>
      <w:pPr>
        <w:spacing w:after="0" w:line="7" w:lineRule="exact"/>
        <w:rPr>
          <w:rFonts w:ascii="Courier New" w:cs="Courier New" w:eastAsia="Courier New" w:hAnsi="Courier New"/>
          <w:sz w:val="17"/>
          <w:szCs w:val="17"/>
          <w:color w:val="auto"/>
        </w:rPr>
      </w:pPr>
    </w:p>
    <w:p>
      <w:pPr>
        <w:ind w:right="20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discount not in excess of $ per share to other dealers. After the public offering, the public offering, price, concession and discount may be changed.</w:t>
      </w:r>
    </w:p>
    <w:p>
      <w:pPr>
        <w:spacing w:after="0" w:line="197" w:lineRule="exact"/>
        <w:rPr>
          <w:sz w:val="20"/>
          <w:szCs w:val="20"/>
          <w:color w:val="auto"/>
        </w:rPr>
      </w:pPr>
    </w:p>
    <w:p>
      <w:pPr>
        <w:jc w:val="both"/>
        <w:ind w:right="1999" w:firstLine="519"/>
        <w:spacing w:after="0" w:line="250" w:lineRule="auto"/>
        <w:rPr>
          <w:sz w:val="20"/>
          <w:szCs w:val="20"/>
          <w:color w:val="auto"/>
        </w:rPr>
      </w:pPr>
      <w:r>
        <w:rPr>
          <w:rFonts w:ascii="Courier New" w:cs="Courier New" w:eastAsia="Courier New" w:hAnsi="Courier New"/>
          <w:sz w:val="17"/>
          <w:szCs w:val="17"/>
          <w:color w:val="auto"/>
        </w:rPr>
        <w:t>The following table shows the public offering price, underwriting discount and proceeds before expenses to us. The information assumes either no exercise or full exercise by the underwriters of their over-allotment options.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0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7"/>
                <w:szCs w:val="17"/>
                <w:color w:val="auto"/>
              </w:rPr>
              <w:t>PER SHARE</w:t>
            </w:r>
          </w:p>
        </w:tc>
        <w:tc>
          <w:tcPr>
            <w:tcW w:w="18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WITHOUT OPTION</w:t>
            </w:r>
          </w:p>
        </w:tc>
        <w:tc>
          <w:tcPr>
            <w:tcW w:w="1340" w:type="dxa"/>
            <w:vAlign w:val="bottom"/>
          </w:tcPr>
          <w:p>
            <w:pPr>
              <w:ind w:left="200"/>
              <w:spacing w:after="0"/>
              <w:rPr>
                <w:sz w:val="20"/>
                <w:szCs w:val="20"/>
                <w:color w:val="auto"/>
              </w:rPr>
            </w:pPr>
            <w:r>
              <w:rPr>
                <w:rFonts w:ascii="Courier New" w:cs="Courier New" w:eastAsia="Courier New" w:hAnsi="Courier New"/>
                <w:sz w:val="17"/>
                <w:szCs w:val="17"/>
                <w:color w:val="auto"/>
                <w:w w:val="99"/>
              </w:rPr>
              <w:t>WITH OPTION</w:t>
            </w:r>
          </w:p>
        </w:tc>
      </w:tr>
      <w:tr>
        <w:trPr>
          <w:trHeight w:val="200"/>
        </w:trPr>
        <w:tc>
          <w:tcPr>
            <w:tcW w:w="5000" w:type="dxa"/>
            <w:vAlign w:val="bottom"/>
          </w:tcPr>
          <w:p>
            <w:pPr>
              <w:spacing w:after="0"/>
              <w:rPr>
                <w:sz w:val="17"/>
                <w:szCs w:val="17"/>
                <w:color w:val="auto"/>
              </w:rPr>
            </w:pPr>
          </w:p>
        </w:tc>
        <w:tc>
          <w:tcPr>
            <w:tcW w:w="124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center"/>
              <w:ind w:lef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Public offering price..........................</w:t>
            </w:r>
          </w:p>
        </w:tc>
        <w:tc>
          <w:tcPr>
            <w:tcW w:w="12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88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center"/>
              <w:ind w:left="113"/>
              <w:spacing w:after="0"/>
              <w:rPr>
                <w:sz w:val="20"/>
                <w:szCs w:val="20"/>
                <w:color w:val="auto"/>
              </w:rPr>
            </w:pPr>
            <w:r>
              <w:rPr>
                <w:rFonts w:ascii="Courier New" w:cs="Courier New" w:eastAsia="Courier New" w:hAnsi="Courier New"/>
                <w:sz w:val="17"/>
                <w:szCs w:val="17"/>
                <w:color w:val="auto"/>
                <w:w w:val="97"/>
              </w:rPr>
              <w:t>$</w:t>
            </w:r>
          </w:p>
        </w:tc>
      </w:tr>
      <w:tr>
        <w:trPr>
          <w:trHeight w:val="2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Underwriting discount..........................</w:t>
            </w:r>
          </w:p>
        </w:tc>
        <w:tc>
          <w:tcPr>
            <w:tcW w:w="12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88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center"/>
              <w:ind w:left="113"/>
              <w:spacing w:after="0"/>
              <w:rPr>
                <w:sz w:val="20"/>
                <w:szCs w:val="20"/>
                <w:color w:val="auto"/>
              </w:rPr>
            </w:pPr>
            <w:r>
              <w:rPr>
                <w:rFonts w:ascii="Courier New" w:cs="Courier New" w:eastAsia="Courier New" w:hAnsi="Courier New"/>
                <w:sz w:val="17"/>
                <w:szCs w:val="17"/>
                <w:color w:val="auto"/>
                <w:w w:val="97"/>
              </w:rPr>
              <w:t>$</w:t>
            </w:r>
          </w:p>
        </w:tc>
      </w:tr>
      <w:tr>
        <w:trPr>
          <w:trHeight w:val="200"/>
        </w:trPr>
        <w:tc>
          <w:tcPr>
            <w:tcW w:w="5000" w:type="dxa"/>
            <w:vAlign w:val="bottom"/>
          </w:tcPr>
          <w:p>
            <w:pPr>
              <w:spacing w:after="0"/>
              <w:rPr>
                <w:sz w:val="20"/>
                <w:szCs w:val="20"/>
                <w:color w:val="auto"/>
              </w:rPr>
            </w:pPr>
            <w:r>
              <w:rPr>
                <w:rFonts w:ascii="Courier New" w:cs="Courier New" w:eastAsia="Courier New" w:hAnsi="Courier New"/>
                <w:sz w:val="17"/>
                <w:szCs w:val="17"/>
                <w:color w:val="auto"/>
              </w:rPr>
              <w:t>Proceeds, before expenses, to Regeneron........</w:t>
            </w:r>
          </w:p>
        </w:tc>
        <w:tc>
          <w:tcPr>
            <w:tcW w:w="1240" w:type="dxa"/>
            <w:vAlign w:val="bottom"/>
          </w:tcPr>
          <w:p>
            <w:pPr>
              <w:jc w:val="center"/>
              <w:ind w:right="13"/>
              <w:spacing w:after="0"/>
              <w:rPr>
                <w:sz w:val="20"/>
                <w:szCs w:val="20"/>
                <w:color w:val="auto"/>
              </w:rPr>
            </w:pPr>
            <w:r>
              <w:rPr>
                <w:rFonts w:ascii="Courier New" w:cs="Courier New" w:eastAsia="Courier New" w:hAnsi="Courier New"/>
                <w:sz w:val="17"/>
                <w:szCs w:val="17"/>
                <w:color w:val="auto"/>
                <w:w w:val="97"/>
              </w:rPr>
              <w:t>$</w:t>
            </w:r>
          </w:p>
        </w:tc>
        <w:tc>
          <w:tcPr>
            <w:tcW w:w="188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center"/>
              <w:ind w:left="113"/>
              <w:spacing w:after="0"/>
              <w:rPr>
                <w:sz w:val="20"/>
                <w:szCs w:val="20"/>
                <w:color w:val="auto"/>
              </w:rPr>
            </w:pPr>
            <w:r>
              <w:rPr>
                <w:rFonts w:ascii="Courier New" w:cs="Courier New" w:eastAsia="Courier New" w:hAnsi="Courier New"/>
                <w:sz w:val="17"/>
                <w:szCs w:val="17"/>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999" w:firstLine="519"/>
        <w:spacing w:after="0" w:line="251" w:lineRule="auto"/>
        <w:rPr>
          <w:sz w:val="20"/>
          <w:szCs w:val="20"/>
          <w:color w:val="auto"/>
        </w:rPr>
      </w:pPr>
      <w:r>
        <w:rPr>
          <w:rFonts w:ascii="Courier New" w:cs="Courier New" w:eastAsia="Courier New" w:hAnsi="Courier New"/>
          <w:sz w:val="17"/>
          <w:szCs w:val="17"/>
          <w:color w:val="auto"/>
        </w:rPr>
        <w:t>The expenses of the offering, not including the underwriting discount, are estimated at $700,000 and are payable by us.</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OVER-ALLOTMENT OPTION</w:t>
      </w:r>
    </w:p>
    <w:p>
      <w:pPr>
        <w:spacing w:after="0" w:line="207" w:lineRule="exact"/>
        <w:rPr>
          <w:sz w:val="20"/>
          <w:szCs w:val="20"/>
          <w:color w:val="auto"/>
        </w:rPr>
      </w:pPr>
    </w:p>
    <w:p>
      <w:pPr>
        <w:ind w:right="2099" w:firstLine="519"/>
        <w:spacing w:after="0" w:line="249" w:lineRule="auto"/>
        <w:rPr>
          <w:sz w:val="20"/>
          <w:szCs w:val="20"/>
          <w:color w:val="auto"/>
        </w:rPr>
      </w:pPr>
      <w:r>
        <w:rPr>
          <w:rFonts w:ascii="Courier New" w:cs="Courier New" w:eastAsia="Courier New" w:hAnsi="Courier New"/>
          <w:sz w:val="17"/>
          <w:szCs w:val="17"/>
          <w:color w:val="auto"/>
        </w:rPr>
        <w:t>We have granted an option to the underwriters to purchase up to 600,000 additional shares at the public offering price less the underwriting discount. The underwriters may exercise this option for 30 days from the date of this prospectus solely to cover any over-allotments. If the underwriters exercise this</w:t>
      </w:r>
    </w:p>
    <w:p>
      <w:pPr>
        <w:sectPr>
          <w:pgSz w:w="11900" w:h="16838" w:orient="portrait"/>
          <w:cols w:equalWidth="0" w:num="1">
            <w:col w:w="10219"/>
          </w:cols>
          <w:pgMar w:left="240" w:top="315" w:right="1440" w:bottom="0" w:gutter="0" w:footer="0" w:header="0"/>
        </w:sectPr>
      </w:pPr>
    </w:p>
    <w:p>
      <w:pPr>
        <w:spacing w:after="0" w:line="2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315" w:right="1440" w:bottom="0" w:gutter="0" w:footer="0" w:header="0"/>
          <w:type w:val="continuous"/>
        </w:sectPr>
      </w:pPr>
    </w:p>
    <w:bookmarkStart w:id="61" w:name="page62"/>
    <w:bookmarkEnd w:id="61"/>
    <w:p>
      <w:pPr>
        <w:ind w:left="320"/>
        <w:spacing w:after="0"/>
        <w:rPr>
          <w:sz w:val="20"/>
          <w:szCs w:val="20"/>
          <w:color w:val="auto"/>
        </w:rPr>
      </w:pPr>
      <w:r>
        <w:rPr>
          <w:rFonts w:ascii="Courier New" w:cs="Courier New" w:eastAsia="Courier New" w:hAnsi="Courier New"/>
          <w:sz w:val="17"/>
          <w:szCs w:val="17"/>
          <w:color w:val="auto"/>
        </w:rPr>
        <w:t>42</w:t>
      </w:r>
    </w:p>
    <w:p>
      <w:pPr>
        <w:spacing w:after="0" w:line="207"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option, each will be obligated, subject to conditions contained in the purchase agreement, to purchase a number of additional shares proportionate to that underwriter's initial amount reflected in the above table.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SALES OF SIMILAR SECURITIES</w:t>
      </w:r>
    </w:p>
    <w:p>
      <w:pPr>
        <w:spacing w:after="0" w:line="200" w:lineRule="exact"/>
        <w:rPr>
          <w:sz w:val="20"/>
          <w:szCs w:val="20"/>
          <w:color w:val="auto"/>
        </w:rPr>
      </w:pPr>
    </w:p>
    <w:p>
      <w:pPr>
        <w:spacing w:after="0" w:line="20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We and our executive officers and directors and certain existing shareholders have agreed, with exceptions, not to sell or transfer any common stock for 90 days after the date of this prospectus without first obtaining the written consent of Merrill Lynch. Specifically, we and these other individuals or entities have agreed not to directly or indirectly:</w:t>
      </w:r>
    </w:p>
    <w:p>
      <w:pPr>
        <w:spacing w:after="0" w:line="400" w:lineRule="exact"/>
        <w:rPr>
          <w:sz w:val="20"/>
          <w:szCs w:val="20"/>
          <w:color w:val="auto"/>
        </w:rPr>
      </w:pPr>
    </w:p>
    <w:p>
      <w:pPr>
        <w:ind w:left="740" w:hanging="214"/>
        <w:spacing w:after="0"/>
        <w:tabs>
          <w:tab w:leader="none" w:pos="7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offer, pledge, sell or contract to sell any common stock;</w:t>
      </w:r>
    </w:p>
    <w:p>
      <w:pPr>
        <w:spacing w:after="0" w:line="207"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 any option or contract to purchase any common stock;</w:t>
      </w:r>
    </w:p>
    <w:p>
      <w:pPr>
        <w:spacing w:after="0" w:line="207"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any option or contract to sell any common stock;</w:t>
      </w:r>
    </w:p>
    <w:p>
      <w:pPr>
        <w:spacing w:after="0" w:line="207"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any option, right or warrant for the sale of any common stock;</w:t>
      </w:r>
    </w:p>
    <w:p>
      <w:pPr>
        <w:spacing w:after="0" w:line="207" w:lineRule="exact"/>
        <w:rPr>
          <w:rFonts w:ascii="Courier New" w:cs="Courier New" w:eastAsia="Courier New" w:hAnsi="Courier New"/>
          <w:sz w:val="17"/>
          <w:szCs w:val="17"/>
          <w:color w:val="auto"/>
        </w:rPr>
      </w:pPr>
    </w:p>
    <w:p>
      <w:pPr>
        <w:ind w:left="740" w:hanging="214"/>
        <w:spacing w:after="0"/>
        <w:tabs>
          <w:tab w:leader="none" w:pos="7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lend or otherwise dispose of or transfer any common stock; and</w:t>
      </w:r>
    </w:p>
    <w:p>
      <w:pPr>
        <w:spacing w:after="0" w:line="207" w:lineRule="exact"/>
        <w:rPr>
          <w:rFonts w:ascii="Courier New" w:cs="Courier New" w:eastAsia="Courier New" w:hAnsi="Courier New"/>
          <w:sz w:val="17"/>
          <w:szCs w:val="17"/>
          <w:color w:val="auto"/>
        </w:rPr>
      </w:pPr>
    </w:p>
    <w:p>
      <w:pPr>
        <w:ind w:left="740" w:right="2099" w:hanging="214"/>
        <w:spacing w:after="0" w:line="249" w:lineRule="auto"/>
        <w:tabs>
          <w:tab w:leader="none" w:pos="7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We, however, may issue (1) shares upon the exercise of an option or warrant or the conversion of a security outstanding on the date of this prospectus, (2) shares or options to purchase shares granted pursuant to our existing and future employee benefit plans and (3) shares pursuant to any non-employee director stock plan or dividend reinvestment plan.</w:t>
      </w:r>
    </w:p>
    <w:p>
      <w:pPr>
        <w:spacing w:after="0" w:line="200" w:lineRule="exact"/>
        <w:rPr>
          <w:sz w:val="20"/>
          <w:szCs w:val="20"/>
          <w:color w:val="auto"/>
        </w:rPr>
      </w:pPr>
    </w:p>
    <w:p>
      <w:pPr>
        <w:ind w:right="2619" w:firstLine="519"/>
        <w:spacing w:after="0" w:line="251" w:lineRule="auto"/>
        <w:rPr>
          <w:sz w:val="20"/>
          <w:szCs w:val="20"/>
          <w:color w:val="auto"/>
        </w:rPr>
      </w:pPr>
      <w:r>
        <w:rPr>
          <w:rFonts w:ascii="Courier New" w:cs="Courier New" w:eastAsia="Courier New" w:hAnsi="Courier New"/>
          <w:sz w:val="17"/>
          <w:szCs w:val="17"/>
          <w:color w:val="auto"/>
        </w:rPr>
        <w:t>The shares are quoted on the Nasdaq National Market under the symbol "REGN."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UK SELLING RESTRICTIONS</w:t>
      </w:r>
    </w:p>
    <w:p>
      <w:pPr>
        <w:spacing w:after="0" w:line="20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Each underwriter has agreed that</w:t>
      </w:r>
    </w:p>
    <w:p>
      <w:pPr>
        <w:spacing w:after="0" w:line="207" w:lineRule="exact"/>
        <w:rPr>
          <w:sz w:val="20"/>
          <w:szCs w:val="20"/>
          <w:color w:val="auto"/>
        </w:rPr>
      </w:pPr>
    </w:p>
    <w:p>
      <w:pPr>
        <w:ind w:left="740" w:right="1899" w:hanging="214"/>
        <w:spacing w:after="0" w:line="249" w:lineRule="auto"/>
        <w:tabs>
          <w:tab w:leader="none" w:pos="7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has not offered or sold and will not offer or sell any shares of common stock to persons in the United Kingdom, except to persons whose ordinary activities involve them in acquiring, holding, managing or disposing of investments (as principal or agent) for the purposes of their businesses or otherwise in circumstances which do not constitute an offer to the public in the United Kingdom within the meaning of the Public Offers of Securities Regulations 1995;</w:t>
      </w:r>
    </w:p>
    <w:p>
      <w:pPr>
        <w:spacing w:after="0" w:line="199" w:lineRule="exact"/>
        <w:rPr>
          <w:rFonts w:ascii="Courier New" w:cs="Courier New" w:eastAsia="Courier New" w:hAnsi="Courier New"/>
          <w:sz w:val="17"/>
          <w:szCs w:val="17"/>
          <w:color w:val="auto"/>
        </w:rPr>
      </w:pPr>
    </w:p>
    <w:p>
      <w:pPr>
        <w:ind w:left="740" w:right="2099" w:hanging="214"/>
        <w:spacing w:after="0" w:line="249" w:lineRule="auto"/>
        <w:tabs>
          <w:tab w:leader="none" w:pos="7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has complied and will comply with all applicable provisions of the Financial Services Act 1986 with respect to anything done by it in relation to the common stock in, from or otherwise involving the United Kingdom; and</w:t>
      </w:r>
    </w:p>
    <w:p>
      <w:pPr>
        <w:spacing w:after="0" w:line="199" w:lineRule="exact"/>
        <w:rPr>
          <w:rFonts w:ascii="Courier New" w:cs="Courier New" w:eastAsia="Courier New" w:hAnsi="Courier New"/>
          <w:sz w:val="17"/>
          <w:szCs w:val="17"/>
          <w:color w:val="auto"/>
        </w:rPr>
      </w:pPr>
    </w:p>
    <w:p>
      <w:pPr>
        <w:ind w:left="740" w:right="1999" w:hanging="214"/>
        <w:spacing w:after="0" w:line="249" w:lineRule="auto"/>
        <w:tabs>
          <w:tab w:leader="none" w:pos="7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has only issued or passed on and will only issue or pass on in the United Kingdom any document received by it in connection with the issuance of common stock to a person who is of a kind described in Article 11(3) of the Financial Services Act 1986 (Investment Advertisements) (Exemptions) Order 1996 as amended by the Financial Services Act 1986 (Investment Advertisements) (Exemptions) Order 1997 or is a person to whom such document may otherwise lawfully be issued or passed 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PUBLIC OFFERING OUTSIDE THE UNITED STATES</w:t>
      </w:r>
    </w:p>
    <w:p>
      <w:pPr>
        <w:spacing w:after="0" w:line="207" w:lineRule="exact"/>
        <w:rPr>
          <w:sz w:val="20"/>
          <w:szCs w:val="20"/>
          <w:color w:val="auto"/>
        </w:rPr>
      </w:pPr>
    </w:p>
    <w:p>
      <w:pPr>
        <w:ind w:right="2419" w:firstLine="519"/>
        <w:spacing w:after="0" w:line="248" w:lineRule="auto"/>
        <w:rPr>
          <w:sz w:val="20"/>
          <w:szCs w:val="20"/>
          <w:color w:val="auto"/>
        </w:rPr>
      </w:pPr>
      <w:r>
        <w:rPr>
          <w:rFonts w:ascii="Courier New" w:cs="Courier New" w:eastAsia="Courier New" w:hAnsi="Courier New"/>
          <w:sz w:val="17"/>
          <w:szCs w:val="17"/>
          <w:color w:val="auto"/>
        </w:rPr>
        <w:t>No action has been or will be taken in any jurisdiction (except in the United States) that would permit a public offering of the shares of common stock, or the possession, circulation or distribution of this</w:t>
      </w:r>
    </w:p>
    <w:p>
      <w:pPr>
        <w:spacing w:after="0" w:line="2"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315" w:right="1440" w:bottom="382" w:gutter="0" w:footer="0" w:header="0"/>
        </w:sectPr>
      </w:pPr>
    </w:p>
    <w:bookmarkStart w:id="62" w:name="page63"/>
    <w:bookmarkEnd w:id="62"/>
    <w:p>
      <w:pPr>
        <w:ind w:left="320"/>
        <w:spacing w:after="0"/>
        <w:rPr>
          <w:sz w:val="20"/>
          <w:szCs w:val="20"/>
          <w:color w:val="auto"/>
        </w:rPr>
      </w:pPr>
      <w:r>
        <w:rPr>
          <w:rFonts w:ascii="Courier New" w:cs="Courier New" w:eastAsia="Courier New" w:hAnsi="Courier New"/>
          <w:sz w:val="17"/>
          <w:szCs w:val="17"/>
          <w:color w:val="auto"/>
        </w:rPr>
        <w:t>43</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prospectus or any other material relating to us or shares of our common stock in any jurisdiction where action for that purpose is required. Accordingly, the shares of our common stock may not be offered or sold, directly or indirectly, and neither this prospectus nor any other offering material or advertisements in connection with the shares of common stock may be distributed or published, in or from any country or jurisdiction except in compliance with any applicable rules and regulations of any such country or jurisdiction.</w:t>
      </w:r>
    </w:p>
    <w:p>
      <w:pPr>
        <w:spacing w:after="0" w:line="200" w:lineRule="exact"/>
        <w:rPr>
          <w:sz w:val="20"/>
          <w:szCs w:val="20"/>
          <w:color w:val="auto"/>
        </w:rPr>
      </w:pPr>
    </w:p>
    <w:p>
      <w:pPr>
        <w:jc w:val="both"/>
        <w:ind w:right="1999" w:firstLine="519"/>
        <w:spacing w:after="0" w:line="249" w:lineRule="auto"/>
        <w:rPr>
          <w:sz w:val="20"/>
          <w:szCs w:val="20"/>
          <w:color w:val="auto"/>
        </w:rPr>
      </w:pPr>
      <w:r>
        <w:rPr>
          <w:rFonts w:ascii="Courier New" w:cs="Courier New" w:eastAsia="Courier New" w:hAnsi="Courier New"/>
          <w:sz w:val="17"/>
          <w:szCs w:val="17"/>
          <w:color w:val="auto"/>
        </w:rPr>
        <w:t>Purchasers of the shares offered by this prospectus may be required to pay stamp taxes and other charges in accordance with the laws and practices of the country of purchase in addition to the offering price on the cover page of this prospectus.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 STABILIZATION, SHORT POSITIONS AND PENALTY BIDS</w:t>
      </w:r>
    </w:p>
    <w:p>
      <w:pPr>
        <w:spacing w:after="0" w:line="207"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Until the distribution of the shares of common stock is completed, the SEC rules may limit the underwriters from bidding for or purchasing our common stock. However, the representatives may engage in transactions that stabilize the price of the common stock, such as bids or purchases that peg, fix or maintain that price.</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underwriters may purchase and sell the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the issuer in the offering. The underwriters may close out any covered short position by either exercising their option to purchase additional shares or purchasing shares in the open market. In determining the source of share to close out the covered short position, the underwriters will consider, among other things, the price of shares available for purchase in the open market as compared to the price at which they may purchase shares through the over-allotment option.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shares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Similar to other purchase transactions, the underwriters' purchases to cover the syndicate short sales may have the effect of raising or maintaining the market price of the common stock or preventing or retarding a decline in the market price of the shares of common stock. As a result, the price of the shares of common stock may be higher than the price that might otherwise exist in the open market.</w:t>
      </w:r>
    </w:p>
    <w:p>
      <w:pPr>
        <w:spacing w:after="0" w:line="200" w:lineRule="exact"/>
        <w:rPr>
          <w:sz w:val="20"/>
          <w:szCs w:val="20"/>
          <w:color w:val="auto"/>
        </w:rPr>
      </w:pPr>
    </w:p>
    <w:p>
      <w:pPr>
        <w:ind w:right="1999" w:firstLine="519"/>
        <w:spacing w:after="0" w:line="249" w:lineRule="auto"/>
        <w:rPr>
          <w:sz w:val="20"/>
          <w:szCs w:val="20"/>
          <w:color w:val="auto"/>
        </w:rPr>
      </w:pPr>
      <w:r>
        <w:rPr>
          <w:rFonts w:ascii="Courier New" w:cs="Courier New" w:eastAsia="Courier New" w:hAnsi="Courier New"/>
          <w:sz w:val="17"/>
          <w:szCs w:val="17"/>
          <w:color w:val="auto"/>
        </w:rPr>
        <w:t>Neither we nor any of the underwriters make any representation or prediction as to the direction or magnitude of any effect that the transactions described above may have on the price of the common stock. In addition, neither we nor any of the representatives make any representation that the representatives will engage in these transactions or that these transactions, once commenced, will not be discontinued without notice.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ELECTRONIC PROSPECTUS</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Merrill Lynch, Pierce, Fenner &amp; Smith Incorporated will be facilitating Internet distribution for this offering to certain of its Internet subscription customers. Merrill Lynch intends to allocate a limited number of shares for sale to its online brokerage customers. An electronic prospectus is available on the</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315" w:right="1440" w:bottom="1440" w:gutter="0" w:footer="0" w:header="0"/>
          <w:type w:val="continuous"/>
        </w:sectPr>
      </w:pPr>
    </w:p>
    <w:bookmarkStart w:id="63" w:name="page64"/>
    <w:bookmarkEnd w:id="63"/>
    <w:p>
      <w:pPr>
        <w:ind w:left="320"/>
        <w:spacing w:after="0"/>
        <w:rPr>
          <w:sz w:val="20"/>
          <w:szCs w:val="20"/>
          <w:color w:val="auto"/>
        </w:rPr>
      </w:pPr>
      <w:r>
        <w:rPr>
          <w:rFonts w:ascii="Courier New" w:cs="Courier New" w:eastAsia="Courier New" w:hAnsi="Courier New"/>
          <w:sz w:val="17"/>
          <w:szCs w:val="17"/>
          <w:color w:val="auto"/>
        </w:rPr>
        <w:t>44</w:t>
      </w:r>
    </w:p>
    <w:p>
      <w:pPr>
        <w:spacing w:after="0" w:line="207" w:lineRule="exact"/>
        <w:rPr>
          <w:sz w:val="20"/>
          <w:szCs w:val="20"/>
          <w:color w:val="auto"/>
        </w:rPr>
      </w:pPr>
    </w:p>
    <w:p>
      <w:pPr>
        <w:ind w:right="2099"/>
        <w:spacing w:after="0" w:line="250" w:lineRule="auto"/>
        <w:rPr>
          <w:sz w:val="20"/>
          <w:szCs w:val="20"/>
          <w:color w:val="auto"/>
        </w:rPr>
      </w:pPr>
      <w:r>
        <w:rPr>
          <w:rFonts w:ascii="Courier New" w:cs="Courier New" w:eastAsia="Courier New" w:hAnsi="Courier New"/>
          <w:sz w:val="17"/>
          <w:szCs w:val="17"/>
          <w:color w:val="auto"/>
        </w:rPr>
        <w:t>Internet website maintained by Merrill Lynch. Other than the prospectus in electronic format, the information on the Merrill Lynch website is not part of this prospectus.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PASSIVE MARKET MAKING</w:t>
      </w:r>
    </w:p>
    <w:p>
      <w:pPr>
        <w:spacing w:after="0" w:line="207" w:lineRule="exact"/>
        <w:rPr>
          <w:sz w:val="20"/>
          <w:szCs w:val="20"/>
          <w:color w:val="auto"/>
        </w:rPr>
      </w:pPr>
    </w:p>
    <w:p>
      <w:pPr>
        <w:ind w:right="2099" w:firstLine="519"/>
        <w:spacing w:after="0" w:line="249" w:lineRule="auto"/>
        <w:rPr>
          <w:sz w:val="20"/>
          <w:szCs w:val="20"/>
          <w:color w:val="auto"/>
        </w:rPr>
      </w:pPr>
      <w:r>
        <w:rPr>
          <w:rFonts w:ascii="Courier New" w:cs="Courier New" w:eastAsia="Courier New" w:hAnsi="Courier New"/>
          <w:sz w:val="17"/>
          <w:szCs w:val="17"/>
          <w:color w:val="auto"/>
        </w:rPr>
        <w:t>In connection with this offering, underwriters and selling group members may engage in passive market making transactions in the common stock on the Nasdaq National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RELATIONSHIPS</w:t>
      </w:r>
    </w:p>
    <w:p>
      <w:pPr>
        <w:spacing w:after="0" w:line="207" w:lineRule="exact"/>
        <w:rPr>
          <w:sz w:val="20"/>
          <w:szCs w:val="20"/>
          <w:color w:val="auto"/>
        </w:rPr>
      </w:pPr>
    </w:p>
    <w:p>
      <w:pPr>
        <w:ind w:right="2099" w:firstLine="519"/>
        <w:spacing w:after="0" w:line="249" w:lineRule="auto"/>
        <w:rPr>
          <w:sz w:val="20"/>
          <w:szCs w:val="20"/>
          <w:color w:val="auto"/>
        </w:rPr>
      </w:pPr>
      <w:r>
        <w:rPr>
          <w:rFonts w:ascii="Courier New" w:cs="Courier New" w:eastAsia="Courier New" w:hAnsi="Courier New"/>
          <w:sz w:val="17"/>
          <w:szCs w:val="17"/>
          <w:color w:val="auto"/>
        </w:rPr>
        <w:t>Some of 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200"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LEGAL MATTERS</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Skadden, Arps, Slate, Meagher &amp; Flom LLP, New York, New York will pass upon the validity of our common stock offered by this prospectus. Shearman &amp; Sterling, New York, New York will pass upon certain legal matters in connection with this offering for the underwriters.</w:t>
      </w:r>
    </w:p>
    <w:p>
      <w:pPr>
        <w:spacing w:after="0" w:line="200"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EXPERTS</w:t>
      </w:r>
    </w:p>
    <w:p>
      <w:pPr>
        <w:spacing w:after="0" w:line="200" w:lineRule="exact"/>
        <w:rPr>
          <w:sz w:val="20"/>
          <w:szCs w:val="20"/>
          <w:color w:val="auto"/>
        </w:rPr>
      </w:pP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financial statements of Regeneron Pharmaceuticals, Inc. incorporated in this prospectus by reference to the Annual Report on Form 10-K of Regeneron Pharmaceuticals, Inc. for the year ended December 31, 2000, except as they relate to Amgen-Regeneron Partners, have been audited by PricewaterhouseCoopers LLP, independent accountants, and, insofar as they relate to Amgen-Regeneron Partners, by Ernst &amp; Young LLP, independent auditors, whose report thereon is incorporated by reference herein. Such financial statements have been so incorporated in this prospectus by reference in reliance on the report of such independent accountants given on the authority of such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319" w:firstLine="519"/>
        <w:spacing w:after="0" w:line="248" w:lineRule="auto"/>
        <w:rPr>
          <w:sz w:val="20"/>
          <w:szCs w:val="20"/>
          <w:color w:val="auto"/>
        </w:rPr>
      </w:pPr>
      <w:r>
        <w:rPr>
          <w:rFonts w:ascii="Courier New" w:cs="Courier New" w:eastAsia="Courier New" w:hAnsi="Courier New"/>
          <w:sz w:val="17"/>
          <w:szCs w:val="17"/>
          <w:color w:val="auto"/>
        </w:rPr>
        <w:t>Ernst &amp; Young LLP, independent auditors, have audited the financial statements of Amgen-Regeneron Partners included in our Annual Report on Form</w:t>
      </w:r>
    </w:p>
    <w:p>
      <w:pPr>
        <w:spacing w:after="0" w:line="2"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10-K for the year ended December 31, 2000, as set forth in their report, which is incorporated by reference in this prospectus and elsewhere in the registration statement. The Amgen-Regeneron Partners' financial statements are incorporated by reference in reliance on Ernst &amp; Young LLP's report, given on their authority as experts in accounting and auditing.</w:t>
      </w:r>
    </w:p>
    <w:p>
      <w:pPr>
        <w:spacing w:after="0" w:line="400"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WHERE YOU CAN FIND ADDITIONAL INFORMATION</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We file annual, quarterly and special reports, proxy statements and other information with the SEC. You may read and copy any documents we file at the SEC's Public Reference Room at 450 Fifth Street, N.W., Washington, D.C. 20549 and at the Regional Offices of the SEC at 7 World Trade Center, 13th Floor, New York, New York 10048 and Citicorp Center, 500 West Madison Street, Suite 1400, Chicago, Illinois 60601. Please call the SEC at 1-800-SEC-0330 for further information on the public reference rooms. The SEC maintains a site on the World Wide Web at http://www.sec.gov that contains our SEC filings and reports, proxy and information statements and other information regarding registrants.</w:t>
      </w:r>
    </w:p>
    <w:p>
      <w:pPr>
        <w:spacing w:after="0" w:line="200" w:lineRule="exact"/>
        <w:rPr>
          <w:sz w:val="20"/>
          <w:szCs w:val="20"/>
          <w:color w:val="auto"/>
        </w:rPr>
      </w:pPr>
    </w:p>
    <w:p>
      <w:pPr>
        <w:ind w:right="1899" w:firstLine="519"/>
        <w:spacing w:after="0" w:line="248" w:lineRule="auto"/>
        <w:rPr>
          <w:sz w:val="20"/>
          <w:szCs w:val="20"/>
          <w:color w:val="auto"/>
        </w:rPr>
      </w:pPr>
      <w:r>
        <w:rPr>
          <w:rFonts w:ascii="Courier New" w:cs="Courier New" w:eastAsia="Courier New" w:hAnsi="Courier New"/>
          <w:sz w:val="17"/>
          <w:szCs w:val="17"/>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w:t>
      </w:r>
    </w:p>
    <w:p>
      <w:pPr>
        <w:spacing w:after="0" w:line="3"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315"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7"/>
          <w:szCs w:val="17"/>
          <w:color w:val="auto"/>
        </w:rPr>
        <w:t>45</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SEC will automatically update and supersede this information. We incorporate by reference the documents listed below and all future filings we make with the SEC after the date of the initial registration statement and prior to effectiveness of the registration statement and any filings thereafter and prior to the termination of this offering with the SEC under Section 13(a), 13(c), 14, or 15(d) of the Securities Exchange Act of 1934:</w:t>
      </w:r>
    </w:p>
    <w:p>
      <w:pPr>
        <w:spacing w:after="0" w:line="40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(1) our Annual Report on Form 10-K for the year ended December 31,</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2000;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right="2099" w:firstLine="525"/>
        <w:spacing w:after="0" w:line="250" w:lineRule="auto"/>
        <w:tabs>
          <w:tab w:leader="none" w:pos="1455"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our common stock contained in Item 1 of our Registration Statement on Form 8-A filed on February 20, 1991, as amended by a Form 8 filed on March 27, 1991.</w:t>
      </w:r>
    </w:p>
    <w:p>
      <w:pPr>
        <w:spacing w:after="0" w:line="397" w:lineRule="exact"/>
        <w:rPr>
          <w:sz w:val="20"/>
          <w:szCs w:val="20"/>
          <w:color w:val="auto"/>
        </w:rPr>
      </w:pPr>
    </w:p>
    <w:p>
      <w:pPr>
        <w:ind w:right="2839" w:firstLine="519"/>
        <w:spacing w:after="0" w:line="251" w:lineRule="auto"/>
        <w:rPr>
          <w:sz w:val="20"/>
          <w:szCs w:val="20"/>
          <w:color w:val="auto"/>
        </w:rPr>
      </w:pPr>
      <w:r>
        <w:rPr>
          <w:rFonts w:ascii="Courier New" w:cs="Courier New" w:eastAsia="Courier New" w:hAnsi="Courier New"/>
          <w:sz w:val="17"/>
          <w:szCs w:val="17"/>
          <w:color w:val="auto"/>
        </w:rPr>
        <w:t>You may request a copy of these filings, at no cost, by writing or telephoning us at the following address:</w:t>
      </w:r>
    </w:p>
    <w:p>
      <w:pPr>
        <w:spacing w:after="0" w:line="19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Regeneron Pharmaceuticals, Inc.</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777 Old Saw Mill River Road</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Tarrytown, New York 10591-6707</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(914) 347-7000</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Attention: Murray A. Goldberg</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Chief Financial Officer</w:t>
      </w:r>
    </w:p>
    <w:p>
      <w:pPr>
        <w:spacing w:after="0" w:line="20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10219"/>
          </w:cols>
          <w:pgMar w:left="240" w:top="315"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7"/>
          <w:szCs w:val="17"/>
          <w:color w:val="auto"/>
        </w:rPr>
        <w:t>46</w:t>
      </w:r>
    </w:p>
    <w:p>
      <w:pPr>
        <w:spacing w:after="0" w:line="207" w:lineRule="exact"/>
        <w:rPr>
          <w:sz w:val="20"/>
          <w:szCs w:val="20"/>
          <w:color w:val="auto"/>
        </w:rPr>
      </w:pPr>
    </w:p>
    <w:p>
      <w:pPr>
        <w:ind w:left="220" w:hanging="213"/>
        <w:spacing w:after="0"/>
        <w:tabs>
          <w:tab w:leader="none" w:pos="2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4,000,000 SHARES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REGENERON PHARMACEUTICALS, INC.</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COMMON STOCK</w:t>
      </w:r>
    </w:p>
    <w:p>
      <w:pPr>
        <w:spacing w:after="0" w:line="207"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PROSPECTUS</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MERRILL LYNCH &amp; CO.</w:t>
      </w:r>
    </w:p>
    <w:p>
      <w:pPr>
        <w:spacing w:after="0" w:line="20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JP MORGAN</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ROBERTSON STEPHENS</w:t>
      </w:r>
    </w:p>
    <w:p>
      <w:pPr>
        <w:spacing w:after="0" w:line="207"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 2001</w:t>
      </w:r>
    </w:p>
    <w:p>
      <w:pPr>
        <w:spacing w:after="0" w:line="207" w:lineRule="exact"/>
        <w:rPr>
          <w:sz w:val="20"/>
          <w:szCs w:val="20"/>
          <w:color w:val="auto"/>
        </w:rPr>
      </w:pPr>
    </w:p>
    <w:p>
      <w:pPr>
        <w:ind w:left="220" w:hanging="213"/>
        <w:spacing w:after="0"/>
        <w:tabs>
          <w:tab w:leader="none" w:pos="2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5" w:right="1440" w:bottom="1440" w:gutter="0" w:footer="0" w:header="0"/>
        </w:sectPr>
      </w:pPr>
    </w:p>
    <w:bookmarkStart w:id="66" w:name="page67"/>
    <w:bookmarkEnd w:id="66"/>
    <w:p>
      <w:pPr>
        <w:ind w:left="320"/>
        <w:spacing w:after="0"/>
        <w:rPr>
          <w:sz w:val="20"/>
          <w:szCs w:val="20"/>
          <w:color w:val="auto"/>
        </w:rPr>
      </w:pPr>
      <w:r>
        <w:rPr>
          <w:rFonts w:ascii="Courier New" w:cs="Courier New" w:eastAsia="Courier New" w:hAnsi="Courier New"/>
          <w:sz w:val="17"/>
          <w:szCs w:val="17"/>
          <w:color w:val="auto"/>
        </w:rPr>
        <w:t>47</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PART II</w:t>
      </w:r>
    </w:p>
    <w:p>
      <w:pPr>
        <w:spacing w:after="0" w:line="207"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INFORMATION NOT REQUIRED IN PROSPECTUS</w:t>
      </w:r>
    </w:p>
    <w:p>
      <w:pPr>
        <w:spacing w:after="0" w:line="20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ITEM 14.</w:t>
        <w:tab/>
        <w:t>OTHER EXPENSES OF ISSUANCE AND DISTRIBUTION.</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following table sets forth all fees and expenses in connection with the issuance and distribution of the securities being registered hereby (other than underwriting discounts and commissions). All of such expenses, except the Securities and Exchange Commission registration fee, the National Association of Securities Dealers, Inc. ("NASD") filing fee and the NASDAQ listing fee are estimated.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Securities and Exchange Commission registration fee.........</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$ 39,648.55</w:t>
            </w: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NASDAQ listing fee..........................................</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17,500.00</w:t>
            </w: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NASD filing fee.............................................</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16,359.42</w:t>
            </w: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Legal fees and expenses.....................................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195,000.00</w:t>
            </w: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Transfer Agent and Registrar fees and expenses..............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5,000.00</w:t>
            </w: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Accounting fees and expenses................................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185,000.00</w:t>
            </w: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Blue sky fees and expenses (including counsel fees).........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10,000.00</w:t>
            </w: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Printing expenses...........................................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100,000.00</w:t>
            </w: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Miscellaneous...............................................</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131,492.03</w:t>
            </w:r>
          </w:p>
        </w:tc>
      </w:tr>
      <w:tr>
        <w:trPr>
          <w:trHeight w:val="200"/>
        </w:trPr>
        <w:tc>
          <w:tcPr>
            <w:tcW w:w="6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Total.............................................</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$700,000.00</w:t>
            </w:r>
          </w:p>
        </w:tc>
      </w:tr>
      <w:tr>
        <w:trPr>
          <w:trHeight w:val="200"/>
        </w:trPr>
        <w:tc>
          <w:tcPr>
            <w:tcW w:w="63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ITEM 15.</w:t>
        <w:tab/>
        <w:t>INDEMNIFICATION OF DIRECTORS AND OFFICERS.</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Article Seven of the Registrant's Restated Certificate of Incorporation requires indemnification of the Registrant's officers and directs that such indemnification be made to the fullest extent permitted by the New York Business Corporation Law.</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Section 722 of the New York Business Corporation Law permits a corporation to provide for the indemnification of the members of its board of directors and its officers against actions or proceedings, or the threat thereof, by or in the right of the corporation. In order to receive indemnification, such director or officer must have (i) acted in good faith for a purpose which he reasonably believed was in the best interest of the corporation, and (ii) in the case of a criminal proceeding, also had no reasonable belief that such conduct was unlawful.</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Article IV of the Company's By-Laws provides that the directors and certain other personnel of the Company shall be indemnified against expenses and certain other liabilities arising out of legal actions brought or threatened against them for their conduct on behalf of the Company, subject to certain qualifications and provided that each such person acted in good faith and in a manner that they reasonably believed was in the Company's best interest.</w:t>
      </w:r>
    </w:p>
    <w:p>
      <w:pPr>
        <w:spacing w:after="0" w:line="200" w:lineRule="exact"/>
        <w:rPr>
          <w:sz w:val="20"/>
          <w:szCs w:val="20"/>
          <w:color w:val="auto"/>
        </w:rPr>
      </w:pPr>
    </w:p>
    <w:p>
      <w:pPr>
        <w:ind w:right="2099" w:firstLine="519"/>
        <w:spacing w:after="0" w:line="249" w:lineRule="auto"/>
        <w:rPr>
          <w:sz w:val="20"/>
          <w:szCs w:val="20"/>
          <w:color w:val="auto"/>
        </w:rPr>
      </w:pPr>
      <w:r>
        <w:rPr>
          <w:rFonts w:ascii="Courier New" w:cs="Courier New" w:eastAsia="Courier New" w:hAnsi="Courier New"/>
          <w:sz w:val="17"/>
          <w:szCs w:val="17"/>
          <w:color w:val="auto"/>
        </w:rPr>
        <w:t>Each of the directors has entered into an agreement with the Company that provides that the Company will indemnify such director to the fullest extent permitted by the New York Business Corporation Law. The Company maintains directors' and officers' liability insurance which insures against liabilities that directors or officers of the Company may incur in such capacities.</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Reference is made to the proposed Underwriting Agreement filed as Exhibit 1 to this Registration Statement for certain provisions relating to the indemnification of directors and officers of the Company against certain liabilities under the Securities Act of 1933.</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315" w:right="1440" w:bottom="1440"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7"/>
          <w:szCs w:val="17"/>
          <w:color w:val="auto"/>
        </w:rPr>
        <w:t>48</w:t>
      </w:r>
    </w:p>
    <w:p>
      <w:pPr>
        <w:spacing w:after="0" w:line="20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ITEM 16.</w:t>
        <w:tab/>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7"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7"/>
          <w:szCs w:val="17"/>
          <w:color w:val="auto"/>
        </w:rPr>
        <w:t>NUMBER</w:t>
      </w:r>
      <w:r>
        <w:rPr>
          <w:sz w:val="20"/>
          <w:szCs w:val="20"/>
          <w:color w:val="auto"/>
        </w:rPr>
        <w:tab/>
      </w:r>
      <w:r>
        <w:rPr>
          <w:rFonts w:ascii="Courier New" w:cs="Courier New" w:eastAsia="Courier New" w:hAnsi="Courier New"/>
          <w:sz w:val="17"/>
          <w:szCs w:val="17"/>
          <w:color w:val="auto"/>
        </w:rPr>
        <w:t>DESCRIPTION</w:t>
      </w:r>
    </w:p>
    <w:p>
      <w:pPr>
        <w:spacing w:after="0" w:line="7"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w:t>
      </w:r>
    </w:p>
    <w:p>
      <w:pPr>
        <w:spacing w:after="0" w:line="207" w:lineRule="exact"/>
        <w:rPr>
          <w:sz w:val="20"/>
          <w:szCs w:val="20"/>
          <w:color w:val="auto"/>
        </w:rPr>
      </w:pPr>
    </w:p>
    <w:p>
      <w:pPr>
        <w:ind w:left="1040" w:hanging="930"/>
        <w:spacing w:after="0"/>
        <w:tabs>
          <w:tab w:leader="none" w:pos="10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Form of Underwriting Agreement.</w:t>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660" w:type="dxa"/>
            <w:vAlign w:val="bottom"/>
          </w:tcPr>
          <w:p>
            <w:pPr>
              <w:spacing w:after="0"/>
              <w:rPr>
                <w:sz w:val="20"/>
                <w:szCs w:val="20"/>
                <w:color w:val="auto"/>
              </w:rPr>
            </w:pPr>
            <w:r>
              <w:rPr>
                <w:rFonts w:ascii="Courier New" w:cs="Courier New" w:eastAsia="Courier New" w:hAnsi="Courier New"/>
                <w:sz w:val="17"/>
                <w:szCs w:val="17"/>
                <w:color w:val="auto"/>
              </w:rPr>
              <w:t>4.1</w:t>
            </w:r>
          </w:p>
        </w:tc>
        <w:tc>
          <w:tcPr>
            <w:tcW w:w="6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Stock Purchase Agreement dated January 13, 1988, by and</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between the Company, Leonard S. Schleifer and ML Venture</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Partners II,</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L.P. (the "Stock Purchase Agreement").</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Incorporated</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by reference to Exhibit 10.1 to Regeneron's</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Registration</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Statement on Form S-1 (File No. 33-39043) (the</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"Regeneron S-1").</w:t>
            </w:r>
          </w:p>
        </w:tc>
      </w:tr>
      <w:tr>
        <w:trPr>
          <w:trHeight w:val="200"/>
        </w:trPr>
        <w:tc>
          <w:tcPr>
            <w:tcW w:w="660" w:type="dxa"/>
            <w:vAlign w:val="bottom"/>
          </w:tcPr>
          <w:p>
            <w:pPr>
              <w:spacing w:after="0"/>
              <w:rPr>
                <w:sz w:val="20"/>
                <w:szCs w:val="20"/>
                <w:color w:val="auto"/>
              </w:rPr>
            </w:pPr>
            <w:r>
              <w:rPr>
                <w:rFonts w:ascii="Courier New" w:cs="Courier New" w:eastAsia="Courier New" w:hAnsi="Courier New"/>
                <w:sz w:val="17"/>
                <w:szCs w:val="17"/>
                <w:color w:val="auto"/>
              </w:rPr>
              <w:t>4.2</w:t>
            </w:r>
          </w:p>
        </w:tc>
        <w:tc>
          <w:tcPr>
            <w:tcW w:w="6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Amendment to</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the Stock Purchase Agreement dated March 3,</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1989. Incorporated by reference to Exhibit 10.2 to the</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Regeneron S-1.</w:t>
            </w:r>
          </w:p>
        </w:tc>
      </w:tr>
      <w:tr>
        <w:trPr>
          <w:trHeight w:val="200"/>
        </w:trPr>
        <w:tc>
          <w:tcPr>
            <w:tcW w:w="660" w:type="dxa"/>
            <w:vAlign w:val="bottom"/>
          </w:tcPr>
          <w:p>
            <w:pPr>
              <w:spacing w:after="0"/>
              <w:rPr>
                <w:sz w:val="20"/>
                <w:szCs w:val="20"/>
                <w:color w:val="auto"/>
              </w:rPr>
            </w:pPr>
            <w:r>
              <w:rPr>
                <w:rFonts w:ascii="Courier New" w:cs="Courier New" w:eastAsia="Courier New" w:hAnsi="Courier New"/>
                <w:sz w:val="17"/>
                <w:szCs w:val="17"/>
                <w:color w:val="auto"/>
              </w:rPr>
              <w:t>4.3</w:t>
            </w:r>
          </w:p>
        </w:tc>
        <w:tc>
          <w:tcPr>
            <w:tcW w:w="6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Letter Agreement dated November 27, 1989, amending the Stock</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Purchase Agreement. Incorporated by reference to Exhibit</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10.13 to the</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Regeneron S-1.</w:t>
            </w:r>
          </w:p>
        </w:tc>
      </w:tr>
      <w:tr>
        <w:trPr>
          <w:trHeight w:val="200"/>
        </w:trPr>
        <w:tc>
          <w:tcPr>
            <w:tcW w:w="660" w:type="dxa"/>
            <w:vAlign w:val="bottom"/>
          </w:tcPr>
          <w:p>
            <w:pPr>
              <w:spacing w:after="0"/>
              <w:rPr>
                <w:sz w:val="20"/>
                <w:szCs w:val="20"/>
                <w:color w:val="auto"/>
              </w:rPr>
            </w:pPr>
            <w:r>
              <w:rPr>
                <w:rFonts w:ascii="Courier New" w:cs="Courier New" w:eastAsia="Courier New" w:hAnsi="Courier New"/>
                <w:sz w:val="17"/>
                <w:szCs w:val="17"/>
                <w:color w:val="auto"/>
              </w:rPr>
              <w:t>4.4</w:t>
            </w:r>
          </w:p>
        </w:tc>
        <w:tc>
          <w:tcPr>
            <w:tcW w:w="6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Class B Convertible Preferred Stock Purchase Agreement dated</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November 22,</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1988, by and between the Company and each</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purchaser set forth on Exhibit A thereto. Incorporated by</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reference to</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Exhibit 10.3 to the Regeneron S-1.</w:t>
            </w:r>
          </w:p>
        </w:tc>
      </w:tr>
      <w:tr>
        <w:trPr>
          <w:trHeight w:val="200"/>
        </w:trPr>
        <w:tc>
          <w:tcPr>
            <w:tcW w:w="660" w:type="dxa"/>
            <w:vAlign w:val="bottom"/>
          </w:tcPr>
          <w:p>
            <w:pPr>
              <w:spacing w:after="0"/>
              <w:rPr>
                <w:sz w:val="20"/>
                <w:szCs w:val="20"/>
                <w:color w:val="auto"/>
              </w:rPr>
            </w:pPr>
            <w:r>
              <w:rPr>
                <w:rFonts w:ascii="Courier New" w:cs="Courier New" w:eastAsia="Courier New" w:hAnsi="Courier New"/>
                <w:sz w:val="17"/>
                <w:szCs w:val="17"/>
                <w:color w:val="auto"/>
              </w:rPr>
              <w:t>4.5</w:t>
            </w:r>
          </w:p>
        </w:tc>
        <w:tc>
          <w:tcPr>
            <w:tcW w:w="6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Class D Convertible Preferred Stock Purchase Agreement dated</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August 31, 1990, by and between the Company and Amgen Inc.</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Incorporated</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by reference to Exhibit 10.9 to the Regeneron</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S-1.</w:t>
            </w:r>
          </w:p>
        </w:tc>
        <w:tc>
          <w:tcPr>
            <w:tcW w:w="4940" w:type="dxa"/>
            <w:vAlign w:val="bottom"/>
          </w:tcPr>
          <w:p>
            <w:pPr>
              <w:spacing w:after="0"/>
              <w:rPr>
                <w:sz w:val="17"/>
                <w:szCs w:val="17"/>
                <w:color w:val="auto"/>
              </w:rPr>
            </w:pPr>
          </w:p>
        </w:tc>
      </w:tr>
      <w:tr>
        <w:trPr>
          <w:trHeight w:val="200"/>
        </w:trPr>
        <w:tc>
          <w:tcPr>
            <w:tcW w:w="660" w:type="dxa"/>
            <w:vAlign w:val="bottom"/>
          </w:tcPr>
          <w:p>
            <w:pPr>
              <w:spacing w:after="0"/>
              <w:rPr>
                <w:sz w:val="20"/>
                <w:szCs w:val="20"/>
                <w:color w:val="auto"/>
              </w:rPr>
            </w:pPr>
            <w:r>
              <w:rPr>
                <w:rFonts w:ascii="Courier New" w:cs="Courier New" w:eastAsia="Courier New" w:hAnsi="Courier New"/>
                <w:sz w:val="17"/>
                <w:szCs w:val="17"/>
                <w:color w:val="auto"/>
              </w:rPr>
              <w:t>4.6</w:t>
            </w:r>
          </w:p>
        </w:tc>
        <w:tc>
          <w:tcPr>
            <w:tcW w:w="6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Registration</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Rights Agreement, dated as of July 22, 1993, by</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and between the Company and Glaxo Group Limited.</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Incorporated</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by reference to Exhibit 4.7 to Regeneron's</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Registration</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Statement on Form S-3 (File No. 33-66788).</w:t>
            </w:r>
          </w:p>
        </w:tc>
      </w:tr>
      <w:tr>
        <w:trPr>
          <w:trHeight w:val="200"/>
        </w:trPr>
        <w:tc>
          <w:tcPr>
            <w:tcW w:w="660" w:type="dxa"/>
            <w:vAlign w:val="bottom"/>
          </w:tcPr>
          <w:p>
            <w:pPr>
              <w:spacing w:after="0"/>
              <w:rPr>
                <w:sz w:val="20"/>
                <w:szCs w:val="20"/>
                <w:color w:val="auto"/>
              </w:rPr>
            </w:pPr>
            <w:r>
              <w:rPr>
                <w:rFonts w:ascii="Courier New" w:cs="Courier New" w:eastAsia="Courier New" w:hAnsi="Courier New"/>
                <w:sz w:val="17"/>
                <w:szCs w:val="17"/>
                <w:color w:val="auto"/>
              </w:rPr>
              <w:t>4.7</w:t>
            </w:r>
          </w:p>
        </w:tc>
        <w:tc>
          <w:tcPr>
            <w:tcW w:w="6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Registration</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Rights Agreement, dated as of April 15, 1996,</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by and between the Company and Amgen Inc. Incorporated by</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reference to</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Exhibit 10.3 to Regeneron's Form 10-Q for the</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quarter ended June 30, 1996, filed August 14, 1996.</w:t>
            </w:r>
          </w:p>
        </w:tc>
      </w:tr>
      <w:tr>
        <w:trPr>
          <w:trHeight w:val="200"/>
        </w:trPr>
        <w:tc>
          <w:tcPr>
            <w:tcW w:w="660" w:type="dxa"/>
            <w:vAlign w:val="bottom"/>
          </w:tcPr>
          <w:p>
            <w:pPr>
              <w:spacing w:after="0"/>
              <w:rPr>
                <w:sz w:val="20"/>
                <w:szCs w:val="20"/>
                <w:color w:val="auto"/>
              </w:rPr>
            </w:pPr>
            <w:r>
              <w:rPr>
                <w:rFonts w:ascii="Courier New" w:cs="Courier New" w:eastAsia="Courier New" w:hAnsi="Courier New"/>
                <w:sz w:val="17"/>
                <w:szCs w:val="17"/>
                <w:color w:val="auto"/>
              </w:rPr>
              <w:t>4.8</w:t>
            </w:r>
          </w:p>
        </w:tc>
        <w:tc>
          <w:tcPr>
            <w:tcW w:w="6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Registration</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Rights Agreement, dated as of June 27, 1996, by</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and between the Company and Medtronic, Inc. Incorporated by</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reference to</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Exhibit 10.6 to Regeneron's Form 10-Q for the</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quarter ended June 30, 1996, filed August 14, 1996.</w:t>
            </w:r>
          </w:p>
        </w:tc>
      </w:tr>
      <w:tr>
        <w:trPr>
          <w:trHeight w:val="200"/>
        </w:trPr>
        <w:tc>
          <w:tcPr>
            <w:tcW w:w="660" w:type="dxa"/>
            <w:vAlign w:val="bottom"/>
          </w:tcPr>
          <w:p>
            <w:pPr>
              <w:spacing w:after="0"/>
              <w:rPr>
                <w:sz w:val="20"/>
                <w:szCs w:val="20"/>
                <w:color w:val="auto"/>
              </w:rPr>
            </w:pPr>
            <w:r>
              <w:rPr>
                <w:rFonts w:ascii="Courier New" w:cs="Courier New" w:eastAsia="Courier New" w:hAnsi="Courier New"/>
                <w:sz w:val="17"/>
                <w:szCs w:val="17"/>
                <w:color w:val="auto"/>
              </w:rPr>
              <w:t>4.9</w:t>
            </w:r>
          </w:p>
        </w:tc>
        <w:tc>
          <w:tcPr>
            <w:tcW w:w="6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Registration</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Rights Agreement, dated as of December 11,</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1996, by and</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between the Company and Procter &amp; Gamble</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Pharmaceuticals. Incorporated by reference to Exhibit 10.30</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to Regeneron's Form 10-K for the fiscal year ended December</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31, 1996, filed March 26, 1997.</w:t>
            </w:r>
          </w:p>
        </w:tc>
      </w:tr>
      <w:tr>
        <w:trPr>
          <w:trHeight w:val="200"/>
        </w:trPr>
        <w:tc>
          <w:tcPr>
            <w:tcW w:w="660" w:type="dxa"/>
            <w:vAlign w:val="bottom"/>
          </w:tcPr>
          <w:p>
            <w:pPr>
              <w:spacing w:after="0"/>
              <w:rPr>
                <w:sz w:val="20"/>
                <w:szCs w:val="20"/>
                <w:color w:val="auto"/>
              </w:rPr>
            </w:pPr>
            <w:r>
              <w:rPr>
                <w:rFonts w:ascii="Courier New" w:cs="Courier New" w:eastAsia="Courier New" w:hAnsi="Courier New"/>
                <w:sz w:val="17"/>
                <w:szCs w:val="17"/>
                <w:color w:val="auto"/>
              </w:rPr>
              <w:t>4.10</w:t>
            </w:r>
          </w:p>
        </w:tc>
        <w:tc>
          <w:tcPr>
            <w:tcW w:w="6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Registration</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Rights Agreement, dated as of May 13, 1997, by</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and between the Company and Procter &amp; Gamble</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Pharmaceuticals. Incorporated by reference to Exhibit 10.3</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to Regeneron's Form 10-Q for the quarter ended June 30,</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1997, filed August 12, 1997.</w:t>
            </w:r>
          </w:p>
        </w:tc>
      </w:tr>
      <w:tr>
        <w:trPr>
          <w:trHeight w:val="200"/>
        </w:trPr>
        <w:tc>
          <w:tcPr>
            <w:tcW w:w="660" w:type="dxa"/>
            <w:vAlign w:val="bottom"/>
          </w:tcPr>
          <w:p>
            <w:pPr>
              <w:spacing w:after="0"/>
              <w:rPr>
                <w:sz w:val="20"/>
                <w:szCs w:val="20"/>
                <w:color w:val="auto"/>
              </w:rPr>
            </w:pPr>
            <w:r>
              <w:rPr>
                <w:rFonts w:ascii="Courier New" w:cs="Courier New" w:eastAsia="Courier New" w:hAnsi="Courier New"/>
                <w:sz w:val="17"/>
                <w:szCs w:val="17"/>
                <w:color w:val="auto"/>
              </w:rPr>
              <w:t>4.11</w:t>
            </w:r>
          </w:p>
        </w:tc>
        <w:tc>
          <w:tcPr>
            <w:tcW w:w="6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Form of Certificate of shares of common stock. Incorporated</w:t>
            </w:r>
          </w:p>
        </w:tc>
      </w:tr>
      <w:tr>
        <w:trPr>
          <w:trHeight w:val="200"/>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by reference</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to Exhibit (a) to the Company's Form 8-A, filed</w:t>
            </w:r>
          </w:p>
        </w:tc>
      </w:tr>
    </w:tbl>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with the Commission on February 20, 1991.</w:t>
      </w:r>
    </w:p>
    <w:p>
      <w:pPr>
        <w:spacing w:after="0" w:line="7" w:lineRule="exact"/>
        <w:rPr>
          <w:sz w:val="20"/>
          <w:szCs w:val="20"/>
          <w:color w:val="auto"/>
        </w:rPr>
      </w:pPr>
    </w:p>
    <w:p>
      <w:pPr>
        <w:ind w:left="1040" w:hanging="930"/>
        <w:spacing w:after="0"/>
        <w:tabs>
          <w:tab w:leader="none" w:pos="104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Opinion of Skadden, Arps, Slate, Meagher &amp; Flom LLP.</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7"/>
              </w:rPr>
              <w:t>23.1</w:t>
            </w:r>
          </w:p>
        </w:tc>
        <w:tc>
          <w:tcPr>
            <w:tcW w:w="6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55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Consent of PricewaterhouseCoopers LLP, Independent</w:t>
            </w:r>
          </w:p>
        </w:tc>
      </w:tr>
      <w:tr>
        <w:trPr>
          <w:trHeight w:val="200"/>
        </w:trPr>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5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Accountants.</w:t>
            </w:r>
          </w:p>
        </w:tc>
      </w:tr>
      <w:tr>
        <w:trPr>
          <w:trHeight w:val="200"/>
        </w:trPr>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7"/>
              </w:rPr>
              <w:t>23.2</w:t>
            </w:r>
          </w:p>
        </w:tc>
        <w:tc>
          <w:tcPr>
            <w:tcW w:w="6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ind w:left="160"/>
              <w:spacing w:after="0"/>
              <w:rPr>
                <w:sz w:val="20"/>
                <w:szCs w:val="20"/>
                <w:color w:val="auto"/>
              </w:rPr>
            </w:pPr>
            <w:r>
              <w:rPr>
                <w:rFonts w:ascii="Courier New" w:cs="Courier New" w:eastAsia="Courier New" w:hAnsi="Courier New"/>
                <w:sz w:val="17"/>
                <w:szCs w:val="17"/>
                <w:color w:val="auto"/>
              </w:rPr>
              <w:t>Consent of</w:t>
            </w:r>
          </w:p>
        </w:tc>
        <w:tc>
          <w:tcPr>
            <w:tcW w:w="4300" w:type="dxa"/>
            <w:vAlign w:val="bottom"/>
          </w:tcPr>
          <w:p>
            <w:pPr>
              <w:ind w:left="40"/>
              <w:spacing w:after="0"/>
              <w:rPr>
                <w:sz w:val="20"/>
                <w:szCs w:val="20"/>
                <w:color w:val="auto"/>
              </w:rPr>
            </w:pPr>
            <w:r>
              <w:rPr>
                <w:rFonts w:ascii="Courier New" w:cs="Courier New" w:eastAsia="Courier New" w:hAnsi="Courier New"/>
                <w:sz w:val="17"/>
                <w:szCs w:val="17"/>
                <w:color w:val="auto"/>
              </w:rPr>
              <w:t>Ernst &amp; Young LLP, Independent Auditors.</w:t>
            </w:r>
          </w:p>
        </w:tc>
      </w:tr>
      <w:tr>
        <w:trPr>
          <w:trHeight w:val="200"/>
        </w:trPr>
        <w:tc>
          <w:tcPr>
            <w:tcW w:w="740" w:type="dxa"/>
            <w:vAlign w:val="bottom"/>
          </w:tcPr>
          <w:p>
            <w:pPr>
              <w:jc w:val="right"/>
              <w:ind w:right="233"/>
              <w:spacing w:after="0"/>
              <w:rPr>
                <w:sz w:val="20"/>
                <w:szCs w:val="20"/>
                <w:color w:val="auto"/>
              </w:rPr>
            </w:pPr>
            <w:r>
              <w:rPr>
                <w:rFonts w:ascii="Courier New" w:cs="Courier New" w:eastAsia="Courier New" w:hAnsi="Courier New"/>
                <w:sz w:val="17"/>
                <w:szCs w:val="17"/>
                <w:color w:val="auto"/>
                <w:w w:val="97"/>
              </w:rPr>
              <w:t>23.3</w:t>
            </w:r>
          </w:p>
        </w:tc>
        <w:tc>
          <w:tcPr>
            <w:tcW w:w="6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ind w:left="160"/>
              <w:spacing w:after="0"/>
              <w:rPr>
                <w:sz w:val="20"/>
                <w:szCs w:val="20"/>
                <w:color w:val="auto"/>
              </w:rPr>
            </w:pPr>
            <w:r>
              <w:rPr>
                <w:rFonts w:ascii="Courier New" w:cs="Courier New" w:eastAsia="Courier New" w:hAnsi="Courier New"/>
                <w:sz w:val="17"/>
                <w:szCs w:val="17"/>
                <w:color w:val="auto"/>
              </w:rPr>
              <w:t>Consent of</w:t>
            </w:r>
          </w:p>
        </w:tc>
        <w:tc>
          <w:tcPr>
            <w:tcW w:w="4300" w:type="dxa"/>
            <w:vAlign w:val="bottom"/>
          </w:tcPr>
          <w:p>
            <w:pPr>
              <w:ind w:left="40"/>
              <w:spacing w:after="0"/>
              <w:rPr>
                <w:sz w:val="20"/>
                <w:szCs w:val="20"/>
                <w:color w:val="auto"/>
              </w:rPr>
            </w:pPr>
            <w:r>
              <w:rPr>
                <w:rFonts w:ascii="Courier New" w:cs="Courier New" w:eastAsia="Courier New" w:hAnsi="Courier New"/>
                <w:sz w:val="17"/>
                <w:szCs w:val="17"/>
                <w:color w:val="auto"/>
              </w:rPr>
              <w:t>Skadden, Arps, Slate, Meagher &amp; Flom LLP.</w:t>
            </w:r>
          </w:p>
        </w:tc>
      </w:tr>
    </w:tbl>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Included in Exhibit 5.</w:t>
      </w:r>
    </w:p>
    <w:p>
      <w:pPr>
        <w:spacing w:after="0" w:line="7" w:lineRule="exact"/>
        <w:rPr>
          <w:sz w:val="20"/>
          <w:szCs w:val="20"/>
          <w:color w:val="auto"/>
        </w:rPr>
      </w:pPr>
    </w:p>
    <w:p>
      <w:pPr>
        <w:ind w:left="1560" w:right="2619" w:hanging="1553"/>
        <w:spacing w:after="0" w:line="251" w:lineRule="auto"/>
        <w:tabs>
          <w:tab w:leader="none" w:pos="104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Powers of Attorney. Included in the signature page of this Registration Statement.</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315" w:right="1440" w:bottom="1440" w:gutter="0" w:footer="0" w:header="0"/>
          <w:type w:val="continuous"/>
        </w:sectPr>
      </w:pPr>
    </w:p>
    <w:bookmarkStart w:id="68" w:name="page69"/>
    <w:bookmarkEnd w:id="68"/>
    <w:p>
      <w:pPr>
        <w:ind w:left="320"/>
        <w:spacing w:after="0"/>
        <w:rPr>
          <w:sz w:val="20"/>
          <w:szCs w:val="20"/>
          <w:color w:val="auto"/>
        </w:rPr>
      </w:pPr>
      <w:r>
        <w:rPr>
          <w:rFonts w:ascii="Courier New" w:cs="Courier New" w:eastAsia="Courier New" w:hAnsi="Courier New"/>
          <w:sz w:val="17"/>
          <w:szCs w:val="17"/>
          <w:color w:val="auto"/>
        </w:rPr>
        <w:t>49</w:t>
      </w:r>
    </w:p>
    <w:p>
      <w:pPr>
        <w:spacing w:after="0" w:line="20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ITEM 17.</w:t>
        <w:tab/>
        <w:t>UNDERTAKINGS.</w:t>
      </w: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The undersigned Registrant hereby undertakes that, for purposes of determining any liability under the Securities Act of 1933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Insofar as indemnification for liabilities arising under the Securities Act may be permitted to directors, officers and controlling persons of the Registrant pursuant to the provisions described in "Item 14 -- Indemnification of Directors and Officers"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4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undersigned Registrant hereby undertakes that:</w:t>
      </w:r>
    </w:p>
    <w:p>
      <w:pPr>
        <w:spacing w:after="0" w:line="207" w:lineRule="exact"/>
        <w:rPr>
          <w:sz w:val="20"/>
          <w:szCs w:val="20"/>
          <w:color w:val="auto"/>
        </w:rPr>
      </w:pPr>
    </w:p>
    <w:p>
      <w:pPr>
        <w:ind w:left="520" w:right="2099" w:firstLine="525"/>
        <w:spacing w:after="0" w:line="248" w:lineRule="auto"/>
        <w:tabs>
          <w:tab w:leader="none" w:pos="1455"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spacing w:after="0" w:line="3" w:lineRule="exact"/>
        <w:rPr>
          <w:rFonts w:ascii="Courier New" w:cs="Courier New" w:eastAsia="Courier New" w:hAnsi="Courier New"/>
          <w:sz w:val="17"/>
          <w:szCs w:val="17"/>
          <w:color w:val="auto"/>
        </w:rPr>
      </w:pPr>
    </w:p>
    <w:p>
      <w:pPr>
        <w:ind w:left="520" w:right="2099" w:firstLine="6"/>
        <w:spacing w:after="0" w:line="251" w:lineRule="auto"/>
        <w:tabs>
          <w:tab w:leader="none" w:pos="936"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497(h) under the Securities Act shall de deemed to be part of this Registration Statement as of the time it was declared effective.</w:t>
      </w:r>
    </w:p>
    <w:p>
      <w:pPr>
        <w:spacing w:after="0" w:line="196" w:lineRule="exact"/>
        <w:rPr>
          <w:rFonts w:ascii="Courier New" w:cs="Courier New" w:eastAsia="Courier New" w:hAnsi="Courier New"/>
          <w:sz w:val="17"/>
          <w:szCs w:val="17"/>
          <w:color w:val="auto"/>
        </w:rPr>
      </w:pPr>
    </w:p>
    <w:p>
      <w:pPr>
        <w:ind w:left="520" w:right="1899" w:firstLine="525"/>
        <w:spacing w:after="0" w:line="249" w:lineRule="auto"/>
        <w:tabs>
          <w:tab w:leader="none" w:pos="1455"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315" w:right="1440" w:bottom="1440" w:gutter="0" w:footer="0" w:header="0"/>
        </w:sectPr>
      </w:pPr>
    </w:p>
    <w:bookmarkStart w:id="69" w:name="page70"/>
    <w:bookmarkEnd w:id="69"/>
    <w:p>
      <w:pPr>
        <w:ind w:left="320"/>
        <w:spacing w:after="0"/>
        <w:rPr>
          <w:sz w:val="20"/>
          <w:szCs w:val="20"/>
          <w:color w:val="auto"/>
        </w:rPr>
      </w:pPr>
      <w:r>
        <w:rPr>
          <w:rFonts w:ascii="Courier New" w:cs="Courier New" w:eastAsia="Courier New" w:hAnsi="Courier New"/>
          <w:sz w:val="17"/>
          <w:szCs w:val="17"/>
          <w:color w:val="auto"/>
        </w:rPr>
        <w:t>50</w:t>
      </w:r>
    </w:p>
    <w:p>
      <w:pPr>
        <w:spacing w:after="0" w:line="20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207" w:lineRule="exact"/>
        <w:rPr>
          <w:sz w:val="20"/>
          <w:szCs w:val="20"/>
          <w:color w:val="auto"/>
        </w:rPr>
      </w:pPr>
    </w:p>
    <w:p>
      <w:pPr>
        <w:ind w:right="2080" w:firstLine="519"/>
        <w:spacing w:after="0" w:line="249"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Village of Tarrytown, State of New York on March 2, 2001.</w:t>
      </w:r>
    </w:p>
    <w:p>
      <w:pPr>
        <w:spacing w:after="0" w:line="200" w:lineRule="exact"/>
        <w:rPr>
          <w:sz w:val="20"/>
          <w:szCs w:val="20"/>
          <w:color w:val="auto"/>
        </w:rPr>
      </w:pPr>
    </w:p>
    <w:p>
      <w:pPr>
        <w:spacing w:after="0" w:line="399"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REGENERON PHARMACEUTICALS, INC.</w:t>
      </w:r>
    </w:p>
    <w:p>
      <w:pPr>
        <w:spacing w:after="0" w:line="200" w:lineRule="exact"/>
        <w:rPr>
          <w:sz w:val="20"/>
          <w:szCs w:val="20"/>
          <w:color w:val="auto"/>
        </w:rPr>
      </w:pPr>
    </w:p>
    <w:p>
      <w:pPr>
        <w:spacing w:after="0" w:line="207" w:lineRule="exact"/>
        <w:rPr>
          <w:sz w:val="20"/>
          <w:szCs w:val="20"/>
          <w:color w:val="auto"/>
        </w:rPr>
      </w:pPr>
    </w:p>
    <w:p>
      <w:pPr>
        <w:jc w:val="center"/>
        <w:ind w:right="100"/>
        <w:spacing w:after="0"/>
        <w:tabs>
          <w:tab w:leader="none" w:pos="200" w:val="left"/>
        </w:tabs>
        <w:rPr>
          <w:sz w:val="20"/>
          <w:szCs w:val="20"/>
          <w:color w:val="auto"/>
        </w:rPr>
      </w:pPr>
      <w:r>
        <w:rPr>
          <w:rFonts w:ascii="Courier New" w:cs="Courier New" w:eastAsia="Courier New" w:hAnsi="Courier New"/>
          <w:sz w:val="17"/>
          <w:szCs w:val="17"/>
          <w:color w:val="auto"/>
        </w:rPr>
        <w:t>By: /s/</w:t>
        <w:tab/>
        <w:t>LEONARD S. SCHLEIFER, M.D., PH.D.</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7"/>
          <w:szCs w:val="17"/>
          <w:color w:val="auto"/>
        </w:rPr>
        <w:t>Leonard S. Schleifer, M.D., Ph.D.</w:t>
      </w:r>
    </w:p>
    <w:p>
      <w:pPr>
        <w:spacing w:after="0" w:line="7"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7"/>
          <w:szCs w:val="17"/>
          <w:color w:val="auto"/>
        </w:rPr>
        <w:t>President and Chief Executive</w:t>
      </w:r>
    </w:p>
    <w:p>
      <w:pPr>
        <w:spacing w:after="0" w:line="7"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7"/>
          <w:szCs w:val="17"/>
          <w:color w:val="auto"/>
        </w:rPr>
        <w:t>Officer</w:t>
      </w:r>
    </w:p>
    <w:p>
      <w:pPr>
        <w:spacing w:after="0" w:line="207" w:lineRule="exact"/>
        <w:rPr>
          <w:sz w:val="20"/>
          <w:szCs w:val="20"/>
          <w:color w:val="auto"/>
        </w:rPr>
      </w:pPr>
    </w:p>
    <w:p>
      <w:pPr>
        <w:ind w:right="1980" w:firstLine="519"/>
        <w:spacing w:after="0" w:line="249"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BY THE FOLLOWING PERSONS IN THE CAPACITIES AND ON THE DATES INDICATED. EACH PERSON WHOSE SIGNATURE APPEARS BELOW HEREBY AUTHORIZES LEONARD S. SCHLEIFER, AND MURRAY A. GOLDBERG, JOINTLY AND SEVERALLY, WITH FULL POWER TO EACH, TO EXECUTE IN THE NAME AND ON BEHALF OF SUCH PERSON ANY AMENDMENT (INCLUDING ANY POST-EFFECTIVE AMENDMENTS) TO THIS REGISTRATION STATEMENT (OR ANY OTHER REGISTRATION STATEMENT FOR THE SAME OFFERING THAT IS TO BE EFFECTIVE UPON FILING PURSUANT TO RULE 462(B) UNDER THE SECURITIES ACT) AND TO FILE THE SAME, WITH EXHIBITS THERETO AND OTHER DOCUMENTS IN CONNECTION THEREWITH, MAKING SUCH CHANGES IN THIS REGISTRATION STATEMENT AS THE PERSON(S) SO ACTING DEEMS APPROPRIATE AND APPOINTS EACH OF SUCH PERSONS, EACH WITH FULL POWER OF SUBSTITUTION, ATTORNEY-IN-FACT TO SIGN ANY AMENDMENT (INCLUDING ANY POST-EFFECTIVE AMENDMENT) TO THIS REGISTRATION STATEMENT (OR ANY OTHER REGISTRATION STATEMENT FOR THE SAME OFFERING THAT IS TO BE EFFECTIVE UPON FILING PURSUANT TO RULE 462(B) UNDER THE SECURITIES ACT) AND TO FILE THE SAME, WITH EXHIBITS THERETO AND OTHER DOCUMENTS IN CONNECTION THEREIN.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2180"/>
        <w:spacing w:after="0"/>
        <w:tabs>
          <w:tab w:leader="none" w:pos="6840" w:val="left"/>
          <w:tab w:leader="none" w:pos="95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7"/>
          <w:szCs w:val="17"/>
          <w:color w:val="auto"/>
        </w:rPr>
        <w:t>DATE</w:t>
      </w:r>
    </w:p>
    <w:p>
      <w:pPr>
        <w:spacing w:after="0" w:line="7" w:lineRule="exact"/>
        <w:rPr>
          <w:sz w:val="20"/>
          <w:szCs w:val="20"/>
          <w:color w:val="auto"/>
        </w:rPr>
      </w:pPr>
    </w:p>
    <w:p>
      <w:pPr>
        <w:ind w:left="2180"/>
        <w:spacing w:after="0"/>
        <w:tabs>
          <w:tab w:leader="none" w:pos="6840" w:val="left"/>
          <w:tab w:leader="none" w:pos="95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7" w:lineRule="exact"/>
        <w:rPr>
          <w:sz w:val="20"/>
          <w:szCs w:val="20"/>
          <w:color w:val="auto"/>
        </w:rPr>
      </w:pPr>
    </w:p>
    <w:p>
      <w:pPr>
        <w:jc w:val="both"/>
        <w:ind w:left="2600"/>
        <w:spacing w:after="0"/>
        <w:tabs>
          <w:tab w:leader="none" w:pos="5500" w:val="left"/>
          <w:tab w:leader="none" w:pos="89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Chairman of the Board</w:t>
      </w:r>
      <w:r>
        <w:rPr>
          <w:sz w:val="20"/>
          <w:szCs w:val="20"/>
          <w:color w:val="auto"/>
        </w:rPr>
        <w:tab/>
      </w:r>
      <w:r>
        <w:rPr>
          <w:rFonts w:ascii="Courier New" w:cs="Courier New" w:eastAsia="Courier New" w:hAnsi="Courier New"/>
          <w:sz w:val="17"/>
          <w:szCs w:val="17"/>
          <w:color w:val="auto"/>
        </w:rPr>
        <w:t>March 2, 2001</w:t>
      </w:r>
    </w:p>
    <w:p>
      <w:pPr>
        <w:spacing w:after="0" w:line="7" w:lineRule="exact"/>
        <w:rPr>
          <w:sz w:val="20"/>
          <w:szCs w:val="20"/>
          <w:color w:val="auto"/>
        </w:rPr>
      </w:pPr>
    </w:p>
    <w:p>
      <w:pPr>
        <w:ind w:left="220" w:hanging="213"/>
        <w:spacing w:after="0"/>
        <w:tabs>
          <w:tab w:leader="none" w:pos="2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ind w:left="15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 Roy Vagelos, M.D.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520" w:type="dxa"/>
            <w:vAlign w:val="bottom"/>
          </w:tcPr>
          <w:p>
            <w:pPr>
              <w:jc w:val="center"/>
              <w:ind w:right="213"/>
              <w:spacing w:after="0"/>
              <w:rPr>
                <w:sz w:val="20"/>
                <w:szCs w:val="20"/>
                <w:color w:val="auto"/>
              </w:rPr>
            </w:pPr>
            <w:r>
              <w:rPr>
                <w:rFonts w:ascii="Courier New" w:cs="Courier New" w:eastAsia="Courier New" w:hAnsi="Courier New"/>
                <w:sz w:val="17"/>
                <w:szCs w:val="17"/>
                <w:color w:val="auto"/>
              </w:rPr>
              <w:t>/s/ LEONARD S. SCHLEIFER, M.D., PH.D</w:t>
            </w:r>
          </w:p>
        </w:tc>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President, Chief Executive</w:t>
            </w:r>
          </w:p>
        </w:tc>
        <w:tc>
          <w:tcPr>
            <w:tcW w:w="1460" w:type="dxa"/>
            <w:vAlign w:val="bottom"/>
          </w:tcPr>
          <w:p>
            <w:pPr>
              <w:ind w:left="100"/>
              <w:spacing w:after="0"/>
              <w:rPr>
                <w:sz w:val="20"/>
                <w:szCs w:val="20"/>
                <w:color w:val="auto"/>
              </w:rPr>
            </w:pPr>
            <w:r>
              <w:rPr>
                <w:rFonts w:ascii="Courier New" w:cs="Courier New" w:eastAsia="Courier New" w:hAnsi="Courier New"/>
                <w:sz w:val="17"/>
                <w:szCs w:val="17"/>
                <w:color w:val="auto"/>
              </w:rPr>
              <w:t>March 2, 2001</w:t>
            </w:r>
          </w:p>
        </w:tc>
      </w:tr>
      <w:tr>
        <w:trPr>
          <w:trHeight w:val="200"/>
        </w:trPr>
        <w:tc>
          <w:tcPr>
            <w:tcW w:w="552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c>
          <w:tcPr>
            <w:tcW w:w="1240" w:type="dxa"/>
            <w:vAlign w:val="bottom"/>
          </w:tcPr>
          <w:p>
            <w:pPr>
              <w:ind w:left="400"/>
              <w:spacing w:after="0"/>
              <w:rPr>
                <w:sz w:val="20"/>
                <w:szCs w:val="20"/>
                <w:color w:val="auto"/>
              </w:rPr>
            </w:pPr>
            <w:r>
              <w:rPr>
                <w:rFonts w:ascii="Courier New" w:cs="Courier New" w:eastAsia="Courier New" w:hAnsi="Courier New"/>
                <w:sz w:val="17"/>
                <w:szCs w:val="17"/>
                <w:color w:val="auto"/>
              </w:rPr>
              <w:t>Officer</w:t>
            </w:r>
          </w:p>
        </w:tc>
        <w:tc>
          <w:tcPr>
            <w:tcW w:w="2080" w:type="dxa"/>
            <w:vAlign w:val="bottom"/>
          </w:tcPr>
          <w:p>
            <w:pPr>
              <w:spacing w:after="0"/>
              <w:rPr>
                <w:sz w:val="20"/>
                <w:szCs w:val="20"/>
                <w:color w:val="auto"/>
              </w:rPr>
            </w:pPr>
            <w:r>
              <w:rPr>
                <w:rFonts w:ascii="Courier New" w:cs="Courier New" w:eastAsia="Courier New" w:hAnsi="Courier New"/>
                <w:sz w:val="17"/>
                <w:szCs w:val="17"/>
                <w:color w:val="auto"/>
              </w:rPr>
              <w:t>and Director</w:t>
            </w:r>
          </w:p>
        </w:tc>
        <w:tc>
          <w:tcPr>
            <w:tcW w:w="1460" w:type="dxa"/>
            <w:vAlign w:val="bottom"/>
          </w:tcPr>
          <w:p>
            <w:pPr>
              <w:spacing w:after="0"/>
              <w:rPr>
                <w:sz w:val="17"/>
                <w:szCs w:val="17"/>
                <w:color w:val="auto"/>
              </w:rPr>
            </w:pPr>
          </w:p>
        </w:tc>
      </w:tr>
      <w:tr>
        <w:trPr>
          <w:trHeight w:val="200"/>
        </w:trPr>
        <w:tc>
          <w:tcPr>
            <w:tcW w:w="552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Leonard S. Schleifer, M.D., Ph.D</w:t>
            </w:r>
          </w:p>
        </w:tc>
        <w:tc>
          <w:tcPr>
            <w:tcW w:w="1240" w:type="dxa"/>
            <w:vAlign w:val="bottom"/>
          </w:tcPr>
          <w:p>
            <w:pPr>
              <w:ind w:left="200"/>
              <w:spacing w:after="0"/>
              <w:rPr>
                <w:sz w:val="20"/>
                <w:szCs w:val="20"/>
                <w:color w:val="auto"/>
              </w:rPr>
            </w:pPr>
            <w:r>
              <w:rPr>
                <w:rFonts w:ascii="Courier New" w:cs="Courier New" w:eastAsia="Courier New" w:hAnsi="Courier New"/>
                <w:sz w:val="17"/>
                <w:szCs w:val="17"/>
                <w:color w:val="auto"/>
                <w:w w:val="99"/>
              </w:rPr>
              <w:t>(Principal</w:t>
            </w:r>
          </w:p>
        </w:tc>
        <w:tc>
          <w:tcPr>
            <w:tcW w:w="20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0"/>
        </w:trPr>
        <w:tc>
          <w:tcPr>
            <w:tcW w:w="5520" w:type="dxa"/>
            <w:vAlign w:val="bottom"/>
          </w:tcPr>
          <w:p>
            <w:pPr>
              <w:spacing w:after="0"/>
              <w:rPr>
                <w:sz w:val="17"/>
                <w:szCs w:val="17"/>
                <w:color w:val="auto"/>
              </w:rPr>
            </w:pPr>
          </w:p>
        </w:tc>
        <w:tc>
          <w:tcPr>
            <w:tcW w:w="1240" w:type="dxa"/>
            <w:vAlign w:val="bottom"/>
          </w:tcPr>
          <w:p>
            <w:pPr>
              <w:ind w:left="200"/>
              <w:spacing w:after="0"/>
              <w:rPr>
                <w:sz w:val="20"/>
                <w:szCs w:val="20"/>
                <w:color w:val="auto"/>
              </w:rPr>
            </w:pPr>
            <w:r>
              <w:rPr>
                <w:rFonts w:ascii="Courier New" w:cs="Courier New" w:eastAsia="Courier New" w:hAnsi="Courier New"/>
                <w:sz w:val="17"/>
                <w:szCs w:val="17"/>
                <w:color w:val="auto"/>
              </w:rPr>
              <w:t>Executive</w:t>
            </w:r>
          </w:p>
        </w:tc>
        <w:tc>
          <w:tcPr>
            <w:tcW w:w="2080" w:type="dxa"/>
            <w:vAlign w:val="bottom"/>
          </w:tcPr>
          <w:p>
            <w:pPr>
              <w:spacing w:after="0"/>
              <w:rPr>
                <w:sz w:val="20"/>
                <w:szCs w:val="20"/>
                <w:color w:val="auto"/>
              </w:rPr>
            </w:pPr>
            <w:r>
              <w:rPr>
                <w:rFonts w:ascii="Courier New" w:cs="Courier New" w:eastAsia="Courier New" w:hAnsi="Courier New"/>
                <w:sz w:val="17"/>
                <w:szCs w:val="17"/>
                <w:color w:val="auto"/>
              </w:rPr>
              <w:t>Officer)</w:t>
            </w:r>
          </w:p>
        </w:tc>
        <w:tc>
          <w:tcPr>
            <w:tcW w:w="1460" w:type="dxa"/>
            <w:vAlign w:val="bottom"/>
          </w:tcPr>
          <w:p>
            <w:pPr>
              <w:spacing w:after="0"/>
              <w:rPr>
                <w:sz w:val="17"/>
                <w:szCs w:val="17"/>
                <w:color w:val="auto"/>
              </w:rPr>
            </w:pPr>
          </w:p>
        </w:tc>
      </w:tr>
      <w:tr>
        <w:trPr>
          <w:trHeight w:val="400"/>
        </w:trPr>
        <w:tc>
          <w:tcPr>
            <w:tcW w:w="5520" w:type="dxa"/>
            <w:vAlign w:val="bottom"/>
          </w:tcPr>
          <w:p>
            <w:pPr>
              <w:jc w:val="right"/>
              <w:ind w:right="27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spacing w:after="0"/>
              <w:rPr>
                <w:sz w:val="20"/>
                <w:szCs w:val="20"/>
                <w:color w:val="auto"/>
              </w:rPr>
            </w:pPr>
            <w:r>
              <w:rPr>
                <w:rFonts w:ascii="Courier New" w:cs="Courier New" w:eastAsia="Courier New" w:hAnsi="Courier New"/>
                <w:sz w:val="17"/>
                <w:szCs w:val="17"/>
                <w:color w:val="auto"/>
              </w:rPr>
              <w:t>Senior Vice</w:t>
            </w:r>
          </w:p>
        </w:tc>
        <w:tc>
          <w:tcPr>
            <w:tcW w:w="2080" w:type="dxa"/>
            <w:vAlign w:val="bottom"/>
          </w:tcPr>
          <w:p>
            <w:pPr>
              <w:spacing w:after="0"/>
              <w:rPr>
                <w:sz w:val="20"/>
                <w:szCs w:val="20"/>
                <w:color w:val="auto"/>
              </w:rPr>
            </w:pPr>
            <w:r>
              <w:rPr>
                <w:rFonts w:ascii="Courier New" w:cs="Courier New" w:eastAsia="Courier New" w:hAnsi="Courier New"/>
                <w:sz w:val="17"/>
                <w:szCs w:val="17"/>
                <w:color w:val="auto"/>
              </w:rPr>
              <w:t>President, Finance</w:t>
            </w:r>
          </w:p>
        </w:tc>
        <w:tc>
          <w:tcPr>
            <w:tcW w:w="1460" w:type="dxa"/>
            <w:vAlign w:val="bottom"/>
          </w:tcPr>
          <w:p>
            <w:pPr>
              <w:ind w:left="100"/>
              <w:spacing w:after="0"/>
              <w:rPr>
                <w:sz w:val="20"/>
                <w:szCs w:val="20"/>
                <w:color w:val="auto"/>
              </w:rPr>
            </w:pPr>
            <w:r>
              <w:rPr>
                <w:rFonts w:ascii="Courier New" w:cs="Courier New" w:eastAsia="Courier New" w:hAnsi="Courier New"/>
                <w:sz w:val="17"/>
                <w:szCs w:val="17"/>
                <w:color w:val="auto"/>
              </w:rPr>
              <w:t>March 2, 2001</w:t>
            </w:r>
          </w:p>
        </w:tc>
      </w:tr>
      <w:tr>
        <w:trPr>
          <w:trHeight w:val="200"/>
        </w:trPr>
        <w:tc>
          <w:tcPr>
            <w:tcW w:w="552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c>
          <w:tcPr>
            <w:tcW w:w="332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&amp; Administration, Chief</w:t>
            </w:r>
          </w:p>
        </w:tc>
        <w:tc>
          <w:tcPr>
            <w:tcW w:w="1460" w:type="dxa"/>
            <w:vAlign w:val="bottom"/>
          </w:tcPr>
          <w:p>
            <w:pPr>
              <w:spacing w:after="0"/>
              <w:rPr>
                <w:sz w:val="17"/>
                <w:szCs w:val="17"/>
                <w:color w:val="auto"/>
              </w:rPr>
            </w:pPr>
          </w:p>
        </w:tc>
      </w:tr>
      <w:tr>
        <w:trPr>
          <w:trHeight w:val="200"/>
        </w:trPr>
        <w:tc>
          <w:tcPr>
            <w:tcW w:w="552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Murray A. Goldberg</w:t>
            </w:r>
          </w:p>
        </w:tc>
        <w:tc>
          <w:tcPr>
            <w:tcW w:w="1240" w:type="dxa"/>
            <w:vAlign w:val="bottom"/>
          </w:tcPr>
          <w:p>
            <w:pPr>
              <w:ind w:left="200"/>
              <w:spacing w:after="0"/>
              <w:rPr>
                <w:sz w:val="20"/>
                <w:szCs w:val="20"/>
                <w:color w:val="auto"/>
              </w:rPr>
            </w:pPr>
            <w:r>
              <w:rPr>
                <w:rFonts w:ascii="Courier New" w:cs="Courier New" w:eastAsia="Courier New" w:hAnsi="Courier New"/>
                <w:sz w:val="17"/>
                <w:szCs w:val="17"/>
                <w:color w:val="auto"/>
              </w:rPr>
              <w:t>Financial</w:t>
            </w:r>
          </w:p>
        </w:tc>
        <w:tc>
          <w:tcPr>
            <w:tcW w:w="2080" w:type="dxa"/>
            <w:vAlign w:val="bottom"/>
          </w:tcPr>
          <w:p>
            <w:pPr>
              <w:spacing w:after="0"/>
              <w:rPr>
                <w:sz w:val="20"/>
                <w:szCs w:val="20"/>
                <w:color w:val="auto"/>
              </w:rPr>
            </w:pPr>
            <w:r>
              <w:rPr>
                <w:rFonts w:ascii="Courier New" w:cs="Courier New" w:eastAsia="Courier New" w:hAnsi="Courier New"/>
                <w:sz w:val="17"/>
                <w:szCs w:val="17"/>
                <w:color w:val="auto"/>
              </w:rPr>
              <w:t>Officer, Treasurer,</w:t>
            </w:r>
          </w:p>
        </w:tc>
        <w:tc>
          <w:tcPr>
            <w:tcW w:w="1460" w:type="dxa"/>
            <w:vAlign w:val="bottom"/>
          </w:tcPr>
          <w:p>
            <w:pPr>
              <w:spacing w:after="0"/>
              <w:rPr>
                <w:sz w:val="17"/>
                <w:szCs w:val="17"/>
                <w:color w:val="auto"/>
              </w:rPr>
            </w:pPr>
          </w:p>
        </w:tc>
      </w:tr>
      <w:tr>
        <w:trPr>
          <w:trHeight w:val="200"/>
        </w:trPr>
        <w:tc>
          <w:tcPr>
            <w:tcW w:w="5520" w:type="dxa"/>
            <w:vAlign w:val="bottom"/>
          </w:tcPr>
          <w:p>
            <w:pPr>
              <w:spacing w:after="0"/>
              <w:rPr>
                <w:sz w:val="17"/>
                <w:szCs w:val="17"/>
                <w:color w:val="auto"/>
              </w:rPr>
            </w:pPr>
          </w:p>
        </w:tc>
        <w:tc>
          <w:tcPr>
            <w:tcW w:w="33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and Assistant</w:t>
            </w:r>
          </w:p>
        </w:tc>
        <w:tc>
          <w:tcPr>
            <w:tcW w:w="1460" w:type="dxa"/>
            <w:vAlign w:val="bottom"/>
          </w:tcPr>
          <w:p>
            <w:pPr>
              <w:spacing w:after="0"/>
              <w:rPr>
                <w:sz w:val="17"/>
                <w:szCs w:val="17"/>
                <w:color w:val="auto"/>
              </w:rPr>
            </w:pPr>
          </w:p>
        </w:tc>
      </w:tr>
      <w:tr>
        <w:trPr>
          <w:trHeight w:val="200"/>
        </w:trPr>
        <w:tc>
          <w:tcPr>
            <w:tcW w:w="5520" w:type="dxa"/>
            <w:vAlign w:val="bottom"/>
          </w:tcPr>
          <w:p>
            <w:pPr>
              <w:spacing w:after="0"/>
              <w:rPr>
                <w:sz w:val="17"/>
                <w:szCs w:val="17"/>
                <w:color w:val="auto"/>
              </w:rPr>
            </w:pPr>
          </w:p>
        </w:tc>
        <w:tc>
          <w:tcPr>
            <w:tcW w:w="1240" w:type="dxa"/>
            <w:vAlign w:val="bottom"/>
          </w:tcPr>
          <w:p>
            <w:pPr>
              <w:ind w:left="200"/>
              <w:spacing w:after="0"/>
              <w:rPr>
                <w:sz w:val="20"/>
                <w:szCs w:val="20"/>
                <w:color w:val="auto"/>
              </w:rPr>
            </w:pPr>
            <w:r>
              <w:rPr>
                <w:rFonts w:ascii="Courier New" w:cs="Courier New" w:eastAsia="Courier New" w:hAnsi="Courier New"/>
                <w:sz w:val="17"/>
                <w:szCs w:val="17"/>
                <w:color w:val="auto"/>
              </w:rPr>
              <w:t>Secretary</w:t>
            </w:r>
          </w:p>
        </w:tc>
        <w:tc>
          <w:tcPr>
            <w:tcW w:w="2080" w:type="dxa"/>
            <w:vAlign w:val="bottom"/>
          </w:tcPr>
          <w:p>
            <w:pPr>
              <w:spacing w:after="0"/>
              <w:rPr>
                <w:sz w:val="20"/>
                <w:szCs w:val="20"/>
                <w:color w:val="auto"/>
              </w:rPr>
            </w:pPr>
            <w:r>
              <w:rPr>
                <w:rFonts w:ascii="Courier New" w:cs="Courier New" w:eastAsia="Courier New" w:hAnsi="Courier New"/>
                <w:sz w:val="17"/>
                <w:szCs w:val="17"/>
                <w:color w:val="auto"/>
              </w:rPr>
              <w:t>(Principal</w:t>
            </w:r>
          </w:p>
        </w:tc>
        <w:tc>
          <w:tcPr>
            <w:tcW w:w="1460" w:type="dxa"/>
            <w:vAlign w:val="bottom"/>
          </w:tcPr>
          <w:p>
            <w:pPr>
              <w:spacing w:after="0"/>
              <w:rPr>
                <w:sz w:val="17"/>
                <w:szCs w:val="17"/>
                <w:color w:val="auto"/>
              </w:rPr>
            </w:pPr>
          </w:p>
        </w:tc>
      </w:tr>
      <w:tr>
        <w:trPr>
          <w:trHeight w:val="200"/>
        </w:trPr>
        <w:tc>
          <w:tcPr>
            <w:tcW w:w="5520" w:type="dxa"/>
            <w:vAlign w:val="bottom"/>
          </w:tcPr>
          <w:p>
            <w:pPr>
              <w:spacing w:after="0"/>
              <w:rPr>
                <w:sz w:val="17"/>
                <w:szCs w:val="17"/>
                <w:color w:val="auto"/>
              </w:rPr>
            </w:pPr>
          </w:p>
        </w:tc>
        <w:tc>
          <w:tcPr>
            <w:tcW w:w="1240" w:type="dxa"/>
            <w:vAlign w:val="bottom"/>
          </w:tcPr>
          <w:p>
            <w:pPr>
              <w:ind w:left="200"/>
              <w:spacing w:after="0"/>
              <w:rPr>
                <w:sz w:val="20"/>
                <w:szCs w:val="20"/>
                <w:color w:val="auto"/>
              </w:rPr>
            </w:pPr>
            <w:r>
              <w:rPr>
                <w:rFonts w:ascii="Courier New" w:cs="Courier New" w:eastAsia="Courier New" w:hAnsi="Courier New"/>
                <w:sz w:val="17"/>
                <w:szCs w:val="17"/>
                <w:color w:val="auto"/>
              </w:rPr>
              <w:t>Financial</w:t>
            </w:r>
          </w:p>
        </w:tc>
        <w:tc>
          <w:tcPr>
            <w:tcW w:w="2080" w:type="dxa"/>
            <w:vAlign w:val="bottom"/>
          </w:tcPr>
          <w:p>
            <w:pPr>
              <w:spacing w:after="0"/>
              <w:rPr>
                <w:sz w:val="20"/>
                <w:szCs w:val="20"/>
                <w:color w:val="auto"/>
              </w:rPr>
            </w:pPr>
            <w:r>
              <w:rPr>
                <w:rFonts w:ascii="Courier New" w:cs="Courier New" w:eastAsia="Courier New" w:hAnsi="Courier New"/>
                <w:sz w:val="17"/>
                <w:szCs w:val="17"/>
                <w:color w:val="auto"/>
              </w:rPr>
              <w:t>Officer)</w:t>
            </w:r>
          </w:p>
        </w:tc>
        <w:tc>
          <w:tcPr>
            <w:tcW w:w="1460" w:type="dxa"/>
            <w:vAlign w:val="bottom"/>
          </w:tcPr>
          <w:p>
            <w:pPr>
              <w:spacing w:after="0"/>
              <w:rPr>
                <w:sz w:val="17"/>
                <w:szCs w:val="17"/>
                <w:color w:val="auto"/>
              </w:rPr>
            </w:pPr>
          </w:p>
        </w:tc>
      </w:tr>
      <w:tr>
        <w:trPr>
          <w:trHeight w:val="400"/>
        </w:trPr>
        <w:tc>
          <w:tcPr>
            <w:tcW w:w="5520" w:type="dxa"/>
            <w:vAlign w:val="bottom"/>
          </w:tcPr>
          <w:p>
            <w:pPr>
              <w:jc w:val="right"/>
              <w:ind w:right="2733"/>
              <w:spacing w:after="0"/>
              <w:rPr>
                <w:sz w:val="20"/>
                <w:szCs w:val="20"/>
                <w:color w:val="auto"/>
              </w:rPr>
            </w:pPr>
            <w:r>
              <w:rPr>
                <w:rFonts w:ascii="Courier New" w:cs="Courier New" w:eastAsia="Courier New" w:hAnsi="Courier New"/>
                <w:sz w:val="17"/>
                <w:szCs w:val="17"/>
                <w:color w:val="auto"/>
              </w:rPr>
              <w:t>*</w:t>
            </w:r>
          </w:p>
        </w:tc>
        <w:tc>
          <w:tcPr>
            <w:tcW w:w="3320" w:type="dxa"/>
            <w:vAlign w:val="bottom"/>
            <w:gridSpan w:val="2"/>
          </w:tcPr>
          <w:p>
            <w:pPr>
              <w:spacing w:after="0"/>
              <w:rPr>
                <w:sz w:val="20"/>
                <w:szCs w:val="20"/>
                <w:color w:val="auto"/>
              </w:rPr>
            </w:pPr>
            <w:r>
              <w:rPr>
                <w:rFonts w:ascii="Courier New" w:cs="Courier New" w:eastAsia="Courier New" w:hAnsi="Courier New"/>
                <w:sz w:val="17"/>
                <w:szCs w:val="17"/>
                <w:color w:val="auto"/>
              </w:rPr>
              <w:t>Controller and Assistant</w:t>
            </w:r>
          </w:p>
        </w:tc>
        <w:tc>
          <w:tcPr>
            <w:tcW w:w="1460" w:type="dxa"/>
            <w:vAlign w:val="bottom"/>
          </w:tcPr>
          <w:p>
            <w:pPr>
              <w:ind w:left="100"/>
              <w:spacing w:after="0"/>
              <w:rPr>
                <w:sz w:val="20"/>
                <w:szCs w:val="20"/>
                <w:color w:val="auto"/>
              </w:rPr>
            </w:pPr>
            <w:r>
              <w:rPr>
                <w:rFonts w:ascii="Courier New" w:cs="Courier New" w:eastAsia="Courier New" w:hAnsi="Courier New"/>
                <w:sz w:val="17"/>
                <w:szCs w:val="17"/>
                <w:color w:val="auto"/>
              </w:rPr>
              <w:t>March 2, 2001</w:t>
            </w:r>
          </w:p>
        </w:tc>
      </w:tr>
      <w:tr>
        <w:trPr>
          <w:trHeight w:val="200"/>
        </w:trPr>
        <w:tc>
          <w:tcPr>
            <w:tcW w:w="552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c>
          <w:tcPr>
            <w:tcW w:w="332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Treasurer (Principal</w:t>
            </w:r>
          </w:p>
        </w:tc>
        <w:tc>
          <w:tcPr>
            <w:tcW w:w="1460" w:type="dxa"/>
            <w:vAlign w:val="bottom"/>
          </w:tcPr>
          <w:p>
            <w:pPr>
              <w:spacing w:after="0"/>
              <w:rPr>
                <w:sz w:val="17"/>
                <w:szCs w:val="17"/>
                <w:color w:val="auto"/>
              </w:rPr>
            </w:pPr>
          </w:p>
        </w:tc>
      </w:tr>
      <w:tr>
        <w:trPr>
          <w:trHeight w:val="200"/>
        </w:trPr>
        <w:tc>
          <w:tcPr>
            <w:tcW w:w="5520" w:type="dxa"/>
            <w:vAlign w:val="bottom"/>
          </w:tcPr>
          <w:p>
            <w:pPr>
              <w:jc w:val="right"/>
              <w:ind w:right="1793"/>
              <w:spacing w:after="0"/>
              <w:rPr>
                <w:sz w:val="20"/>
                <w:szCs w:val="20"/>
                <w:color w:val="auto"/>
              </w:rPr>
            </w:pPr>
            <w:r>
              <w:rPr>
                <w:rFonts w:ascii="Courier New" w:cs="Courier New" w:eastAsia="Courier New" w:hAnsi="Courier New"/>
                <w:sz w:val="17"/>
                <w:szCs w:val="17"/>
                <w:color w:val="auto"/>
              </w:rPr>
              <w:t>Douglas S. McCorkle</w:t>
            </w:r>
          </w:p>
        </w:tc>
        <w:tc>
          <w:tcPr>
            <w:tcW w:w="33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Accounting Officer)</w:t>
            </w:r>
          </w:p>
        </w:tc>
        <w:tc>
          <w:tcPr>
            <w:tcW w:w="14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300"/>
          </w:cols>
          <w:pgMar w:left="240" w:top="315" w:right="1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300"/>
          </w:cols>
          <w:pgMar w:left="240" w:top="315" w:right="135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194"/>
        </w:trPr>
        <w:tc>
          <w:tcPr>
            <w:tcW w:w="5880" w:type="dxa"/>
            <w:vAlign w:val="bottom"/>
          </w:tcPr>
          <w:p>
            <w:pPr>
              <w:jc w:val="right"/>
              <w:ind w:right="5273"/>
              <w:spacing w:after="0"/>
              <w:rPr>
                <w:sz w:val="20"/>
                <w:szCs w:val="20"/>
                <w:color w:val="auto"/>
              </w:rPr>
            </w:pPr>
            <w:r>
              <w:rPr>
                <w:rFonts w:ascii="Courier New" w:cs="Courier New" w:eastAsia="Courier New" w:hAnsi="Courier New"/>
                <w:sz w:val="17"/>
                <w:szCs w:val="17"/>
                <w:color w:val="auto"/>
              </w:rPr>
              <w:t>51</w:t>
            </w:r>
          </w:p>
        </w:tc>
        <w:tc>
          <w:tcPr>
            <w:tcW w:w="25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999"/>
        </w:trPr>
        <w:tc>
          <w:tcPr>
            <w:tcW w:w="5880" w:type="dxa"/>
            <w:vAlign w:val="bottom"/>
          </w:tcPr>
          <w:p>
            <w:pPr>
              <w:jc w:val="center"/>
              <w:ind w:right="493"/>
              <w:spacing w:after="0"/>
              <w:rPr>
                <w:sz w:val="20"/>
                <w:szCs w:val="20"/>
                <w:color w:val="auto"/>
              </w:rPr>
            </w:pPr>
            <w:r>
              <w:rPr>
                <w:rFonts w:ascii="Courier New" w:cs="Courier New" w:eastAsia="Courier New" w:hAnsi="Courier New"/>
                <w:sz w:val="17"/>
                <w:szCs w:val="17"/>
                <w:color w:val="auto"/>
              </w:rPr>
              <w:t>SIGNATURE</w:t>
            </w:r>
          </w:p>
        </w:tc>
        <w:tc>
          <w:tcPr>
            <w:tcW w:w="2540" w:type="dxa"/>
            <w:vAlign w:val="bottom"/>
          </w:tcPr>
          <w:p>
            <w:pPr>
              <w:ind w:left="980"/>
              <w:spacing w:after="0"/>
              <w:rPr>
                <w:sz w:val="20"/>
                <w:szCs w:val="20"/>
                <w:color w:val="auto"/>
              </w:rPr>
            </w:pPr>
            <w:r>
              <w:rPr>
                <w:rFonts w:ascii="Courier New" w:cs="Courier New" w:eastAsia="Courier New" w:hAnsi="Courier New"/>
                <w:sz w:val="17"/>
                <w:szCs w:val="17"/>
                <w:color w:val="auto"/>
              </w:rPr>
              <w:t>TITLE</w:t>
            </w:r>
          </w:p>
        </w:tc>
        <w:tc>
          <w:tcPr>
            <w:tcW w:w="1880" w:type="dxa"/>
            <w:vAlign w:val="bottom"/>
          </w:tcPr>
          <w:p>
            <w:pPr>
              <w:ind w:left="1140"/>
              <w:spacing w:after="0"/>
              <w:rPr>
                <w:sz w:val="20"/>
                <w:szCs w:val="20"/>
                <w:color w:val="auto"/>
              </w:rPr>
            </w:pPr>
            <w:r>
              <w:rPr>
                <w:rFonts w:ascii="Courier New" w:cs="Courier New" w:eastAsia="Courier New" w:hAnsi="Courier New"/>
                <w:sz w:val="17"/>
                <w:szCs w:val="17"/>
                <w:color w:val="auto"/>
              </w:rPr>
              <w:t>DATE</w:t>
            </w:r>
          </w:p>
        </w:tc>
      </w:tr>
      <w:tr>
        <w:trPr>
          <w:trHeight w:val="200"/>
        </w:trPr>
        <w:tc>
          <w:tcPr>
            <w:tcW w:w="5880" w:type="dxa"/>
            <w:vAlign w:val="bottom"/>
          </w:tcPr>
          <w:p>
            <w:pPr>
              <w:jc w:val="center"/>
              <w:ind w:right="493"/>
              <w:spacing w:after="0"/>
              <w:rPr>
                <w:sz w:val="20"/>
                <w:szCs w:val="20"/>
                <w:color w:val="auto"/>
              </w:rPr>
            </w:pPr>
            <w:r>
              <w:rPr>
                <w:rFonts w:ascii="Courier New" w:cs="Courier New" w:eastAsia="Courier New" w:hAnsi="Courier New"/>
                <w:sz w:val="17"/>
                <w:szCs w:val="17"/>
                <w:color w:val="auto"/>
              </w:rPr>
              <w:t>---------</w:t>
            </w:r>
          </w:p>
        </w:tc>
        <w:tc>
          <w:tcPr>
            <w:tcW w:w="2540" w:type="dxa"/>
            <w:vAlign w:val="bottom"/>
          </w:tcPr>
          <w:p>
            <w:pPr>
              <w:ind w:left="980"/>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ind w:left="1140"/>
              <w:spacing w:after="0"/>
              <w:rPr>
                <w:sz w:val="20"/>
                <w:szCs w:val="20"/>
                <w:color w:val="auto"/>
              </w:rPr>
            </w:pPr>
            <w:r>
              <w:rPr>
                <w:rFonts w:ascii="Courier New" w:cs="Courier New" w:eastAsia="Courier New" w:hAnsi="Courier New"/>
                <w:sz w:val="17"/>
                <w:szCs w:val="17"/>
                <w:color w:val="auto"/>
              </w:rPr>
              <w:t>----</w:t>
            </w:r>
          </w:p>
        </w:tc>
      </w:tr>
      <w:tr>
        <w:trPr>
          <w:trHeight w:val="599"/>
        </w:trPr>
        <w:tc>
          <w:tcPr>
            <w:tcW w:w="5880" w:type="dxa"/>
            <w:vAlign w:val="bottom"/>
          </w:tcPr>
          <w:p>
            <w:pPr>
              <w:jc w:val="center"/>
              <w:ind w:right="473"/>
              <w:spacing w:after="0"/>
              <w:rPr>
                <w:sz w:val="20"/>
                <w:szCs w:val="20"/>
                <w:color w:val="auto"/>
              </w:rPr>
            </w:pPr>
            <w:r>
              <w:rPr>
                <w:rFonts w:ascii="Courier New" w:cs="Courier New" w:eastAsia="Courier New" w:hAnsi="Courier New"/>
                <w:sz w:val="17"/>
                <w:szCs w:val="17"/>
                <w:color w:val="auto"/>
              </w:rPr>
              <w:t>/s/ *</w:t>
            </w:r>
          </w:p>
        </w:tc>
        <w:tc>
          <w:tcPr>
            <w:tcW w:w="2540" w:type="dxa"/>
            <w:vAlign w:val="bottom"/>
          </w:tcPr>
          <w:p>
            <w:pPr>
              <w:jc w:val="center"/>
              <w:ind w:right="73"/>
              <w:spacing w:after="0"/>
              <w:rPr>
                <w:sz w:val="20"/>
                <w:szCs w:val="20"/>
                <w:color w:val="auto"/>
              </w:rPr>
            </w:pPr>
            <w:r>
              <w:rPr>
                <w:rFonts w:ascii="Courier New" w:cs="Courier New" w:eastAsia="Courier New" w:hAnsi="Courier New"/>
                <w:sz w:val="17"/>
                <w:szCs w:val="17"/>
                <w:color w:val="auto"/>
              </w:rPr>
              <w:t>Director</w:t>
            </w:r>
          </w:p>
        </w:tc>
        <w:tc>
          <w:tcPr>
            <w:tcW w:w="1880" w:type="dxa"/>
            <w:vAlign w:val="bottom"/>
          </w:tcPr>
          <w:p>
            <w:pPr>
              <w:ind w:left="520"/>
              <w:spacing w:after="0"/>
              <w:rPr>
                <w:sz w:val="20"/>
                <w:szCs w:val="20"/>
                <w:color w:val="auto"/>
              </w:rPr>
            </w:pPr>
            <w:r>
              <w:rPr>
                <w:rFonts w:ascii="Courier New" w:cs="Courier New" w:eastAsia="Courier New" w:hAnsi="Courier New"/>
                <w:sz w:val="17"/>
                <w:szCs w:val="17"/>
                <w:color w:val="auto"/>
              </w:rPr>
              <w:t>March 2, 2001</w:t>
            </w:r>
          </w:p>
        </w:tc>
      </w:tr>
      <w:tr>
        <w:trPr>
          <w:trHeight w:val="200"/>
        </w:trPr>
        <w:tc>
          <w:tcPr>
            <w:tcW w:w="5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w:t>
            </w:r>
          </w:p>
        </w:tc>
        <w:tc>
          <w:tcPr>
            <w:tcW w:w="2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0"/>
        </w:trPr>
        <w:tc>
          <w:tcPr>
            <w:tcW w:w="5880" w:type="dxa"/>
            <w:vAlign w:val="bottom"/>
          </w:tcPr>
          <w:p>
            <w:pPr>
              <w:jc w:val="center"/>
              <w:ind w:right="573"/>
              <w:spacing w:after="0"/>
              <w:rPr>
                <w:sz w:val="20"/>
                <w:szCs w:val="20"/>
                <w:color w:val="auto"/>
              </w:rPr>
            </w:pPr>
            <w:r>
              <w:rPr>
                <w:rFonts w:ascii="Courier New" w:cs="Courier New" w:eastAsia="Courier New" w:hAnsi="Courier New"/>
                <w:sz w:val="17"/>
                <w:szCs w:val="17"/>
                <w:color w:val="auto"/>
              </w:rPr>
              <w:t>Charles A. Baker</w:t>
            </w:r>
          </w:p>
        </w:tc>
        <w:tc>
          <w:tcPr>
            <w:tcW w:w="2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400"/>
        </w:trPr>
        <w:tc>
          <w:tcPr>
            <w:tcW w:w="5880" w:type="dxa"/>
            <w:vAlign w:val="bottom"/>
          </w:tcPr>
          <w:p>
            <w:pPr>
              <w:jc w:val="center"/>
              <w:ind w:right="473"/>
              <w:spacing w:after="0"/>
              <w:rPr>
                <w:sz w:val="20"/>
                <w:szCs w:val="20"/>
                <w:color w:val="auto"/>
              </w:rPr>
            </w:pPr>
            <w:r>
              <w:rPr>
                <w:rFonts w:ascii="Courier New" w:cs="Courier New" w:eastAsia="Courier New" w:hAnsi="Courier New"/>
                <w:sz w:val="17"/>
                <w:szCs w:val="17"/>
                <w:color w:val="auto"/>
              </w:rPr>
              <w:t>/s/ *</w:t>
            </w:r>
          </w:p>
        </w:tc>
        <w:tc>
          <w:tcPr>
            <w:tcW w:w="2540" w:type="dxa"/>
            <w:vAlign w:val="bottom"/>
          </w:tcPr>
          <w:p>
            <w:pPr>
              <w:jc w:val="center"/>
              <w:ind w:right="73"/>
              <w:spacing w:after="0"/>
              <w:rPr>
                <w:sz w:val="20"/>
                <w:szCs w:val="20"/>
                <w:color w:val="auto"/>
              </w:rPr>
            </w:pPr>
            <w:r>
              <w:rPr>
                <w:rFonts w:ascii="Courier New" w:cs="Courier New" w:eastAsia="Courier New" w:hAnsi="Courier New"/>
                <w:sz w:val="17"/>
                <w:szCs w:val="17"/>
                <w:color w:val="auto"/>
              </w:rPr>
              <w:t>Director</w:t>
            </w:r>
          </w:p>
        </w:tc>
        <w:tc>
          <w:tcPr>
            <w:tcW w:w="1880" w:type="dxa"/>
            <w:vAlign w:val="bottom"/>
          </w:tcPr>
          <w:p>
            <w:pPr>
              <w:ind w:left="520"/>
              <w:spacing w:after="0"/>
              <w:rPr>
                <w:sz w:val="20"/>
                <w:szCs w:val="20"/>
                <w:color w:val="auto"/>
              </w:rPr>
            </w:pPr>
            <w:r>
              <w:rPr>
                <w:rFonts w:ascii="Courier New" w:cs="Courier New" w:eastAsia="Courier New" w:hAnsi="Courier New"/>
                <w:sz w:val="17"/>
                <w:szCs w:val="17"/>
                <w:color w:val="auto"/>
              </w:rPr>
              <w:t>March 2, 2001</w:t>
            </w:r>
          </w:p>
        </w:tc>
      </w:tr>
      <w:tr>
        <w:trPr>
          <w:trHeight w:val="200"/>
        </w:trPr>
        <w:tc>
          <w:tcPr>
            <w:tcW w:w="5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w:t>
            </w:r>
          </w:p>
        </w:tc>
        <w:tc>
          <w:tcPr>
            <w:tcW w:w="2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0"/>
        </w:trPr>
        <w:tc>
          <w:tcPr>
            <w:tcW w:w="5880" w:type="dxa"/>
            <w:vAlign w:val="bottom"/>
          </w:tcPr>
          <w:p>
            <w:pPr>
              <w:jc w:val="center"/>
              <w:ind w:right="593"/>
              <w:spacing w:after="0"/>
              <w:rPr>
                <w:sz w:val="20"/>
                <w:szCs w:val="20"/>
                <w:color w:val="auto"/>
              </w:rPr>
            </w:pPr>
            <w:r>
              <w:rPr>
                <w:rFonts w:ascii="Courier New" w:cs="Courier New" w:eastAsia="Courier New" w:hAnsi="Courier New"/>
                <w:sz w:val="17"/>
                <w:szCs w:val="17"/>
                <w:color w:val="auto"/>
              </w:rPr>
              <w:t>Michael S. Brown, M.D.</w:t>
            </w:r>
          </w:p>
        </w:tc>
        <w:tc>
          <w:tcPr>
            <w:tcW w:w="2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400"/>
        </w:trPr>
        <w:tc>
          <w:tcPr>
            <w:tcW w:w="5880" w:type="dxa"/>
            <w:vAlign w:val="bottom"/>
          </w:tcPr>
          <w:p>
            <w:pPr>
              <w:jc w:val="center"/>
              <w:ind w:right="473"/>
              <w:spacing w:after="0"/>
              <w:rPr>
                <w:sz w:val="20"/>
                <w:szCs w:val="20"/>
                <w:color w:val="auto"/>
              </w:rPr>
            </w:pPr>
            <w:r>
              <w:rPr>
                <w:rFonts w:ascii="Courier New" w:cs="Courier New" w:eastAsia="Courier New" w:hAnsi="Courier New"/>
                <w:sz w:val="17"/>
                <w:szCs w:val="17"/>
                <w:color w:val="auto"/>
              </w:rPr>
              <w:t>/s/ *</w:t>
            </w:r>
          </w:p>
        </w:tc>
        <w:tc>
          <w:tcPr>
            <w:tcW w:w="2540" w:type="dxa"/>
            <w:vAlign w:val="bottom"/>
          </w:tcPr>
          <w:p>
            <w:pPr>
              <w:jc w:val="center"/>
              <w:ind w:right="73"/>
              <w:spacing w:after="0"/>
              <w:rPr>
                <w:sz w:val="20"/>
                <w:szCs w:val="20"/>
                <w:color w:val="auto"/>
              </w:rPr>
            </w:pPr>
            <w:r>
              <w:rPr>
                <w:rFonts w:ascii="Courier New" w:cs="Courier New" w:eastAsia="Courier New" w:hAnsi="Courier New"/>
                <w:sz w:val="17"/>
                <w:szCs w:val="17"/>
                <w:color w:val="auto"/>
              </w:rPr>
              <w:t>Director</w:t>
            </w:r>
          </w:p>
        </w:tc>
        <w:tc>
          <w:tcPr>
            <w:tcW w:w="1880" w:type="dxa"/>
            <w:vAlign w:val="bottom"/>
          </w:tcPr>
          <w:p>
            <w:pPr>
              <w:ind w:left="520"/>
              <w:spacing w:after="0"/>
              <w:rPr>
                <w:sz w:val="20"/>
                <w:szCs w:val="20"/>
                <w:color w:val="auto"/>
              </w:rPr>
            </w:pPr>
            <w:r>
              <w:rPr>
                <w:rFonts w:ascii="Courier New" w:cs="Courier New" w:eastAsia="Courier New" w:hAnsi="Courier New"/>
                <w:sz w:val="17"/>
                <w:szCs w:val="17"/>
                <w:color w:val="auto"/>
              </w:rPr>
              <w:t>March 2, 2001</w:t>
            </w:r>
          </w:p>
        </w:tc>
      </w:tr>
      <w:tr>
        <w:trPr>
          <w:trHeight w:val="200"/>
        </w:trPr>
        <w:tc>
          <w:tcPr>
            <w:tcW w:w="5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w:t>
            </w:r>
          </w:p>
        </w:tc>
        <w:tc>
          <w:tcPr>
            <w:tcW w:w="2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0"/>
        </w:trPr>
        <w:tc>
          <w:tcPr>
            <w:tcW w:w="5880" w:type="dxa"/>
            <w:vAlign w:val="bottom"/>
          </w:tcPr>
          <w:p>
            <w:pPr>
              <w:jc w:val="center"/>
              <w:ind w:right="493"/>
              <w:spacing w:after="0"/>
              <w:rPr>
                <w:sz w:val="20"/>
                <w:szCs w:val="20"/>
                <w:color w:val="auto"/>
              </w:rPr>
            </w:pPr>
            <w:r>
              <w:rPr>
                <w:rFonts w:ascii="Courier New" w:cs="Courier New" w:eastAsia="Courier New" w:hAnsi="Courier New"/>
                <w:sz w:val="17"/>
                <w:szCs w:val="17"/>
                <w:color w:val="auto"/>
              </w:rPr>
              <w:t>Alfred G. Gilman, M.D., Ph.D.</w:t>
            </w:r>
          </w:p>
        </w:tc>
        <w:tc>
          <w:tcPr>
            <w:tcW w:w="2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400"/>
        </w:trPr>
        <w:tc>
          <w:tcPr>
            <w:tcW w:w="5880" w:type="dxa"/>
            <w:vAlign w:val="bottom"/>
          </w:tcPr>
          <w:p>
            <w:pPr>
              <w:jc w:val="center"/>
              <w:ind w:right="473"/>
              <w:spacing w:after="0"/>
              <w:rPr>
                <w:sz w:val="20"/>
                <w:szCs w:val="20"/>
                <w:color w:val="auto"/>
              </w:rPr>
            </w:pPr>
            <w:r>
              <w:rPr>
                <w:rFonts w:ascii="Courier New" w:cs="Courier New" w:eastAsia="Courier New" w:hAnsi="Courier New"/>
                <w:sz w:val="17"/>
                <w:szCs w:val="17"/>
                <w:color w:val="auto"/>
              </w:rPr>
              <w:t>/s/ *</w:t>
            </w:r>
          </w:p>
        </w:tc>
        <w:tc>
          <w:tcPr>
            <w:tcW w:w="2540" w:type="dxa"/>
            <w:vAlign w:val="bottom"/>
          </w:tcPr>
          <w:p>
            <w:pPr>
              <w:jc w:val="center"/>
              <w:ind w:right="73"/>
              <w:spacing w:after="0"/>
              <w:rPr>
                <w:sz w:val="20"/>
                <w:szCs w:val="20"/>
                <w:color w:val="auto"/>
              </w:rPr>
            </w:pPr>
            <w:r>
              <w:rPr>
                <w:rFonts w:ascii="Courier New" w:cs="Courier New" w:eastAsia="Courier New" w:hAnsi="Courier New"/>
                <w:sz w:val="17"/>
                <w:szCs w:val="17"/>
                <w:color w:val="auto"/>
              </w:rPr>
              <w:t>Director</w:t>
            </w:r>
          </w:p>
        </w:tc>
        <w:tc>
          <w:tcPr>
            <w:tcW w:w="1880" w:type="dxa"/>
            <w:vAlign w:val="bottom"/>
          </w:tcPr>
          <w:p>
            <w:pPr>
              <w:ind w:left="520"/>
              <w:spacing w:after="0"/>
              <w:rPr>
                <w:sz w:val="20"/>
                <w:szCs w:val="20"/>
                <w:color w:val="auto"/>
              </w:rPr>
            </w:pPr>
            <w:r>
              <w:rPr>
                <w:rFonts w:ascii="Courier New" w:cs="Courier New" w:eastAsia="Courier New" w:hAnsi="Courier New"/>
                <w:sz w:val="17"/>
                <w:szCs w:val="17"/>
                <w:color w:val="auto"/>
              </w:rPr>
              <w:t>March 2, 2001</w:t>
            </w:r>
          </w:p>
        </w:tc>
      </w:tr>
      <w:tr>
        <w:trPr>
          <w:trHeight w:val="200"/>
        </w:trPr>
        <w:tc>
          <w:tcPr>
            <w:tcW w:w="5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w:t>
            </w:r>
          </w:p>
        </w:tc>
        <w:tc>
          <w:tcPr>
            <w:tcW w:w="2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0"/>
        </w:trPr>
        <w:tc>
          <w:tcPr>
            <w:tcW w:w="5880" w:type="dxa"/>
            <w:vAlign w:val="bottom"/>
          </w:tcPr>
          <w:p>
            <w:pPr>
              <w:jc w:val="center"/>
              <w:ind w:right="473"/>
              <w:spacing w:after="0"/>
              <w:rPr>
                <w:sz w:val="20"/>
                <w:szCs w:val="20"/>
                <w:color w:val="auto"/>
              </w:rPr>
            </w:pPr>
            <w:r>
              <w:rPr>
                <w:rFonts w:ascii="Courier New" w:cs="Courier New" w:eastAsia="Courier New" w:hAnsi="Courier New"/>
                <w:sz w:val="17"/>
                <w:szCs w:val="17"/>
                <w:color w:val="auto"/>
              </w:rPr>
              <w:t>Joseph L. Goldstein, M.D.</w:t>
            </w:r>
          </w:p>
        </w:tc>
        <w:tc>
          <w:tcPr>
            <w:tcW w:w="2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400"/>
        </w:trPr>
        <w:tc>
          <w:tcPr>
            <w:tcW w:w="5880" w:type="dxa"/>
            <w:vAlign w:val="bottom"/>
          </w:tcPr>
          <w:p>
            <w:pPr>
              <w:jc w:val="center"/>
              <w:ind w:right="473"/>
              <w:spacing w:after="0"/>
              <w:rPr>
                <w:sz w:val="20"/>
                <w:szCs w:val="20"/>
                <w:color w:val="auto"/>
              </w:rPr>
            </w:pPr>
            <w:r>
              <w:rPr>
                <w:rFonts w:ascii="Courier New" w:cs="Courier New" w:eastAsia="Courier New" w:hAnsi="Courier New"/>
                <w:sz w:val="17"/>
                <w:szCs w:val="17"/>
                <w:color w:val="auto"/>
              </w:rPr>
              <w:t>/s/ *</w:t>
            </w:r>
          </w:p>
        </w:tc>
        <w:tc>
          <w:tcPr>
            <w:tcW w:w="2540" w:type="dxa"/>
            <w:vAlign w:val="bottom"/>
          </w:tcPr>
          <w:p>
            <w:pPr>
              <w:jc w:val="center"/>
              <w:ind w:right="73"/>
              <w:spacing w:after="0"/>
              <w:rPr>
                <w:sz w:val="20"/>
                <w:szCs w:val="20"/>
                <w:color w:val="auto"/>
              </w:rPr>
            </w:pPr>
            <w:r>
              <w:rPr>
                <w:rFonts w:ascii="Courier New" w:cs="Courier New" w:eastAsia="Courier New" w:hAnsi="Courier New"/>
                <w:sz w:val="17"/>
                <w:szCs w:val="17"/>
                <w:color w:val="auto"/>
              </w:rPr>
              <w:t>Director</w:t>
            </w:r>
          </w:p>
        </w:tc>
        <w:tc>
          <w:tcPr>
            <w:tcW w:w="1880" w:type="dxa"/>
            <w:vAlign w:val="bottom"/>
          </w:tcPr>
          <w:p>
            <w:pPr>
              <w:ind w:left="520"/>
              <w:spacing w:after="0"/>
              <w:rPr>
                <w:sz w:val="20"/>
                <w:szCs w:val="20"/>
                <w:color w:val="auto"/>
              </w:rPr>
            </w:pPr>
            <w:r>
              <w:rPr>
                <w:rFonts w:ascii="Courier New" w:cs="Courier New" w:eastAsia="Courier New" w:hAnsi="Courier New"/>
                <w:sz w:val="17"/>
                <w:szCs w:val="17"/>
                <w:color w:val="auto"/>
              </w:rPr>
              <w:t>March 2, 2001</w:t>
            </w:r>
          </w:p>
        </w:tc>
      </w:tr>
      <w:tr>
        <w:trPr>
          <w:trHeight w:val="200"/>
        </w:trPr>
        <w:tc>
          <w:tcPr>
            <w:tcW w:w="5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w:t>
            </w:r>
          </w:p>
        </w:tc>
        <w:tc>
          <w:tcPr>
            <w:tcW w:w="2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0"/>
        </w:trPr>
        <w:tc>
          <w:tcPr>
            <w:tcW w:w="5880" w:type="dxa"/>
            <w:vAlign w:val="bottom"/>
          </w:tcPr>
          <w:p>
            <w:pPr>
              <w:jc w:val="center"/>
              <w:ind w:right="473"/>
              <w:spacing w:after="0"/>
              <w:rPr>
                <w:sz w:val="20"/>
                <w:szCs w:val="20"/>
                <w:color w:val="auto"/>
              </w:rPr>
            </w:pPr>
            <w:r>
              <w:rPr>
                <w:rFonts w:ascii="Courier New" w:cs="Courier New" w:eastAsia="Courier New" w:hAnsi="Courier New"/>
                <w:sz w:val="17"/>
                <w:szCs w:val="17"/>
                <w:color w:val="auto"/>
              </w:rPr>
              <w:t>Fred A. Middleton</w:t>
            </w:r>
          </w:p>
        </w:tc>
        <w:tc>
          <w:tcPr>
            <w:tcW w:w="2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400"/>
        </w:trPr>
        <w:tc>
          <w:tcPr>
            <w:tcW w:w="5880" w:type="dxa"/>
            <w:vAlign w:val="bottom"/>
          </w:tcPr>
          <w:p>
            <w:pPr>
              <w:jc w:val="center"/>
              <w:ind w:right="473"/>
              <w:spacing w:after="0"/>
              <w:rPr>
                <w:sz w:val="20"/>
                <w:szCs w:val="20"/>
                <w:color w:val="auto"/>
              </w:rPr>
            </w:pPr>
            <w:r>
              <w:rPr>
                <w:rFonts w:ascii="Courier New" w:cs="Courier New" w:eastAsia="Courier New" w:hAnsi="Courier New"/>
                <w:sz w:val="17"/>
                <w:szCs w:val="17"/>
                <w:color w:val="auto"/>
              </w:rPr>
              <w:t>/s/ *</w:t>
            </w:r>
          </w:p>
        </w:tc>
        <w:tc>
          <w:tcPr>
            <w:tcW w:w="2540" w:type="dxa"/>
            <w:vAlign w:val="bottom"/>
          </w:tcPr>
          <w:p>
            <w:pPr>
              <w:jc w:val="center"/>
              <w:ind w:right="73"/>
              <w:spacing w:after="0"/>
              <w:rPr>
                <w:sz w:val="20"/>
                <w:szCs w:val="20"/>
                <w:color w:val="auto"/>
              </w:rPr>
            </w:pPr>
            <w:r>
              <w:rPr>
                <w:rFonts w:ascii="Courier New" w:cs="Courier New" w:eastAsia="Courier New" w:hAnsi="Courier New"/>
                <w:sz w:val="17"/>
                <w:szCs w:val="17"/>
                <w:color w:val="auto"/>
              </w:rPr>
              <w:t>Director</w:t>
            </w:r>
          </w:p>
        </w:tc>
        <w:tc>
          <w:tcPr>
            <w:tcW w:w="1880" w:type="dxa"/>
            <w:vAlign w:val="bottom"/>
          </w:tcPr>
          <w:p>
            <w:pPr>
              <w:ind w:left="520"/>
              <w:spacing w:after="0"/>
              <w:rPr>
                <w:sz w:val="20"/>
                <w:szCs w:val="20"/>
                <w:color w:val="auto"/>
              </w:rPr>
            </w:pPr>
            <w:r>
              <w:rPr>
                <w:rFonts w:ascii="Courier New" w:cs="Courier New" w:eastAsia="Courier New" w:hAnsi="Courier New"/>
                <w:sz w:val="17"/>
                <w:szCs w:val="17"/>
                <w:color w:val="auto"/>
              </w:rPr>
              <w:t>March 2, 2001</w:t>
            </w:r>
          </w:p>
        </w:tc>
      </w:tr>
      <w:tr>
        <w:trPr>
          <w:trHeight w:val="200"/>
        </w:trPr>
        <w:tc>
          <w:tcPr>
            <w:tcW w:w="5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w:t>
            </w:r>
          </w:p>
        </w:tc>
        <w:tc>
          <w:tcPr>
            <w:tcW w:w="2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0"/>
        </w:trPr>
        <w:tc>
          <w:tcPr>
            <w:tcW w:w="5880" w:type="dxa"/>
            <w:vAlign w:val="bottom"/>
          </w:tcPr>
          <w:p>
            <w:pPr>
              <w:jc w:val="center"/>
              <w:ind w:right="593"/>
              <w:spacing w:after="0"/>
              <w:rPr>
                <w:sz w:val="20"/>
                <w:szCs w:val="20"/>
                <w:color w:val="auto"/>
              </w:rPr>
            </w:pPr>
            <w:r>
              <w:rPr>
                <w:rFonts w:ascii="Courier New" w:cs="Courier New" w:eastAsia="Courier New" w:hAnsi="Courier New"/>
                <w:sz w:val="17"/>
                <w:szCs w:val="17"/>
                <w:color w:val="auto"/>
              </w:rPr>
              <w:t>Eric M. Shooter, Ph.D.</w:t>
            </w:r>
          </w:p>
        </w:tc>
        <w:tc>
          <w:tcPr>
            <w:tcW w:w="2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400"/>
        </w:trPr>
        <w:tc>
          <w:tcPr>
            <w:tcW w:w="5880" w:type="dxa"/>
            <w:vAlign w:val="bottom"/>
          </w:tcPr>
          <w:p>
            <w:pPr>
              <w:jc w:val="center"/>
              <w:ind w:right="473"/>
              <w:spacing w:after="0"/>
              <w:rPr>
                <w:sz w:val="20"/>
                <w:szCs w:val="20"/>
                <w:color w:val="auto"/>
              </w:rPr>
            </w:pPr>
            <w:r>
              <w:rPr>
                <w:rFonts w:ascii="Courier New" w:cs="Courier New" w:eastAsia="Courier New" w:hAnsi="Courier New"/>
                <w:sz w:val="17"/>
                <w:szCs w:val="17"/>
                <w:color w:val="auto"/>
              </w:rPr>
              <w:t>/s/ *</w:t>
            </w:r>
          </w:p>
        </w:tc>
        <w:tc>
          <w:tcPr>
            <w:tcW w:w="2540" w:type="dxa"/>
            <w:vAlign w:val="bottom"/>
          </w:tcPr>
          <w:p>
            <w:pPr>
              <w:jc w:val="center"/>
              <w:ind w:right="73"/>
              <w:spacing w:after="0"/>
              <w:rPr>
                <w:sz w:val="20"/>
                <w:szCs w:val="20"/>
                <w:color w:val="auto"/>
              </w:rPr>
            </w:pPr>
            <w:r>
              <w:rPr>
                <w:rFonts w:ascii="Courier New" w:cs="Courier New" w:eastAsia="Courier New" w:hAnsi="Courier New"/>
                <w:sz w:val="17"/>
                <w:szCs w:val="17"/>
                <w:color w:val="auto"/>
              </w:rPr>
              <w:t>Director</w:t>
            </w:r>
          </w:p>
        </w:tc>
        <w:tc>
          <w:tcPr>
            <w:tcW w:w="1880" w:type="dxa"/>
            <w:vAlign w:val="bottom"/>
          </w:tcPr>
          <w:p>
            <w:pPr>
              <w:ind w:left="520"/>
              <w:spacing w:after="0"/>
              <w:rPr>
                <w:sz w:val="20"/>
                <w:szCs w:val="20"/>
                <w:color w:val="auto"/>
              </w:rPr>
            </w:pPr>
            <w:r>
              <w:rPr>
                <w:rFonts w:ascii="Courier New" w:cs="Courier New" w:eastAsia="Courier New" w:hAnsi="Courier New"/>
                <w:sz w:val="17"/>
                <w:szCs w:val="17"/>
                <w:color w:val="auto"/>
              </w:rPr>
              <w:t>March 2, 2001</w:t>
            </w:r>
          </w:p>
        </w:tc>
      </w:tr>
      <w:tr>
        <w:trPr>
          <w:trHeight w:val="200"/>
        </w:trPr>
        <w:tc>
          <w:tcPr>
            <w:tcW w:w="5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w:t>
            </w:r>
          </w:p>
        </w:tc>
        <w:tc>
          <w:tcPr>
            <w:tcW w:w="2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0"/>
        </w:trPr>
        <w:tc>
          <w:tcPr>
            <w:tcW w:w="5880" w:type="dxa"/>
            <w:vAlign w:val="bottom"/>
          </w:tcPr>
          <w:p>
            <w:pPr>
              <w:jc w:val="center"/>
              <w:ind w:right="573"/>
              <w:spacing w:after="0"/>
              <w:rPr>
                <w:sz w:val="20"/>
                <w:szCs w:val="20"/>
                <w:color w:val="auto"/>
              </w:rPr>
            </w:pPr>
            <w:r>
              <w:rPr>
                <w:rFonts w:ascii="Courier New" w:cs="Courier New" w:eastAsia="Courier New" w:hAnsi="Courier New"/>
                <w:sz w:val="17"/>
                <w:szCs w:val="17"/>
                <w:color w:val="auto"/>
              </w:rPr>
              <w:t>George L. Sing</w:t>
            </w:r>
          </w:p>
        </w:tc>
        <w:tc>
          <w:tcPr>
            <w:tcW w:w="2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400"/>
        </w:trPr>
        <w:tc>
          <w:tcPr>
            <w:tcW w:w="5880" w:type="dxa"/>
            <w:vAlign w:val="bottom"/>
          </w:tcPr>
          <w:p>
            <w:pPr>
              <w:jc w:val="center"/>
              <w:ind w:right="493"/>
              <w:spacing w:after="0"/>
              <w:rPr>
                <w:sz w:val="20"/>
                <w:szCs w:val="20"/>
                <w:color w:val="auto"/>
              </w:rPr>
            </w:pPr>
            <w:r>
              <w:rPr>
                <w:rFonts w:ascii="Courier New" w:cs="Courier New" w:eastAsia="Courier New" w:hAnsi="Courier New"/>
                <w:sz w:val="17"/>
                <w:szCs w:val="17"/>
                <w:color w:val="auto"/>
              </w:rPr>
              <w:t>*By:/s/ LEONARD S. SCHLEIFER, M.D., PH.D.</w:t>
            </w:r>
          </w:p>
        </w:tc>
        <w:tc>
          <w:tcPr>
            <w:tcW w:w="2540" w:type="dxa"/>
            <w:vAlign w:val="bottom"/>
          </w:tcPr>
          <w:p>
            <w:pPr>
              <w:jc w:val="center"/>
              <w:ind w:right="73"/>
              <w:spacing w:after="0"/>
              <w:rPr>
                <w:sz w:val="20"/>
                <w:szCs w:val="20"/>
                <w:color w:val="auto"/>
              </w:rPr>
            </w:pPr>
            <w:r>
              <w:rPr>
                <w:rFonts w:ascii="Courier New" w:cs="Courier New" w:eastAsia="Courier New" w:hAnsi="Courier New"/>
                <w:sz w:val="17"/>
                <w:szCs w:val="17"/>
                <w:color w:val="auto"/>
              </w:rPr>
              <w:t>Attorney-In-Fact</w:t>
            </w:r>
          </w:p>
        </w:tc>
        <w:tc>
          <w:tcPr>
            <w:tcW w:w="1880" w:type="dxa"/>
            <w:vAlign w:val="bottom"/>
          </w:tcPr>
          <w:p>
            <w:pPr>
              <w:ind w:left="520"/>
              <w:spacing w:after="0"/>
              <w:rPr>
                <w:sz w:val="20"/>
                <w:szCs w:val="20"/>
                <w:color w:val="auto"/>
              </w:rPr>
            </w:pPr>
            <w:r>
              <w:rPr>
                <w:rFonts w:ascii="Courier New" w:cs="Courier New" w:eastAsia="Courier New" w:hAnsi="Courier New"/>
                <w:sz w:val="17"/>
                <w:szCs w:val="17"/>
                <w:color w:val="auto"/>
              </w:rPr>
              <w:t>March 2, 2001</w:t>
            </w:r>
          </w:p>
        </w:tc>
      </w:tr>
      <w:tr>
        <w:trPr>
          <w:trHeight w:val="200"/>
        </w:trPr>
        <w:tc>
          <w:tcPr>
            <w:tcW w:w="5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 ---------------------------------------------------</w:t>
            </w:r>
          </w:p>
        </w:tc>
        <w:tc>
          <w:tcPr>
            <w:tcW w:w="2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0"/>
        </w:trPr>
        <w:tc>
          <w:tcPr>
            <w:tcW w:w="5880" w:type="dxa"/>
            <w:vAlign w:val="bottom"/>
          </w:tcPr>
          <w:p>
            <w:pPr>
              <w:jc w:val="center"/>
              <w:ind w:right="473"/>
              <w:spacing w:after="0"/>
              <w:rPr>
                <w:sz w:val="20"/>
                <w:szCs w:val="20"/>
                <w:color w:val="auto"/>
              </w:rPr>
            </w:pPr>
            <w:r>
              <w:rPr>
                <w:rFonts w:ascii="Courier New" w:cs="Courier New" w:eastAsia="Courier New" w:hAnsi="Courier New"/>
                <w:sz w:val="17"/>
                <w:szCs w:val="17"/>
                <w:color w:val="auto"/>
              </w:rPr>
              <w:t>Leonard S. Schleifer, M.D., Ph.D.</w:t>
            </w:r>
          </w:p>
        </w:tc>
        <w:tc>
          <w:tcPr>
            <w:tcW w:w="25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799"/>
        </w:trPr>
        <w:tc>
          <w:tcPr>
            <w:tcW w:w="5880" w:type="dxa"/>
            <w:vAlign w:val="bottom"/>
          </w:tcPr>
          <w:p>
            <w:pPr>
              <w:jc w:val="right"/>
              <w:ind w:right="1313"/>
              <w:spacing w:after="0"/>
              <w:rPr>
                <w:sz w:val="20"/>
                <w:szCs w:val="20"/>
                <w:color w:val="auto"/>
              </w:rPr>
            </w:pPr>
            <w:r>
              <w:rPr>
                <w:rFonts w:ascii="Courier New" w:cs="Courier New" w:eastAsia="Courier New" w:hAnsi="Courier New"/>
                <w:sz w:val="17"/>
                <w:szCs w:val="17"/>
                <w:color w:val="auto"/>
              </w:rPr>
              <w:t>II-5</w:t>
            </w:r>
          </w:p>
        </w:tc>
        <w:tc>
          <w:tcPr>
            <w:tcW w:w="254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0300"/>
          </w:cols>
          <w:pgMar w:left="240" w:top="315" w:right="1359" w:bottom="1440" w:gutter="0" w:footer="0" w:header="0"/>
        </w:sectPr>
      </w:pPr>
    </w:p>
    <w:bookmarkStart w:id="71" w:name="page72"/>
    <w:bookmarkEnd w:id="71"/>
    <w:p>
      <w:pPr>
        <w:ind w:left="320"/>
        <w:spacing w:after="0"/>
        <w:rPr>
          <w:sz w:val="20"/>
          <w:szCs w:val="20"/>
          <w:color w:val="auto"/>
        </w:rPr>
      </w:pPr>
      <w:r>
        <w:rPr>
          <w:rFonts w:ascii="Courier New" w:cs="Courier New" w:eastAsia="Courier New" w:hAnsi="Courier New"/>
          <w:sz w:val="17"/>
          <w:szCs w:val="17"/>
          <w:color w:val="auto"/>
        </w:rPr>
        <w:t>52</w:t>
      </w:r>
    </w:p>
    <w:p>
      <w:pPr>
        <w:spacing w:after="0" w:line="20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EXHIBIT INDEX</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3340" w:space="720"/>
            <w:col w:w="6159"/>
          </w:cols>
          <w:pgMar w:left="240" w:top="315" w:right="1440" w:bottom="1440" w:gutter="0" w:footer="0" w:header="0"/>
          <w:type w:val="continuous"/>
        </w:sectPr>
      </w:pPr>
    </w:p>
    <w:p>
      <w:pPr>
        <w:spacing w:after="0" w:line="7" w:lineRule="exact"/>
        <w:rPr>
          <w:sz w:val="20"/>
          <w:szCs w:val="20"/>
          <w:color w:val="auto"/>
        </w:rPr>
      </w:pPr>
    </w:p>
    <w:p>
      <w:pPr>
        <w:ind w:left="1040" w:hanging="722"/>
        <w:spacing w:after="0"/>
        <w:tabs>
          <w:tab w:leader="none" w:pos="10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Form of Underwriting Agreement.</w:t>
      </w:r>
    </w:p>
    <w:p>
      <w:pPr>
        <w:spacing w:after="0" w:line="7"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560" w:type="dxa"/>
            <w:vAlign w:val="bottom"/>
          </w:tcPr>
          <w:p>
            <w:pPr>
              <w:spacing w:after="0"/>
              <w:rPr>
                <w:sz w:val="20"/>
                <w:szCs w:val="20"/>
                <w:color w:val="auto"/>
              </w:rPr>
            </w:pPr>
            <w:r>
              <w:rPr>
                <w:rFonts w:ascii="Courier New" w:cs="Courier New" w:eastAsia="Courier New" w:hAnsi="Courier New"/>
                <w:sz w:val="17"/>
                <w:szCs w:val="17"/>
                <w:color w:val="auto"/>
              </w:rPr>
              <w:t>4.1</w:t>
            </w:r>
          </w:p>
        </w:tc>
        <w:tc>
          <w:tcPr>
            <w:tcW w:w="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Stock Purchase Agreement dated January 13, 1988, by and</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between the Company, Leonard S. Schleifer and ML Venture</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Partners II,</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L.P. (the "Stock Purchase Agreement").</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Incorporated</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by reference to Exhibit 10.1 to Regeneron's</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Registration</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Statement on Form S-1 (File No. 33-39043) (the</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"Regeneron S-1").</w:t>
            </w:r>
          </w:p>
        </w:tc>
      </w:tr>
      <w:tr>
        <w:trPr>
          <w:trHeight w:val="200"/>
        </w:trPr>
        <w:tc>
          <w:tcPr>
            <w:tcW w:w="560" w:type="dxa"/>
            <w:vAlign w:val="bottom"/>
          </w:tcPr>
          <w:p>
            <w:pPr>
              <w:spacing w:after="0"/>
              <w:rPr>
                <w:sz w:val="20"/>
                <w:szCs w:val="20"/>
                <w:color w:val="auto"/>
              </w:rPr>
            </w:pPr>
            <w:r>
              <w:rPr>
                <w:rFonts w:ascii="Courier New" w:cs="Courier New" w:eastAsia="Courier New" w:hAnsi="Courier New"/>
                <w:sz w:val="17"/>
                <w:szCs w:val="17"/>
                <w:color w:val="auto"/>
              </w:rPr>
              <w:t>4.2</w:t>
            </w:r>
          </w:p>
        </w:tc>
        <w:tc>
          <w:tcPr>
            <w:tcW w:w="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Amendment to</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the Stock Purchase Agreement dated March 3,</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1989. Incorporated by reference to Exhibit 10.2 to the</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Regeneron S-1.</w:t>
            </w:r>
          </w:p>
        </w:tc>
      </w:tr>
      <w:tr>
        <w:trPr>
          <w:trHeight w:val="200"/>
        </w:trPr>
        <w:tc>
          <w:tcPr>
            <w:tcW w:w="560" w:type="dxa"/>
            <w:vAlign w:val="bottom"/>
          </w:tcPr>
          <w:p>
            <w:pPr>
              <w:spacing w:after="0"/>
              <w:rPr>
                <w:sz w:val="20"/>
                <w:szCs w:val="20"/>
                <w:color w:val="auto"/>
              </w:rPr>
            </w:pPr>
            <w:r>
              <w:rPr>
                <w:rFonts w:ascii="Courier New" w:cs="Courier New" w:eastAsia="Courier New" w:hAnsi="Courier New"/>
                <w:sz w:val="17"/>
                <w:szCs w:val="17"/>
                <w:color w:val="auto"/>
              </w:rPr>
              <w:t>4.3</w:t>
            </w:r>
          </w:p>
        </w:tc>
        <w:tc>
          <w:tcPr>
            <w:tcW w:w="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Letter Agreement dated November 27, 1989, amending the Stock</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Purchase Agreement. Incorporated by reference to Exhibit</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10.13 to the</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Regeneron S-1.</w:t>
            </w:r>
          </w:p>
        </w:tc>
      </w:tr>
      <w:tr>
        <w:trPr>
          <w:trHeight w:val="200"/>
        </w:trPr>
        <w:tc>
          <w:tcPr>
            <w:tcW w:w="560" w:type="dxa"/>
            <w:vAlign w:val="bottom"/>
          </w:tcPr>
          <w:p>
            <w:pPr>
              <w:spacing w:after="0"/>
              <w:rPr>
                <w:sz w:val="20"/>
                <w:szCs w:val="20"/>
                <w:color w:val="auto"/>
              </w:rPr>
            </w:pPr>
            <w:r>
              <w:rPr>
                <w:rFonts w:ascii="Courier New" w:cs="Courier New" w:eastAsia="Courier New" w:hAnsi="Courier New"/>
                <w:sz w:val="17"/>
                <w:szCs w:val="17"/>
                <w:color w:val="auto"/>
              </w:rPr>
              <w:t>4.4</w:t>
            </w:r>
          </w:p>
        </w:tc>
        <w:tc>
          <w:tcPr>
            <w:tcW w:w="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Class B Convertible Preferred Stock Purchase Agreement dated</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November 22,</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1988, by and between the Company and each</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purchaser set forth on Exhibit A thereto. Incorporated by</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reference to</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Exhibit 10.3 to the Regeneron S-1.</w:t>
            </w:r>
          </w:p>
        </w:tc>
      </w:tr>
      <w:tr>
        <w:trPr>
          <w:trHeight w:val="200"/>
        </w:trPr>
        <w:tc>
          <w:tcPr>
            <w:tcW w:w="560" w:type="dxa"/>
            <w:vAlign w:val="bottom"/>
          </w:tcPr>
          <w:p>
            <w:pPr>
              <w:spacing w:after="0"/>
              <w:rPr>
                <w:sz w:val="20"/>
                <w:szCs w:val="20"/>
                <w:color w:val="auto"/>
              </w:rPr>
            </w:pPr>
            <w:r>
              <w:rPr>
                <w:rFonts w:ascii="Courier New" w:cs="Courier New" w:eastAsia="Courier New" w:hAnsi="Courier New"/>
                <w:sz w:val="17"/>
                <w:szCs w:val="17"/>
                <w:color w:val="auto"/>
              </w:rPr>
              <w:t>4.5</w:t>
            </w:r>
          </w:p>
        </w:tc>
        <w:tc>
          <w:tcPr>
            <w:tcW w:w="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Class D Convertible Preferred Stock Purchase Agreement dated</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August 31, 1990, by and between the Company and Amgen Inc.</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Incorporated</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by reference to Exhibit 10.9 to the Regeneron</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S-1.</w:t>
            </w:r>
          </w:p>
        </w:tc>
        <w:tc>
          <w:tcPr>
            <w:tcW w:w="4940" w:type="dxa"/>
            <w:vAlign w:val="bottom"/>
          </w:tcPr>
          <w:p>
            <w:pPr>
              <w:spacing w:after="0"/>
              <w:rPr>
                <w:sz w:val="17"/>
                <w:szCs w:val="17"/>
                <w:color w:val="auto"/>
              </w:rPr>
            </w:pPr>
          </w:p>
        </w:tc>
      </w:tr>
      <w:tr>
        <w:trPr>
          <w:trHeight w:val="200"/>
        </w:trPr>
        <w:tc>
          <w:tcPr>
            <w:tcW w:w="560" w:type="dxa"/>
            <w:vAlign w:val="bottom"/>
          </w:tcPr>
          <w:p>
            <w:pPr>
              <w:spacing w:after="0"/>
              <w:rPr>
                <w:sz w:val="20"/>
                <w:szCs w:val="20"/>
                <w:color w:val="auto"/>
              </w:rPr>
            </w:pPr>
            <w:r>
              <w:rPr>
                <w:rFonts w:ascii="Courier New" w:cs="Courier New" w:eastAsia="Courier New" w:hAnsi="Courier New"/>
                <w:sz w:val="17"/>
                <w:szCs w:val="17"/>
                <w:color w:val="auto"/>
              </w:rPr>
              <w:t>4.6</w:t>
            </w:r>
          </w:p>
        </w:tc>
        <w:tc>
          <w:tcPr>
            <w:tcW w:w="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Registration</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Rights Agreement, dated as of July 22, 1993, by</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and between the Company and Glaxo Group Limited.</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Incorporated</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by reference to Exhibit 4.7 to Regeneron's</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Registration</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Statement on Form S-3 (File No. 33-66788).</w:t>
            </w:r>
          </w:p>
        </w:tc>
      </w:tr>
      <w:tr>
        <w:trPr>
          <w:trHeight w:val="200"/>
        </w:trPr>
        <w:tc>
          <w:tcPr>
            <w:tcW w:w="560" w:type="dxa"/>
            <w:vAlign w:val="bottom"/>
          </w:tcPr>
          <w:p>
            <w:pPr>
              <w:spacing w:after="0"/>
              <w:rPr>
                <w:sz w:val="20"/>
                <w:szCs w:val="20"/>
                <w:color w:val="auto"/>
              </w:rPr>
            </w:pPr>
            <w:r>
              <w:rPr>
                <w:rFonts w:ascii="Courier New" w:cs="Courier New" w:eastAsia="Courier New" w:hAnsi="Courier New"/>
                <w:sz w:val="17"/>
                <w:szCs w:val="17"/>
                <w:color w:val="auto"/>
              </w:rPr>
              <w:t>4.7</w:t>
            </w:r>
          </w:p>
        </w:tc>
        <w:tc>
          <w:tcPr>
            <w:tcW w:w="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Registration</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Rights Agreement, dated as of April 15, 1996,</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by and between the Company and Amgen Inc. Incorporated by</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reference to</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Exhibit 10.3 to Regeneron's Form 10-Q for the</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quarter ended June 30, 1996, filed August 14, 1996.</w:t>
            </w:r>
          </w:p>
        </w:tc>
      </w:tr>
      <w:tr>
        <w:trPr>
          <w:trHeight w:val="200"/>
        </w:trPr>
        <w:tc>
          <w:tcPr>
            <w:tcW w:w="560" w:type="dxa"/>
            <w:vAlign w:val="bottom"/>
          </w:tcPr>
          <w:p>
            <w:pPr>
              <w:spacing w:after="0"/>
              <w:rPr>
                <w:sz w:val="20"/>
                <w:szCs w:val="20"/>
                <w:color w:val="auto"/>
              </w:rPr>
            </w:pPr>
            <w:r>
              <w:rPr>
                <w:rFonts w:ascii="Courier New" w:cs="Courier New" w:eastAsia="Courier New" w:hAnsi="Courier New"/>
                <w:sz w:val="17"/>
                <w:szCs w:val="17"/>
                <w:color w:val="auto"/>
              </w:rPr>
              <w:t>4.8</w:t>
            </w:r>
          </w:p>
        </w:tc>
        <w:tc>
          <w:tcPr>
            <w:tcW w:w="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Registration</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Rights Agreement, dated as of June 27, 1996, by</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and between the Company and Medtronic, Inc. Incorporated by</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reference to</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Exhibit 10.6 to Regeneron's Form 10-Q for the</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quarter ended June 30, 1996, filed August 14, 1996.</w:t>
            </w:r>
          </w:p>
        </w:tc>
      </w:tr>
      <w:tr>
        <w:trPr>
          <w:trHeight w:val="200"/>
        </w:trPr>
        <w:tc>
          <w:tcPr>
            <w:tcW w:w="560" w:type="dxa"/>
            <w:vAlign w:val="bottom"/>
          </w:tcPr>
          <w:p>
            <w:pPr>
              <w:spacing w:after="0"/>
              <w:rPr>
                <w:sz w:val="20"/>
                <w:szCs w:val="20"/>
                <w:color w:val="auto"/>
              </w:rPr>
            </w:pPr>
            <w:r>
              <w:rPr>
                <w:rFonts w:ascii="Courier New" w:cs="Courier New" w:eastAsia="Courier New" w:hAnsi="Courier New"/>
                <w:sz w:val="17"/>
                <w:szCs w:val="17"/>
                <w:color w:val="auto"/>
              </w:rPr>
              <w:t>4.9</w:t>
            </w:r>
          </w:p>
        </w:tc>
        <w:tc>
          <w:tcPr>
            <w:tcW w:w="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Registration</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Rights Agreement, dated as of December 11,</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1996, by and</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between the Company and Procter &amp; Gamble</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Pharmaceuticals. Incorporated by reference to Exhibit 10.30</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to Regeneron's Form 10-K for the fiscal year ended December</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31, 1996, filed March 26, 1997.</w:t>
            </w:r>
          </w:p>
        </w:tc>
      </w:tr>
      <w:tr>
        <w:trPr>
          <w:trHeight w:val="200"/>
        </w:trPr>
        <w:tc>
          <w:tcPr>
            <w:tcW w:w="560" w:type="dxa"/>
            <w:vAlign w:val="bottom"/>
          </w:tcPr>
          <w:p>
            <w:pPr>
              <w:spacing w:after="0"/>
              <w:rPr>
                <w:sz w:val="20"/>
                <w:szCs w:val="20"/>
                <w:color w:val="auto"/>
              </w:rPr>
            </w:pPr>
            <w:r>
              <w:rPr>
                <w:rFonts w:ascii="Courier New" w:cs="Courier New" w:eastAsia="Courier New" w:hAnsi="Courier New"/>
                <w:sz w:val="17"/>
                <w:szCs w:val="17"/>
                <w:color w:val="auto"/>
              </w:rPr>
              <w:t>4.10</w:t>
            </w:r>
          </w:p>
        </w:tc>
        <w:tc>
          <w:tcPr>
            <w:tcW w:w="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Registration</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Rights Agreement, dated as of May 13, 1997, by</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and between the Company and Procter &amp; Gamble</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Pharmaceuticals. Incorporated by reference to Exhibit 10.3</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to Regeneron's Form 10-Q for the quarter ended June 30,</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1997, filed August 12, 1997.</w:t>
            </w:r>
          </w:p>
        </w:tc>
      </w:tr>
      <w:tr>
        <w:trPr>
          <w:trHeight w:val="200"/>
        </w:trPr>
        <w:tc>
          <w:tcPr>
            <w:tcW w:w="560" w:type="dxa"/>
            <w:vAlign w:val="bottom"/>
          </w:tcPr>
          <w:p>
            <w:pPr>
              <w:spacing w:after="0"/>
              <w:rPr>
                <w:sz w:val="20"/>
                <w:szCs w:val="20"/>
                <w:color w:val="auto"/>
              </w:rPr>
            </w:pPr>
            <w:r>
              <w:rPr>
                <w:rFonts w:ascii="Courier New" w:cs="Courier New" w:eastAsia="Courier New" w:hAnsi="Courier New"/>
                <w:sz w:val="17"/>
                <w:szCs w:val="17"/>
                <w:color w:val="auto"/>
              </w:rPr>
              <w:t>4.11</w:t>
            </w:r>
          </w:p>
        </w:tc>
        <w:tc>
          <w:tcPr>
            <w:tcW w:w="52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64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Form of Certificate of shares of common stock. Incorporated</w:t>
            </w:r>
          </w:p>
        </w:tc>
      </w:tr>
      <w:tr>
        <w:trPr>
          <w:trHeight w:val="200"/>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by reference</w:t>
            </w:r>
          </w:p>
        </w:tc>
        <w:tc>
          <w:tcPr>
            <w:tcW w:w="4940" w:type="dxa"/>
            <w:vAlign w:val="bottom"/>
          </w:tcPr>
          <w:p>
            <w:pPr>
              <w:ind w:left="60"/>
              <w:spacing w:after="0"/>
              <w:rPr>
                <w:sz w:val="20"/>
                <w:szCs w:val="20"/>
                <w:color w:val="auto"/>
              </w:rPr>
            </w:pPr>
            <w:r>
              <w:rPr>
                <w:rFonts w:ascii="Courier New" w:cs="Courier New" w:eastAsia="Courier New" w:hAnsi="Courier New"/>
                <w:sz w:val="17"/>
                <w:szCs w:val="17"/>
                <w:color w:val="auto"/>
              </w:rPr>
              <w:t>to Exhibit (a) to the Company's Form 8-A, filed</w:t>
            </w:r>
          </w:p>
        </w:tc>
      </w:tr>
    </w:tbl>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with the Commission on February 20, 1991.</w:t>
      </w:r>
    </w:p>
    <w:p>
      <w:pPr>
        <w:spacing w:after="0" w:line="7" w:lineRule="exact"/>
        <w:rPr>
          <w:sz w:val="20"/>
          <w:szCs w:val="20"/>
          <w:color w:val="auto"/>
        </w:rPr>
      </w:pPr>
    </w:p>
    <w:p>
      <w:pPr>
        <w:ind w:left="1040" w:hanging="722"/>
        <w:spacing w:after="0"/>
        <w:tabs>
          <w:tab w:leader="none" w:pos="104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Opinion of Skadden, Arps, Slate, Meagher &amp; Flom LLP.</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23.1</w:t>
            </w:r>
          </w:p>
        </w:tc>
        <w:tc>
          <w:tcPr>
            <w:tcW w:w="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55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Consent of PricewaterhouseCoopers LLP, Independent</w:t>
            </w:r>
          </w:p>
        </w:tc>
      </w:tr>
      <w:tr>
        <w:trPr>
          <w:trHeight w:val="200"/>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56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Accountants.</w:t>
            </w:r>
          </w:p>
        </w:tc>
      </w:tr>
      <w:tr>
        <w:trPr>
          <w:trHeight w:val="200"/>
        </w:trPr>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23.2</w:t>
            </w:r>
          </w:p>
        </w:tc>
        <w:tc>
          <w:tcPr>
            <w:tcW w:w="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ind w:left="160"/>
              <w:spacing w:after="0"/>
              <w:rPr>
                <w:sz w:val="20"/>
                <w:szCs w:val="20"/>
                <w:color w:val="auto"/>
              </w:rPr>
            </w:pPr>
            <w:r>
              <w:rPr>
                <w:rFonts w:ascii="Courier New" w:cs="Courier New" w:eastAsia="Courier New" w:hAnsi="Courier New"/>
                <w:sz w:val="17"/>
                <w:szCs w:val="17"/>
                <w:color w:val="auto"/>
              </w:rPr>
              <w:t>Consent of</w:t>
            </w:r>
          </w:p>
        </w:tc>
        <w:tc>
          <w:tcPr>
            <w:tcW w:w="4300" w:type="dxa"/>
            <w:vAlign w:val="bottom"/>
          </w:tcPr>
          <w:p>
            <w:pPr>
              <w:ind w:left="40"/>
              <w:spacing w:after="0"/>
              <w:rPr>
                <w:sz w:val="20"/>
                <w:szCs w:val="20"/>
                <w:color w:val="auto"/>
              </w:rPr>
            </w:pPr>
            <w:r>
              <w:rPr>
                <w:rFonts w:ascii="Courier New" w:cs="Courier New" w:eastAsia="Courier New" w:hAnsi="Courier New"/>
                <w:sz w:val="17"/>
                <w:szCs w:val="17"/>
                <w:color w:val="auto"/>
              </w:rPr>
              <w:t>Ernst &amp; Young LLP, Independent Auditors.</w:t>
            </w:r>
          </w:p>
        </w:tc>
      </w:tr>
      <w:tr>
        <w:trPr>
          <w:trHeight w:val="200"/>
        </w:trPr>
        <w:tc>
          <w:tcPr>
            <w:tcW w:w="6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23.3</w:t>
            </w:r>
          </w:p>
        </w:tc>
        <w:tc>
          <w:tcPr>
            <w:tcW w:w="560" w:type="dxa"/>
            <w:vAlign w:val="bottom"/>
          </w:tcPr>
          <w:p>
            <w:pPr>
              <w:jc w:val="right"/>
              <w:ind w:right="5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ind w:left="160"/>
              <w:spacing w:after="0"/>
              <w:rPr>
                <w:sz w:val="20"/>
                <w:szCs w:val="20"/>
                <w:color w:val="auto"/>
              </w:rPr>
            </w:pPr>
            <w:r>
              <w:rPr>
                <w:rFonts w:ascii="Courier New" w:cs="Courier New" w:eastAsia="Courier New" w:hAnsi="Courier New"/>
                <w:sz w:val="17"/>
                <w:szCs w:val="17"/>
                <w:color w:val="auto"/>
              </w:rPr>
              <w:t>Consent of</w:t>
            </w:r>
          </w:p>
        </w:tc>
        <w:tc>
          <w:tcPr>
            <w:tcW w:w="4300" w:type="dxa"/>
            <w:vAlign w:val="bottom"/>
          </w:tcPr>
          <w:p>
            <w:pPr>
              <w:ind w:left="40"/>
              <w:spacing w:after="0"/>
              <w:rPr>
                <w:sz w:val="20"/>
                <w:szCs w:val="20"/>
                <w:color w:val="auto"/>
              </w:rPr>
            </w:pPr>
            <w:r>
              <w:rPr>
                <w:rFonts w:ascii="Courier New" w:cs="Courier New" w:eastAsia="Courier New" w:hAnsi="Courier New"/>
                <w:sz w:val="17"/>
                <w:szCs w:val="17"/>
                <w:color w:val="auto"/>
              </w:rPr>
              <w:t>Skadden, Arps, Slate, Meagher &amp; Flom LLP.</w:t>
            </w:r>
          </w:p>
        </w:tc>
      </w:tr>
    </w:tbl>
    <w:p>
      <w:pPr>
        <w:spacing w:after="0" w:line="205" w:lineRule="exact"/>
        <w:rPr>
          <w:sz w:val="20"/>
          <w:szCs w:val="20"/>
          <w:color w:val="auto"/>
        </w:rPr>
      </w:pPr>
    </w:p>
    <w:p>
      <w:pPr>
        <w:ind w:left="1560" w:right="2619" w:hanging="1346"/>
        <w:spacing w:after="0" w:line="251" w:lineRule="auto"/>
        <w:tabs>
          <w:tab w:leader="none" w:pos="104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Powers of Attorney. Included in the signature page of this Registration Statement.</w:t>
      </w:r>
    </w:p>
    <w:p>
      <w:pPr>
        <w:sectPr>
          <w:pgSz w:w="11900" w:h="16838" w:orient="portrait"/>
          <w:cols w:equalWidth="0" w:num="1">
            <w:col w:w="10219"/>
          </w:cols>
          <w:pgMar w:left="240" w:top="315" w:right="1440" w:bottom="1440" w:gutter="0" w:footer="0" w:header="0"/>
          <w:type w:val="continuous"/>
        </w:sectPr>
      </w:pPr>
    </w:p>
    <w:bookmarkStart w:id="72" w:name="page73"/>
    <w:bookmarkEnd w:id="72"/>
    <w:p>
      <w:pPr>
        <w:spacing w:after="0"/>
        <w:rPr>
          <w:sz w:val="20"/>
          <w:szCs w:val="20"/>
          <w:color w:val="auto"/>
        </w:rPr>
      </w:pPr>
      <w:r>
        <w:rPr>
          <w:rFonts w:ascii="Courier New" w:cs="Courier New" w:eastAsia="Courier New" w:hAnsi="Courier New"/>
          <w:sz w:val="17"/>
          <w:szCs w:val="17"/>
          <w:color w:val="auto"/>
        </w:rPr>
        <w:t>1</w:t>
      </w:r>
    </w:p>
    <w:p>
      <w:pPr>
        <w:spacing w:after="0" w:line="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S&amp;S DRAFT</w:t>
      </w:r>
    </w:p>
    <w:p>
      <w:pPr>
        <w:spacing w:after="0" w:line="207"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REGENERON PHARMACEUTICALS, INC.</w:t>
      </w:r>
    </w:p>
    <w:p>
      <w:pPr>
        <w:spacing w:after="0" w:line="207"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(a New York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[4,000,000] Shares of Common Stock</w:t>
      </w:r>
    </w:p>
    <w:p>
      <w:pPr>
        <w:spacing w:after="0" w:line="207"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Dated: [ ], 2001</w:t>
      </w:r>
    </w:p>
    <w:p>
      <w:pPr>
        <w:sectPr>
          <w:pgSz w:w="11900" w:h="16838" w:orient="portrait"/>
          <w:cols w:equalWidth="0" w:num="1">
            <w:col w:w="9899"/>
          </w:cols>
          <w:pgMar w:left="560" w:top="142" w:right="1440" w:bottom="1440" w:gutter="0" w:footer="0" w:header="0"/>
        </w:sectPr>
      </w:pPr>
    </w:p>
    <w:bookmarkStart w:id="73" w:name="page74"/>
    <w:bookmarkEnd w:id="73"/>
    <w:p>
      <w:pPr>
        <w:ind w:left="320"/>
        <w:spacing w:after="0"/>
        <w:rPr>
          <w:sz w:val="20"/>
          <w:szCs w:val="20"/>
          <w:color w:val="auto"/>
        </w:rPr>
      </w:pPr>
      <w:r>
        <w:rPr>
          <w:rFonts w:ascii="Courier New" w:cs="Courier New" w:eastAsia="Courier New" w:hAnsi="Courier New"/>
          <w:sz w:val="17"/>
          <w:szCs w:val="17"/>
          <w:color w:val="auto"/>
        </w:rPr>
        <w:t>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00" w:type="dxa"/>
            <w:vAlign w:val="bottom"/>
          </w:tcPr>
          <w:p>
            <w:pPr>
              <w:spacing w:after="0"/>
              <w:rPr>
                <w:sz w:val="16"/>
                <w:szCs w:val="16"/>
                <w:color w:val="auto"/>
              </w:rPr>
            </w:pPr>
          </w:p>
        </w:tc>
        <w:tc>
          <w:tcPr>
            <w:tcW w:w="7220" w:type="dxa"/>
            <w:vAlign w:val="bottom"/>
          </w:tcPr>
          <w:p>
            <w:pPr>
              <w:jc w:val="right"/>
              <w:ind w:right="4433"/>
              <w:spacing w:after="0"/>
              <w:rPr>
                <w:sz w:val="20"/>
                <w:szCs w:val="20"/>
                <w:color w:val="auto"/>
              </w:rPr>
            </w:pPr>
            <w:r>
              <w:rPr>
                <w:rFonts w:ascii="Courier New" w:cs="Courier New" w:eastAsia="Courier New" w:hAnsi="Courier New"/>
                <w:sz w:val="17"/>
                <w:szCs w:val="17"/>
                <w:color w:val="auto"/>
              </w:rPr>
              <w:t>TABLE OF CONTENTS</w:t>
            </w:r>
          </w:p>
        </w:tc>
        <w:tc>
          <w:tcPr>
            <w:tcW w:w="780" w:type="dxa"/>
            <w:vAlign w:val="bottom"/>
          </w:tcPr>
          <w:p>
            <w:pPr>
              <w:spacing w:after="0"/>
              <w:rPr>
                <w:sz w:val="16"/>
                <w:szCs w:val="16"/>
                <w:color w:val="auto"/>
              </w:rPr>
            </w:pPr>
          </w:p>
        </w:tc>
      </w:tr>
      <w:tr>
        <w:trPr>
          <w:trHeight w:val="799"/>
        </w:trPr>
        <w:tc>
          <w:tcPr>
            <w:tcW w:w="240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200"/>
        </w:trPr>
        <w:tc>
          <w:tcPr>
            <w:tcW w:w="240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962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SECTION 1. Representations and Warranties.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w:t>
            </w:r>
          </w:p>
        </w:tc>
      </w:tr>
      <w:tr>
        <w:trPr>
          <w:trHeight w:val="200"/>
        </w:trPr>
        <w:tc>
          <w:tcPr>
            <w:tcW w:w="962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(a) Representations and Warranties by the Company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w:t>
            </w:r>
          </w:p>
        </w:tc>
      </w:tr>
      <w:tr>
        <w:trPr>
          <w:trHeight w:val="200"/>
        </w:trPr>
        <w:tc>
          <w:tcPr>
            <w:tcW w:w="2400" w:type="dxa"/>
            <w:vAlign w:val="bottom"/>
          </w:tcPr>
          <w:p>
            <w:pPr>
              <w:ind w:left="1880"/>
              <w:spacing w:after="0"/>
              <w:rPr>
                <w:sz w:val="20"/>
                <w:szCs w:val="20"/>
                <w:color w:val="auto"/>
              </w:rPr>
            </w:pPr>
            <w:r>
              <w:rPr>
                <w:rFonts w:ascii="Courier New" w:cs="Courier New" w:eastAsia="Courier New" w:hAnsi="Courier New"/>
                <w:sz w:val="17"/>
                <w:szCs w:val="17"/>
                <w:color w:val="auto"/>
              </w:rPr>
              <w:t>(i)</w:t>
            </w:r>
          </w:p>
        </w:tc>
        <w:tc>
          <w:tcPr>
            <w:tcW w:w="7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Compliance with Registration Requirements.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w:t>
            </w:r>
          </w:p>
        </w:tc>
      </w:tr>
      <w:tr>
        <w:trPr>
          <w:trHeight w:val="200"/>
        </w:trPr>
        <w:tc>
          <w:tcPr>
            <w:tcW w:w="2400" w:type="dxa"/>
            <w:vAlign w:val="bottom"/>
          </w:tcPr>
          <w:p>
            <w:pPr>
              <w:ind w:left="1880"/>
              <w:spacing w:after="0"/>
              <w:rPr>
                <w:sz w:val="20"/>
                <w:szCs w:val="20"/>
                <w:color w:val="auto"/>
              </w:rPr>
            </w:pPr>
            <w:r>
              <w:rPr>
                <w:rFonts w:ascii="Courier New" w:cs="Courier New" w:eastAsia="Courier New" w:hAnsi="Courier New"/>
                <w:sz w:val="17"/>
                <w:szCs w:val="17"/>
                <w:color w:val="auto"/>
              </w:rPr>
              <w:t>(ii)</w:t>
            </w:r>
          </w:p>
        </w:tc>
        <w:tc>
          <w:tcPr>
            <w:tcW w:w="7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Incorporated Documents.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w:t>
            </w:r>
          </w:p>
        </w:tc>
      </w:tr>
      <w:tr>
        <w:trPr>
          <w:trHeight w:val="200"/>
        </w:trPr>
        <w:tc>
          <w:tcPr>
            <w:tcW w:w="2400" w:type="dxa"/>
            <w:vAlign w:val="bottom"/>
          </w:tcPr>
          <w:p>
            <w:pPr>
              <w:ind w:left="1880"/>
              <w:spacing w:after="0"/>
              <w:rPr>
                <w:sz w:val="20"/>
                <w:szCs w:val="20"/>
                <w:color w:val="auto"/>
              </w:rPr>
            </w:pPr>
            <w:r>
              <w:rPr>
                <w:rFonts w:ascii="Courier New" w:cs="Courier New" w:eastAsia="Courier New" w:hAnsi="Courier New"/>
                <w:sz w:val="17"/>
                <w:szCs w:val="17"/>
                <w:color w:val="auto"/>
                <w:w w:val="97"/>
              </w:rPr>
              <w:t>(iii)</w:t>
            </w:r>
          </w:p>
        </w:tc>
        <w:tc>
          <w:tcPr>
            <w:tcW w:w="7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Independent Accountants.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w:t>
            </w:r>
          </w:p>
        </w:tc>
      </w:tr>
      <w:tr>
        <w:trPr>
          <w:trHeight w:val="200"/>
        </w:trPr>
        <w:tc>
          <w:tcPr>
            <w:tcW w:w="2400" w:type="dxa"/>
            <w:vAlign w:val="bottom"/>
          </w:tcPr>
          <w:p>
            <w:pPr>
              <w:ind w:left="1880"/>
              <w:spacing w:after="0"/>
              <w:rPr>
                <w:sz w:val="20"/>
                <w:szCs w:val="20"/>
                <w:color w:val="auto"/>
              </w:rPr>
            </w:pPr>
            <w:r>
              <w:rPr>
                <w:rFonts w:ascii="Courier New" w:cs="Courier New" w:eastAsia="Courier New" w:hAnsi="Courier New"/>
                <w:sz w:val="17"/>
                <w:szCs w:val="17"/>
                <w:color w:val="auto"/>
              </w:rPr>
              <w:t>(iv)</w:t>
            </w:r>
          </w:p>
        </w:tc>
        <w:tc>
          <w:tcPr>
            <w:tcW w:w="7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Financial Statements.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w:t>
            </w:r>
          </w:p>
        </w:tc>
      </w:tr>
      <w:tr>
        <w:trPr>
          <w:trHeight w:val="200"/>
        </w:trPr>
        <w:tc>
          <w:tcPr>
            <w:tcW w:w="2400" w:type="dxa"/>
            <w:vAlign w:val="bottom"/>
          </w:tcPr>
          <w:p>
            <w:pPr>
              <w:ind w:left="1880"/>
              <w:spacing w:after="0"/>
              <w:rPr>
                <w:sz w:val="20"/>
                <w:szCs w:val="20"/>
                <w:color w:val="auto"/>
              </w:rPr>
            </w:pPr>
            <w:r>
              <w:rPr>
                <w:rFonts w:ascii="Courier New" w:cs="Courier New" w:eastAsia="Courier New" w:hAnsi="Courier New"/>
                <w:sz w:val="17"/>
                <w:szCs w:val="17"/>
                <w:color w:val="auto"/>
              </w:rPr>
              <w:t>(v)</w:t>
            </w:r>
          </w:p>
        </w:tc>
        <w:tc>
          <w:tcPr>
            <w:tcW w:w="7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No Material Adverse Change in Business.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w:t>
            </w:r>
          </w:p>
        </w:tc>
      </w:tr>
      <w:tr>
        <w:trPr>
          <w:trHeight w:val="200"/>
        </w:trPr>
        <w:tc>
          <w:tcPr>
            <w:tcW w:w="2400" w:type="dxa"/>
            <w:vAlign w:val="bottom"/>
          </w:tcPr>
          <w:p>
            <w:pPr>
              <w:ind w:left="1880"/>
              <w:spacing w:after="0"/>
              <w:rPr>
                <w:sz w:val="20"/>
                <w:szCs w:val="20"/>
                <w:color w:val="auto"/>
              </w:rPr>
            </w:pPr>
            <w:r>
              <w:rPr>
                <w:rFonts w:ascii="Courier New" w:cs="Courier New" w:eastAsia="Courier New" w:hAnsi="Courier New"/>
                <w:sz w:val="17"/>
                <w:szCs w:val="17"/>
                <w:color w:val="auto"/>
              </w:rPr>
              <w:t>(vi)</w:t>
            </w:r>
          </w:p>
        </w:tc>
        <w:tc>
          <w:tcPr>
            <w:tcW w:w="7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Good Standing of the Company.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w:t>
            </w:r>
          </w:p>
        </w:tc>
      </w:tr>
      <w:tr>
        <w:trPr>
          <w:trHeight w:val="200"/>
        </w:trPr>
        <w:tc>
          <w:tcPr>
            <w:tcW w:w="2400" w:type="dxa"/>
            <w:vAlign w:val="bottom"/>
          </w:tcPr>
          <w:p>
            <w:pPr>
              <w:ind w:left="1880"/>
              <w:spacing w:after="0"/>
              <w:rPr>
                <w:sz w:val="20"/>
                <w:szCs w:val="20"/>
                <w:color w:val="auto"/>
              </w:rPr>
            </w:pPr>
            <w:r>
              <w:rPr>
                <w:rFonts w:ascii="Courier New" w:cs="Courier New" w:eastAsia="Courier New" w:hAnsi="Courier New"/>
                <w:sz w:val="17"/>
                <w:szCs w:val="17"/>
                <w:color w:val="auto"/>
                <w:w w:val="97"/>
              </w:rPr>
              <w:t>(vii)</w:t>
            </w:r>
          </w:p>
        </w:tc>
        <w:tc>
          <w:tcPr>
            <w:tcW w:w="7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Good Standing of Subsidiaries.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(viii)Capitalization.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w:t>
            </w:r>
          </w:p>
        </w:tc>
      </w:tr>
      <w:tr>
        <w:trPr>
          <w:trHeight w:val="200"/>
        </w:trPr>
        <w:tc>
          <w:tcPr>
            <w:tcW w:w="2400" w:type="dxa"/>
            <w:vAlign w:val="bottom"/>
          </w:tcPr>
          <w:p>
            <w:pPr>
              <w:ind w:left="1880"/>
              <w:spacing w:after="0"/>
              <w:rPr>
                <w:sz w:val="20"/>
                <w:szCs w:val="20"/>
                <w:color w:val="auto"/>
              </w:rPr>
            </w:pPr>
            <w:r>
              <w:rPr>
                <w:rFonts w:ascii="Courier New" w:cs="Courier New" w:eastAsia="Courier New" w:hAnsi="Courier New"/>
                <w:sz w:val="17"/>
                <w:szCs w:val="17"/>
                <w:color w:val="auto"/>
              </w:rPr>
              <w:t>(ix)</w:t>
            </w:r>
          </w:p>
        </w:tc>
        <w:tc>
          <w:tcPr>
            <w:tcW w:w="7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Authorization of Agreement.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w:t>
            </w:r>
          </w:p>
        </w:tc>
      </w:tr>
      <w:tr>
        <w:trPr>
          <w:trHeight w:val="200"/>
        </w:trPr>
        <w:tc>
          <w:tcPr>
            <w:tcW w:w="2400" w:type="dxa"/>
            <w:vAlign w:val="bottom"/>
          </w:tcPr>
          <w:p>
            <w:pPr>
              <w:ind w:left="1880"/>
              <w:spacing w:after="0"/>
              <w:rPr>
                <w:sz w:val="20"/>
                <w:szCs w:val="20"/>
                <w:color w:val="auto"/>
              </w:rPr>
            </w:pPr>
            <w:r>
              <w:rPr>
                <w:rFonts w:ascii="Courier New" w:cs="Courier New" w:eastAsia="Courier New" w:hAnsi="Courier New"/>
                <w:sz w:val="17"/>
                <w:szCs w:val="17"/>
                <w:color w:val="auto"/>
              </w:rPr>
              <w:t>(x)</w:t>
            </w:r>
          </w:p>
        </w:tc>
        <w:tc>
          <w:tcPr>
            <w:tcW w:w="7220" w:type="dxa"/>
            <w:vAlign w:val="bottom"/>
          </w:tcPr>
          <w:p>
            <w:pPr>
              <w:ind w:left="100"/>
              <w:spacing w:after="0"/>
              <w:rPr>
                <w:sz w:val="20"/>
                <w:szCs w:val="20"/>
                <w:color w:val="auto"/>
              </w:rPr>
            </w:pPr>
            <w:r>
              <w:rPr>
                <w:rFonts w:ascii="Courier New" w:cs="Courier New" w:eastAsia="Courier New" w:hAnsi="Courier New"/>
                <w:sz w:val="17"/>
                <w:szCs w:val="17"/>
                <w:color w:val="auto"/>
              </w:rPr>
              <w:t>Authorization and Description of Securities</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w:t>
            </w:r>
          </w:p>
        </w:tc>
      </w:tr>
      <w:tr>
        <w:trPr>
          <w:trHeight w:val="200"/>
        </w:trPr>
        <w:tc>
          <w:tcPr>
            <w:tcW w:w="2400" w:type="dxa"/>
            <w:vAlign w:val="bottom"/>
          </w:tcPr>
          <w:p>
            <w:pPr>
              <w:ind w:left="1880"/>
              <w:spacing w:after="0"/>
              <w:rPr>
                <w:sz w:val="20"/>
                <w:szCs w:val="20"/>
                <w:color w:val="auto"/>
              </w:rPr>
            </w:pPr>
            <w:r>
              <w:rPr>
                <w:rFonts w:ascii="Courier New" w:cs="Courier New" w:eastAsia="Courier New" w:hAnsi="Courier New"/>
                <w:sz w:val="17"/>
                <w:szCs w:val="17"/>
                <w:color w:val="auto"/>
              </w:rPr>
              <w:t>(xi)</w:t>
            </w:r>
          </w:p>
        </w:tc>
        <w:tc>
          <w:tcPr>
            <w:tcW w:w="7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Absence of Defaults and Conflicts.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5</w:t>
            </w:r>
          </w:p>
        </w:tc>
      </w:tr>
      <w:tr>
        <w:trPr>
          <w:trHeight w:val="200"/>
        </w:trPr>
        <w:tc>
          <w:tcPr>
            <w:tcW w:w="2400" w:type="dxa"/>
            <w:vAlign w:val="bottom"/>
          </w:tcPr>
          <w:p>
            <w:pPr>
              <w:ind w:left="1880"/>
              <w:spacing w:after="0"/>
              <w:rPr>
                <w:sz w:val="20"/>
                <w:szCs w:val="20"/>
                <w:color w:val="auto"/>
              </w:rPr>
            </w:pPr>
            <w:r>
              <w:rPr>
                <w:rFonts w:ascii="Courier New" w:cs="Courier New" w:eastAsia="Courier New" w:hAnsi="Courier New"/>
                <w:sz w:val="17"/>
                <w:szCs w:val="17"/>
                <w:color w:val="auto"/>
                <w:w w:val="97"/>
              </w:rPr>
              <w:t>(xii)</w:t>
            </w:r>
          </w:p>
        </w:tc>
        <w:tc>
          <w:tcPr>
            <w:tcW w:w="7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Absence of Labor Dispute.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(xiii)Absence of Proceedings.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w:t>
            </w:r>
          </w:p>
        </w:tc>
      </w:tr>
      <w:tr>
        <w:trPr>
          <w:trHeight w:val="200"/>
        </w:trPr>
        <w:tc>
          <w:tcPr>
            <w:tcW w:w="2400" w:type="dxa"/>
            <w:vAlign w:val="bottom"/>
          </w:tcPr>
          <w:p>
            <w:pPr>
              <w:ind w:left="1880"/>
              <w:spacing w:after="0"/>
              <w:rPr>
                <w:sz w:val="20"/>
                <w:szCs w:val="20"/>
                <w:color w:val="auto"/>
              </w:rPr>
            </w:pPr>
            <w:r>
              <w:rPr>
                <w:rFonts w:ascii="Courier New" w:cs="Courier New" w:eastAsia="Courier New" w:hAnsi="Courier New"/>
                <w:sz w:val="17"/>
                <w:szCs w:val="17"/>
                <w:color w:val="auto"/>
                <w:w w:val="97"/>
              </w:rPr>
              <w:t>(xiv)</w:t>
            </w:r>
          </w:p>
        </w:tc>
        <w:tc>
          <w:tcPr>
            <w:tcW w:w="7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Accuracy of Exhibits.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w:t>
            </w:r>
          </w:p>
        </w:tc>
      </w:tr>
      <w:tr>
        <w:trPr>
          <w:trHeight w:val="200"/>
        </w:trPr>
        <w:tc>
          <w:tcPr>
            <w:tcW w:w="2400" w:type="dxa"/>
            <w:vAlign w:val="bottom"/>
          </w:tcPr>
          <w:p>
            <w:pPr>
              <w:ind w:left="1880"/>
              <w:spacing w:after="0"/>
              <w:rPr>
                <w:sz w:val="20"/>
                <w:szCs w:val="20"/>
                <w:color w:val="auto"/>
              </w:rPr>
            </w:pPr>
            <w:r>
              <w:rPr>
                <w:rFonts w:ascii="Courier New" w:cs="Courier New" w:eastAsia="Courier New" w:hAnsi="Courier New"/>
                <w:sz w:val="17"/>
                <w:szCs w:val="17"/>
                <w:color w:val="auto"/>
              </w:rPr>
              <w:t>(xv)</w:t>
            </w:r>
          </w:p>
        </w:tc>
        <w:tc>
          <w:tcPr>
            <w:tcW w:w="7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Possession of Intellectual Property.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w:t>
            </w:r>
          </w:p>
        </w:tc>
      </w:tr>
      <w:tr>
        <w:trPr>
          <w:trHeight w:val="200"/>
        </w:trPr>
        <w:tc>
          <w:tcPr>
            <w:tcW w:w="2400" w:type="dxa"/>
            <w:vAlign w:val="bottom"/>
          </w:tcPr>
          <w:p>
            <w:pPr>
              <w:ind w:left="1880"/>
              <w:spacing w:after="0"/>
              <w:rPr>
                <w:sz w:val="20"/>
                <w:szCs w:val="20"/>
                <w:color w:val="auto"/>
              </w:rPr>
            </w:pPr>
            <w:r>
              <w:rPr>
                <w:rFonts w:ascii="Courier New" w:cs="Courier New" w:eastAsia="Courier New" w:hAnsi="Courier New"/>
                <w:sz w:val="17"/>
                <w:szCs w:val="17"/>
                <w:color w:val="auto"/>
                <w:w w:val="97"/>
              </w:rPr>
              <w:t>(xvi)</w:t>
            </w:r>
          </w:p>
        </w:tc>
        <w:tc>
          <w:tcPr>
            <w:tcW w:w="7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Absence of Further Requirements.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(xvii)Possession of Licenses and Permits.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(xviii)Title to Property.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w:t>
            </w:r>
          </w:p>
        </w:tc>
      </w:tr>
      <w:tr>
        <w:trPr>
          <w:trHeight w:val="200"/>
        </w:trPr>
        <w:tc>
          <w:tcPr>
            <w:tcW w:w="2400" w:type="dxa"/>
            <w:vAlign w:val="bottom"/>
          </w:tcPr>
          <w:p>
            <w:pPr>
              <w:ind w:left="1880"/>
              <w:spacing w:after="0"/>
              <w:rPr>
                <w:sz w:val="20"/>
                <w:szCs w:val="20"/>
                <w:color w:val="auto"/>
              </w:rPr>
            </w:pPr>
            <w:r>
              <w:rPr>
                <w:rFonts w:ascii="Courier New" w:cs="Courier New" w:eastAsia="Courier New" w:hAnsi="Courier New"/>
                <w:sz w:val="17"/>
                <w:szCs w:val="17"/>
                <w:color w:val="auto"/>
                <w:w w:val="97"/>
              </w:rPr>
              <w:t>(xix)</w:t>
            </w:r>
          </w:p>
        </w:tc>
        <w:tc>
          <w:tcPr>
            <w:tcW w:w="7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Environmental Laws.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w:t>
            </w:r>
          </w:p>
        </w:tc>
      </w:tr>
      <w:tr>
        <w:trPr>
          <w:trHeight w:val="200"/>
        </w:trPr>
        <w:tc>
          <w:tcPr>
            <w:tcW w:w="2400" w:type="dxa"/>
            <w:vAlign w:val="bottom"/>
          </w:tcPr>
          <w:p>
            <w:pPr>
              <w:ind w:left="1880"/>
              <w:spacing w:after="0"/>
              <w:rPr>
                <w:sz w:val="20"/>
                <w:szCs w:val="20"/>
                <w:color w:val="auto"/>
              </w:rPr>
            </w:pPr>
            <w:r>
              <w:rPr>
                <w:rFonts w:ascii="Courier New" w:cs="Courier New" w:eastAsia="Courier New" w:hAnsi="Courier New"/>
                <w:sz w:val="17"/>
                <w:szCs w:val="17"/>
                <w:color w:val="auto"/>
              </w:rPr>
              <w:t>(xx)</w:t>
            </w:r>
          </w:p>
        </w:tc>
        <w:tc>
          <w:tcPr>
            <w:tcW w:w="7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Investment Company Act.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w:t>
            </w:r>
          </w:p>
        </w:tc>
      </w:tr>
      <w:tr>
        <w:trPr>
          <w:trHeight w:val="200"/>
        </w:trPr>
        <w:tc>
          <w:tcPr>
            <w:tcW w:w="2400" w:type="dxa"/>
            <w:vAlign w:val="bottom"/>
          </w:tcPr>
          <w:p>
            <w:pPr>
              <w:ind w:left="1880"/>
              <w:spacing w:after="0"/>
              <w:rPr>
                <w:sz w:val="20"/>
                <w:szCs w:val="20"/>
                <w:color w:val="auto"/>
              </w:rPr>
            </w:pPr>
            <w:r>
              <w:rPr>
                <w:rFonts w:ascii="Courier New" w:cs="Courier New" w:eastAsia="Courier New" w:hAnsi="Courier New"/>
                <w:sz w:val="17"/>
                <w:szCs w:val="17"/>
                <w:color w:val="auto"/>
                <w:w w:val="97"/>
              </w:rPr>
              <w:t>(xxi)</w:t>
            </w:r>
          </w:p>
        </w:tc>
        <w:tc>
          <w:tcPr>
            <w:tcW w:w="7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FDA and PTO Proceedings.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w:t>
            </w:r>
          </w:p>
        </w:tc>
      </w:tr>
      <w:tr>
        <w:trPr>
          <w:trHeight w:val="200"/>
        </w:trPr>
        <w:tc>
          <w:tcPr>
            <w:tcW w:w="2400" w:type="dxa"/>
            <w:vAlign w:val="bottom"/>
          </w:tcPr>
          <w:p>
            <w:pPr>
              <w:ind w:left="1880"/>
              <w:spacing w:after="0"/>
              <w:rPr>
                <w:sz w:val="20"/>
                <w:szCs w:val="20"/>
                <w:color w:val="auto"/>
              </w:rPr>
            </w:pPr>
            <w:r>
              <w:rPr>
                <w:rFonts w:ascii="Courier New" w:cs="Courier New" w:eastAsia="Courier New" w:hAnsi="Courier New"/>
                <w:sz w:val="17"/>
                <w:szCs w:val="17"/>
                <w:color w:val="auto"/>
              </w:rPr>
              <w:t>(b)</w:t>
            </w:r>
          </w:p>
        </w:tc>
        <w:tc>
          <w:tcPr>
            <w:tcW w:w="7220" w:type="dxa"/>
            <w:vAlign w:val="bottom"/>
          </w:tcPr>
          <w:p>
            <w:pPr>
              <w:ind w:left="100"/>
              <w:spacing w:after="0"/>
              <w:rPr>
                <w:sz w:val="20"/>
                <w:szCs w:val="20"/>
                <w:color w:val="auto"/>
              </w:rPr>
            </w:pPr>
            <w:r>
              <w:rPr>
                <w:rFonts w:ascii="Courier New" w:cs="Courier New" w:eastAsia="Courier New" w:hAnsi="Courier New"/>
                <w:sz w:val="17"/>
                <w:szCs w:val="17"/>
                <w:color w:val="auto"/>
              </w:rPr>
              <w:t>Officer's Certificates.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w:t>
            </w:r>
          </w:p>
        </w:tc>
      </w:tr>
      <w:tr>
        <w:trPr>
          <w:trHeight w:val="400"/>
        </w:trPr>
        <w:tc>
          <w:tcPr>
            <w:tcW w:w="9620" w:type="dxa"/>
            <w:vAlign w:val="bottom"/>
            <w:gridSpan w:val="2"/>
          </w:tcPr>
          <w:p>
            <w:pPr>
              <w:jc w:val="right"/>
              <w:ind w:right="493"/>
              <w:spacing w:after="0"/>
              <w:rPr>
                <w:sz w:val="20"/>
                <w:szCs w:val="20"/>
                <w:color w:val="auto"/>
              </w:rPr>
            </w:pPr>
            <w:r>
              <w:rPr>
                <w:rFonts w:ascii="Courier New" w:cs="Courier New" w:eastAsia="Courier New" w:hAnsi="Courier New"/>
                <w:sz w:val="17"/>
                <w:szCs w:val="17"/>
                <w:color w:val="auto"/>
              </w:rPr>
              <w:t>SECTION 2. Sale and Delivery to Underwriters; Closing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(a) Initial Securities.</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(b) Option Securities.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(c) Payment.</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(d) Denominations; Registration.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w:t>
            </w:r>
          </w:p>
        </w:tc>
      </w:tr>
      <w:tr>
        <w:trPr>
          <w:trHeight w:val="400"/>
        </w:trPr>
        <w:tc>
          <w:tcPr>
            <w:tcW w:w="2400" w:type="dxa"/>
            <w:vAlign w:val="bottom"/>
          </w:tcPr>
          <w:p>
            <w:pPr>
              <w:spacing w:after="0"/>
              <w:rPr>
                <w:sz w:val="20"/>
                <w:szCs w:val="20"/>
                <w:color w:val="auto"/>
              </w:rPr>
            </w:pPr>
            <w:r>
              <w:rPr>
                <w:rFonts w:ascii="Courier New" w:cs="Courier New" w:eastAsia="Courier New" w:hAnsi="Courier New"/>
                <w:sz w:val="17"/>
                <w:szCs w:val="17"/>
                <w:color w:val="auto"/>
              </w:rPr>
              <w:t>SECTION 3. Covenants of</w:t>
            </w:r>
          </w:p>
        </w:tc>
        <w:tc>
          <w:tcPr>
            <w:tcW w:w="7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the Company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(a) Compliance with Securities Regulations and</w:t>
            </w:r>
          </w:p>
        </w:tc>
        <w:tc>
          <w:tcPr>
            <w:tcW w:w="780" w:type="dxa"/>
            <w:vAlign w:val="bottom"/>
          </w:tcPr>
          <w:p>
            <w:pPr>
              <w:spacing w:after="0"/>
              <w:rPr>
                <w:sz w:val="17"/>
                <w:szCs w:val="17"/>
                <w:color w:val="auto"/>
              </w:rPr>
            </w:pPr>
          </w:p>
        </w:tc>
      </w:tr>
      <w:tr>
        <w:trPr>
          <w:trHeight w:val="200"/>
        </w:trPr>
        <w:tc>
          <w:tcPr>
            <w:tcW w:w="2400" w:type="dxa"/>
            <w:vAlign w:val="bottom"/>
          </w:tcPr>
          <w:p>
            <w:pPr>
              <w:spacing w:after="0"/>
              <w:rPr>
                <w:sz w:val="17"/>
                <w:szCs w:val="17"/>
                <w:color w:val="auto"/>
              </w:rPr>
            </w:pPr>
          </w:p>
        </w:tc>
        <w:tc>
          <w:tcPr>
            <w:tcW w:w="72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Commission Requests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10</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(b) Filing of Amendments.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(c) Delivery of Registration Statements.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(d) Delivery of Prospectuses.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(e) Continued Compliance with Securities Laws.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(f) Blue Sky Qualifications.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(g) Rule 158.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(h) Use of Proceeds.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12</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(i) Listing.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(j) Restriction on Sale of Securities.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w:t>
            </w:r>
          </w:p>
        </w:tc>
      </w:tr>
      <w:tr>
        <w:trPr>
          <w:trHeight w:val="200"/>
        </w:trPr>
        <w:tc>
          <w:tcPr>
            <w:tcW w:w="9620" w:type="dxa"/>
            <w:vAlign w:val="bottom"/>
            <w:gridSpan w:val="2"/>
          </w:tcPr>
          <w:p>
            <w:pPr>
              <w:ind w:left="1880"/>
              <w:spacing w:after="0"/>
              <w:rPr>
                <w:sz w:val="20"/>
                <w:szCs w:val="20"/>
                <w:color w:val="auto"/>
              </w:rPr>
            </w:pPr>
            <w:r>
              <w:rPr>
                <w:rFonts w:ascii="Courier New" w:cs="Courier New" w:eastAsia="Courier New" w:hAnsi="Courier New"/>
                <w:sz w:val="17"/>
                <w:szCs w:val="17"/>
                <w:color w:val="auto"/>
              </w:rPr>
              <w:t>(k) Reporting Requirements. .........................................</w:t>
            </w:r>
          </w:p>
        </w:tc>
        <w:tc>
          <w:tcPr>
            <w:tcW w:w="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w:t>
            </w:r>
          </w:p>
        </w:tc>
      </w:tr>
    </w:tbl>
    <w:p>
      <w:pPr>
        <w:spacing w:after="0" w:line="200" w:lineRule="exact"/>
        <w:rPr>
          <w:sz w:val="20"/>
          <w:szCs w:val="20"/>
          <w:color w:val="auto"/>
        </w:rPr>
      </w:pPr>
    </w:p>
    <w:p>
      <w:pPr>
        <w:spacing w:after="0" w:line="205"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400"/>
          </w:cols>
          <w:pgMar w:left="240" w:top="315" w:right="1259" w:bottom="1440" w:gutter="0" w:footer="0" w:header="0"/>
        </w:sectPr>
      </w:pPr>
    </w:p>
    <w:bookmarkStart w:id="74" w:name="page75"/>
    <w:bookmarkEnd w:id="74"/>
    <w:p>
      <w:pPr>
        <w:ind w:left="3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dot" w:pos="9960" w:val="left"/>
        </w:tabs>
        <w:rPr>
          <w:sz w:val="20"/>
          <w:szCs w:val="20"/>
          <w:color w:val="auto"/>
        </w:rPr>
      </w:pPr>
      <w:r>
        <w:rPr>
          <w:rFonts w:ascii="Courier New" w:cs="Courier New" w:eastAsia="Courier New" w:hAnsi="Courier New"/>
          <w:sz w:val="17"/>
          <w:szCs w:val="17"/>
          <w:color w:val="auto"/>
        </w:rPr>
        <w:t>SECTION 4. Payment of Expenses</w:t>
      </w:r>
      <w:r>
        <w:rPr>
          <w:sz w:val="20"/>
          <w:szCs w:val="20"/>
          <w:color w:val="auto"/>
        </w:rPr>
        <w:tab/>
      </w:r>
      <w:r>
        <w:rPr>
          <w:rFonts w:ascii="Courier New" w:cs="Courier New" w:eastAsia="Courier New" w:hAnsi="Courier New"/>
          <w:sz w:val="16"/>
          <w:szCs w:val="16"/>
          <w:color w:val="auto"/>
        </w:rPr>
        <w:t>13</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(a) Expenses.</w:t>
      </w:r>
      <w:r>
        <w:rPr>
          <w:sz w:val="20"/>
          <w:szCs w:val="20"/>
          <w:color w:val="auto"/>
        </w:rPr>
        <w:tab/>
      </w:r>
      <w:r>
        <w:rPr>
          <w:rFonts w:ascii="Courier New" w:cs="Courier New" w:eastAsia="Courier New" w:hAnsi="Courier New"/>
          <w:sz w:val="16"/>
          <w:szCs w:val="16"/>
          <w:color w:val="auto"/>
        </w:rPr>
        <w:t>13</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(b) Termination of Agreement.</w:t>
      </w:r>
      <w:r>
        <w:rPr>
          <w:sz w:val="20"/>
          <w:szCs w:val="20"/>
          <w:color w:val="auto"/>
        </w:rPr>
        <w:tab/>
      </w:r>
      <w:r>
        <w:rPr>
          <w:rFonts w:ascii="Courier New" w:cs="Courier New" w:eastAsia="Courier New" w:hAnsi="Courier New"/>
          <w:sz w:val="16"/>
          <w:szCs w:val="16"/>
          <w:color w:val="auto"/>
        </w:rPr>
        <w:t>14</w:t>
      </w:r>
    </w:p>
    <w:p>
      <w:pPr>
        <w:spacing w:after="0" w:line="207" w:lineRule="exact"/>
        <w:rPr>
          <w:sz w:val="20"/>
          <w:szCs w:val="20"/>
          <w:color w:val="auto"/>
        </w:rPr>
      </w:pPr>
    </w:p>
    <w:p>
      <w:pPr>
        <w:spacing w:after="0"/>
        <w:tabs>
          <w:tab w:leader="dot" w:pos="9960" w:val="left"/>
        </w:tabs>
        <w:rPr>
          <w:sz w:val="20"/>
          <w:szCs w:val="20"/>
          <w:color w:val="auto"/>
        </w:rPr>
      </w:pPr>
      <w:r>
        <w:rPr>
          <w:rFonts w:ascii="Courier New" w:cs="Courier New" w:eastAsia="Courier New" w:hAnsi="Courier New"/>
          <w:sz w:val="17"/>
          <w:szCs w:val="17"/>
          <w:color w:val="auto"/>
        </w:rPr>
        <w:t>SECTION 5. Conditions of Underwriters' Obligations</w:t>
      </w:r>
      <w:r>
        <w:rPr>
          <w:sz w:val="20"/>
          <w:szCs w:val="20"/>
          <w:color w:val="auto"/>
        </w:rPr>
        <w:tab/>
      </w:r>
      <w:r>
        <w:rPr>
          <w:rFonts w:ascii="Courier New" w:cs="Courier New" w:eastAsia="Courier New" w:hAnsi="Courier New"/>
          <w:sz w:val="16"/>
          <w:szCs w:val="16"/>
          <w:color w:val="auto"/>
        </w:rPr>
        <w:t>14</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(a) Effectiveness of Registration Statement.</w:t>
      </w:r>
      <w:r>
        <w:rPr>
          <w:sz w:val="20"/>
          <w:szCs w:val="20"/>
          <w:color w:val="auto"/>
        </w:rPr>
        <w:tab/>
      </w:r>
      <w:r>
        <w:rPr>
          <w:rFonts w:ascii="Courier New" w:cs="Courier New" w:eastAsia="Courier New" w:hAnsi="Courier New"/>
          <w:sz w:val="16"/>
          <w:szCs w:val="16"/>
          <w:color w:val="auto"/>
        </w:rPr>
        <w:t>14</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(b) Opinion of Counsel for Company.</w:t>
      </w:r>
      <w:r>
        <w:rPr>
          <w:sz w:val="20"/>
          <w:szCs w:val="20"/>
          <w:color w:val="auto"/>
        </w:rPr>
        <w:tab/>
      </w:r>
      <w:r>
        <w:rPr>
          <w:rFonts w:ascii="Courier New" w:cs="Courier New" w:eastAsia="Courier New" w:hAnsi="Courier New"/>
          <w:sz w:val="16"/>
          <w:szCs w:val="16"/>
          <w:color w:val="auto"/>
        </w:rPr>
        <w:t>14</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(c) Opinion of Counsel for Underwriters.</w:t>
      </w:r>
      <w:r>
        <w:rPr>
          <w:sz w:val="20"/>
          <w:szCs w:val="20"/>
          <w:color w:val="auto"/>
        </w:rPr>
        <w:tab/>
      </w:r>
      <w:r>
        <w:rPr>
          <w:rFonts w:ascii="Courier New" w:cs="Courier New" w:eastAsia="Courier New" w:hAnsi="Courier New"/>
          <w:sz w:val="16"/>
          <w:szCs w:val="16"/>
          <w:color w:val="auto"/>
        </w:rPr>
        <w:t>14</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(d) Officers' Certificate.</w:t>
      </w:r>
      <w:r>
        <w:rPr>
          <w:sz w:val="20"/>
          <w:szCs w:val="20"/>
          <w:color w:val="auto"/>
        </w:rPr>
        <w:tab/>
      </w:r>
      <w:r>
        <w:rPr>
          <w:rFonts w:ascii="Courier New" w:cs="Courier New" w:eastAsia="Courier New" w:hAnsi="Courier New"/>
          <w:sz w:val="16"/>
          <w:szCs w:val="16"/>
          <w:color w:val="auto"/>
        </w:rPr>
        <w:t>15</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(e) Accountants' Comfort Letter.</w:t>
      </w:r>
      <w:r>
        <w:rPr>
          <w:sz w:val="20"/>
          <w:szCs w:val="20"/>
          <w:color w:val="auto"/>
        </w:rPr>
        <w:tab/>
      </w:r>
      <w:r>
        <w:rPr>
          <w:rFonts w:ascii="Courier New" w:cs="Courier New" w:eastAsia="Courier New" w:hAnsi="Courier New"/>
          <w:sz w:val="16"/>
          <w:szCs w:val="16"/>
          <w:color w:val="auto"/>
        </w:rPr>
        <w:t>15</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(f) Bring-down Comfort Letter.</w:t>
      </w:r>
      <w:r>
        <w:rPr>
          <w:sz w:val="20"/>
          <w:szCs w:val="20"/>
          <w:color w:val="auto"/>
        </w:rPr>
        <w:tab/>
      </w:r>
      <w:r>
        <w:rPr>
          <w:rFonts w:ascii="Courier New" w:cs="Courier New" w:eastAsia="Courier New" w:hAnsi="Courier New"/>
          <w:sz w:val="16"/>
          <w:szCs w:val="16"/>
          <w:color w:val="auto"/>
        </w:rPr>
        <w:t>15</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(g) Approval of Listing.</w:t>
      </w:r>
      <w:r>
        <w:rPr>
          <w:sz w:val="20"/>
          <w:szCs w:val="20"/>
          <w:color w:val="auto"/>
        </w:rPr>
        <w:tab/>
      </w:r>
      <w:r>
        <w:rPr>
          <w:rFonts w:ascii="Courier New" w:cs="Courier New" w:eastAsia="Courier New" w:hAnsi="Courier New"/>
          <w:sz w:val="16"/>
          <w:szCs w:val="16"/>
          <w:color w:val="auto"/>
        </w:rPr>
        <w:t>15</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(h) No Objection.</w:t>
      </w:r>
      <w:r>
        <w:rPr>
          <w:sz w:val="20"/>
          <w:szCs w:val="20"/>
          <w:color w:val="auto"/>
        </w:rPr>
        <w:tab/>
      </w:r>
      <w:r>
        <w:rPr>
          <w:rFonts w:ascii="Courier New" w:cs="Courier New" w:eastAsia="Courier New" w:hAnsi="Courier New"/>
          <w:sz w:val="16"/>
          <w:szCs w:val="16"/>
          <w:color w:val="auto"/>
        </w:rPr>
        <w:t>15</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(i) Lock-up Agreements.</w:t>
      </w:r>
      <w:r>
        <w:rPr>
          <w:sz w:val="20"/>
          <w:szCs w:val="20"/>
          <w:color w:val="auto"/>
        </w:rPr>
        <w:tab/>
      </w:r>
      <w:r>
        <w:rPr>
          <w:rFonts w:ascii="Courier New" w:cs="Courier New" w:eastAsia="Courier New" w:hAnsi="Courier New"/>
          <w:sz w:val="16"/>
          <w:szCs w:val="16"/>
          <w:color w:val="auto"/>
        </w:rPr>
        <w:t>15</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(j) Conditions to Purchase of Option Securities.</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(i) Officers' Certificate.</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(ii)Opinion of Counsel for Company.</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jc w:val="right"/>
        <w:ind w:right="39"/>
        <w:spacing w:after="0"/>
        <w:tabs>
          <w:tab w:leader="none" w:pos="7560" w:val="left"/>
          <w:tab w:leader="dot" w:pos="180" w:val="left"/>
        </w:tabs>
        <w:rPr>
          <w:sz w:val="20"/>
          <w:szCs w:val="20"/>
          <w:color w:val="auto"/>
        </w:rPr>
      </w:pPr>
      <w:r>
        <w:rPr>
          <w:rFonts w:ascii="Courier New" w:cs="Courier New" w:eastAsia="Courier New" w:hAnsi="Courier New"/>
          <w:sz w:val="17"/>
          <w:szCs w:val="17"/>
          <w:color w:val="auto"/>
        </w:rPr>
        <w:t>(iii)</w:t>
        <w:tab/>
        <w:t>Opinion of Counsel for Underwriters.</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(iv)Bring-down Comfort Letter.</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(k) Additional Documents.</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(l) Termination of Agreement.</w:t>
      </w:r>
      <w:r>
        <w:rPr>
          <w:sz w:val="20"/>
          <w:szCs w:val="20"/>
          <w:color w:val="auto"/>
        </w:rPr>
        <w:tab/>
      </w:r>
      <w:r>
        <w:rPr>
          <w:rFonts w:ascii="Courier New" w:cs="Courier New" w:eastAsia="Courier New" w:hAnsi="Courier New"/>
          <w:sz w:val="16"/>
          <w:szCs w:val="16"/>
          <w:color w:val="auto"/>
        </w:rPr>
        <w:t>16</w:t>
      </w:r>
    </w:p>
    <w:p>
      <w:pPr>
        <w:spacing w:after="0" w:line="207" w:lineRule="exact"/>
        <w:rPr>
          <w:sz w:val="20"/>
          <w:szCs w:val="20"/>
          <w:color w:val="auto"/>
        </w:rPr>
      </w:pPr>
    </w:p>
    <w:p>
      <w:pPr>
        <w:spacing w:after="0"/>
        <w:tabs>
          <w:tab w:leader="dot" w:pos="9960" w:val="left"/>
        </w:tabs>
        <w:rPr>
          <w:sz w:val="20"/>
          <w:szCs w:val="20"/>
          <w:color w:val="auto"/>
        </w:rPr>
      </w:pPr>
      <w:r>
        <w:rPr>
          <w:rFonts w:ascii="Courier New" w:cs="Courier New" w:eastAsia="Courier New" w:hAnsi="Courier New"/>
          <w:sz w:val="17"/>
          <w:szCs w:val="17"/>
          <w:color w:val="auto"/>
        </w:rPr>
        <w:t>SECTION 6. Indemnification</w:t>
      </w:r>
      <w:r>
        <w:rPr>
          <w:sz w:val="20"/>
          <w:szCs w:val="20"/>
          <w:color w:val="auto"/>
        </w:rPr>
        <w:tab/>
      </w:r>
      <w:r>
        <w:rPr>
          <w:rFonts w:ascii="Courier New" w:cs="Courier New" w:eastAsia="Courier New" w:hAnsi="Courier New"/>
          <w:sz w:val="16"/>
          <w:szCs w:val="16"/>
          <w:color w:val="auto"/>
        </w:rPr>
        <w:t>17</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(a) Indemnification of Underwriters.</w:t>
      </w:r>
      <w:r>
        <w:rPr>
          <w:sz w:val="20"/>
          <w:szCs w:val="20"/>
          <w:color w:val="auto"/>
        </w:rPr>
        <w:tab/>
      </w:r>
      <w:r>
        <w:rPr>
          <w:rFonts w:ascii="Courier New" w:cs="Courier New" w:eastAsia="Courier New" w:hAnsi="Courier New"/>
          <w:sz w:val="16"/>
          <w:szCs w:val="16"/>
          <w:color w:val="auto"/>
        </w:rPr>
        <w:t>17</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(b) Indemnification of Company, Directors and Officers.</w:t>
      </w:r>
      <w:r>
        <w:rPr>
          <w:sz w:val="20"/>
          <w:szCs w:val="20"/>
          <w:color w:val="auto"/>
        </w:rPr>
        <w:tab/>
      </w:r>
      <w:r>
        <w:rPr>
          <w:rFonts w:ascii="Courier New" w:cs="Courier New" w:eastAsia="Courier New" w:hAnsi="Courier New"/>
          <w:sz w:val="16"/>
          <w:szCs w:val="16"/>
          <w:color w:val="auto"/>
        </w:rPr>
        <w:t>18</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(c) Actions against Parties; Notification.</w:t>
      </w:r>
      <w:r>
        <w:rPr>
          <w:sz w:val="20"/>
          <w:szCs w:val="20"/>
          <w:color w:val="auto"/>
        </w:rPr>
        <w:tab/>
      </w:r>
      <w:r>
        <w:rPr>
          <w:rFonts w:ascii="Courier New" w:cs="Courier New" w:eastAsia="Courier New" w:hAnsi="Courier New"/>
          <w:sz w:val="16"/>
          <w:szCs w:val="16"/>
          <w:color w:val="auto"/>
        </w:rPr>
        <w:t>18</w:t>
      </w:r>
    </w:p>
    <w:p>
      <w:pPr>
        <w:spacing w:after="0" w:line="20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(d) Settlement without Consent if Failure to Reimburse.</w:t>
      </w:r>
      <w:r>
        <w:rPr>
          <w:sz w:val="20"/>
          <w:szCs w:val="20"/>
          <w:color w:val="auto"/>
        </w:rPr>
        <w:tab/>
      </w:r>
      <w:r>
        <w:rPr>
          <w:rFonts w:ascii="Courier New" w:cs="Courier New" w:eastAsia="Courier New" w:hAnsi="Courier New"/>
          <w:sz w:val="16"/>
          <w:szCs w:val="16"/>
          <w:color w:val="auto"/>
        </w:rPr>
        <w:t>19</w:t>
      </w:r>
    </w:p>
    <w:p>
      <w:pPr>
        <w:spacing w:after="0" w:line="7" w:lineRule="exact"/>
        <w:rPr>
          <w:sz w:val="20"/>
          <w:szCs w:val="20"/>
          <w:color w:val="auto"/>
        </w:rPr>
      </w:pPr>
    </w:p>
    <w:p>
      <w:pPr>
        <w:spacing w:after="0"/>
        <w:tabs>
          <w:tab w:leader="dot" w:pos="9960" w:val="left"/>
        </w:tabs>
        <w:rPr>
          <w:sz w:val="20"/>
          <w:szCs w:val="20"/>
          <w:color w:val="auto"/>
        </w:rPr>
      </w:pPr>
      <w:r>
        <w:rPr>
          <w:rFonts w:ascii="Courier New" w:cs="Courier New" w:eastAsia="Courier New" w:hAnsi="Courier New"/>
          <w:sz w:val="17"/>
          <w:szCs w:val="17"/>
          <w:color w:val="auto"/>
        </w:rPr>
        <w:t>SECTION 7. Contribution</w:t>
      </w:r>
      <w:r>
        <w:rPr>
          <w:sz w:val="20"/>
          <w:szCs w:val="20"/>
          <w:color w:val="auto"/>
        </w:rPr>
        <w:tab/>
      </w:r>
      <w:r>
        <w:rPr>
          <w:rFonts w:ascii="Courier New" w:cs="Courier New" w:eastAsia="Courier New" w:hAnsi="Courier New"/>
          <w:sz w:val="16"/>
          <w:szCs w:val="16"/>
          <w:color w:val="auto"/>
        </w:rPr>
        <w:t>19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8. Representations, Warranties and</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Agreements to Survive Delivery.</w:t>
      </w:r>
      <w:r>
        <w:rPr>
          <w:sz w:val="20"/>
          <w:szCs w:val="20"/>
          <w:color w:val="auto"/>
        </w:rPr>
        <w:tab/>
      </w:r>
      <w:r>
        <w:rPr>
          <w:rFonts w:ascii="Courier New" w:cs="Courier New" w:eastAsia="Courier New" w:hAnsi="Courier New"/>
          <w:sz w:val="16"/>
          <w:szCs w:val="16"/>
          <w:color w:val="auto"/>
        </w:rPr>
        <w:t>20</w:t>
      </w:r>
    </w:p>
    <w:p>
      <w:pPr>
        <w:spacing w:after="0" w:line="207" w:lineRule="exact"/>
        <w:rPr>
          <w:sz w:val="20"/>
          <w:szCs w:val="20"/>
          <w:color w:val="auto"/>
        </w:rPr>
      </w:pPr>
    </w:p>
    <w:p>
      <w:pPr>
        <w:spacing w:after="0"/>
        <w:tabs>
          <w:tab w:leader="none" w:pos="9960" w:val="left"/>
        </w:tabs>
        <w:rPr>
          <w:sz w:val="20"/>
          <w:szCs w:val="20"/>
          <w:color w:val="auto"/>
        </w:rPr>
      </w:pPr>
      <w:r>
        <w:rPr>
          <w:rFonts w:ascii="Courier New" w:cs="Courier New" w:eastAsia="Courier New" w:hAnsi="Courier New"/>
          <w:sz w:val="17"/>
          <w:szCs w:val="17"/>
          <w:color w:val="auto"/>
        </w:rPr>
        <w:t>SECTION 9. Termination of Agreement.</w:t>
      </w:r>
      <w:r>
        <w:rPr>
          <w:sz w:val="20"/>
          <w:szCs w:val="20"/>
          <w:color w:val="auto"/>
        </w:rPr>
        <w:tab/>
      </w:r>
      <w:r>
        <w:rPr>
          <w:rFonts w:ascii="Courier New" w:cs="Courier New" w:eastAsia="Courier New" w:hAnsi="Courier New"/>
          <w:sz w:val="16"/>
          <w:szCs w:val="16"/>
          <w:color w:val="auto"/>
        </w:rPr>
        <w:t>20</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(a) Termination; General.</w:t>
      </w:r>
      <w:r>
        <w:rPr>
          <w:sz w:val="20"/>
          <w:szCs w:val="20"/>
          <w:color w:val="auto"/>
        </w:rPr>
        <w:tab/>
      </w:r>
      <w:r>
        <w:rPr>
          <w:rFonts w:ascii="Courier New" w:cs="Courier New" w:eastAsia="Courier New" w:hAnsi="Courier New"/>
          <w:sz w:val="16"/>
          <w:szCs w:val="16"/>
          <w:color w:val="auto"/>
        </w:rPr>
        <w:t>20</w:t>
      </w:r>
    </w:p>
    <w:p>
      <w:pPr>
        <w:spacing w:after="0" w:line="7" w:lineRule="exact"/>
        <w:rPr>
          <w:sz w:val="20"/>
          <w:szCs w:val="20"/>
          <w:color w:val="auto"/>
        </w:rPr>
      </w:pPr>
    </w:p>
    <w:p>
      <w:pPr>
        <w:jc w:val="right"/>
        <w:ind w:right="39"/>
        <w:spacing w:after="0"/>
        <w:tabs>
          <w:tab w:leader="dot" w:pos="180" w:val="left"/>
        </w:tabs>
        <w:rPr>
          <w:sz w:val="20"/>
          <w:szCs w:val="20"/>
          <w:color w:val="auto"/>
        </w:rPr>
      </w:pPr>
      <w:r>
        <w:rPr>
          <w:rFonts w:ascii="Courier New" w:cs="Courier New" w:eastAsia="Courier New" w:hAnsi="Courier New"/>
          <w:sz w:val="17"/>
          <w:szCs w:val="17"/>
          <w:color w:val="auto"/>
        </w:rPr>
        <w:t>(b) Liabilities.</w:t>
      </w:r>
      <w:r>
        <w:rPr>
          <w:sz w:val="20"/>
          <w:szCs w:val="20"/>
          <w:color w:val="auto"/>
        </w:rPr>
        <w:tab/>
      </w:r>
      <w:r>
        <w:rPr>
          <w:rFonts w:ascii="Courier New" w:cs="Courier New" w:eastAsia="Courier New" w:hAnsi="Courier New"/>
          <w:sz w:val="16"/>
          <w:szCs w:val="16"/>
          <w:color w:val="auto"/>
        </w:rPr>
        <w:t>21</w:t>
      </w:r>
    </w:p>
    <w:p>
      <w:pPr>
        <w:spacing w:after="0" w:line="207" w:lineRule="exact"/>
        <w:rPr>
          <w:sz w:val="20"/>
          <w:szCs w:val="20"/>
          <w:color w:val="auto"/>
        </w:rPr>
      </w:pPr>
    </w:p>
    <w:p>
      <w:pPr>
        <w:spacing w:after="0"/>
        <w:tabs>
          <w:tab w:leader="dot" w:pos="9960" w:val="left"/>
        </w:tabs>
        <w:rPr>
          <w:sz w:val="20"/>
          <w:szCs w:val="20"/>
          <w:color w:val="auto"/>
        </w:rPr>
      </w:pPr>
      <w:r>
        <w:rPr>
          <w:rFonts w:ascii="Courier New" w:cs="Courier New" w:eastAsia="Courier New" w:hAnsi="Courier New"/>
          <w:sz w:val="17"/>
          <w:szCs w:val="17"/>
          <w:color w:val="auto"/>
        </w:rPr>
        <w:t>SECTION 10. Default by One or More of the Underwriters.</w:t>
      </w:r>
      <w:r>
        <w:rPr>
          <w:sz w:val="20"/>
          <w:szCs w:val="20"/>
          <w:color w:val="auto"/>
        </w:rPr>
        <w:tab/>
      </w:r>
      <w:r>
        <w:rPr>
          <w:rFonts w:ascii="Courier New" w:cs="Courier New" w:eastAsia="Courier New" w:hAnsi="Courier New"/>
          <w:sz w:val="16"/>
          <w:szCs w:val="16"/>
          <w:color w:val="auto"/>
        </w:rPr>
        <w:t>21</w:t>
      </w:r>
    </w:p>
    <w:p>
      <w:pPr>
        <w:spacing w:after="0" w:line="207" w:lineRule="exact"/>
        <w:rPr>
          <w:sz w:val="20"/>
          <w:szCs w:val="20"/>
          <w:color w:val="auto"/>
        </w:rPr>
      </w:pPr>
    </w:p>
    <w:p>
      <w:pPr>
        <w:spacing w:after="0"/>
        <w:tabs>
          <w:tab w:leader="dot" w:pos="9960" w:val="left"/>
        </w:tabs>
        <w:rPr>
          <w:sz w:val="20"/>
          <w:szCs w:val="20"/>
          <w:color w:val="auto"/>
        </w:rPr>
      </w:pPr>
      <w:r>
        <w:rPr>
          <w:rFonts w:ascii="Courier New" w:cs="Courier New" w:eastAsia="Courier New" w:hAnsi="Courier New"/>
          <w:sz w:val="17"/>
          <w:szCs w:val="17"/>
          <w:color w:val="auto"/>
        </w:rPr>
        <w:t>SECTION 11. Notices.</w:t>
      </w:r>
      <w:r>
        <w:rPr>
          <w:sz w:val="20"/>
          <w:szCs w:val="20"/>
          <w:color w:val="auto"/>
        </w:rPr>
        <w:tab/>
      </w:r>
      <w:r>
        <w:rPr>
          <w:rFonts w:ascii="Courier New" w:cs="Courier New" w:eastAsia="Courier New" w:hAnsi="Courier New"/>
          <w:sz w:val="16"/>
          <w:szCs w:val="16"/>
          <w:color w:val="auto"/>
        </w:rPr>
        <w:t>21</w:t>
      </w:r>
    </w:p>
    <w:p>
      <w:pPr>
        <w:spacing w:after="0" w:line="207" w:lineRule="exact"/>
        <w:rPr>
          <w:sz w:val="20"/>
          <w:szCs w:val="20"/>
          <w:color w:val="auto"/>
        </w:rPr>
      </w:pPr>
    </w:p>
    <w:p>
      <w:pPr>
        <w:spacing w:after="0"/>
        <w:tabs>
          <w:tab w:leader="dot" w:pos="9960" w:val="left"/>
        </w:tabs>
        <w:rPr>
          <w:sz w:val="20"/>
          <w:szCs w:val="20"/>
          <w:color w:val="auto"/>
        </w:rPr>
      </w:pPr>
      <w:r>
        <w:rPr>
          <w:rFonts w:ascii="Courier New" w:cs="Courier New" w:eastAsia="Courier New" w:hAnsi="Courier New"/>
          <w:sz w:val="17"/>
          <w:szCs w:val="17"/>
          <w:color w:val="auto"/>
        </w:rPr>
        <w:t>SECTION 12. Parties.</w:t>
      </w:r>
      <w:r>
        <w:rPr>
          <w:sz w:val="20"/>
          <w:szCs w:val="20"/>
          <w:color w:val="auto"/>
        </w:rPr>
        <w:tab/>
      </w:r>
      <w:r>
        <w:rPr>
          <w:rFonts w:ascii="Courier New" w:cs="Courier New" w:eastAsia="Courier New" w:hAnsi="Courier New"/>
          <w:sz w:val="16"/>
          <w:szCs w:val="16"/>
          <w:color w:val="auto"/>
        </w:rPr>
        <w:t>21</w:t>
      </w:r>
    </w:p>
    <w:p>
      <w:pPr>
        <w:spacing w:after="0" w:line="207" w:lineRule="exact"/>
        <w:rPr>
          <w:sz w:val="20"/>
          <w:szCs w:val="20"/>
          <w:color w:val="auto"/>
        </w:rPr>
      </w:pPr>
    </w:p>
    <w:p>
      <w:pPr>
        <w:spacing w:after="0"/>
        <w:tabs>
          <w:tab w:leader="dot" w:pos="9960" w:val="left"/>
        </w:tabs>
        <w:rPr>
          <w:sz w:val="20"/>
          <w:szCs w:val="20"/>
          <w:color w:val="auto"/>
        </w:rPr>
      </w:pPr>
      <w:r>
        <w:rPr>
          <w:rFonts w:ascii="Courier New" w:cs="Courier New" w:eastAsia="Courier New" w:hAnsi="Courier New"/>
          <w:sz w:val="17"/>
          <w:szCs w:val="17"/>
          <w:color w:val="auto"/>
        </w:rPr>
        <w:t>SECTION 13. GOVERNING LAW AND TIME.</w:t>
      </w:r>
      <w:r>
        <w:rPr>
          <w:sz w:val="20"/>
          <w:szCs w:val="20"/>
          <w:color w:val="auto"/>
        </w:rPr>
        <w:tab/>
      </w:r>
      <w:r>
        <w:rPr>
          <w:rFonts w:ascii="Courier New" w:cs="Courier New" w:eastAsia="Courier New" w:hAnsi="Courier New"/>
          <w:sz w:val="16"/>
          <w:szCs w:val="16"/>
          <w:color w:val="auto"/>
        </w:rPr>
        <w:t>22</w:t>
      </w:r>
    </w:p>
    <w:p>
      <w:pPr>
        <w:spacing w:after="0" w:line="207" w:lineRule="exact"/>
        <w:rPr>
          <w:sz w:val="20"/>
          <w:szCs w:val="20"/>
          <w:color w:val="auto"/>
        </w:rPr>
      </w:pPr>
    </w:p>
    <w:p>
      <w:pPr>
        <w:spacing w:after="0"/>
        <w:tabs>
          <w:tab w:leader="dot" w:pos="9960" w:val="left"/>
        </w:tabs>
        <w:rPr>
          <w:sz w:val="20"/>
          <w:szCs w:val="20"/>
          <w:color w:val="auto"/>
        </w:rPr>
      </w:pPr>
      <w:r>
        <w:rPr>
          <w:rFonts w:ascii="Courier New" w:cs="Courier New" w:eastAsia="Courier New" w:hAnsi="Courier New"/>
          <w:sz w:val="17"/>
          <w:szCs w:val="17"/>
          <w:color w:val="auto"/>
        </w:rPr>
        <w:t>SECTION 14. Effect of Headings.</w:t>
      </w:r>
      <w:r>
        <w:rPr>
          <w:sz w:val="20"/>
          <w:szCs w:val="20"/>
          <w:color w:val="auto"/>
        </w:rPr>
        <w:tab/>
      </w:r>
      <w:r>
        <w:rPr>
          <w:rFonts w:ascii="Courier New" w:cs="Courier New" w:eastAsia="Courier New" w:hAnsi="Courier New"/>
          <w:sz w:val="16"/>
          <w:szCs w:val="16"/>
          <w:color w:val="auto"/>
        </w:rPr>
        <w:t>22</w:t>
      </w:r>
    </w:p>
    <w:p>
      <w:pPr>
        <w:spacing w:after="0" w:line="200" w:lineRule="exact"/>
        <w:rPr>
          <w:sz w:val="20"/>
          <w:szCs w:val="20"/>
          <w:color w:val="auto"/>
        </w:rPr>
      </w:pPr>
    </w:p>
    <w:p>
      <w:pPr>
        <w:spacing w:after="0" w:line="20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0219"/>
          </w:cols>
          <w:pgMar w:left="240" w:top="315" w:right="1440" w:bottom="1440" w:gutter="0" w:footer="0" w:header="0"/>
        </w:sectPr>
      </w:pPr>
    </w:p>
    <w:bookmarkStart w:id="75" w:name="page76"/>
    <w:bookmarkEnd w:id="75"/>
    <w:p>
      <w:pPr>
        <w:ind w:left="32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SCHEDULES</w:t>
      </w:r>
    </w:p>
    <w:p>
      <w:pPr>
        <w:sectPr>
          <w:pgSz w:w="11900" w:h="16838" w:orient="portrait"/>
          <w:cols w:equalWidth="0" w:num="1">
            <w:col w:w="11120"/>
          </w:cols>
          <w:pgMar w:left="240" w:top="315" w:right="539" w:bottom="1440" w:gutter="0" w:footer="0" w:header="0"/>
        </w:sectPr>
      </w:pPr>
    </w:p>
    <w:p>
      <w:pPr>
        <w:spacing w:after="0" w:line="20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Schedule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Schedule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Schedule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 List of Underwriters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 Pricing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 - List of Persons and Entities Subject to Lock-up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 A-1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 B-1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 C-1</w:t>
      </w:r>
    </w:p>
    <w:p>
      <w:pPr>
        <w:spacing w:after="0" w:line="7" w:lineRule="exact"/>
        <w:rPr>
          <w:sz w:val="20"/>
          <w:szCs w:val="20"/>
          <w:color w:val="auto"/>
        </w:rPr>
      </w:pPr>
    </w:p>
    <w:p>
      <w:pPr>
        <w:sectPr>
          <w:pgSz w:w="11900" w:h="16838" w:orient="portrait"/>
          <w:cols w:equalWidth="0" w:num="3">
            <w:col w:w="1880" w:space="200"/>
            <w:col w:w="7600" w:space="720"/>
            <w:col w:w="720"/>
          </w:cols>
          <w:pgMar w:left="240" w:top="315" w:right="539"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EXHIBITS</w:t>
      </w:r>
    </w:p>
    <w:p>
      <w:pPr>
        <w:sectPr>
          <w:pgSz w:w="11900" w:h="16838" w:orient="portrait"/>
          <w:cols w:equalWidth="0" w:num="1">
            <w:col w:w="11120"/>
          </w:cols>
          <w:pgMar w:left="240" w:top="315" w:right="539" w:bottom="1440" w:gutter="0" w:footer="0" w:header="0"/>
          <w:type w:val="continuous"/>
        </w:sectPr>
      </w:pP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Exhibit</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Exhibit</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Exhibit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980"/>
        <w:spacing w:after="0" w:line="250" w:lineRule="auto"/>
        <w:rPr>
          <w:sz w:val="20"/>
          <w:szCs w:val="20"/>
          <w:color w:val="auto"/>
        </w:rPr>
      </w:pPr>
      <w:r>
        <w:rPr>
          <w:rFonts w:ascii="Courier New" w:cs="Courier New" w:eastAsia="Courier New" w:hAnsi="Courier New"/>
          <w:sz w:val="17"/>
          <w:szCs w:val="17"/>
          <w:color w:val="auto"/>
        </w:rPr>
        <w:t>A - Form of Opinion of Company's Counsel B - Form of Opinion for Special Intellectual Property Counsel C - Form of Lock-up Letter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w:t>
      </w:r>
    </w:p>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B-1</w:t>
      </w:r>
    </w:p>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C-1</w:t>
      </w:r>
    </w:p>
    <w:p>
      <w:pPr>
        <w:spacing w:after="0" w:line="220" w:lineRule="exact"/>
        <w:rPr>
          <w:sz w:val="20"/>
          <w:szCs w:val="20"/>
          <w:color w:val="auto"/>
        </w:rPr>
      </w:pPr>
    </w:p>
    <w:p>
      <w:pPr>
        <w:sectPr>
          <w:pgSz w:w="11900" w:h="16838" w:orient="portrait"/>
          <w:cols w:equalWidth="0" w:num="3">
            <w:col w:w="1560" w:space="220"/>
            <w:col w:w="8320" w:space="720"/>
            <w:col w:w="300"/>
          </w:cols>
          <w:pgMar w:left="240" w:top="315" w:right="539" w:bottom="1440" w:gutter="0" w:footer="0" w:header="0"/>
          <w:type w:val="continuous"/>
        </w:sectPr>
      </w:pPr>
    </w:p>
    <w:p>
      <w:pPr>
        <w:spacing w:after="0" w:line="197"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1120"/>
          </w:cols>
          <w:pgMar w:left="240" w:top="315" w:right="539" w:bottom="1440" w:gutter="0" w:footer="0" w:header="0"/>
          <w:type w:val="continuous"/>
        </w:sectPr>
      </w:pPr>
    </w:p>
    <w:bookmarkStart w:id="76" w:name="page77"/>
    <w:bookmarkEnd w:id="76"/>
    <w:p>
      <w:pPr>
        <w:ind w:left="32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REGENERON PHARMACEUTICALS, INC.</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(a New York corporation)</w:t>
      </w:r>
    </w:p>
    <w:p>
      <w:pPr>
        <w:spacing w:after="0" w:line="20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[4,000,000] Shares of Common Stock</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(Par Value $0.001 Per Share)</w:t>
      </w:r>
    </w:p>
    <w:p>
      <w:pPr>
        <w:spacing w:after="0" w:line="200" w:lineRule="exact"/>
        <w:rPr>
          <w:sz w:val="20"/>
          <w:szCs w:val="20"/>
          <w:color w:val="auto"/>
        </w:rPr>
      </w:pPr>
    </w:p>
    <w:p>
      <w:pPr>
        <w:spacing w:after="0" w:line="20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PURCHASE AGREEMENT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0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 2001</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Pierce, Fenner &amp; Smith</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Incorporated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J.P. MORGAN SECURITIES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ROBERTSON STEPHENS, INC.</w:t>
      </w:r>
    </w:p>
    <w:p>
      <w:pPr>
        <w:spacing w:after="0" w:line="7" w:lineRule="exact"/>
        <w:rPr>
          <w:sz w:val="20"/>
          <w:szCs w:val="20"/>
          <w:color w:val="auto"/>
        </w:rPr>
      </w:pPr>
    </w:p>
    <w:p>
      <w:pPr>
        <w:ind w:left="1140" w:hanging="1133"/>
        <w:spacing w:after="0"/>
        <w:tabs>
          <w:tab w:leader="none" w:pos="11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Representative of the several Underwriters</w:t>
      </w:r>
    </w:p>
    <w:p>
      <w:pPr>
        <w:spacing w:after="0" w:line="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C/O</w:t>
        <w:tab/>
        <w:t>MERRILL LYNCH &amp; CO.</w:t>
      </w:r>
    </w:p>
    <w:p>
      <w:pPr>
        <w:spacing w:after="0" w:line="7"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MERRILL LYNCH, PIERCE, FENNER &amp; SMITH</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North Tower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World Financial Center</w:t>
      </w:r>
    </w:p>
    <w:p>
      <w:pPr>
        <w:spacing w:after="0" w:line="7"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7"/>
          <w:szCs w:val="17"/>
          <w:color w:val="auto"/>
        </w:rPr>
        <w:t>New York, New York</w:t>
        <w:tab/>
        <w:t>10281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207" w:lineRule="exact"/>
        <w:rPr>
          <w:sz w:val="20"/>
          <w:szCs w:val="20"/>
          <w:color w:val="auto"/>
        </w:rPr>
      </w:pPr>
    </w:p>
    <w:p>
      <w:pPr>
        <w:ind w:right="1899" w:firstLine="1870"/>
        <w:spacing w:after="0" w:line="249" w:lineRule="auto"/>
        <w:rPr>
          <w:sz w:val="20"/>
          <w:szCs w:val="20"/>
          <w:color w:val="auto"/>
        </w:rPr>
      </w:pPr>
      <w:r>
        <w:rPr>
          <w:rFonts w:ascii="Courier New" w:cs="Courier New" w:eastAsia="Courier New" w:hAnsi="Courier New"/>
          <w:sz w:val="17"/>
          <w:szCs w:val="17"/>
          <w:color w:val="auto"/>
        </w:rPr>
        <w:t>Regeneron Pharmaceuticals, Inc., a New York corporation (the "Company"), confirms its agreement with Merrill Lynch &amp; Co., Merrill Lynch, Pierce, Fenner &amp; Smith Incorporated ("Merrill Lynch") and each of the other Underwriters named in Schedule A hereto (collectively, the "Underwriters", which term shall also include any underwriter substituted as hereinafter provided in Section 10 hereof), for whom Merrill Lynch is acting as representative (in such capacity, the "Representative"), with respect to (i) the issue and sale by the Company and the purchase by the Underwriters, acting severally and not jointly, of the respective numbers of shares of Common Stock, par value $0.001 per share, of the Company ("Common Stock") set forth in said Schedule A, and (ii) the grant by the Company to the Underwriters, acting severally and not jointly, of the option described in Section 2(b) hereof to purchase all or any part of [600,000] additional shares of Common Stock to cover over-allotments, if any. The aforesaid [4,000,000] shares of Common Stock (the "Initial Securities") to be purchased by the Underwriters and all or any part of the [600,000] shares of Common Stock subject to the option described in Section 2(b) hereof (the "Option Securities") are hereinafter called, collectively, the "Securities".</w:t>
      </w:r>
    </w:p>
    <w:p>
      <w:pPr>
        <w:spacing w:after="0" w:line="200" w:lineRule="exact"/>
        <w:rPr>
          <w:sz w:val="20"/>
          <w:szCs w:val="20"/>
          <w:color w:val="auto"/>
        </w:rPr>
      </w:pPr>
    </w:p>
    <w:p>
      <w:pPr>
        <w:ind w:right="1999" w:firstLine="1870"/>
        <w:spacing w:after="0" w:line="250" w:lineRule="auto"/>
        <w:rPr>
          <w:sz w:val="20"/>
          <w:szCs w:val="20"/>
          <w:color w:val="auto"/>
        </w:rPr>
      </w:pPr>
      <w:r>
        <w:rPr>
          <w:rFonts w:ascii="Courier New" w:cs="Courier New" w:eastAsia="Courier New" w:hAnsi="Courier New"/>
          <w:sz w:val="17"/>
          <w:szCs w:val="17"/>
          <w:color w:val="auto"/>
        </w:rPr>
        <w:t>The Company understands that the Underwriters propose to make a public offering of the Securities as soon as the Representative deems advisable after this Agreement has been executed and delivered.</w:t>
      </w:r>
    </w:p>
    <w:p>
      <w:pPr>
        <w:sectPr>
          <w:pgSz w:w="11900" w:h="16838" w:orient="portrait"/>
          <w:cols w:equalWidth="0" w:num="1">
            <w:col w:w="10219"/>
          </w:cols>
          <w:pgMar w:left="240" w:top="315" w:right="1440" w:bottom="1440" w:gutter="0" w:footer="0" w:header="0"/>
        </w:sectPr>
      </w:pPr>
    </w:p>
    <w:bookmarkStart w:id="77" w:name="page78"/>
    <w:bookmarkEnd w:id="77"/>
    <w:p>
      <w:pPr>
        <w:ind w:left="320"/>
        <w:spacing w:after="0"/>
        <w:rPr>
          <w:sz w:val="20"/>
          <w:szCs w:val="20"/>
          <w:color w:val="auto"/>
        </w:rPr>
      </w:pPr>
      <w:r>
        <w:rPr>
          <w:rFonts w:ascii="Courier New" w:cs="Courier New" w:eastAsia="Courier New" w:hAnsi="Courier New"/>
          <w:sz w:val="17"/>
          <w:szCs w:val="17"/>
          <w:color w:val="auto"/>
        </w:rPr>
        <w:t>6</w:t>
      </w:r>
    </w:p>
    <w:p>
      <w:pPr>
        <w:spacing w:after="0" w:line="207" w:lineRule="exact"/>
        <w:rPr>
          <w:sz w:val="20"/>
          <w:szCs w:val="20"/>
          <w:color w:val="auto"/>
        </w:rPr>
      </w:pPr>
    </w:p>
    <w:p>
      <w:pPr>
        <w:ind w:right="2739" w:firstLine="1870"/>
        <w:spacing w:after="0" w:line="248" w:lineRule="auto"/>
        <w:rPr>
          <w:sz w:val="20"/>
          <w:szCs w:val="20"/>
          <w:color w:val="auto"/>
        </w:rPr>
      </w:pPr>
      <w:r>
        <w:rPr>
          <w:rFonts w:ascii="Courier New" w:cs="Courier New" w:eastAsia="Courier New" w:hAnsi="Courier New"/>
          <w:sz w:val="17"/>
          <w:szCs w:val="17"/>
          <w:color w:val="auto"/>
        </w:rPr>
        <w:t>The Company has filed with the Securities and Exchange Commission (the "Commission") a registration statement on Form S-3 (No.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 covering the registration of the Securities under the Securities Act</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of 1933, as amended (the "1933 Act"), including the related preliminary prospectus or prospectuses. Promptly after execution and delivery of this Agreement, the Company will prepare and file a prospectus in accordance with the provisions of Rule 430A ("Rule 430A") of the rules and regulations of the Commission under the 1933 Act (the "1933 Act Regulations") and paragraph (b) of Rule 424 ("Rule 424(b)") of the 1933 Act Regulations. The information included in such prospectus, that was omitted from such registration statement at the time it became effective but that is deemed to be part of such registration statement at the time it became effective pursuant to paragraph (b) of Rule 430A is referred to as "Rule 430A Information". Each prospectus used before such registration statement became effective, and any prospectus that omitted, as applicable, the Rule 430A Information, that was used after such effectiveness and prior to the execution and delivery of this Agreement, is herein called a "preliminary prospectus." Such registration statement, including the exhibits thereto, schedules thereto, if any, and the documents incorporated by reference therein pursuant to Item 12 of Form S-3 under the 1933 Act, at the time it became effective and including the Rule 430A Information, as applicable, is herein called the "Registration Statement". Any registration statement filed pursuant to Rule 462(b) of the 1933 Act Regulations is herein referred to as the "Rule 462(b) Registration Statement", and after such filing the term "Registration Statement" shall include the Rule 462(b) Registration Statement. The final prospectus, including the documents incorporated by reference therein pursuant to Item 12 of Form S-3 under the 1933 Act, in the form first furnished to the Underwriters for use in connection with the offering of the Securities is herein called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200" w:lineRule="exact"/>
        <w:rPr>
          <w:sz w:val="20"/>
          <w:szCs w:val="20"/>
          <w:color w:val="auto"/>
        </w:rPr>
      </w:pPr>
    </w:p>
    <w:p>
      <w:pPr>
        <w:ind w:right="1899" w:firstLine="1870"/>
        <w:spacing w:after="0" w:line="249" w:lineRule="auto"/>
        <w:rPr>
          <w:sz w:val="20"/>
          <w:szCs w:val="20"/>
          <w:color w:val="auto"/>
        </w:rPr>
      </w:pPr>
      <w:r>
        <w:rPr>
          <w:rFonts w:ascii="Courier New" w:cs="Courier New" w:eastAsia="Courier New" w:hAnsi="Courier New"/>
          <w:sz w:val="17"/>
          <w:szCs w:val="17"/>
          <w:color w:val="auto"/>
        </w:rPr>
        <w:t>All references in this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the Registration Statement, any preliminary prospectus or the Prospectus, as the case may be; and all references in this Agreement to amendments or supplements to the Registration Statement, any preliminary prospectus or the Prospectus shall be deemed to mean and include the filing of any document under the Securities Exchange Act of 1934 (the "1934 Act") which is incorporated by reference in the Registration Statement, such preliminary prospectus or the Prospectus, as the case may be.</w:t>
      </w:r>
    </w:p>
    <w:p>
      <w:pPr>
        <w:spacing w:after="0" w:line="200"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SECTION 1. Representations and Warranties.</w:t>
      </w:r>
    </w:p>
    <w:p>
      <w:pPr>
        <w:spacing w:after="0" w:line="207" w:lineRule="exact"/>
        <w:rPr>
          <w:sz w:val="20"/>
          <w:szCs w:val="20"/>
          <w:color w:val="auto"/>
        </w:rPr>
      </w:pPr>
    </w:p>
    <w:p>
      <w:pPr>
        <w:ind w:right="1899" w:firstLine="1877"/>
        <w:spacing w:after="0" w:line="249" w:lineRule="auto"/>
        <w:tabs>
          <w:tab w:leader="none" w:pos="2286"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by the Company The Company represents and warrants to each Underwriter as of the date hereof, as of the Closing Time referred to in Section 2(c) hereof, and as of each Date of Delivery (if any) referred to in Section 2(b) hereof, and agrees with each Underwriter as follows:</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5" w:right="1440" w:bottom="1440" w:gutter="0" w:footer="0" w:header="0"/>
        </w:sectPr>
      </w:pPr>
    </w:p>
    <w:bookmarkStart w:id="78" w:name="page79"/>
    <w:bookmarkEnd w:id="78"/>
    <w:p>
      <w:pPr>
        <w:ind w:left="320"/>
        <w:spacing w:after="0"/>
        <w:rPr>
          <w:sz w:val="20"/>
          <w:szCs w:val="20"/>
          <w:color w:val="auto"/>
        </w:rPr>
      </w:pPr>
      <w:r>
        <w:rPr>
          <w:rFonts w:ascii="Courier New" w:cs="Courier New" w:eastAsia="Courier New" w:hAnsi="Courier New"/>
          <w:sz w:val="17"/>
          <w:szCs w:val="17"/>
          <w:color w:val="auto"/>
        </w:rPr>
        <w:t>7</w:t>
      </w:r>
    </w:p>
    <w:p>
      <w:pPr>
        <w:spacing w:after="0" w:line="7" w:lineRule="exact"/>
        <w:rPr>
          <w:sz w:val="20"/>
          <w:szCs w:val="20"/>
          <w:color w:val="auto"/>
        </w:rPr>
      </w:pPr>
    </w:p>
    <w:p>
      <w:pPr>
        <w:ind w:right="1999" w:firstLine="1877"/>
        <w:spacing w:after="0" w:line="249" w:lineRule="auto"/>
        <w:tabs>
          <w:tab w:leader="none" w:pos="2286"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Registration Requirements. The Company meets the requirements for use of Form S-3 under the 1933 Act. Each of the Registration Statement and any Rule 462(b) Registration Statement has become effective under the 1933 Act and no stop order suspending the effectiveness of the Registration Statement or any Rule 462(b) Registration Statement has been issued under the 1933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200" w:lineRule="exact"/>
        <w:rPr>
          <w:sz w:val="20"/>
          <w:szCs w:val="20"/>
          <w:color w:val="auto"/>
        </w:rPr>
      </w:pPr>
    </w:p>
    <w:p>
      <w:pPr>
        <w:jc w:val="both"/>
        <w:ind w:right="1999" w:firstLine="1870"/>
        <w:spacing w:after="0" w:line="248" w:lineRule="auto"/>
        <w:rPr>
          <w:sz w:val="20"/>
          <w:szCs w:val="20"/>
          <w:color w:val="auto"/>
        </w:rPr>
      </w:pPr>
      <w:r>
        <w:rPr>
          <w:rFonts w:ascii="Courier New" w:cs="Courier New" w:eastAsia="Courier New" w:hAnsi="Courier New"/>
          <w:sz w:val="17"/>
          <w:szCs w:val="17"/>
          <w:color w:val="auto"/>
        </w:rPr>
        <w:t>At the respective times the Registration Statement, any Rule 462(b) Registration Statement and any post-effective amendments thereto became effective and at the Closing Time (and, if any Option Securities are purchased, at the Date of Delivery), the Registration Statement, the Rule 462(b)</w:t>
      </w:r>
    </w:p>
    <w:p>
      <w:pPr>
        <w:spacing w:after="0" w:line="3"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Registration Statement and any amendments and supplements thereto complied and will comply in all material respects with the requirements of the 1933 Act and the 1933 Act Regulations and did not and will not contain an untrue statement of a material fact or omit to state a material fact required to be stated therein or necessary to make the statements therein not misleading. Neither the Prospectus nor any amendments or supplements thereto at the time the Prospectus or any such amendment or supplement was issued and at the Closing Time (and, if any Option Securities are purchased, at the Date of Delivery), included or will include an untrue statement of a material fact or omitted or will omit to state a material fact necessary in order to make the statements therein, in the light of the circumstances under which they were made, not misleading. The representations and warranties in this subsection shall not apply to statements in or omissions from the Registration Statement or Prospectus made in reliance upon and in conformity with information furnished to the Company in writing by any Underwriter through Merrill Lynch expressly for use in the Registration Statement or Prospectus.</w:t>
      </w:r>
    </w:p>
    <w:p>
      <w:pPr>
        <w:spacing w:after="0" w:line="400" w:lineRule="exact"/>
        <w:rPr>
          <w:sz w:val="20"/>
          <w:szCs w:val="20"/>
          <w:color w:val="auto"/>
        </w:rPr>
      </w:pPr>
    </w:p>
    <w:p>
      <w:pPr>
        <w:ind w:right="1899" w:firstLine="1870"/>
        <w:spacing w:after="0" w:line="249" w:lineRule="auto"/>
        <w:rPr>
          <w:sz w:val="20"/>
          <w:szCs w:val="20"/>
          <w:color w:val="auto"/>
        </w:rPr>
      </w:pPr>
      <w:r>
        <w:rPr>
          <w:rFonts w:ascii="Courier New" w:cs="Courier New" w:eastAsia="Courier New" w:hAnsi="Courier New"/>
          <w:sz w:val="17"/>
          <w:szCs w:val="17"/>
          <w:color w:val="auto"/>
        </w:rPr>
        <w:t>Each preliminary prospectus and the prospectus filed as part of the Registration Statement as originally filed or as part of any amendment thereto, or filed pursuant to Rule 424 under the 1933 Act, complied when so filed in all material respects with the 1933 Act Regulations and each preliminary prospectus and the Prospectus delivered to the Underwriters for use in connection with this offering was identical to the electronically transmitted copies thereof filed with the Commission pursuant to EDGAR, except to the extent permitted by Regulation S-T.</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5"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7"/>
          <w:szCs w:val="17"/>
          <w:color w:val="auto"/>
        </w:rPr>
        <w:t>8</w:t>
      </w:r>
    </w:p>
    <w:p>
      <w:pPr>
        <w:spacing w:after="0" w:line="207" w:lineRule="exact"/>
        <w:rPr>
          <w:sz w:val="20"/>
          <w:szCs w:val="20"/>
          <w:color w:val="auto"/>
        </w:rPr>
      </w:pPr>
    </w:p>
    <w:p>
      <w:pPr>
        <w:ind w:left="-320" w:right="1899" w:firstLine="1877"/>
        <w:spacing w:after="0" w:line="249" w:lineRule="auto"/>
        <w:tabs>
          <w:tab w:leader="none" w:pos="2069"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Documents. The documents incorporated or deemed to be incorporated by reference in the Registration Statement and the Prospectus, at the time they were or hereafter are filed with the Commission (for so long as a prospectus is required to be delivered in connection with the sale of the Securities), complied and will comply in all material respects with the requirements of the 1934 Act and the rules and regulations of the Commission thereunder (the "1934 Act Regulations"), and, when read together with the other information in the Prospectus, at the time the Registration Statement became effective, at the time the Prospectus was issued and at the Closing Time (and, if any Option Securities are purchased, at the Date of Delivery), did not and will not contain an untrue statement of a material fact or omit to state a material fact required to be stated therein or necessary to make the statements therein not misleading.</w:t>
      </w:r>
    </w:p>
    <w:p>
      <w:pPr>
        <w:spacing w:after="0" w:line="199" w:lineRule="exact"/>
        <w:rPr>
          <w:rFonts w:ascii="Courier New" w:cs="Courier New" w:eastAsia="Courier New" w:hAnsi="Courier New"/>
          <w:sz w:val="17"/>
          <w:szCs w:val="17"/>
          <w:color w:val="auto"/>
        </w:rPr>
      </w:pPr>
    </w:p>
    <w:p>
      <w:pPr>
        <w:jc w:val="both"/>
        <w:ind w:left="-320" w:right="1899" w:firstLine="1877"/>
        <w:spacing w:after="0" w:line="249" w:lineRule="auto"/>
        <w:tabs>
          <w:tab w:leader="none" w:pos="2173"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Independent Accountants. The accountants who certified the financial statements and supporting schedules included in the Registration Statement are independent public accountants as required by the 1933 Act and the 1933 Act Regulations.</w:t>
      </w:r>
    </w:p>
    <w:p>
      <w:pPr>
        <w:spacing w:after="0" w:line="199" w:lineRule="exact"/>
        <w:rPr>
          <w:rFonts w:ascii="Courier New" w:cs="Courier New" w:eastAsia="Courier New" w:hAnsi="Courier New"/>
          <w:sz w:val="17"/>
          <w:szCs w:val="17"/>
          <w:color w:val="auto"/>
        </w:rPr>
      </w:pPr>
    </w:p>
    <w:p>
      <w:pPr>
        <w:ind w:left="-320" w:right="1899" w:firstLine="1877"/>
        <w:spacing w:after="0" w:line="249" w:lineRule="auto"/>
        <w:tabs>
          <w:tab w:leader="none" w:pos="2069"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The financial statements included in the Registration Statement and the Prospectus, together with the related schedules and notes, present fairly the respective financial positions of the Company and Amgen-Regeneron Partners (as defined below) at the dates indicated and the statement of operations, stockholders' equity (or statement of changes in partners' capital, in the case of Amgen-Regeneron Partners) and cash flows of the Company and Amgen-Regeneron Partners for the periods specified; said financial statements have been prepared in conformity with generally accepted accounting principles ("GAAP") applied on a consistent basis throughout the periods involved. The supporting schedules, if any, included in the Registration Statement present fairly in accordance with GAAP the information required to be stated therein. The selected financial data and the summary financial information included in the Prospectus present fairly the information shown therein and have been compiled on a basis consistent with that of the audited financial statements included in the Registration Statement.</w:t>
      </w:r>
    </w:p>
    <w:p>
      <w:pPr>
        <w:spacing w:after="0" w:line="199" w:lineRule="exact"/>
        <w:rPr>
          <w:rFonts w:ascii="Courier New" w:cs="Courier New" w:eastAsia="Courier New" w:hAnsi="Courier New"/>
          <w:sz w:val="17"/>
          <w:szCs w:val="17"/>
          <w:color w:val="auto"/>
        </w:rPr>
      </w:pPr>
    </w:p>
    <w:p>
      <w:pPr>
        <w:ind w:left="-320" w:right="1899" w:firstLine="1877"/>
        <w:spacing w:after="0" w:line="249" w:lineRule="auto"/>
        <w:tabs>
          <w:tab w:leader="none" w:pos="1966"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Material Adverse Change in Business. Since the respective dates as of which information is given in the Registration Statement and the Prospectus, except as otherwise stated therein, (A) there has been no material adverse change or a development known to the Company involving a prospective material adverse change, in the condition, financial or otherwise, or in the earnings or business affairs of the Company, whether or not arising in the ordinary course of business (a "Material Adverse Effect"), (B) there have been no transactions entered into by the Company or Amgen-Regeneron Partners, other than those in the ordinary course of business, which are material with respect to the Company and Amgen -- Regeneron Partners considered as one enterprise, and (C) there has been no dividend or distribution of any kind declared, paid or made by the Company on any class of its capital stock.</w:t>
      </w:r>
    </w:p>
    <w:p>
      <w:pPr>
        <w:spacing w:after="0" w:line="199" w:lineRule="exact"/>
        <w:rPr>
          <w:rFonts w:ascii="Courier New" w:cs="Courier New" w:eastAsia="Courier New" w:hAnsi="Courier New"/>
          <w:sz w:val="17"/>
          <w:szCs w:val="17"/>
          <w:color w:val="auto"/>
        </w:rPr>
      </w:pPr>
    </w:p>
    <w:p>
      <w:pPr>
        <w:ind w:left="-320" w:right="2099" w:firstLine="1877"/>
        <w:spacing w:after="0" w:line="249" w:lineRule="auto"/>
        <w:tabs>
          <w:tab w:leader="none" w:pos="2069"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Good Standing of the Company. The Company has been duly organized and is validly existing as a corporation in good standing under the laws of the State of New York and has corporate power and authority to own, lease and operate its properties</w:t>
      </w:r>
    </w:p>
    <w:p>
      <w:pPr>
        <w:spacing w:after="0" w:line="200"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899"/>
          </w:cols>
          <w:pgMar w:left="560" w:top="315" w:right="1440" w:bottom="1440" w:gutter="0" w:footer="0" w:header="0"/>
        </w:sectPr>
      </w:pPr>
    </w:p>
    <w:bookmarkStart w:id="80" w:name="page81"/>
    <w:bookmarkEnd w:id="80"/>
    <w:p>
      <w:pPr>
        <w:ind w:left="320"/>
        <w:spacing w:after="0"/>
        <w:rPr>
          <w:sz w:val="20"/>
          <w:szCs w:val="20"/>
          <w:color w:val="auto"/>
        </w:rPr>
      </w:pPr>
      <w:r>
        <w:rPr>
          <w:rFonts w:ascii="Courier New" w:cs="Courier New" w:eastAsia="Courier New" w:hAnsi="Courier New"/>
          <w:sz w:val="17"/>
          <w:szCs w:val="17"/>
          <w:color w:val="auto"/>
        </w:rPr>
        <w:t>9</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and to conduct its business as described in the Prospectus and to enter into and perform its obligations under this Agreement; and the Company is duly qualified as a foreign corporation to transact business and is in good standing in each jurisdiction in which such qualification is required, whether by reason of ownership or leasing of property or the conduct of business, except where the failure so to qualify or be in good standing would not result in a Material Adverse Effect.</w:t>
      </w:r>
    </w:p>
    <w:p>
      <w:pPr>
        <w:spacing w:after="0" w:line="200" w:lineRule="exact"/>
        <w:rPr>
          <w:sz w:val="20"/>
          <w:szCs w:val="20"/>
          <w:color w:val="auto"/>
        </w:rPr>
      </w:pPr>
    </w:p>
    <w:p>
      <w:pPr>
        <w:ind w:right="1899" w:firstLine="1877"/>
        <w:spacing w:after="0" w:line="249" w:lineRule="auto"/>
        <w:tabs>
          <w:tab w:leader="none" w:pos="249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Good Standing of Subsidiaries. The Company has no corporate subsidiaries. Amgen-Regeneron Partners, a Delaware general partnership ("Amgen-Regeneron Partners") formed by the Company and Amgen Inc., has been duly formed, is validly existing as a general partnership under the laws of the jurisdiction of its formation, has the legal power and authority to own its property and to conduct its business as described in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w:t>
      </w:r>
    </w:p>
    <w:p>
      <w:pPr>
        <w:spacing w:after="0" w:line="199" w:lineRule="exact"/>
        <w:rPr>
          <w:rFonts w:ascii="Courier New" w:cs="Courier New" w:eastAsia="Courier New" w:hAnsi="Courier New"/>
          <w:sz w:val="17"/>
          <w:szCs w:val="17"/>
          <w:color w:val="auto"/>
        </w:rPr>
      </w:pPr>
    </w:p>
    <w:p>
      <w:pPr>
        <w:ind w:right="1999" w:firstLine="1877"/>
        <w:spacing w:after="0" w:line="249" w:lineRule="auto"/>
        <w:tabs>
          <w:tab w:leader="none" w:pos="2597"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Capitalization. The authorized, issued and outstanding capital stock of the Company is as set forth in the Prospectus in the column entitled "Actual" under the caption "Capitalization" (except for subsequent issuances, if any, pursuant to this Agreement, pursuant to reservations, agreements or employee benefit plans referred to in the Prospectus or pursuant to the exercise of convertible securities or options referred to in the Prospectus). The shares of issued and outstanding capital stock of the Company have been duly authorized and validly issued and are fully paid and non-assessable; none of the outstanding shares of capital stock of the Company was issued in violation of the preemptive or other similar rights of any securityholder of the Company.</w:t>
      </w:r>
    </w:p>
    <w:p>
      <w:pPr>
        <w:spacing w:after="0" w:line="199" w:lineRule="exact"/>
        <w:rPr>
          <w:rFonts w:ascii="Courier New" w:cs="Courier New" w:eastAsia="Courier New" w:hAnsi="Courier New"/>
          <w:sz w:val="17"/>
          <w:szCs w:val="17"/>
          <w:color w:val="auto"/>
        </w:rPr>
      </w:pPr>
    </w:p>
    <w:p>
      <w:pPr>
        <w:ind w:right="1999" w:firstLine="1877"/>
        <w:spacing w:after="0" w:line="251" w:lineRule="auto"/>
        <w:tabs>
          <w:tab w:leader="none" w:pos="2389"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Authorization of Agreement. This Agreement has been duly authorized, executed and delivered by the Company.</w:t>
      </w:r>
    </w:p>
    <w:p>
      <w:pPr>
        <w:spacing w:after="0" w:line="196" w:lineRule="exact"/>
        <w:rPr>
          <w:rFonts w:ascii="Courier New" w:cs="Courier New" w:eastAsia="Courier New" w:hAnsi="Courier New"/>
          <w:sz w:val="17"/>
          <w:szCs w:val="17"/>
          <w:color w:val="auto"/>
        </w:rPr>
      </w:pPr>
    </w:p>
    <w:p>
      <w:pPr>
        <w:ind w:right="1899" w:firstLine="1877"/>
        <w:spacing w:after="0" w:line="249" w:lineRule="auto"/>
        <w:tabs>
          <w:tab w:leader="none" w:pos="2286"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Authorization and Description of Securities. The Initial Securities and the Option Securities, if any,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fully paid and non-assessable; the Common Stock conforms to all statements relating thereto contained in the Prospectus and such description conforms to the rights set forth in the instruments defining the same; and no holder of the Initial Securities or the Option Securities, if any, will be subject to personal liability by reason of being such a holder; and the issuances of the Initial Securities and the Option Securities, if any, are not subject to the preemptive or other similar rights of any securityholder of the Company.</w:t>
      </w:r>
    </w:p>
    <w:p>
      <w:pPr>
        <w:spacing w:after="0" w:line="199" w:lineRule="exact"/>
        <w:rPr>
          <w:rFonts w:ascii="Courier New" w:cs="Courier New" w:eastAsia="Courier New" w:hAnsi="Courier New"/>
          <w:sz w:val="17"/>
          <w:szCs w:val="17"/>
          <w:color w:val="auto"/>
        </w:rPr>
      </w:pPr>
    </w:p>
    <w:p>
      <w:pPr>
        <w:ind w:right="1999" w:firstLine="1877"/>
        <w:spacing w:after="0" w:line="249" w:lineRule="auto"/>
        <w:tabs>
          <w:tab w:leader="none" w:pos="2389"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Defaults and Conflicts. Neither the Company nor Amgen-Regeneron Partners is in violation of its charter or by-laws or the partnership agreement, as the case may be, or in default in the performance or observance of any obligation, agreement, covenant or condition contained in any contract, indenture, mortgage, deed of trust, loan or credit agreement, note, lease or other agreement or instrument to which the</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15" w:right="1440" w:bottom="1440" w:gutter="0" w:footer="0" w:header="0"/>
        </w:sectPr>
      </w:pPr>
    </w:p>
    <w:bookmarkStart w:id="81" w:name="page82"/>
    <w:bookmarkEnd w:id="81"/>
    <w:p>
      <w:pPr>
        <w:ind w:left="320"/>
        <w:spacing w:after="0"/>
        <w:rPr>
          <w:sz w:val="20"/>
          <w:szCs w:val="20"/>
          <w:color w:val="auto"/>
        </w:rPr>
      </w:pPr>
      <w:r>
        <w:rPr>
          <w:rFonts w:ascii="Courier New" w:cs="Courier New" w:eastAsia="Courier New" w:hAnsi="Courier New"/>
          <w:sz w:val="17"/>
          <w:szCs w:val="17"/>
          <w:color w:val="auto"/>
        </w:rPr>
        <w:t>10</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Company or Amgen-Regeneron Partners is a party or by which it or any of them may be bound, or to which any of the property or assets of the Company or Amgen-Regeneron Partners is subject (collectively, "Agreements and Instruments") except for such defaults that would not result in a Material Adverse Effect; and the execution, delivery and performance of this Agreement by the Company and the consummation of the transactions contemplated herein and in the Registration Statement (including the issuance and sale of the Initial Securities and the use of the proceeds from the sale of the Initial Securities as described in the Prospectus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Amgen-Regeneron Partners pursuant to, the Agreements and Instruments (except for such conflicts, breaches or defaults or liens, charges or encumbrances that would not result in a Material Adverse Effect), nor will such action result in any violation of the provisions of the charter or by-laws of the Company or the partnership agreement of Amgen-Regeneron Partners, or any applicable law, statute, rule, regulation, judgment, order, writ or decree of any government, government instrumentality or court, domestic or foreign, having jurisdiction over the Company or Amgen-Regeneron Partners or any of their assets, properties or operations except that could not be expected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Amgen-Regeneron Partners.</w:t>
      </w:r>
    </w:p>
    <w:p>
      <w:pPr>
        <w:spacing w:after="0" w:line="200" w:lineRule="exact"/>
        <w:rPr>
          <w:sz w:val="20"/>
          <w:szCs w:val="20"/>
          <w:color w:val="auto"/>
        </w:rPr>
      </w:pPr>
    </w:p>
    <w:p>
      <w:pPr>
        <w:ind w:right="1899" w:firstLine="1877"/>
        <w:spacing w:after="0" w:line="249" w:lineRule="auto"/>
        <w:tabs>
          <w:tab w:leader="none" w:pos="2493"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Labor Dispute. No labor dispute with the employees of the Company or Amgen-Regeneron Partners exists or, to the knowledge of the Company, is imminent, and the Company is not aware of any existing or imminent labor disturbance by the employees of any of its or Amgen-Regeneron Partners' principal suppliers, manufacturers, customers or contractors, which, in either case, may reasonably be expected to result in a Material Adverse Effect.</w:t>
      </w:r>
    </w:p>
    <w:p>
      <w:pPr>
        <w:spacing w:after="0" w:line="399" w:lineRule="exact"/>
        <w:rPr>
          <w:rFonts w:ascii="Courier New" w:cs="Courier New" w:eastAsia="Courier New" w:hAnsi="Courier New"/>
          <w:sz w:val="17"/>
          <w:szCs w:val="17"/>
          <w:color w:val="auto"/>
        </w:rPr>
      </w:pPr>
    </w:p>
    <w:p>
      <w:pPr>
        <w:ind w:left="2600" w:hanging="723"/>
        <w:spacing w:after="0"/>
        <w:tabs>
          <w:tab w:leader="none" w:pos="26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Proceedings. There is no action, suit,</w:t>
      </w:r>
    </w:p>
    <w:p>
      <w:pPr>
        <w:spacing w:after="0" w:line="7" w:lineRule="exact"/>
        <w:rPr>
          <w:rFonts w:ascii="Courier New" w:cs="Courier New" w:eastAsia="Courier New" w:hAnsi="Courier New"/>
          <w:sz w:val="17"/>
          <w:szCs w:val="17"/>
          <w:color w:val="auto"/>
        </w:rPr>
      </w:pPr>
    </w:p>
    <w:p>
      <w:pPr>
        <w:ind w:right="18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proceeding, inquiry or investigation before or brought by any court or governmental agency or body, domestic or foreign, now pending, or, to the knowledge of the Company, threatened, against or affecting the Company or Amgen-Regeneron Partners, which is required to be disclosed in the Registration Statement (other than as disclosed therein), or which might reasonably be expected to result in a Material Adverse Effect, or which might reasonably be expected to materially and adversely affect the properties or assets thereof or the consummation of the transactions contemplated in this Agreement or the performance by the Company of its obligations hereunder; the aggregate of all pending legal or governmental proceedings to which the Company or Amgen-Regeneron Partners is a party or of which any of their respective property or assets is the subject which are not described in the Registration Statement, including ordinary routine litigation incidental to the business, could not reasonably be expected to result in a Material Adverse Effect.</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15"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7"/>
          <w:szCs w:val="17"/>
          <w:color w:val="auto"/>
        </w:rPr>
        <w:t>11</w:t>
      </w:r>
    </w:p>
    <w:p>
      <w:pPr>
        <w:spacing w:after="0" w:line="7" w:lineRule="exact"/>
        <w:rPr>
          <w:sz w:val="20"/>
          <w:szCs w:val="20"/>
          <w:color w:val="auto"/>
        </w:rPr>
      </w:pPr>
    </w:p>
    <w:p>
      <w:pPr>
        <w:ind w:left="-320" w:right="1999" w:firstLine="1877"/>
        <w:spacing w:after="0" w:line="249" w:lineRule="auto"/>
        <w:tabs>
          <w:tab w:leader="none" w:pos="2173"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Accuracy of Exhibits. There are no contracts or documents which are required to be described in the Registration Statement, the Prospectus or the documents incorporated by reference therein or to be filed as exhibits thereto which have not been so described and filed as required.</w:t>
      </w:r>
    </w:p>
    <w:p>
      <w:pPr>
        <w:spacing w:after="0" w:line="199" w:lineRule="exact"/>
        <w:rPr>
          <w:rFonts w:ascii="Courier New" w:cs="Courier New" w:eastAsia="Courier New" w:hAnsi="Courier New"/>
          <w:sz w:val="17"/>
          <w:szCs w:val="17"/>
          <w:color w:val="auto"/>
        </w:rPr>
      </w:pPr>
    </w:p>
    <w:p>
      <w:pPr>
        <w:ind w:left="-320" w:right="1899" w:firstLine="1877"/>
        <w:spacing w:after="0" w:line="249" w:lineRule="auto"/>
        <w:tabs>
          <w:tab w:leader="none" w:pos="2069"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Possession of Intellectual Property. The Company and Amgen-Regeneron Partners owns or possesses, or will use their best efforts to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Except as disclosed in the Prospectus, there is no litigation or other proceeding pending or, to the Company's knowledge, threatened and no claims are presently being asserted by any third party challenging or questioning the ownership, validity, enforceability of the Company's or Amgen-Regeneron Partners' right to use or own any Intellectual Property or asserting that the use of any Intellectual Property by the Company or Amgen-Regeneron Partners or the operation of the business of the Company or Amgen-Regeneron Partners infringes upon or misappropriates the Intellectual Property of any third party, other than infringements which would not be reasonably likely to have a Material Adverse Effect and neither the Company nor Amgen-Regeneron Partners is otherwise aware of any infringement of or conflict with asserted rights of others with respect to any Intellectual Property or of any facts or circumstances which would render any Intellectual Property invalid or inadequate to protect the interest of the Company or Amgen-Regeneron Partners therein, and which infringement or conflict (if the subject of any unfavorable decision, ruling or finding) or invalidity or inadequacy, singly or in the aggregate, would result in a Material Adverse Effect.</w:t>
      </w:r>
    </w:p>
    <w:p>
      <w:pPr>
        <w:spacing w:after="0" w:line="199" w:lineRule="exact"/>
        <w:rPr>
          <w:rFonts w:ascii="Courier New" w:cs="Courier New" w:eastAsia="Courier New" w:hAnsi="Courier New"/>
          <w:sz w:val="17"/>
          <w:szCs w:val="17"/>
          <w:color w:val="auto"/>
        </w:rPr>
      </w:pPr>
    </w:p>
    <w:p>
      <w:pPr>
        <w:ind w:left="-320" w:right="1899" w:firstLine="1877"/>
        <w:spacing w:after="0" w:line="249" w:lineRule="auto"/>
        <w:tabs>
          <w:tab w:leader="none" w:pos="2173"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Further Requirements. No filing with, or authorization, approval, consent, license, order, registration, qualification or decree of, any court or governmental authority or agency is necessary or required for the performance by the Company of its obligations hereunder, in connection with the offering, issuance or sale of the Securities hereunder or the consummation of the transactions contemplated by this Agreement, except such as have been already obtained or as may be required under the 1933 Act or the 1933 Act Regulation or state securities laws.</w:t>
      </w:r>
    </w:p>
    <w:p>
      <w:pPr>
        <w:spacing w:after="0" w:line="199" w:lineRule="exact"/>
        <w:rPr>
          <w:rFonts w:ascii="Courier New" w:cs="Courier New" w:eastAsia="Courier New" w:hAnsi="Courier New"/>
          <w:sz w:val="17"/>
          <w:szCs w:val="17"/>
          <w:color w:val="auto"/>
        </w:rPr>
      </w:pPr>
    </w:p>
    <w:p>
      <w:pPr>
        <w:ind w:left="-320" w:right="1899" w:firstLine="1877"/>
        <w:spacing w:after="0" w:line="249" w:lineRule="auto"/>
        <w:tabs>
          <w:tab w:leader="none" w:pos="2277"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Possession of Licenses and Permits. The Company and Amgen-Regeneron Partners possess such permits, licenses, approvals, consents and other authorizations (collectively, "Governmental Licenses") issued by the appropriate federal, state, local or foreign regulatory agencies or bodies necessary to conduct the business now operated by them; the Company and Amgen-Regeneron Partners are in compliance with the terms and conditions of all such Governmental Licenses, except where the failure so to comply would not, singly or in the aggregate, have a Material Adverse Effect; all of the Governmental Licenses are valid and in full force and effect, except when the invalidity of such Governmental Licenses or the failure of such Governmental Licenses to be in full force and effect would not have a Material Adverse Effect; and neither the Company nor Amgen-Regeneron Partners has received any notice of</w:t>
      </w:r>
    </w:p>
    <w:p>
      <w:pPr>
        <w:spacing w:after="0" w:line="400"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899"/>
          </w:cols>
          <w:pgMar w:left="560" w:top="315" w:right="1440" w:bottom="1440" w:gutter="0" w:footer="0" w:header="0"/>
        </w:sectPr>
      </w:pPr>
    </w:p>
    <w:bookmarkStart w:id="83" w:name="page84"/>
    <w:bookmarkEnd w:id="83"/>
    <w:p>
      <w:pPr>
        <w:ind w:left="320"/>
        <w:spacing w:after="0"/>
        <w:rPr>
          <w:sz w:val="20"/>
          <w:szCs w:val="20"/>
          <w:color w:val="auto"/>
        </w:rPr>
      </w:pPr>
      <w:r>
        <w:rPr>
          <w:rFonts w:ascii="Courier New" w:cs="Courier New" w:eastAsia="Courier New" w:hAnsi="Courier New"/>
          <w:sz w:val="17"/>
          <w:szCs w:val="17"/>
          <w:color w:val="auto"/>
        </w:rPr>
        <w:t>12</w:t>
      </w:r>
    </w:p>
    <w:p>
      <w:pPr>
        <w:spacing w:after="0" w:line="7"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proceedings relating to the revocation or modification of any such Governmental Licenses which, singly or in the aggregate, if the subject of an unfavorable decision, ruling or finding, would result in a Material Adverse Effect.</w:t>
      </w:r>
    </w:p>
    <w:p>
      <w:pPr>
        <w:spacing w:after="0" w:line="197" w:lineRule="exact"/>
        <w:rPr>
          <w:sz w:val="20"/>
          <w:szCs w:val="20"/>
          <w:color w:val="auto"/>
        </w:rPr>
      </w:pPr>
    </w:p>
    <w:p>
      <w:pPr>
        <w:ind w:left="2700" w:hanging="823"/>
        <w:spacing w:after="0"/>
        <w:tabs>
          <w:tab w:leader="none" w:pos="270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to Property. The Company and Amgen-Regeneron</w:t>
      </w:r>
    </w:p>
    <w:p>
      <w:pPr>
        <w:spacing w:after="0" w:line="7" w:lineRule="exact"/>
        <w:rPr>
          <w:rFonts w:ascii="Courier New" w:cs="Courier New" w:eastAsia="Courier New" w:hAnsi="Courier New"/>
          <w:sz w:val="17"/>
          <w:szCs w:val="17"/>
          <w:color w:val="auto"/>
        </w:rPr>
      </w:pPr>
    </w:p>
    <w:p>
      <w:pPr>
        <w:ind w:right="18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Partners have good and marketable title to all real property owned by the Company and Amgen-Regeneron Partners and good title to all other properties owned by them, in each case, free and clear of all mortgages, pledges, liens, security interests, claims, restrictions or encumbrances of any kind except such as (a) are described in the Prospectus or (b) do not, singly or in the aggregate, materially affect the value of such property and do not interfere with the use made and proposed to be made of such property by the Company or Amgen-Regeneron Partners; and all of the leases and subleases material to the business of the Company and Amgen-Regeneron Partners, considered as one enterprise, and under which the Company or Amgen-Regeneron Partners holds properties described in the Prospectus, are in full force and effect, and neither the Company nor Amgen-Regeneron Partners has any notice of any material claim of any sort that has been asserted by anyone adverse to the rights of the Company or Amgen-Regeneron Partners under any of the leases or subleases mentioned above, or affecting or questioning the rights of the Company or Amgen-Regeneron Partners to the continued possession of the leased or subleased premises under any such lease or sublease.</w:t>
      </w:r>
    </w:p>
    <w:p>
      <w:pPr>
        <w:spacing w:after="0" w:line="199" w:lineRule="exact"/>
        <w:rPr>
          <w:rFonts w:ascii="Courier New" w:cs="Courier New" w:eastAsia="Courier New" w:hAnsi="Courier New"/>
          <w:sz w:val="17"/>
          <w:szCs w:val="17"/>
          <w:color w:val="auto"/>
        </w:rPr>
      </w:pPr>
    </w:p>
    <w:p>
      <w:pPr>
        <w:ind w:right="1899" w:firstLine="1877"/>
        <w:spacing w:after="0" w:line="249" w:lineRule="auto"/>
        <w:tabs>
          <w:tab w:leader="none" w:pos="249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Environmental Laws. Except as described in the Registration Statement and except as would not, singly or in the aggregate, result in a Material Adverse Effect, (A) neither the Company nor Amgen-Regeneron Partners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 storage, disposal, transport or handling of Hazardous Materials (collectively, "Environmental Laws"), (B) the Company and Amgen-Regeneron Partners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or Amgen-Regeneron Partners and (D) there are no events or circumstances that might reasonably be expected to form the basis of an order for clean-up or remediation, or an action, suit or proceeding by any private party or governmental body or agency, against or affecting the Company or Amgen-Regeneron Partners relating to Hazardous Materials or any Environmental Laws.</w:t>
      </w:r>
    </w:p>
    <w:p>
      <w:pPr>
        <w:spacing w:after="0" w:line="399" w:lineRule="exact"/>
        <w:rPr>
          <w:rFonts w:ascii="Courier New" w:cs="Courier New" w:eastAsia="Courier New" w:hAnsi="Courier New"/>
          <w:sz w:val="17"/>
          <w:szCs w:val="17"/>
          <w:color w:val="auto"/>
        </w:rPr>
      </w:pPr>
    </w:p>
    <w:p>
      <w:pPr>
        <w:ind w:right="1999" w:firstLine="1877"/>
        <w:spacing w:after="0" w:line="250" w:lineRule="auto"/>
        <w:tabs>
          <w:tab w:leader="none" w:pos="2389"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Company Act. The Company is not, and upon the issuance and sale of the Securities as herein contemplated and the application of the net proceeds</w:t>
      </w:r>
    </w:p>
    <w:p>
      <w:pPr>
        <w:spacing w:after="0" w:line="1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5" w:right="1440" w:bottom="1440" w:gutter="0" w:footer="0" w:header="0"/>
        </w:sectPr>
      </w:pPr>
    </w:p>
    <w:bookmarkStart w:id="84" w:name="page85"/>
    <w:bookmarkEnd w:id="84"/>
    <w:p>
      <w:pPr>
        <w:ind w:left="320"/>
        <w:spacing w:after="0"/>
        <w:rPr>
          <w:sz w:val="20"/>
          <w:szCs w:val="20"/>
          <w:color w:val="auto"/>
        </w:rPr>
      </w:pPr>
      <w:r>
        <w:rPr>
          <w:rFonts w:ascii="Courier New" w:cs="Courier New" w:eastAsia="Courier New" w:hAnsi="Courier New"/>
          <w:sz w:val="17"/>
          <w:szCs w:val="17"/>
          <w:color w:val="auto"/>
        </w:rPr>
        <w:t>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therefrom as described in the Prospectus will not be, an</w:t>
      </w:r>
    </w:p>
    <w:p>
      <w:pPr>
        <w:spacing w:after="0" w:line="7" w:lineRule="exact"/>
        <w:rPr>
          <w:sz w:val="20"/>
          <w:szCs w:val="20"/>
          <w:color w:val="auto"/>
        </w:rPr>
      </w:pPr>
    </w:p>
    <w:p>
      <w:pPr>
        <w:jc w:val="both"/>
        <w:ind w:right="1999"/>
        <w:spacing w:after="0" w:line="250" w:lineRule="auto"/>
        <w:rPr>
          <w:sz w:val="20"/>
          <w:szCs w:val="20"/>
          <w:color w:val="auto"/>
        </w:rPr>
      </w:pPr>
      <w:r>
        <w:rPr>
          <w:rFonts w:ascii="Courier New" w:cs="Courier New" w:eastAsia="Courier New" w:hAnsi="Courier New"/>
          <w:sz w:val="17"/>
          <w:szCs w:val="17"/>
          <w:color w:val="auto"/>
        </w:rPr>
        <w:t>"investment company" or an entity controlled by an "investment company" as such terms are defined in The Investment Company Act of 1940, as amended (the "1940 Act").</w:t>
      </w:r>
    </w:p>
    <w:p>
      <w:pPr>
        <w:spacing w:after="0" w:line="197" w:lineRule="exact"/>
        <w:rPr>
          <w:sz w:val="20"/>
          <w:szCs w:val="20"/>
          <w:color w:val="auto"/>
        </w:rPr>
      </w:pPr>
    </w:p>
    <w:p>
      <w:pPr>
        <w:ind w:right="1999" w:firstLine="1877"/>
        <w:spacing w:after="0" w:line="249" w:lineRule="auto"/>
        <w:tabs>
          <w:tab w:leader="none" w:pos="2493"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FDA and PTO Proceedings. To the Company's knowledge, except as disclosed in the Prospectus, there are no rulemaking or similar proceedings before the U.S. Food and Drug Administration, the U.S. Patent and Trademark Office or the European Patent Office which affect or involve the Company or Amgen-Regeneron Partners or any of the processes or products which the Prospectus discloses the Company or Amgen-Regeneron Partners has developed, is developing or proposes to develop or uses or proposes to use which, if the subject of an action unfavorable to the Company or Amgen-Regeneron Partners, could have a Material Adverse Effect.</w:t>
      </w:r>
    </w:p>
    <w:p>
      <w:pPr>
        <w:spacing w:after="0" w:line="200" w:lineRule="exact"/>
        <w:rPr>
          <w:sz w:val="20"/>
          <w:szCs w:val="20"/>
          <w:color w:val="auto"/>
        </w:rPr>
      </w:pPr>
    </w:p>
    <w:p>
      <w:pPr>
        <w:ind w:right="2319" w:firstLine="1877"/>
        <w:spacing w:after="0" w:line="249" w:lineRule="auto"/>
        <w:tabs>
          <w:tab w:leader="none" w:pos="2286"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Officer's Certificates. Any certificate signed by any officer of the Company delivered to the Representative or to counsel for the Underwriters shall be deemed a representation and warranty by the Company to each Underwriter as to the matters covered thereby.</w:t>
      </w:r>
    </w:p>
    <w:p>
      <w:pPr>
        <w:spacing w:after="0" w:line="200"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SECTION 2. Sale and Delivery to Underwriters; Closing.</w:t>
      </w:r>
    </w:p>
    <w:p>
      <w:pPr>
        <w:spacing w:after="0" w:line="207" w:lineRule="exact"/>
        <w:rPr>
          <w:sz w:val="20"/>
          <w:szCs w:val="20"/>
          <w:color w:val="auto"/>
        </w:rPr>
      </w:pPr>
    </w:p>
    <w:p>
      <w:pPr>
        <w:ind w:right="1999" w:firstLine="1877"/>
        <w:spacing w:after="0" w:line="249" w:lineRule="auto"/>
        <w:tabs>
          <w:tab w:leader="none" w:pos="2286"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Initial Securities. 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at the price per share set forth in Schedule B, the number of Initial Securities set forth in Schedule A opposite the name of such Underwriter, plus any additional number of Initial Securities which such Underwriter may become obligated to purchase pursuant to the provisions of Section 10 hereof.</w:t>
      </w:r>
    </w:p>
    <w:p>
      <w:pPr>
        <w:spacing w:after="0" w:line="199" w:lineRule="exact"/>
        <w:rPr>
          <w:rFonts w:ascii="Courier New" w:cs="Courier New" w:eastAsia="Courier New" w:hAnsi="Courier New"/>
          <w:sz w:val="17"/>
          <w:szCs w:val="17"/>
          <w:color w:val="auto"/>
        </w:rPr>
      </w:pPr>
    </w:p>
    <w:p>
      <w:pPr>
        <w:ind w:right="1899" w:firstLine="1877"/>
        <w:spacing w:after="0" w:line="249" w:lineRule="auto"/>
        <w:tabs>
          <w:tab w:leader="none" w:pos="2286"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Securities. In addition, on the basis of the representations and warranties herein contained and subject to the terms and conditions herein set forth, the Company hereby grants an option to the Underwriters, severally and not jointly, to purchase up to [600,000] additional shares of Common Stock as set forth in Schedule B, at the price per share set forth in Schedule B. The option hereby granted will expire 30 days after the date hereof and may be exercised in whole or in part from time to time only for the purpose of covering over-allotments which may be made in connection with the offering and distribution of the Initial Securities upon notice by the Representative to the Company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 but shall not be earlier than three full business days prior to or later than seven full business days after the exercise of said option, nor in any event prior to the Closing Time, as hereinafter defined, provided, however, if the option hereby granted is exercised at least one business day prior to the Closing Time, the Date of Delivery shall be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w:t>
      </w: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15" w:right="1440" w:bottom="1440" w:gutter="0" w:footer="0" w:header="0"/>
        </w:sectPr>
      </w:pPr>
    </w:p>
    <w:bookmarkStart w:id="85" w:name="page86"/>
    <w:bookmarkEnd w:id="85"/>
    <w:p>
      <w:pPr>
        <w:ind w:left="320"/>
        <w:spacing w:after="0"/>
        <w:rPr>
          <w:sz w:val="20"/>
          <w:szCs w:val="20"/>
          <w:color w:val="auto"/>
        </w:rPr>
      </w:pPr>
      <w:r>
        <w:rPr>
          <w:rFonts w:ascii="Courier New" w:cs="Courier New" w:eastAsia="Courier New" w:hAnsi="Courier New"/>
          <w:sz w:val="17"/>
          <w:szCs w:val="17"/>
          <w:color w:val="auto"/>
        </w:rPr>
        <w:t>14</w:t>
      </w:r>
    </w:p>
    <w:p>
      <w:pPr>
        <w:spacing w:after="0" w:line="7"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number of Initial Securities, subject in each case to such adjustments as the Representative in its discretion shall make to eliminate any sales or purchases of fractional shares.</w:t>
      </w:r>
    </w:p>
    <w:p>
      <w:pPr>
        <w:spacing w:after="0" w:line="197" w:lineRule="exact"/>
        <w:rPr>
          <w:sz w:val="20"/>
          <w:szCs w:val="20"/>
          <w:color w:val="auto"/>
        </w:rPr>
      </w:pPr>
    </w:p>
    <w:p>
      <w:pPr>
        <w:ind w:right="1899" w:firstLine="1877"/>
        <w:spacing w:after="0" w:line="249" w:lineRule="auto"/>
        <w:tabs>
          <w:tab w:leader="none" w:pos="2286"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Payment of the purchase price for, and delivery of certificates for, the Initial Securities shall be made at the offices of Shearman and Sterling, 599 Lexington Avenue, New York, NY 10022, or at such other place as shall be agreed upon by the Representative and the Company, at 9:00 A.M. (Eastern time) on the third (fourth, if the pricing occurs after 4:30 P.M. (Eastern time) on any given day) business day after the date hereof (unless postponed in accordance with the provisions of Section 10), or such other time not later than ten business days after such date as shall be agreed upon by the Representative and the Company (such time and date of payment and delivery being herein called "Closing Time").</w:t>
      </w:r>
    </w:p>
    <w:p>
      <w:pPr>
        <w:spacing w:after="0" w:line="200" w:lineRule="exact"/>
        <w:rPr>
          <w:sz w:val="20"/>
          <w:szCs w:val="20"/>
          <w:color w:val="auto"/>
        </w:rPr>
      </w:pPr>
    </w:p>
    <w:p>
      <w:pPr>
        <w:ind w:right="1899" w:firstLine="1870"/>
        <w:spacing w:after="0" w:line="249" w:lineRule="auto"/>
        <w:rPr>
          <w:sz w:val="20"/>
          <w:szCs w:val="20"/>
          <w:color w:val="auto"/>
        </w:rPr>
      </w:pPr>
      <w:r>
        <w:rPr>
          <w:rFonts w:ascii="Courier New" w:cs="Courier New" w:eastAsia="Courier New" w:hAnsi="Courier New"/>
          <w:sz w:val="17"/>
          <w:szCs w:val="17"/>
          <w:color w:val="auto"/>
        </w:rPr>
        <w:t>In addition, in the event that any or all of the Option Securities are purchased by the Underwriters, payment of the purchase price for, and delivery of certificates for, such Option Securities shall be made at the above-mentioned offices, or at such other place as shall be agreed upon by the Representative and the Company, on each Date of Delivery as specified in the notice from the Representative to the Company.</w:t>
      </w:r>
    </w:p>
    <w:p>
      <w:pPr>
        <w:spacing w:after="0" w:line="200" w:lineRule="exact"/>
        <w:rPr>
          <w:sz w:val="20"/>
          <w:szCs w:val="20"/>
          <w:color w:val="auto"/>
        </w:rPr>
      </w:pPr>
    </w:p>
    <w:p>
      <w:pPr>
        <w:ind w:right="1899" w:firstLine="1870"/>
        <w:spacing w:after="0" w:line="249" w:lineRule="auto"/>
        <w:rPr>
          <w:sz w:val="20"/>
          <w:szCs w:val="20"/>
          <w:color w:val="auto"/>
        </w:rPr>
      </w:pPr>
      <w:r>
        <w:rPr>
          <w:rFonts w:ascii="Courier New" w:cs="Courier New" w:eastAsia="Courier New" w:hAnsi="Courier New"/>
          <w:sz w:val="17"/>
          <w:szCs w:val="17"/>
          <w:color w:val="auto"/>
        </w:rPr>
        <w:t>Payment shall be made to the Company by wire transfer of immediately available funds to a bank account designated by the Company against delivery to the Representative for the respective accounts of the Underwriters of certificates for the Securities to be purchased by them. It is understood that each Underwriter has authorized the Representative, for its account, to accept delivery of, receipt for, and make payment of the purchase price for, the Initial Securities and the Option Securities, if any, which it has agreed to purchase. Merrill Lynch, individually and not as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200" w:lineRule="exact"/>
        <w:rPr>
          <w:sz w:val="20"/>
          <w:szCs w:val="20"/>
          <w:color w:val="auto"/>
        </w:rPr>
      </w:pPr>
    </w:p>
    <w:p>
      <w:pPr>
        <w:ind w:right="1899" w:firstLine="1877"/>
        <w:spacing w:after="0" w:line="249" w:lineRule="auto"/>
        <w:tabs>
          <w:tab w:leader="none" w:pos="2286"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Denominations; Registration. Certificates for the Initial Securities and the Option Securities, if any, shall be in such denominations and registered in such names as the Representative may request in writing at least one full business day before the Closing Time or the relevant Date of Delivery, as the case may be. The certificates for the Initial Securities and the Option Securities, if any, will be made available for examination and packaging by the Representative in The City of New York not later than 10:00 A.M. (Eastern time) on the business day prior to the Closing Time or the relevant Date of Delivery, as the case may be.</w:t>
      </w:r>
    </w:p>
    <w:p>
      <w:pPr>
        <w:spacing w:after="0" w:line="200" w:lineRule="exact"/>
        <w:rPr>
          <w:sz w:val="20"/>
          <w:szCs w:val="20"/>
          <w:color w:val="auto"/>
        </w:rPr>
      </w:pPr>
    </w:p>
    <w:p>
      <w:pPr>
        <w:ind w:right="2319" w:firstLine="1870"/>
        <w:spacing w:after="0" w:line="251" w:lineRule="auto"/>
        <w:rPr>
          <w:sz w:val="20"/>
          <w:szCs w:val="20"/>
          <w:color w:val="auto"/>
        </w:rPr>
      </w:pPr>
      <w:r>
        <w:rPr>
          <w:rFonts w:ascii="Courier New" w:cs="Courier New" w:eastAsia="Courier New" w:hAnsi="Courier New"/>
          <w:sz w:val="17"/>
          <w:szCs w:val="17"/>
          <w:color w:val="auto"/>
        </w:rPr>
        <w:t>SECTION 3. Covenants of the Company. The Company covenants with each Underwriter as follows:</w:t>
      </w:r>
    </w:p>
    <w:p>
      <w:pPr>
        <w:spacing w:after="0" w:line="197" w:lineRule="exact"/>
        <w:rPr>
          <w:sz w:val="20"/>
          <w:szCs w:val="20"/>
          <w:color w:val="auto"/>
        </w:rPr>
      </w:pPr>
    </w:p>
    <w:p>
      <w:pPr>
        <w:ind w:right="1999" w:firstLine="1877"/>
        <w:spacing w:after="0" w:line="249" w:lineRule="auto"/>
        <w:tabs>
          <w:tab w:leader="none" w:pos="2286"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Securities Regulations and Commission Requests. The Company, subject to Section 3(b), will comply with the requirements of Rule 430A, and will (for so long as a prospectus is required to be delivered in connection with the sale of the Securities) notify the Representative immediately, and confirm the notice in writing, (i) when any post-effective amendment to the Registration Statement shall become effective, or any supplement to the Prospectus or any amended Prospectus shall have</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15" w:right="1440" w:bottom="1440" w:gutter="0" w:footer="0" w:header="0"/>
        </w:sectPr>
      </w:pPr>
    </w:p>
    <w:bookmarkStart w:id="86" w:name="page87"/>
    <w:bookmarkEnd w:id="86"/>
    <w:p>
      <w:pPr>
        <w:ind w:left="320"/>
        <w:spacing w:after="0"/>
        <w:rPr>
          <w:sz w:val="20"/>
          <w:szCs w:val="20"/>
          <w:color w:val="auto"/>
        </w:rPr>
      </w:pPr>
      <w:r>
        <w:rPr>
          <w:rFonts w:ascii="Courier New" w:cs="Courier New" w:eastAsia="Courier New" w:hAnsi="Courier New"/>
          <w:sz w:val="17"/>
          <w:szCs w:val="17"/>
          <w:color w:val="auto"/>
        </w:rPr>
        <w:t>15</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been filed, (ii) of the receipt of any comments from the Commission regarding the Registration Statement or the Prospectus, (iii) of any request by the Commission for any amendment to the Registration Statement or any amendment or supplement to the Prospectus or for additional information, and (iv) of the issuance by the Commission of any stop order suspending the effectiveness of the Registration Statement or of any order preventing or suspending the use of any preliminary prospectus, or of the suspension of the qualification of the Securities for offering or sale in any jurisdiction, or of the initiation or threatening of any proceedings for any of such purposes. The Company will promptly effect the filings necessary pursuant to Rule 424(b)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w:t>
      </w:r>
    </w:p>
    <w:p>
      <w:pPr>
        <w:spacing w:after="0" w:line="200" w:lineRule="exact"/>
        <w:rPr>
          <w:sz w:val="20"/>
          <w:szCs w:val="20"/>
          <w:color w:val="auto"/>
        </w:rPr>
      </w:pPr>
    </w:p>
    <w:p>
      <w:pPr>
        <w:ind w:right="1899" w:firstLine="1877"/>
        <w:spacing w:after="0" w:line="249" w:lineRule="auto"/>
        <w:tabs>
          <w:tab w:leader="none" w:pos="2286"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of Amendments. For so long as a prospectus is required to be delivered in connection with the sale of the Securities, the Company will give the Representative notice of its intention to file or prepare any amendment to the Registration Statement (including any filing under Rule 462(b)), or any amendment, supplement or revision to either the prospectus included in the Registration Statement at the time it became effective or to the Prospectus, whether pursuant to the 1933 Act, the 1934 Act or otherwise, will furnish the Representative with copies of any such documents a reasonable amount of time prior to such proposed filing or use, as the case may be, and will not file or use any such document to which the Representative or counsel for the Underwriters shall reasonably object.</w:t>
      </w:r>
    </w:p>
    <w:p>
      <w:pPr>
        <w:spacing w:after="0" w:line="199" w:lineRule="exact"/>
        <w:rPr>
          <w:rFonts w:ascii="Courier New" w:cs="Courier New" w:eastAsia="Courier New" w:hAnsi="Courier New"/>
          <w:sz w:val="17"/>
          <w:szCs w:val="17"/>
          <w:color w:val="auto"/>
        </w:rPr>
      </w:pPr>
    </w:p>
    <w:p>
      <w:pPr>
        <w:ind w:right="1899" w:firstLine="1877"/>
        <w:spacing w:after="0" w:line="249" w:lineRule="auto"/>
        <w:tabs>
          <w:tab w:leader="none" w:pos="2286"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of Registration Statements. The Company has furnished or will deliver to the Representative and counsel for the Underwriters, without charge, one copy of the manually signed and as many conformed copies as the Underwriters may reasonably request, of the Registration Statement as originally filed and of each amendment thereto (including exhibits filed therewith or incorporated by reference therein and documents incorporated or deemed to be incorporated by reference therein) and signed copies of all consents and certificates of experts, and will also deliver to the Representative, without charge, a conformed copy of the Registration Statement as originally filed and of each amendment thereto (without exhibits) for each of the Underwriters. The copies of the Registration Statement and each amendment thereto furnished to the Underwriters will be identical in text to the electronically transmitted copies thereof filed with the Commission pursuant to EDGAR, except to the extent permitted by Regulation S-T.</w:t>
      </w:r>
    </w:p>
    <w:p>
      <w:pPr>
        <w:spacing w:after="0" w:line="199" w:lineRule="exact"/>
        <w:rPr>
          <w:rFonts w:ascii="Courier New" w:cs="Courier New" w:eastAsia="Courier New" w:hAnsi="Courier New"/>
          <w:sz w:val="17"/>
          <w:szCs w:val="17"/>
          <w:color w:val="auto"/>
        </w:rPr>
      </w:pPr>
    </w:p>
    <w:p>
      <w:pPr>
        <w:ind w:right="1899" w:firstLine="1877"/>
        <w:spacing w:after="0" w:line="249" w:lineRule="auto"/>
        <w:tabs>
          <w:tab w:leader="none" w:pos="2286"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of Prospectuses. The Company has delivered to each Underwriter, without charge, as many copies of each preliminary prospectus as such Underwriter reasonably requested, and the Company hereby consents to the use of such copies for purposes permitted by the 1933 Act. The Company will furnish to each Underwriter, without charge, during the period when the Prospectus is required to be delivered under the 1933 Act or the 1934 Act, such number of copies of the Prospectus (as amended or supplemented) as such Underwriter may reasonably request. The</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15" w:right="1440" w:bottom="1440" w:gutter="0" w:footer="0" w:header="0"/>
        </w:sectPr>
      </w:pPr>
    </w:p>
    <w:bookmarkStart w:id="87" w:name="page88"/>
    <w:bookmarkEnd w:id="87"/>
    <w:p>
      <w:pPr>
        <w:ind w:left="320"/>
        <w:spacing w:after="0"/>
        <w:rPr>
          <w:sz w:val="20"/>
          <w:szCs w:val="20"/>
          <w:color w:val="auto"/>
        </w:rPr>
      </w:pPr>
      <w:r>
        <w:rPr>
          <w:rFonts w:ascii="Courier New" w:cs="Courier New" w:eastAsia="Courier New" w:hAnsi="Courier New"/>
          <w:sz w:val="17"/>
          <w:szCs w:val="17"/>
          <w:color w:val="auto"/>
        </w:rPr>
        <w:t>16</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200" w:lineRule="exact"/>
        <w:rPr>
          <w:sz w:val="20"/>
          <w:szCs w:val="20"/>
          <w:color w:val="auto"/>
        </w:rPr>
      </w:pPr>
    </w:p>
    <w:p>
      <w:pPr>
        <w:ind w:right="1899" w:firstLine="1877"/>
        <w:spacing w:after="0" w:line="249" w:lineRule="auto"/>
        <w:tabs>
          <w:tab w:leader="none" w:pos="2286"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Compliance with Securities Laws. The Company will comply with the 1933 Act and the 1933 Act Regulations and the 1934 Act and the 1934 Act Regulations so as to permit the completion of the distribution of the Securities as contemplated in this Agreement and in the Prospectus. If at any time when a prospectus is required by the 1933 Act to be delivered in connection with sales of the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statements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amend or supplement the Prospectus in order to comply with the requirements of the 1933 Act or the 1933 Act Regulations, the Company will promptly prepare and file with the Commission, subject to Section 3(b), such amendment or supplement as may be necessary to correct such statement or omission or to make the Registration Statement or the Prospectus comply with such requirements, and the Company will furnish to the Underwriters such number of copies of such amendment or supplement as the Underwriters may reasonably request.</w:t>
      </w:r>
    </w:p>
    <w:p>
      <w:pPr>
        <w:spacing w:after="0" w:line="199" w:lineRule="exact"/>
        <w:rPr>
          <w:rFonts w:ascii="Courier New" w:cs="Courier New" w:eastAsia="Courier New" w:hAnsi="Courier New"/>
          <w:sz w:val="17"/>
          <w:szCs w:val="17"/>
          <w:color w:val="auto"/>
        </w:rPr>
      </w:pPr>
    </w:p>
    <w:p>
      <w:pPr>
        <w:ind w:right="1899" w:firstLine="1877"/>
        <w:spacing w:after="0" w:line="249" w:lineRule="auto"/>
        <w:tabs>
          <w:tab w:leader="none" w:pos="2286"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Blue Sky Qualifications. The Company will cooperate with the Underwriters, to qualify the Securities for offering and sale under the applicable securities laws of such states and other jurisdictions as the Representative may designate and to maintain such qualifications in effect for a period of not less than one year from the later of the effective date of the Registration Statement and any Rule 462(b) Registration Statement;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the Company will file such statements and reports as may be required by the laws of such jurisdiction to continue such qualification in effect for a period as required by the relevant jurisdiction of the Registration Statement and any Rule 462(b) Registration Statement.</w:t>
      </w:r>
    </w:p>
    <w:p>
      <w:pPr>
        <w:spacing w:after="0" w:line="199" w:lineRule="exact"/>
        <w:rPr>
          <w:rFonts w:ascii="Courier New" w:cs="Courier New" w:eastAsia="Courier New" w:hAnsi="Courier New"/>
          <w:sz w:val="17"/>
          <w:szCs w:val="17"/>
          <w:color w:val="auto"/>
        </w:rPr>
      </w:pPr>
    </w:p>
    <w:p>
      <w:pPr>
        <w:ind w:right="1999" w:firstLine="1877"/>
        <w:spacing w:after="0" w:line="249" w:lineRule="auto"/>
        <w:tabs>
          <w:tab w:leader="none" w:pos="2286"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158. The Company will timely file such reports pursuant to the 1934 Act as are necessary in order to make generally available to its securityholders as soon as practicable an earnings statement for the purposes of, and to provide the benefits contemplated by, the last paragraph of Section 11(a) of the 1933 Act.</w:t>
      </w:r>
    </w:p>
    <w:p>
      <w:pPr>
        <w:spacing w:after="0" w:line="199" w:lineRule="exact"/>
        <w:rPr>
          <w:rFonts w:ascii="Courier New" w:cs="Courier New" w:eastAsia="Courier New" w:hAnsi="Courier New"/>
          <w:sz w:val="17"/>
          <w:szCs w:val="17"/>
          <w:color w:val="auto"/>
        </w:rPr>
      </w:pPr>
    </w:p>
    <w:p>
      <w:pPr>
        <w:ind w:right="2219" w:firstLine="1877"/>
        <w:spacing w:after="0" w:line="250" w:lineRule="auto"/>
        <w:tabs>
          <w:tab w:leader="none" w:pos="2286"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of Proceeds. The Company will use the net proceeds received by it from the sale of the Securities in the manner specified in the Prospectus under "Use of Proceeds".</w:t>
      </w:r>
    </w:p>
    <w:p>
      <w:pPr>
        <w:spacing w:after="0" w:line="1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15"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7"/>
          <w:szCs w:val="17"/>
          <w:color w:val="auto"/>
        </w:rPr>
        <w:t>17</w:t>
      </w:r>
    </w:p>
    <w:p>
      <w:pPr>
        <w:spacing w:after="0" w:line="7" w:lineRule="exact"/>
        <w:rPr>
          <w:sz w:val="20"/>
          <w:szCs w:val="20"/>
          <w:color w:val="auto"/>
        </w:rPr>
      </w:pPr>
    </w:p>
    <w:p>
      <w:pPr>
        <w:jc w:val="both"/>
        <w:ind w:left="-320" w:right="1999" w:firstLine="1877"/>
        <w:spacing w:after="0" w:line="249" w:lineRule="auto"/>
        <w:tabs>
          <w:tab w:leader="none" w:pos="1966"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Listing. The Company will use its best efforts to effect and maintain the quotation of the Securities on the Nasdaq National Market and will file with the Nasdaq National Market all documents and notices required by the Nasdaq National Market of companies that have securities that are traded in the over-the-counter market and quotations for which are reported by the Nasdaq National Market.</w:t>
      </w:r>
    </w:p>
    <w:p>
      <w:pPr>
        <w:spacing w:after="0" w:line="199" w:lineRule="exact"/>
        <w:rPr>
          <w:rFonts w:ascii="Courier New" w:cs="Courier New" w:eastAsia="Courier New" w:hAnsi="Courier New"/>
          <w:sz w:val="17"/>
          <w:szCs w:val="17"/>
          <w:color w:val="auto"/>
        </w:rPr>
      </w:pPr>
    </w:p>
    <w:p>
      <w:pPr>
        <w:ind w:left="-320" w:right="1899" w:firstLine="1877"/>
        <w:spacing w:after="0" w:line="249" w:lineRule="auto"/>
        <w:tabs>
          <w:tab w:leader="none" w:pos="1966"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 on Sale of Securities. During a period of 90 days from the date of the Prospectus, the Company will not, without the prior written consent of Merrill Lynch, (i) directly or indirectly, offer, pledge, sell, contract to sell, sell any option or contract to purchase, purchase any option or contract to sell, grant any option, right or warrant to purchase or otherwise transfer or dispose of any share of Common Stock or any securities convertible into or exercisable or exchangeable for Common Stock or file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The foregoing sentence shall not apply to (A) the Securities to be sold hereunder, (B) any shares of Common Stock issued by the Company upon the exercise of an option or warrant or the conversion of a security outstanding on the date hereof and referred to in the Prospectus, (C) any shares of Common Stock issued or options to purchase Common Stock granted pursuant to existing and future employee benefit plans of the Company or (D) any shares of Common Stock issued pursuant to any non-employee director stock plan or dividend reinvestment plan.</w:t>
      </w:r>
    </w:p>
    <w:p>
      <w:pPr>
        <w:spacing w:after="0" w:line="199" w:lineRule="exact"/>
        <w:rPr>
          <w:rFonts w:ascii="Courier New" w:cs="Courier New" w:eastAsia="Courier New" w:hAnsi="Courier New"/>
          <w:sz w:val="17"/>
          <w:szCs w:val="17"/>
          <w:color w:val="auto"/>
        </w:rPr>
      </w:pPr>
    </w:p>
    <w:p>
      <w:pPr>
        <w:ind w:left="-320" w:right="2099" w:firstLine="1877"/>
        <w:spacing w:after="0" w:line="249" w:lineRule="auto"/>
        <w:tabs>
          <w:tab w:leader="none" w:pos="1966"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Reporting Requirements. The Company, during the period when the Prospectus is required to be delivered under the 1933 Act or the 1934 Act, will file all documents required to be filed with the Commission pursuant to the 1934 Act within the time periods required by the 1934 Act and the 1934 Act Regulations.</w:t>
      </w:r>
    </w:p>
    <w:p>
      <w:pPr>
        <w:spacing w:after="0" w:line="200"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SECTION 4. Payment of Expenses</w:t>
      </w:r>
    </w:p>
    <w:p>
      <w:pPr>
        <w:spacing w:after="0" w:line="207" w:lineRule="exact"/>
        <w:rPr>
          <w:sz w:val="20"/>
          <w:szCs w:val="20"/>
          <w:color w:val="auto"/>
        </w:rPr>
      </w:pPr>
    </w:p>
    <w:p>
      <w:pPr>
        <w:ind w:left="-320" w:right="1899" w:firstLine="1877"/>
        <w:spacing w:after="0" w:line="249" w:lineRule="auto"/>
        <w:tabs>
          <w:tab w:leader="none" w:pos="1966"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The Company will pay or cause to be paid all expenses incident to the performance of its obligations under this Agreement, including (i) the preparation, printing and filing of the Registration Statement (including financial statements and exhibits) as originally filed and of each amendment thereto, (ii) the preparation, printing and delivery to the Underwriters of this Agreement, any Agreement among Underwriters and such other documents as may be required in connection with the offering, purchase, sale, issuance or delivery of the Securities, (iii) the preparation, issuance and delivery of the certificates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the filing fees incident to any necessary filings under state securities laws and the reasonable fees and disbursements of counsel for the Underwriters in connection therewith and in connection with the preparation of the Blue Sky Survey and any supplement thereto, (vi) the printing and delivery to the Underwriters of copies of each preliminary prospectus, and of the Prospectus and any amendments or supplements thereto, (vii) the fees and expenses of the transfer agent or registrar</w:t>
      </w:r>
    </w:p>
    <w:p>
      <w:pPr>
        <w:spacing w:after="0" w:line="200"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9899"/>
          </w:cols>
          <w:pgMar w:left="560" w:top="315" w:right="1440" w:bottom="1440" w:gutter="0" w:footer="0" w:header="0"/>
        </w:sectPr>
      </w:pPr>
    </w:p>
    <w:bookmarkStart w:id="89" w:name="page90"/>
    <w:bookmarkEnd w:id="89"/>
    <w:p>
      <w:pPr>
        <w:ind w:left="320"/>
        <w:spacing w:after="0"/>
        <w:rPr>
          <w:sz w:val="20"/>
          <w:szCs w:val="20"/>
          <w:color w:val="auto"/>
        </w:rPr>
      </w:pPr>
      <w:r>
        <w:rPr>
          <w:rFonts w:ascii="Courier New" w:cs="Courier New" w:eastAsia="Courier New" w:hAnsi="Courier New"/>
          <w:sz w:val="17"/>
          <w:szCs w:val="17"/>
          <w:color w:val="auto"/>
        </w:rPr>
        <w:t>18</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for the Securities, (viii) the filing fees incident to, and the reasonable fees and disbursements of counsel to the Underwriters in connection with, the review by the National Association of Securities Dealers, Inc. (the "NASD") of the terms of the sale of the Securities and (ix) the fees and expenses incurred in connection with the inclusion of the Securities in the Nasdaq National Market.</w:t>
      </w:r>
    </w:p>
    <w:p>
      <w:pPr>
        <w:spacing w:after="0" w:line="200" w:lineRule="exact"/>
        <w:rPr>
          <w:sz w:val="20"/>
          <w:szCs w:val="20"/>
          <w:color w:val="auto"/>
        </w:rPr>
      </w:pPr>
    </w:p>
    <w:p>
      <w:pPr>
        <w:ind w:right="1999" w:firstLine="1877"/>
        <w:spacing w:after="0" w:line="249" w:lineRule="auto"/>
        <w:tabs>
          <w:tab w:leader="none" w:pos="2286"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Agreement. If this Agreement is terminated by the Representative in accordance with the provisions of Section 5 or Section 9(a)(i) hereof, the Company shall reimburse the Underwriters for all of their out-of-pocket expenses, including the reasonable fees and disbursements of counsel for the Underwriters incurred in connection with the Initial Securities and Option Securities respectively as advised by the Underwriters.</w:t>
      </w:r>
    </w:p>
    <w:p>
      <w:pPr>
        <w:spacing w:after="0" w:line="200" w:lineRule="exact"/>
        <w:rPr>
          <w:sz w:val="20"/>
          <w:szCs w:val="20"/>
          <w:color w:val="auto"/>
        </w:rPr>
      </w:pPr>
    </w:p>
    <w:p>
      <w:pPr>
        <w:ind w:right="1899" w:firstLine="1870"/>
        <w:spacing w:after="0" w:line="249" w:lineRule="auto"/>
        <w:rPr>
          <w:sz w:val="20"/>
          <w:szCs w:val="20"/>
          <w:color w:val="auto"/>
        </w:rPr>
      </w:pPr>
      <w:r>
        <w:rPr>
          <w:rFonts w:ascii="Courier New" w:cs="Courier New" w:eastAsia="Courier New" w:hAnsi="Courier New"/>
          <w:sz w:val="17"/>
          <w:szCs w:val="17"/>
          <w:color w:val="auto"/>
        </w:rPr>
        <w:t>SECTION 5. Conditions of Underwriters' Obligations. The obligations of the several Underwriters hereunder are subject to the accuracy of the representations and warranties of the Company contained in Section 1 hereof or in certificates of any officer of the Company delivered pursuant to the provisions hereof, to the performance by the Company of their respective covenants and other obligations hereunder, and to the following further conditions:</w:t>
      </w:r>
    </w:p>
    <w:p>
      <w:pPr>
        <w:spacing w:after="0" w:line="200" w:lineRule="exact"/>
        <w:rPr>
          <w:sz w:val="20"/>
          <w:szCs w:val="20"/>
          <w:color w:val="auto"/>
        </w:rPr>
      </w:pPr>
    </w:p>
    <w:p>
      <w:pPr>
        <w:ind w:right="1999" w:firstLine="1877"/>
        <w:spacing w:after="0" w:line="249" w:lineRule="auto"/>
        <w:tabs>
          <w:tab w:leader="none" w:pos="2286"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Effectiveness of Registration Statement. The Registration Statement, including any Rule 462(b) Registration Statement, has become effective and at Closing Time no stop order suspending the effectiveness of the Registration Statement shall have been issued under the 1933 Act or proceedings therefor initiated or threatened by the Commission, and any request on the part of the Commission for additional information shall have been complied with to the reasonable satisfaction of counsel to the Underwriters. A prospectus containing the Rule 430A Information shall have been filed with the Commission in accordance with Rule 424(b) (or a post-effective amendment providing such information shall have been filed and declared effective in accordance with the requirements of Rule 430A).</w:t>
      </w:r>
    </w:p>
    <w:p>
      <w:pPr>
        <w:spacing w:after="0" w:line="199" w:lineRule="exact"/>
        <w:rPr>
          <w:rFonts w:ascii="Courier New" w:cs="Courier New" w:eastAsia="Courier New" w:hAnsi="Courier New"/>
          <w:sz w:val="17"/>
          <w:szCs w:val="17"/>
          <w:color w:val="auto"/>
        </w:rPr>
      </w:pPr>
    </w:p>
    <w:p>
      <w:pPr>
        <w:ind w:right="1999" w:firstLine="1877"/>
        <w:spacing w:after="0" w:line="249" w:lineRule="auto"/>
        <w:tabs>
          <w:tab w:leader="none" w:pos="2286"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Counsel for Company. At Closing Time, the Representative shall have received (i) the favorable opinion, dated as of Closing Time, of Stuart A. Kolinski, Esq., General Counsel of the Company, (ii) the favorable opinion, dated as of Closing Time, of Skadden, Arps, Slate, Meagher &amp; Flom LLP, counsel for the Company and (iii) the favorable opinion, dated as of Closing Time, of Joseph M. Sorrentino, in-house intellectual property counsel for the Company, each in form and substance satisfactory to counsel for the Underwriters, together with signed or reproduced copies of such letter for each of the other Underwriters to the effect set forth in Exhibit A-1, Exhibit A-2 and Exhibit B, respectively, hereto and to such further effect as counsel to the Underwriters may reasonably request.</w:t>
      </w:r>
    </w:p>
    <w:p>
      <w:pPr>
        <w:spacing w:after="0" w:line="199" w:lineRule="exact"/>
        <w:rPr>
          <w:rFonts w:ascii="Courier New" w:cs="Courier New" w:eastAsia="Courier New" w:hAnsi="Courier New"/>
          <w:sz w:val="17"/>
          <w:szCs w:val="17"/>
          <w:color w:val="auto"/>
        </w:rPr>
      </w:pPr>
    </w:p>
    <w:p>
      <w:pPr>
        <w:ind w:right="1899" w:firstLine="1877"/>
        <w:spacing w:after="0" w:line="249" w:lineRule="auto"/>
        <w:tabs>
          <w:tab w:leader="none" w:pos="2286"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Counsel for Underwriters. At Closing Time, the Representative shall have received the favorable opinion, dated as of Closing Time, of Shearman &amp; Sterling, counsel for the Underwriters. In giving such opinion such counsel may rely, as to all matters governed by the laws of jurisdictions other than the law of the State of New York and the federal law of the United States, upon the opinions of counsel satisfactory to the Representative. Such counsel may also state that, insofar as such</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15" w:right="1440" w:bottom="1440" w:gutter="0" w:footer="0" w:header="0"/>
        </w:sectPr>
      </w:pPr>
    </w:p>
    <w:bookmarkStart w:id="90" w:name="page91"/>
    <w:bookmarkEnd w:id="90"/>
    <w:p>
      <w:pPr>
        <w:ind w:left="320"/>
        <w:spacing w:after="0"/>
        <w:rPr>
          <w:sz w:val="20"/>
          <w:szCs w:val="20"/>
          <w:color w:val="auto"/>
        </w:rPr>
      </w:pPr>
      <w:r>
        <w:rPr>
          <w:rFonts w:ascii="Courier New" w:cs="Courier New" w:eastAsia="Courier New" w:hAnsi="Courier New"/>
          <w:sz w:val="17"/>
          <w:szCs w:val="17"/>
          <w:color w:val="auto"/>
        </w:rPr>
        <w:t>19</w:t>
      </w:r>
    </w:p>
    <w:p>
      <w:pPr>
        <w:spacing w:after="0" w:line="7"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opinion involves factual matters, they have relied, to the extent they deem proper, upon certificates of officers of the Company and certificates of public officials.</w:t>
      </w:r>
    </w:p>
    <w:p>
      <w:pPr>
        <w:spacing w:after="0" w:line="197" w:lineRule="exact"/>
        <w:rPr>
          <w:sz w:val="20"/>
          <w:szCs w:val="20"/>
          <w:color w:val="auto"/>
        </w:rPr>
      </w:pPr>
    </w:p>
    <w:p>
      <w:pPr>
        <w:ind w:right="1899" w:firstLine="1877"/>
        <w:spacing w:after="0" w:line="249" w:lineRule="auto"/>
        <w:tabs>
          <w:tab w:leader="none" w:pos="2286"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Officers' Certificate. At Closing Time, there shall not have been, since the date hereof or since the respective dates as of which information is given in the Prospectus, any material adverse change or a development known to the Company involving a prospective material adverse change in the condition, financial or otherwise, or in the earnings or business affairs of the Company, whether or not arising in the ordinary course of business, and the Representative shall have received a certificate of the President or a Vice President of the Company and of the chief financial or chief accounting officer of the Company, dated as of Closing Time, to the effect that (i) there has been no such material adverse change, (ii) the representations and warranties in Section 1(a) hereof are true and correct with the same force and effect as though expressly made at and as of Closing Time, (iii) the Company has complied with all agreements and satisfied all conditions on its part to be performed or satisfied at or prior to Closing Time, and (iv) no stop order suspending the effectiveness of the Registration Statement has been issued and no proceedings for that purpose have been instituted or are pending or are contemplated by the Commission.</w:t>
      </w:r>
    </w:p>
    <w:p>
      <w:pPr>
        <w:spacing w:after="0" w:line="399" w:lineRule="exact"/>
        <w:rPr>
          <w:rFonts w:ascii="Courier New" w:cs="Courier New" w:eastAsia="Courier New" w:hAnsi="Courier New"/>
          <w:sz w:val="17"/>
          <w:szCs w:val="17"/>
          <w:color w:val="auto"/>
        </w:rPr>
      </w:pPr>
    </w:p>
    <w:p>
      <w:pPr>
        <w:ind w:right="1999" w:firstLine="1877"/>
        <w:spacing w:after="0" w:line="249" w:lineRule="auto"/>
        <w:tabs>
          <w:tab w:leader="none" w:pos="2286"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Accountants' Comfort Letter. At the time of the execution of this Agreement, the Representative shall have received from each of PricewaterhouseCoopers LLP and Ernst &amp; Young, a letter dated such date, in form and substance satisfactory to the Representative,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and the Prospectus.</w:t>
      </w:r>
    </w:p>
    <w:p>
      <w:pPr>
        <w:spacing w:after="0" w:line="199" w:lineRule="exact"/>
        <w:rPr>
          <w:rFonts w:ascii="Courier New" w:cs="Courier New" w:eastAsia="Courier New" w:hAnsi="Courier New"/>
          <w:sz w:val="17"/>
          <w:szCs w:val="17"/>
          <w:color w:val="auto"/>
        </w:rPr>
      </w:pPr>
    </w:p>
    <w:p>
      <w:pPr>
        <w:ind w:right="1999" w:firstLine="1877"/>
        <w:spacing w:after="0" w:line="249" w:lineRule="auto"/>
        <w:tabs>
          <w:tab w:leader="none" w:pos="2286"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Bring-down Comfort Letter. At Closing Time, the Representative shall have received from each of PricewaterhouseCoopers LLP and Ernst &amp; Young a letter, dated as of Closing Time, to the effect that they reaffirm the statements made in the letter furnished pursuant to subsection (e) of this Section, except that the specified date referred to shall be a date not more than three business days prior to Closing Time.</w:t>
      </w:r>
    </w:p>
    <w:p>
      <w:pPr>
        <w:spacing w:after="0" w:line="199" w:lineRule="exact"/>
        <w:rPr>
          <w:rFonts w:ascii="Courier New" w:cs="Courier New" w:eastAsia="Courier New" w:hAnsi="Courier New"/>
          <w:sz w:val="17"/>
          <w:szCs w:val="17"/>
          <w:color w:val="auto"/>
        </w:rPr>
      </w:pPr>
    </w:p>
    <w:p>
      <w:pPr>
        <w:ind w:right="1899" w:firstLine="1877"/>
        <w:spacing w:after="0" w:line="250" w:lineRule="auto"/>
        <w:tabs>
          <w:tab w:leader="none" w:pos="2286"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of Listing. At Closing Time, the Securities shall have been approved for inclusion in the Nasdaq National Market, subject only to official notice of issuance.</w:t>
      </w:r>
    </w:p>
    <w:p>
      <w:pPr>
        <w:spacing w:after="0" w:line="197" w:lineRule="exact"/>
        <w:rPr>
          <w:rFonts w:ascii="Courier New" w:cs="Courier New" w:eastAsia="Courier New" w:hAnsi="Courier New"/>
          <w:sz w:val="17"/>
          <w:szCs w:val="17"/>
          <w:color w:val="auto"/>
        </w:rPr>
      </w:pPr>
    </w:p>
    <w:p>
      <w:pPr>
        <w:ind w:right="2419" w:firstLine="1877"/>
        <w:spacing w:after="0" w:line="250" w:lineRule="auto"/>
        <w:tabs>
          <w:tab w:leader="none" w:pos="2286"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Objection. The NASD has confirmed that it has not raised any objection with respect to the fairness and reasonableness of the underwriting terms and arrangements.</w:t>
      </w:r>
    </w:p>
    <w:p>
      <w:pPr>
        <w:spacing w:after="0" w:line="197" w:lineRule="exact"/>
        <w:rPr>
          <w:rFonts w:ascii="Courier New" w:cs="Courier New" w:eastAsia="Courier New" w:hAnsi="Courier New"/>
          <w:sz w:val="17"/>
          <w:szCs w:val="17"/>
          <w:color w:val="auto"/>
        </w:rPr>
      </w:pPr>
    </w:p>
    <w:p>
      <w:pPr>
        <w:ind w:right="1899" w:firstLine="1877"/>
        <w:spacing w:after="0" w:line="249" w:lineRule="auto"/>
        <w:tabs>
          <w:tab w:leader="none" w:pos="2286"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Lock-up Agreements. At the date of this Agreement, the Representative shall have received (a) an agreement substantially in the form of Exhibit C hereto signed by the persons listed on Schedule C hereto [and (b) an executed lock-up agreement from each of Amgen, Inc. and The Proctor &amp; Gamble Company in a form reasonably satisfactory to the Underwriters].</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15"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7"/>
          <w:szCs w:val="17"/>
          <w:color w:val="auto"/>
        </w:rPr>
        <w:t>20</w:t>
      </w:r>
    </w:p>
    <w:p>
      <w:pPr>
        <w:spacing w:after="0" w:line="7" w:lineRule="exact"/>
        <w:rPr>
          <w:sz w:val="20"/>
          <w:szCs w:val="20"/>
          <w:color w:val="auto"/>
        </w:rPr>
      </w:pPr>
    </w:p>
    <w:p>
      <w:pPr>
        <w:ind w:left="-320" w:right="1999" w:firstLine="1877"/>
        <w:spacing w:after="0" w:line="249" w:lineRule="auto"/>
        <w:tabs>
          <w:tab w:leader="none" w:pos="1966"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to Purchase of Option Securities. In the event that the Underwriters exercise their option provided in Section 2(b) hereof to purchase all or any portion of the Option Securities, the representations and warranties of the Company contained herein and the statements in any certificates furnished by the Company hereunder shall be true and correct as of each Date of Delivery and, at the relevant Date of Delivery, the Representative shall have received:</w:t>
      </w:r>
    </w:p>
    <w:p>
      <w:pPr>
        <w:spacing w:after="0" w:line="200" w:lineRule="exact"/>
        <w:rPr>
          <w:sz w:val="20"/>
          <w:szCs w:val="20"/>
          <w:color w:val="auto"/>
        </w:rPr>
      </w:pPr>
    </w:p>
    <w:p>
      <w:pPr>
        <w:ind w:left="-320" w:right="2099" w:firstLine="1877"/>
        <w:spacing w:after="0" w:line="249" w:lineRule="auto"/>
        <w:tabs>
          <w:tab w:leader="none" w:pos="1966"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Officers' Certificate. A certificate, dated such Date of Delivery, of the President or a Vice President of the Company and of the chief financial or chief accounting officer of the Company confirming that the certificate delivered at Closing Time pursuant to Section 5(d) hereof remains true and correct as of such Date of Delivery.</w:t>
      </w:r>
    </w:p>
    <w:p>
      <w:pPr>
        <w:spacing w:after="0" w:line="199" w:lineRule="exact"/>
        <w:rPr>
          <w:rFonts w:ascii="Courier New" w:cs="Courier New" w:eastAsia="Courier New" w:hAnsi="Courier New"/>
          <w:sz w:val="17"/>
          <w:szCs w:val="17"/>
          <w:color w:val="auto"/>
        </w:rPr>
      </w:pPr>
    </w:p>
    <w:p>
      <w:pPr>
        <w:ind w:left="-320" w:right="1899" w:firstLine="1877"/>
        <w:spacing w:after="0" w:line="249" w:lineRule="auto"/>
        <w:tabs>
          <w:tab w:leader="none" w:pos="2069"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Counsel for Company. The favorable opinions dated as of Closing Time of (i) Stuart A. Kolinski, Esq., General Counsel of the Company, (ii) Skadden, Arps, Slate, Meagher &amp; Flom LLP, counsel for the Company, and (iii) Joseph M. Sorrentino, in-house intellectual property counsel for the Company, each in form and substance satisfactory to counsel for the Underwriters, dated such Date of Delivery, relating to the Option Securities to be purchased on such Date of Delivery and otherwise to the same effect as the opinion required by Section 5(b) hereof.</w:t>
      </w:r>
    </w:p>
    <w:p>
      <w:pPr>
        <w:spacing w:after="0" w:line="199" w:lineRule="exact"/>
        <w:rPr>
          <w:rFonts w:ascii="Courier New" w:cs="Courier New" w:eastAsia="Courier New" w:hAnsi="Courier New"/>
          <w:sz w:val="17"/>
          <w:szCs w:val="17"/>
          <w:color w:val="auto"/>
        </w:rPr>
      </w:pPr>
    </w:p>
    <w:p>
      <w:pPr>
        <w:ind w:left="-320" w:right="1899" w:firstLine="1877"/>
        <w:spacing w:after="0" w:line="249" w:lineRule="auto"/>
        <w:tabs>
          <w:tab w:leader="none" w:pos="2173"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Counsel for Underwriters. The favorable opinion of Shearman &amp; Sterling, counsel for the Underwriters, dated such Date of Delivery, relating to the Option Securities to be purchased on such Date of Delivery and otherwise to the same effect as the opinion required by Section 5(c) hereof.</w:t>
      </w:r>
    </w:p>
    <w:p>
      <w:pPr>
        <w:spacing w:after="0" w:line="199" w:lineRule="exact"/>
        <w:rPr>
          <w:rFonts w:ascii="Courier New" w:cs="Courier New" w:eastAsia="Courier New" w:hAnsi="Courier New"/>
          <w:sz w:val="17"/>
          <w:szCs w:val="17"/>
          <w:color w:val="auto"/>
        </w:rPr>
      </w:pPr>
    </w:p>
    <w:p>
      <w:pPr>
        <w:ind w:left="-320" w:right="1899" w:firstLine="1877"/>
        <w:spacing w:after="0" w:line="249" w:lineRule="auto"/>
        <w:tabs>
          <w:tab w:leader="none" w:pos="2069"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Bring-down Comfort Letter. A letter from each of PricewaterhouseCoopers LLP and Ernst &amp; Young, in form and substance satisfactory to the Representative(s) and dated such Date of Delivery, substantially in the same form and substance as the letter furnished to the Representative pursuant to Section 5(f) hereof, except that the "specified date" in the letter furnished pursuant to this paragraph shall be a date not more than five days prior to such Date of Delivery.</w:t>
      </w:r>
    </w:p>
    <w:p>
      <w:pPr>
        <w:spacing w:after="0" w:line="200" w:lineRule="exact"/>
        <w:rPr>
          <w:sz w:val="20"/>
          <w:szCs w:val="20"/>
          <w:color w:val="auto"/>
        </w:rPr>
      </w:pPr>
    </w:p>
    <w:p>
      <w:pPr>
        <w:ind w:left="-320" w:right="1899" w:firstLine="1877"/>
        <w:spacing w:after="0" w:line="249" w:lineRule="auto"/>
        <w:tabs>
          <w:tab w:leader="none" w:pos="1966"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Documents. At Closing Time and at each Date of Delivery, counsel for the Underwriters shall have been furnished with such documents and opinions as they reasonably may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Representative(s) and counsel for the Underwriters.</w:t>
      </w:r>
    </w:p>
    <w:p>
      <w:pPr>
        <w:spacing w:after="0" w:line="199" w:lineRule="exact"/>
        <w:rPr>
          <w:rFonts w:ascii="Courier New" w:cs="Courier New" w:eastAsia="Courier New" w:hAnsi="Courier New"/>
          <w:sz w:val="17"/>
          <w:szCs w:val="17"/>
          <w:color w:val="auto"/>
        </w:rPr>
      </w:pPr>
    </w:p>
    <w:p>
      <w:pPr>
        <w:ind w:left="-320" w:right="1899" w:firstLine="1877"/>
        <w:spacing w:after="0" w:line="249" w:lineRule="auto"/>
        <w:tabs>
          <w:tab w:leader="none" w:pos="1966"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Agreement. If any condition specified in this Section shall not have been fulfilled when and as required to be fulfilled, this Agreement, or, in the case of any condition to the purchase of Option Securities, on a Date of Delivery which is after the Closing Time, the obligations of the several Underwriters to purchase the</w:t>
      </w:r>
    </w:p>
    <w:p>
      <w:pPr>
        <w:spacing w:after="0" w:line="200"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9899"/>
          </w:cols>
          <w:pgMar w:left="560" w:top="315" w:right="1440" w:bottom="1440" w:gutter="0" w:footer="0" w:header="0"/>
        </w:sectPr>
      </w:pPr>
    </w:p>
    <w:bookmarkStart w:id="92" w:name="page93"/>
    <w:bookmarkEnd w:id="92"/>
    <w:p>
      <w:pPr>
        <w:ind w:left="320"/>
        <w:spacing w:after="0"/>
        <w:rPr>
          <w:sz w:val="20"/>
          <w:szCs w:val="20"/>
          <w:color w:val="auto"/>
        </w:rPr>
      </w:pPr>
      <w:r>
        <w:rPr>
          <w:rFonts w:ascii="Courier New" w:cs="Courier New" w:eastAsia="Courier New" w:hAnsi="Courier New"/>
          <w:sz w:val="17"/>
          <w:szCs w:val="17"/>
          <w:color w:val="auto"/>
        </w:rPr>
        <w:t>21</w:t>
      </w:r>
    </w:p>
    <w:p>
      <w:pPr>
        <w:spacing w:after="0" w:line="7" w:lineRule="exact"/>
        <w:rPr>
          <w:sz w:val="20"/>
          <w:szCs w:val="20"/>
          <w:color w:val="auto"/>
        </w:rPr>
      </w:pPr>
    </w:p>
    <w:p>
      <w:pPr>
        <w:jc w:val="both"/>
        <w:ind w:right="1899"/>
        <w:spacing w:after="0" w:line="249" w:lineRule="auto"/>
        <w:rPr>
          <w:sz w:val="20"/>
          <w:szCs w:val="20"/>
          <w:color w:val="auto"/>
        </w:rPr>
      </w:pPr>
      <w:r>
        <w:rPr>
          <w:rFonts w:ascii="Courier New" w:cs="Courier New" w:eastAsia="Courier New" w:hAnsi="Courier New"/>
          <w:sz w:val="17"/>
          <w:szCs w:val="17"/>
          <w:color w:val="auto"/>
        </w:rPr>
        <w:t>relevant Option Securities, may be terminated by the Representative by notice to the Company at any time at or prior to Closing Time or such Date of Delivery, as the case may be, and such termination shall be without liability of any party to any other party except as provided in Section 4 and except that Sections 1, 6, 7 and 8 shall survive any such termination and remain in full force and effect.</w:t>
      </w:r>
    </w:p>
    <w:p>
      <w:pPr>
        <w:spacing w:after="0" w:line="200"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7"/>
          <w:szCs w:val="17"/>
          <w:color w:val="auto"/>
        </w:rPr>
        <w:t>SECTION 6.</w:t>
      </w:r>
      <w:r>
        <w:rPr>
          <w:sz w:val="20"/>
          <w:szCs w:val="20"/>
          <w:color w:val="auto"/>
        </w:rPr>
        <w:tab/>
      </w:r>
      <w:r>
        <w:rPr>
          <w:rFonts w:ascii="Courier New" w:cs="Courier New" w:eastAsia="Courier New" w:hAnsi="Courier New"/>
          <w:sz w:val="17"/>
          <w:szCs w:val="17"/>
          <w:color w:val="auto"/>
        </w:rPr>
        <w:t>Indemnification.</w:t>
      </w:r>
    </w:p>
    <w:p>
      <w:pPr>
        <w:spacing w:after="0" w:line="207" w:lineRule="exact"/>
        <w:rPr>
          <w:sz w:val="20"/>
          <w:szCs w:val="20"/>
          <w:color w:val="auto"/>
        </w:rPr>
      </w:pPr>
    </w:p>
    <w:p>
      <w:pPr>
        <w:ind w:right="2319" w:firstLine="1877"/>
        <w:spacing w:after="0" w:line="249" w:lineRule="auto"/>
        <w:tabs>
          <w:tab w:leader="none" w:pos="2286"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of Underwriters. The Company agrees to indemnify and hold harmless each Underwriter and each person, if any, who controls any Underwriter within the meaning of Section 15 of the 1933 Act or Section 20 of the 1934 Act as follows:</w:t>
      </w:r>
    </w:p>
    <w:p>
      <w:pPr>
        <w:spacing w:after="0" w:line="200" w:lineRule="exact"/>
        <w:rPr>
          <w:sz w:val="20"/>
          <w:szCs w:val="20"/>
          <w:color w:val="auto"/>
        </w:rPr>
      </w:pPr>
    </w:p>
    <w:p>
      <w:pPr>
        <w:ind w:left="940" w:right="1899" w:firstLine="937"/>
        <w:spacing w:after="0" w:line="249" w:lineRule="auto"/>
        <w:tabs>
          <w:tab w:leader="none" w:pos="2291"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against any and all loss, liability, claim, damage and expense whatsoever, as incurred, arising out of any untrue statement or alleged untrue statement of a material fact contained in the Registration Statement (or any amendment thereto), including the Rule 430A Information,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99" w:lineRule="exact"/>
        <w:rPr>
          <w:rFonts w:ascii="Courier New" w:cs="Courier New" w:eastAsia="Courier New" w:hAnsi="Courier New"/>
          <w:sz w:val="17"/>
          <w:szCs w:val="17"/>
          <w:color w:val="auto"/>
        </w:rPr>
      </w:pPr>
    </w:p>
    <w:p>
      <w:pPr>
        <w:ind w:left="940" w:right="1899" w:firstLine="937"/>
        <w:spacing w:after="0" w:line="249" w:lineRule="auto"/>
        <w:tabs>
          <w:tab w:leader="none" w:pos="2394"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 and</w:t>
      </w:r>
    </w:p>
    <w:p>
      <w:pPr>
        <w:spacing w:after="0" w:line="199" w:lineRule="exact"/>
        <w:rPr>
          <w:rFonts w:ascii="Courier New" w:cs="Courier New" w:eastAsia="Courier New" w:hAnsi="Courier New"/>
          <w:sz w:val="17"/>
          <w:szCs w:val="17"/>
          <w:color w:val="auto"/>
        </w:rPr>
      </w:pPr>
    </w:p>
    <w:p>
      <w:pPr>
        <w:ind w:left="940" w:right="1999" w:firstLine="937"/>
        <w:spacing w:after="0" w:line="249" w:lineRule="auto"/>
        <w:tabs>
          <w:tab w:leader="none" w:pos="2498"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against any and all expense whatsoever, as incurred (including the fees and disbursements of counsel chosen by Merrill Lynch),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provided, however, that this indemnity agreement shall not apply to any loss, liability, claim, damage or expense to the extent arising out of any untrue statement or omission or alleged untrue statement or omission made in reliance upon and in conformity with written information furnished to the Company by any Underwriter through Merrill Lynch expressly for use in the Registration Statement (or any amendment thereto), including the Rule 430A Information, or any preliminary prospectus or the Prospectus (or any amendment or supplement thereto); and provided, further, that the Company will not be liable to any Underwriter with respect to any Prospectus to the extent that any such loss, liability, claim, damage or expense resulted from the</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15" w:right="1440" w:bottom="1440" w:gutter="0" w:footer="0" w:header="0"/>
        </w:sectPr>
      </w:pPr>
    </w:p>
    <w:bookmarkStart w:id="93" w:name="page94"/>
    <w:bookmarkEnd w:id="93"/>
    <w:p>
      <w:pPr>
        <w:ind w:left="320"/>
        <w:spacing w:after="0"/>
        <w:rPr>
          <w:sz w:val="20"/>
          <w:szCs w:val="20"/>
          <w:color w:val="auto"/>
        </w:rPr>
      </w:pPr>
      <w:r>
        <w:rPr>
          <w:rFonts w:ascii="Courier New" w:cs="Courier New" w:eastAsia="Courier New" w:hAnsi="Courier New"/>
          <w:sz w:val="17"/>
          <w:szCs w:val="17"/>
          <w:color w:val="auto"/>
        </w:rPr>
        <w:t>22</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fact that such Underwriter, in contravention of a requirement of this Agreement or applicable law, sold Securities to a person to whom such Underwriter failed to send or give, at or prior to the Closing Time, a copy of the final Prospectus, as then amended or supplemented if the Company has previously furnished copies thereof to the Underwriter and the loss, liability, claim, damage or expense of such Underwriter resulted from an untrue statement or omission of a material fact contained or omitted from the preliminary Prospectus which was corrected in the final Prospectus, if applicable, as amended or supplemented prior to the Closing Time, and such final Prospectus was required by law to be delivered at or prior to the written confirmation of sale to such person.</w:t>
      </w:r>
    </w:p>
    <w:p>
      <w:pPr>
        <w:spacing w:after="0" w:line="400" w:lineRule="exact"/>
        <w:rPr>
          <w:sz w:val="20"/>
          <w:szCs w:val="20"/>
          <w:color w:val="auto"/>
        </w:rPr>
      </w:pPr>
    </w:p>
    <w:p>
      <w:pPr>
        <w:ind w:right="1899" w:firstLine="1877"/>
        <w:spacing w:after="0" w:line="249" w:lineRule="auto"/>
        <w:tabs>
          <w:tab w:leader="none" w:pos="2286"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of Company, Directors and Officers. Each Underwriter severally agrees to indemnify and hold harmless the Company, its 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430A Information or any preliminary prospectus or the Prospectus (or any amendment or supplement thereto) in reliance upon and in conformity with written information furnished to the Company by such Underwriter through Merrill Lynch expressly for use in the Registration Statement (or any amendment thereto) or such preliminary prospectus or the Prospectus (or any amendment or supplement thereto).</w:t>
      </w:r>
    </w:p>
    <w:p>
      <w:pPr>
        <w:spacing w:after="0" w:line="199" w:lineRule="exact"/>
        <w:rPr>
          <w:rFonts w:ascii="Courier New" w:cs="Courier New" w:eastAsia="Courier New" w:hAnsi="Courier New"/>
          <w:sz w:val="17"/>
          <w:szCs w:val="17"/>
          <w:color w:val="auto"/>
        </w:rPr>
      </w:pPr>
    </w:p>
    <w:p>
      <w:pPr>
        <w:ind w:right="1899" w:firstLine="1877"/>
        <w:spacing w:after="0" w:line="249" w:lineRule="auto"/>
        <w:tabs>
          <w:tab w:leader="none" w:pos="2286"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Actions against Parties; Notification.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Merrill Lynch,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315" w:right="1440" w:bottom="1440" w:gutter="0" w:footer="0" w:header="0"/>
        </w:sectPr>
      </w:pPr>
    </w:p>
    <w:bookmarkStart w:id="94" w:name="page95"/>
    <w:bookmarkEnd w:id="94"/>
    <w:p>
      <w:pPr>
        <w:ind w:left="320"/>
        <w:spacing w:after="0"/>
        <w:rPr>
          <w:sz w:val="20"/>
          <w:szCs w:val="20"/>
          <w:color w:val="auto"/>
        </w:rPr>
      </w:pPr>
      <w:r>
        <w:rPr>
          <w:rFonts w:ascii="Courier New" w:cs="Courier New" w:eastAsia="Courier New" w:hAnsi="Courier New"/>
          <w:sz w:val="17"/>
          <w:szCs w:val="17"/>
          <w:color w:val="auto"/>
        </w:rPr>
        <w:t>23</w:t>
      </w:r>
    </w:p>
    <w:p>
      <w:pPr>
        <w:spacing w:after="0" w:line="7" w:lineRule="exact"/>
        <w:rPr>
          <w:sz w:val="20"/>
          <w:szCs w:val="20"/>
          <w:color w:val="auto"/>
        </w:rPr>
      </w:pPr>
    </w:p>
    <w:p>
      <w:pPr>
        <w:ind w:right="1899" w:firstLine="7"/>
        <w:spacing w:after="0" w:line="251" w:lineRule="auto"/>
        <w:tabs>
          <w:tab w:leader="none" w:pos="519"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does not include a statement as to or an admission of fault, culpability or a failure to act by or on behalf of any indemnified party.</w:t>
      </w:r>
    </w:p>
    <w:p>
      <w:pPr>
        <w:spacing w:after="0" w:line="196" w:lineRule="exact"/>
        <w:rPr>
          <w:rFonts w:ascii="Courier New" w:cs="Courier New" w:eastAsia="Courier New" w:hAnsi="Courier New"/>
          <w:sz w:val="17"/>
          <w:szCs w:val="17"/>
          <w:color w:val="auto"/>
        </w:rPr>
      </w:pPr>
    </w:p>
    <w:p>
      <w:pPr>
        <w:ind w:right="1999" w:firstLine="1877"/>
        <w:spacing w:after="0" w:line="248" w:lineRule="auto"/>
        <w:tabs>
          <w:tab w:leader="none" w:pos="2286"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Settlement without Consent if Failure to Reimburse. If at any time an indemnified party shall have requested an indemnifying party to reimburse the indemnified party for fees and expenses of counsel, such indemnifying party agrees that it shall be liable for any settlement of the nature contemplated by Section 6(a)(ii) effected without its written consent if</w:t>
      </w:r>
    </w:p>
    <w:p>
      <w:pPr>
        <w:spacing w:after="0" w:line="3"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settlement is entered into more than 45 days after receipt by such</w:t>
      </w:r>
    </w:p>
    <w:p>
      <w:pPr>
        <w:spacing w:after="0" w:line="7" w:lineRule="exact"/>
        <w:rPr>
          <w:rFonts w:ascii="Courier New" w:cs="Courier New" w:eastAsia="Courier New" w:hAnsi="Courier New"/>
          <w:sz w:val="17"/>
          <w:szCs w:val="17"/>
          <w:color w:val="auto"/>
        </w:rPr>
      </w:pPr>
    </w:p>
    <w:p>
      <w:pPr>
        <w:ind w:right="19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200" w:lineRule="exact"/>
        <w:rPr>
          <w:sz w:val="20"/>
          <w:szCs w:val="20"/>
          <w:color w:val="auto"/>
        </w:rPr>
      </w:pPr>
    </w:p>
    <w:p>
      <w:pPr>
        <w:ind w:right="1899" w:firstLine="1870"/>
        <w:spacing w:after="0" w:line="248" w:lineRule="auto"/>
        <w:rPr>
          <w:sz w:val="20"/>
          <w:szCs w:val="20"/>
          <w:color w:val="auto"/>
        </w:rPr>
      </w:pPr>
      <w:r>
        <w:rPr>
          <w:rFonts w:ascii="Courier New" w:cs="Courier New" w:eastAsia="Courier New" w:hAnsi="Courier New"/>
          <w:sz w:val="17"/>
          <w:szCs w:val="17"/>
          <w:color w:val="auto"/>
        </w:rPr>
        <w:t>SECTION 7. Contribution.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w:t>
      </w:r>
    </w:p>
    <w:p>
      <w:pPr>
        <w:spacing w:after="0" w:line="9" w:lineRule="exact"/>
        <w:rPr>
          <w:sz w:val="20"/>
          <w:szCs w:val="20"/>
          <w:color w:val="auto"/>
        </w:rPr>
      </w:pPr>
    </w:p>
    <w:p>
      <w:pPr>
        <w:ind w:right="1899" w:firstLine="7"/>
        <w:spacing w:after="0" w:line="249" w:lineRule="auto"/>
        <w:tabs>
          <w:tab w:leader="none" w:pos="416"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but also the relative fault of the Company on the one hand, and of the Underwriters on the other hand, in connection with the statements or omissions which resulted in such losses, liabilities, claims, damages or expenses, as well as any other relevant equitable considerations.</w:t>
      </w:r>
    </w:p>
    <w:p>
      <w:pPr>
        <w:spacing w:after="0" w:line="200" w:lineRule="exact"/>
        <w:rPr>
          <w:sz w:val="20"/>
          <w:szCs w:val="20"/>
          <w:color w:val="auto"/>
        </w:rPr>
      </w:pPr>
    </w:p>
    <w:p>
      <w:pPr>
        <w:ind w:right="1899" w:firstLine="1870"/>
        <w:spacing w:after="0" w:line="249" w:lineRule="auto"/>
        <w:rPr>
          <w:sz w:val="20"/>
          <w:szCs w:val="20"/>
          <w:color w:val="auto"/>
        </w:rPr>
      </w:pPr>
      <w:r>
        <w:rPr>
          <w:rFonts w:ascii="Courier New" w:cs="Courier New" w:eastAsia="Courier New" w:hAnsi="Courier New"/>
          <w:sz w:val="17"/>
          <w:szCs w:val="17"/>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received by the Company and the total underwriting discount received by the Underwriters, in each case as set forth on the cover of the Prospectus bear to the aggregate initial public offering price of the Securities as set forth on such cover.</w:t>
      </w:r>
    </w:p>
    <w:p>
      <w:pPr>
        <w:spacing w:after="0" w:line="200" w:lineRule="exact"/>
        <w:rPr>
          <w:sz w:val="20"/>
          <w:szCs w:val="20"/>
          <w:color w:val="auto"/>
        </w:rPr>
      </w:pPr>
    </w:p>
    <w:p>
      <w:pPr>
        <w:ind w:right="1899" w:firstLine="1870"/>
        <w:spacing w:after="0" w:line="249" w:lineRule="auto"/>
        <w:rPr>
          <w:sz w:val="20"/>
          <w:szCs w:val="20"/>
          <w:color w:val="auto"/>
        </w:rPr>
      </w:pPr>
      <w:r>
        <w:rPr>
          <w:rFonts w:ascii="Courier New" w:cs="Courier New" w:eastAsia="Courier New" w:hAnsi="Courier New"/>
          <w:sz w:val="17"/>
          <w:szCs w:val="17"/>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200" w:lineRule="exact"/>
        <w:rPr>
          <w:sz w:val="20"/>
          <w:szCs w:val="20"/>
          <w:color w:val="auto"/>
        </w:rPr>
      </w:pPr>
    </w:p>
    <w:p>
      <w:pPr>
        <w:ind w:right="1899" w:firstLine="1870"/>
        <w:spacing w:after="0" w:line="249" w:lineRule="auto"/>
        <w:rPr>
          <w:sz w:val="20"/>
          <w:szCs w:val="20"/>
          <w:color w:val="auto"/>
        </w:rPr>
      </w:pPr>
      <w:r>
        <w:rPr>
          <w:rFonts w:ascii="Courier New" w:cs="Courier New" w:eastAsia="Courier New" w:hAnsi="Courier New"/>
          <w:sz w:val="17"/>
          <w:szCs w:val="17"/>
          <w:color w:val="auto"/>
        </w:rPr>
        <w:t>The Company and the Underwriters agree that it would not be just and equitable if contribution pursuant to this Section were determined by pro rata allocation (even if the Underwriters were treated as one entity for such purpose) or by any other method of allocation which does not take account of the equitable considerations referred to above in this Section. The aggregate amount of losses, liabilities, claims, damages and expenses incurred by an indemnified party and referred to above in this Section shall be deemed to include any legal or</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315" w:right="1440" w:bottom="1440" w:gutter="0" w:footer="0" w:header="0"/>
        </w:sectPr>
      </w:pPr>
    </w:p>
    <w:bookmarkStart w:id="95" w:name="page96"/>
    <w:bookmarkEnd w:id="95"/>
    <w:p>
      <w:pPr>
        <w:ind w:left="320"/>
        <w:spacing w:after="0"/>
        <w:rPr>
          <w:sz w:val="20"/>
          <w:szCs w:val="20"/>
          <w:color w:val="auto"/>
        </w:rPr>
      </w:pPr>
      <w:r>
        <w:rPr>
          <w:rFonts w:ascii="Courier New" w:cs="Courier New" w:eastAsia="Courier New" w:hAnsi="Courier New"/>
          <w:sz w:val="17"/>
          <w:szCs w:val="17"/>
          <w:color w:val="auto"/>
        </w:rPr>
        <w:t>24</w:t>
      </w:r>
    </w:p>
    <w:p>
      <w:pPr>
        <w:spacing w:after="0" w:line="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200" w:lineRule="exact"/>
        <w:rPr>
          <w:sz w:val="20"/>
          <w:szCs w:val="20"/>
          <w:color w:val="auto"/>
        </w:rPr>
      </w:pPr>
    </w:p>
    <w:p>
      <w:pPr>
        <w:ind w:right="1899" w:firstLine="1870"/>
        <w:spacing w:after="0" w:line="249" w:lineRule="auto"/>
        <w:rPr>
          <w:sz w:val="20"/>
          <w:szCs w:val="20"/>
          <w:color w:val="auto"/>
        </w:rPr>
      </w:pPr>
      <w:r>
        <w:rPr>
          <w:rFonts w:ascii="Courier New" w:cs="Courier New" w:eastAsia="Courier New" w:hAnsi="Courier New"/>
          <w:sz w:val="17"/>
          <w:szCs w:val="17"/>
          <w:color w:val="auto"/>
        </w:rPr>
        <w:t>Notwithstanding the provisions of this Section,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any such untrue or alleged untrue statement or omission or alleged omission.</w:t>
      </w:r>
    </w:p>
    <w:p>
      <w:pPr>
        <w:spacing w:after="0" w:line="200" w:lineRule="exact"/>
        <w:rPr>
          <w:sz w:val="20"/>
          <w:szCs w:val="20"/>
          <w:color w:val="auto"/>
        </w:rPr>
      </w:pPr>
    </w:p>
    <w:p>
      <w:pPr>
        <w:ind w:right="1899" w:firstLine="1870"/>
        <w:spacing w:after="0" w:line="250" w:lineRule="auto"/>
        <w:rPr>
          <w:sz w:val="20"/>
          <w:szCs w:val="20"/>
          <w:color w:val="auto"/>
        </w:rPr>
      </w:pPr>
      <w:r>
        <w:rPr>
          <w:rFonts w:ascii="Courier New" w:cs="Courier New" w:eastAsia="Courier New" w:hAnsi="Courier New"/>
          <w:sz w:val="17"/>
          <w:szCs w:val="17"/>
          <w:color w:val="auto"/>
        </w:rPr>
        <w:t>No person guilty of fraudulent misrepresentation (within the meaning of Section 11(f) of the 1933 Act) shall be entitled to contribution from any person who was not guilty of such fraudulent misrepresentation.</w:t>
      </w:r>
    </w:p>
    <w:p>
      <w:pPr>
        <w:spacing w:after="0" w:line="197" w:lineRule="exact"/>
        <w:rPr>
          <w:sz w:val="20"/>
          <w:szCs w:val="20"/>
          <w:color w:val="auto"/>
        </w:rPr>
      </w:pPr>
    </w:p>
    <w:p>
      <w:pPr>
        <w:ind w:right="1999" w:firstLine="1870"/>
        <w:spacing w:after="0" w:line="249" w:lineRule="auto"/>
        <w:rPr>
          <w:sz w:val="20"/>
          <w:szCs w:val="20"/>
          <w:color w:val="auto"/>
        </w:rPr>
      </w:pPr>
      <w:r>
        <w:rPr>
          <w:rFonts w:ascii="Courier New" w:cs="Courier New" w:eastAsia="Courier New" w:hAnsi="Courier New"/>
          <w:sz w:val="17"/>
          <w:szCs w:val="17"/>
          <w:color w:val="auto"/>
        </w:rPr>
        <w:t>For purposes of this Section, each person, if any, who controls an Underwriter within the meaning of Section 15 of the 1933 Act or Section 20 of the 1934 Act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are several in proportion to the number of Securities set forth opposite their respective names in Schedule A hereto and not joint.</w:t>
      </w:r>
    </w:p>
    <w:p>
      <w:pPr>
        <w:spacing w:after="0" w:line="200" w:lineRule="exact"/>
        <w:rPr>
          <w:sz w:val="20"/>
          <w:szCs w:val="20"/>
          <w:color w:val="auto"/>
        </w:rPr>
      </w:pPr>
    </w:p>
    <w:p>
      <w:pPr>
        <w:ind w:right="1999" w:firstLine="1870"/>
        <w:spacing w:after="0" w:line="249" w:lineRule="auto"/>
        <w:rPr>
          <w:sz w:val="20"/>
          <w:szCs w:val="20"/>
          <w:color w:val="auto"/>
        </w:rPr>
      </w:pPr>
      <w:r>
        <w:rPr>
          <w:rFonts w:ascii="Courier New" w:cs="Courier New" w:eastAsia="Courier New" w:hAnsi="Courier New"/>
          <w:sz w:val="17"/>
          <w:szCs w:val="17"/>
          <w:color w:val="auto"/>
        </w:rPr>
        <w:t>SECTION 8. Representations, Warranties and Agreements to Survive Delivery. All representations, warranties and agreements contained in this Agreement or in certificates of officers of the Company submitted pursuant hereto shall remain operative and in full force and effect, regardless of any investigation made by or on behalf of any Underwriter or controlling person, or by or on behalf of the Company, and shall survive delivery of the Securities to the Underwriters.</w:t>
      </w:r>
    </w:p>
    <w:p>
      <w:pPr>
        <w:spacing w:after="0" w:line="200"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7"/>
          <w:szCs w:val="17"/>
          <w:color w:val="auto"/>
        </w:rPr>
        <w:t>SECTION 9.</w:t>
      </w:r>
      <w:r>
        <w:rPr>
          <w:sz w:val="20"/>
          <w:szCs w:val="20"/>
          <w:color w:val="auto"/>
        </w:rPr>
        <w:tab/>
      </w:r>
      <w:r>
        <w:rPr>
          <w:rFonts w:ascii="Courier New" w:cs="Courier New" w:eastAsia="Courier New" w:hAnsi="Courier New"/>
          <w:sz w:val="17"/>
          <w:szCs w:val="17"/>
          <w:color w:val="auto"/>
        </w:rPr>
        <w:t>Termination of Agreement.</w:t>
      </w:r>
    </w:p>
    <w:p>
      <w:pPr>
        <w:spacing w:after="0" w:line="207" w:lineRule="exact"/>
        <w:rPr>
          <w:sz w:val="20"/>
          <w:szCs w:val="20"/>
          <w:color w:val="auto"/>
        </w:rPr>
      </w:pPr>
    </w:p>
    <w:p>
      <w:pPr>
        <w:ind w:right="1999" w:firstLine="1877"/>
        <w:spacing w:after="0" w:line="248" w:lineRule="auto"/>
        <w:tabs>
          <w:tab w:leader="none" w:pos="2286" w:val="left"/>
        </w:tabs>
        <w:numPr>
          <w:ilvl w:val="1"/>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General. The Representative may terminate this Agreement by notice to the Company at any time at or prior to Closing Time</w:t>
      </w:r>
    </w:p>
    <w:p>
      <w:pPr>
        <w:spacing w:after="0" w:line="1" w:lineRule="exact"/>
        <w:rPr>
          <w:rFonts w:ascii="Courier New" w:cs="Courier New" w:eastAsia="Courier New" w:hAnsi="Courier New"/>
          <w:sz w:val="17"/>
          <w:szCs w:val="17"/>
          <w:color w:val="auto"/>
        </w:rPr>
      </w:pPr>
    </w:p>
    <w:p>
      <w:pPr>
        <w:ind w:right="1899" w:firstLine="7"/>
        <w:spacing w:after="0" w:line="249" w:lineRule="auto"/>
        <w:tabs>
          <w:tab w:leader="none" w:pos="416"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there has been, since the time of execution of this Agreement or since the respective dates as of which information is given in the Prospectus, any material adverse change in the condition, financial or otherwise, or in the earnings, business affairs or business prospects of the Company,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 impracticable to market the Securities or to enforce contracts for the sale of the Securities, or (iii) if trading in any securities of the Company has been suspended or materially limited by the Commission or the Nasdaq National Market, or if trading generally on the American Stock Exchange or the New York Stock Exchange or in the Nasdaq National Market</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315" w:right="1440" w:bottom="1440" w:gutter="0" w:footer="0" w:header="0"/>
        </w:sectPr>
      </w:pPr>
    </w:p>
    <w:bookmarkStart w:id="96" w:name="page97"/>
    <w:bookmarkEnd w:id="96"/>
    <w:p>
      <w:pPr>
        <w:ind w:left="320"/>
        <w:spacing w:after="0"/>
        <w:rPr>
          <w:sz w:val="20"/>
          <w:szCs w:val="20"/>
          <w:color w:val="auto"/>
        </w:rPr>
      </w:pPr>
      <w:r>
        <w:rPr>
          <w:rFonts w:ascii="Courier New" w:cs="Courier New" w:eastAsia="Courier New" w:hAnsi="Courier New"/>
          <w:sz w:val="17"/>
          <w:szCs w:val="17"/>
          <w:color w:val="auto"/>
        </w:rPr>
        <w:t>25</w:t>
      </w:r>
    </w:p>
    <w:p>
      <w:pPr>
        <w:spacing w:after="0" w:line="7" w:lineRule="exact"/>
        <w:rPr>
          <w:sz w:val="20"/>
          <w:szCs w:val="20"/>
          <w:color w:val="auto"/>
        </w:rPr>
      </w:pPr>
    </w:p>
    <w:p>
      <w:pPr>
        <w:ind w:right="1899"/>
        <w:spacing w:after="0" w:line="248" w:lineRule="auto"/>
        <w:rPr>
          <w:sz w:val="20"/>
          <w:szCs w:val="20"/>
          <w:color w:val="auto"/>
        </w:rPr>
      </w:pPr>
      <w:r>
        <w:rPr>
          <w:rFonts w:ascii="Courier New" w:cs="Courier New" w:eastAsia="Courier New" w:hAnsi="Courier New"/>
          <w:sz w:val="17"/>
          <w:szCs w:val="17"/>
          <w:color w:val="auto"/>
        </w:rPr>
        <w:t>has been suspended or materially limited, or minimum or maximum prices for trading have been fixed, or maximum ranges for prices have been required, by any of said exchanges or by such system or by order of the Commission, the National Association of Securities Dealers, Inc. or any other governmental authority, or</w:t>
      </w:r>
    </w:p>
    <w:p>
      <w:pPr>
        <w:spacing w:after="0" w:line="3" w:lineRule="exact"/>
        <w:rPr>
          <w:sz w:val="20"/>
          <w:szCs w:val="20"/>
          <w:color w:val="auto"/>
        </w:rPr>
      </w:pPr>
    </w:p>
    <w:p>
      <w:pPr>
        <w:ind w:right="2319" w:firstLine="7"/>
        <w:spacing w:after="0" w:line="251" w:lineRule="auto"/>
        <w:tabs>
          <w:tab w:leader="none" w:pos="519"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banking moratorium has been declared by either Federal or New York authorities.</w:t>
      </w:r>
    </w:p>
    <w:p>
      <w:pPr>
        <w:spacing w:after="0" w:line="196" w:lineRule="exact"/>
        <w:rPr>
          <w:rFonts w:ascii="Courier New" w:cs="Courier New" w:eastAsia="Courier New" w:hAnsi="Courier New"/>
          <w:sz w:val="17"/>
          <w:szCs w:val="17"/>
          <w:color w:val="auto"/>
        </w:rPr>
      </w:pPr>
    </w:p>
    <w:p>
      <w:pPr>
        <w:ind w:right="2099" w:firstLine="1877"/>
        <w:spacing w:after="0" w:line="249" w:lineRule="auto"/>
        <w:tabs>
          <w:tab w:leader="none" w:pos="2286" w:val="left"/>
        </w:tabs>
        <w:numPr>
          <w:ilvl w:val="1"/>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If this Agreement is terminated pursuant to this Section, such termination shall be without liability of any party to any other party except as provided in Section 4 hereof, and provided further that Sections 1, 6, 7 and 8 shall survive such termination and remain in full force and effect.</w:t>
      </w:r>
    </w:p>
    <w:p>
      <w:pPr>
        <w:spacing w:after="0" w:line="200" w:lineRule="exact"/>
        <w:rPr>
          <w:sz w:val="20"/>
          <w:szCs w:val="20"/>
          <w:color w:val="auto"/>
        </w:rPr>
      </w:pPr>
    </w:p>
    <w:p>
      <w:pPr>
        <w:ind w:right="1899" w:firstLine="1870"/>
        <w:spacing w:after="0" w:line="249" w:lineRule="auto"/>
        <w:rPr>
          <w:sz w:val="20"/>
          <w:szCs w:val="20"/>
          <w:color w:val="auto"/>
        </w:rPr>
      </w:pPr>
      <w:r>
        <w:rPr>
          <w:rFonts w:ascii="Courier New" w:cs="Courier New" w:eastAsia="Courier New" w:hAnsi="Courier New"/>
          <w:sz w:val="17"/>
          <w:szCs w:val="17"/>
          <w:color w:val="auto"/>
        </w:rPr>
        <w:t>SECTION 10. Default by One or More of the Underwriters. If one or more of the Underwriters shall fail at Closing Time or a Date of Delivery to purchase the Securities which it or they are obligated to purchase under this Agreement (the "Defaulted Securities"), the Representative(s) shall have the right, but not the obligation, within 24 hours thereafter, to make arrangements for one or more of the non-defaulting Underwriters, or any other underwriters, to purchase, each severally and not jointly, all, but not less than all, of the Defaulted Securities in such amounts as may be agreed upon and upon the terms herein set forth; if, however, the Representative(s) shall not have completed such arrangements within such 24-hour period, then this Agreement shall terminate without liability on the part of any non-defaulting Underwriter.</w:t>
      </w:r>
    </w:p>
    <w:p>
      <w:pPr>
        <w:spacing w:after="0" w:line="200" w:lineRule="exact"/>
        <w:rPr>
          <w:sz w:val="20"/>
          <w:szCs w:val="20"/>
          <w:color w:val="auto"/>
        </w:rPr>
      </w:pPr>
    </w:p>
    <w:p>
      <w:pPr>
        <w:ind w:right="2939" w:firstLine="1870"/>
        <w:spacing w:after="0" w:line="251" w:lineRule="auto"/>
        <w:rPr>
          <w:sz w:val="20"/>
          <w:szCs w:val="20"/>
          <w:color w:val="auto"/>
        </w:rPr>
      </w:pPr>
      <w:r>
        <w:rPr>
          <w:rFonts w:ascii="Courier New" w:cs="Courier New" w:eastAsia="Courier New" w:hAnsi="Courier New"/>
          <w:sz w:val="17"/>
          <w:szCs w:val="17"/>
          <w:color w:val="auto"/>
        </w:rPr>
        <w:t>No action pursuant to this Section shall relieve any defaulting Underwriter from liability in respect of its default.</w:t>
      </w:r>
    </w:p>
    <w:p>
      <w:pPr>
        <w:spacing w:after="0" w:line="197" w:lineRule="exact"/>
        <w:rPr>
          <w:sz w:val="20"/>
          <w:szCs w:val="20"/>
          <w:color w:val="auto"/>
        </w:rPr>
      </w:pPr>
    </w:p>
    <w:p>
      <w:pPr>
        <w:ind w:right="1899" w:firstLine="1870"/>
        <w:spacing w:after="0" w:line="249" w:lineRule="auto"/>
        <w:rPr>
          <w:sz w:val="20"/>
          <w:szCs w:val="20"/>
          <w:color w:val="auto"/>
        </w:rPr>
      </w:pPr>
      <w:r>
        <w:rPr>
          <w:rFonts w:ascii="Courier New" w:cs="Courier New" w:eastAsia="Courier New" w:hAnsi="Courier New"/>
          <w:sz w:val="17"/>
          <w:szCs w:val="17"/>
          <w:color w:val="auto"/>
        </w:rPr>
        <w:t>In the event of any such default which does not result in a termination of this Agreement, either the Representative or the Company shall have the right to postpone the Closing Time or the relevant Date of Delivery for a period not exceeding seven days in order to effect any required changes in the Registration Statement or Prospectus or in any other documents or arrangements.</w:t>
      </w:r>
    </w:p>
    <w:p>
      <w:pPr>
        <w:spacing w:after="0" w:line="200" w:lineRule="exact"/>
        <w:rPr>
          <w:sz w:val="20"/>
          <w:szCs w:val="20"/>
          <w:color w:val="auto"/>
        </w:rPr>
      </w:pPr>
    </w:p>
    <w:p>
      <w:pPr>
        <w:ind w:right="1899" w:firstLine="1870"/>
        <w:spacing w:after="0" w:line="249" w:lineRule="auto"/>
        <w:rPr>
          <w:sz w:val="20"/>
          <w:szCs w:val="20"/>
          <w:color w:val="auto"/>
        </w:rPr>
      </w:pPr>
      <w:r>
        <w:rPr>
          <w:rFonts w:ascii="Courier New" w:cs="Courier New" w:eastAsia="Courier New" w:hAnsi="Courier New"/>
          <w:sz w:val="17"/>
          <w:szCs w:val="17"/>
          <w:color w:val="auto"/>
        </w:rPr>
        <w:t>SECTION 11. Notices. All notices and other communications hereunder shall be in writing and shall be deemed to have been duly given if mailed or transmitted by any standard form of telecommunication. Notices to the Underwriters shall be directed to the Representative(s) at North Tower, World Financial Center, 250 Vesey Street, New York, New York 10281, attention of Equity Capital Markets and notices to the Company shall be directed to it at 777 Old Saw Mill River Road, Tarrytown, New York 10591-6707, attention of Stuart Kolinski, Esq., Vice President, General Counsel and Secretary.</w:t>
      </w:r>
    </w:p>
    <w:p>
      <w:pPr>
        <w:spacing w:after="0" w:line="200" w:lineRule="exact"/>
        <w:rPr>
          <w:sz w:val="20"/>
          <w:szCs w:val="20"/>
          <w:color w:val="auto"/>
        </w:rPr>
      </w:pPr>
    </w:p>
    <w:p>
      <w:pPr>
        <w:ind w:right="1899" w:firstLine="1870"/>
        <w:spacing w:after="0" w:line="249" w:lineRule="auto"/>
        <w:rPr>
          <w:sz w:val="20"/>
          <w:szCs w:val="20"/>
          <w:color w:val="auto"/>
        </w:rPr>
      </w:pPr>
      <w:r>
        <w:rPr>
          <w:rFonts w:ascii="Courier New" w:cs="Courier New" w:eastAsia="Courier New" w:hAnsi="Courier New"/>
          <w:sz w:val="17"/>
          <w:szCs w:val="17"/>
          <w:color w:val="auto"/>
        </w:rPr>
        <w:t>SECTION 12. Parties. This Agreement shall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315" w:right="1440" w:bottom="1440" w:gutter="0" w:footer="0" w:header="0"/>
        </w:sectPr>
      </w:pPr>
    </w:p>
    <w:bookmarkStart w:id="97" w:name="page98"/>
    <w:bookmarkEnd w:id="97"/>
    <w:p>
      <w:pPr>
        <w:ind w:left="320"/>
        <w:spacing w:after="0"/>
        <w:rPr>
          <w:sz w:val="20"/>
          <w:szCs w:val="20"/>
          <w:color w:val="auto"/>
        </w:rPr>
      </w:pPr>
      <w:r>
        <w:rPr>
          <w:rFonts w:ascii="Courier New" w:cs="Courier New" w:eastAsia="Courier New" w:hAnsi="Courier New"/>
          <w:sz w:val="17"/>
          <w:szCs w:val="17"/>
          <w:color w:val="auto"/>
        </w:rPr>
        <w:t>26</w:t>
      </w:r>
    </w:p>
    <w:p>
      <w:pPr>
        <w:spacing w:after="0" w:line="7"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directors and their heirs and legal representatives, and for the benefit of no other person, firm or corporation. No purchaser of Securities from any Underwriter shall be deemed to be a successor by reason merely of such purchase.</w:t>
      </w:r>
    </w:p>
    <w:p>
      <w:pPr>
        <w:spacing w:after="0" w:line="197" w:lineRule="exact"/>
        <w:rPr>
          <w:sz w:val="20"/>
          <w:szCs w:val="20"/>
          <w:color w:val="auto"/>
        </w:rPr>
      </w:pPr>
    </w:p>
    <w:p>
      <w:pPr>
        <w:ind w:right="1999" w:firstLine="1870"/>
        <w:spacing w:after="0" w:line="250" w:lineRule="auto"/>
        <w:rPr>
          <w:sz w:val="20"/>
          <w:szCs w:val="20"/>
          <w:color w:val="auto"/>
        </w:rPr>
      </w:pPr>
      <w:r>
        <w:rPr>
          <w:rFonts w:ascii="Courier New" w:cs="Courier New" w:eastAsia="Courier New" w:hAnsi="Courier New"/>
          <w:sz w:val="17"/>
          <w:szCs w:val="17"/>
          <w:color w:val="auto"/>
        </w:rPr>
        <w:t>SECTION 13. GOVERNING LAW AND TIME. THIS AGREEMENT SHALL BE GOVERNED BY AND CONSTRUED IN ACCORDANCE WITH THE LAWS OF THE STATE OF NEW YORK. SPECIFIED TIMES OF DAY REFER TO NEW YORK CITY TIME.</w:t>
      </w:r>
    </w:p>
    <w:p>
      <w:pPr>
        <w:spacing w:after="0" w:line="197" w:lineRule="exact"/>
        <w:rPr>
          <w:sz w:val="20"/>
          <w:szCs w:val="20"/>
          <w:color w:val="auto"/>
        </w:rPr>
      </w:pPr>
    </w:p>
    <w:p>
      <w:pPr>
        <w:ind w:right="1899" w:firstLine="1870"/>
        <w:spacing w:after="0" w:line="248" w:lineRule="auto"/>
        <w:rPr>
          <w:sz w:val="20"/>
          <w:szCs w:val="20"/>
          <w:color w:val="auto"/>
        </w:rPr>
      </w:pPr>
      <w:r>
        <w:rPr>
          <w:rFonts w:ascii="Courier New" w:cs="Courier New" w:eastAsia="Courier New" w:hAnsi="Courier New"/>
          <w:sz w:val="17"/>
          <w:szCs w:val="17"/>
          <w:color w:val="auto"/>
        </w:rPr>
        <w:t>SECTION 14. Effect of Headings. The Article and Section headings herein and the Table of Contents are for convenience only and shall not affect the construction hereof.</w:t>
      </w:r>
    </w:p>
    <w:p>
      <w:pPr>
        <w:spacing w:after="0" w:line="2"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315" w:right="1440" w:bottom="1440" w:gutter="0" w:footer="0" w:header="0"/>
        </w:sectPr>
      </w:pPr>
    </w:p>
    <w:bookmarkStart w:id="98" w:name="page99"/>
    <w:bookmarkEnd w:id="98"/>
    <w:p>
      <w:pPr>
        <w:ind w:left="320"/>
        <w:spacing w:after="0"/>
        <w:rPr>
          <w:sz w:val="20"/>
          <w:szCs w:val="20"/>
          <w:color w:val="auto"/>
        </w:rPr>
      </w:pPr>
      <w:r>
        <w:rPr>
          <w:rFonts w:ascii="Courier New" w:cs="Courier New" w:eastAsia="Courier New" w:hAnsi="Courier New"/>
          <w:sz w:val="17"/>
          <w:szCs w:val="17"/>
          <w:color w:val="auto"/>
        </w:rPr>
        <w:t>27</w:t>
      </w:r>
    </w:p>
    <w:p>
      <w:pPr>
        <w:spacing w:after="0" w:line="7" w:lineRule="exact"/>
        <w:rPr>
          <w:sz w:val="20"/>
          <w:szCs w:val="20"/>
          <w:color w:val="auto"/>
        </w:rPr>
      </w:pPr>
    </w:p>
    <w:p>
      <w:pPr>
        <w:ind w:right="2099" w:firstLine="1870"/>
        <w:spacing w:after="0" w:line="249" w:lineRule="auto"/>
        <w:rPr>
          <w:sz w:val="20"/>
          <w:szCs w:val="20"/>
          <w:color w:val="auto"/>
        </w:rPr>
      </w:pPr>
      <w:r>
        <w:rPr>
          <w:rFonts w:ascii="Courier New" w:cs="Courier New" w:eastAsia="Courier New" w:hAnsi="Courier New"/>
          <w:sz w:val="17"/>
          <w:szCs w:val="17"/>
          <w:color w:val="auto"/>
        </w:rPr>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 terms.</w:t>
      </w:r>
    </w:p>
    <w:p>
      <w:pPr>
        <w:spacing w:after="0" w:line="200"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Very truly yours,</w:t>
      </w:r>
    </w:p>
    <w:p>
      <w:pPr>
        <w:spacing w:after="0" w:line="207"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By:</w:t>
      </w:r>
    </w:p>
    <w:p>
      <w:pPr>
        <w:spacing w:after="0" w:line="7"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CONFIRMED AND ACCEPTED,</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as of the date first above written: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PIERCE, FENNER &amp; SMITH</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INCORPORATED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J.P. MORGAN SECURITIES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ROBERTSON STEPHENS, INC.</w:t>
      </w:r>
    </w:p>
    <w:p>
      <w:pPr>
        <w:spacing w:after="0" w:line="20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BY:</w:t>
        <w:tab/>
        <w:t>MERRILL LYNCH, PIERCE, FENNER &amp; SMITH</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INCORPORATED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Authorized Signatory</w:t>
      </w:r>
    </w:p>
    <w:p>
      <w:pPr>
        <w:spacing w:after="0" w:line="207" w:lineRule="exact"/>
        <w:rPr>
          <w:sz w:val="20"/>
          <w:szCs w:val="20"/>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For itself and as Representative of the other Underwriters named in Schedule A hereto.</w:t>
      </w:r>
    </w:p>
    <w:p>
      <w:pPr>
        <w:spacing w:after="0" w:line="39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315" w:right="1440" w:bottom="1440" w:gutter="0" w:footer="0" w:header="0"/>
        </w:sectPr>
      </w:pPr>
    </w:p>
    <w:bookmarkStart w:id="99" w:name="page100"/>
    <w:bookmarkEnd w:id="99"/>
    <w:p>
      <w:pPr>
        <w:ind w:left="320"/>
        <w:spacing w:after="0"/>
        <w:rPr>
          <w:sz w:val="20"/>
          <w:szCs w:val="20"/>
          <w:color w:val="auto"/>
        </w:rPr>
      </w:pPr>
      <w:r>
        <w:rPr>
          <w:rFonts w:ascii="Courier New" w:cs="Courier New" w:eastAsia="Courier New" w:hAnsi="Courier New"/>
          <w:sz w:val="17"/>
          <w:szCs w:val="17"/>
          <w:color w:val="auto"/>
        </w:rPr>
        <w:t>28</w:t>
      </w:r>
    </w:p>
    <w:p>
      <w:pPr>
        <w:spacing w:after="0" w:line="200" w:lineRule="exact"/>
        <w:rPr>
          <w:sz w:val="20"/>
          <w:szCs w:val="20"/>
          <w:color w:val="auto"/>
        </w:rPr>
      </w:pPr>
    </w:p>
    <w:p>
      <w:pPr>
        <w:spacing w:after="0" w:line="20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Underwriter</w:t>
      </w:r>
    </w:p>
    <w:p>
      <w:pPr>
        <w:sectPr>
          <w:pgSz w:w="11900" w:h="16838" w:orient="portrait"/>
          <w:cols w:equalWidth="0" w:num="1">
            <w:col w:w="11520"/>
          </w:cols>
          <w:pgMar w:left="240" w:top="315" w:right="139"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7"/>
          <w:szCs w:val="17"/>
          <w:color w:val="auto"/>
        </w:rPr>
        <w:t>Maximum</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Number of</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Initial</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7"/>
          <w:szCs w:val="17"/>
          <w:color w:val="auto"/>
        </w:rPr>
        <w:t>Maximum</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Number of</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Option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3">
            <w:col w:w="7500" w:space="720"/>
            <w:col w:w="1140" w:space="620"/>
            <w:col w:w="1540"/>
          </w:cols>
          <w:pgMar w:left="240" w:top="315" w:right="1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Pierce, Fenner &amp; Smith</w:t>
      </w:r>
    </w:p>
    <w:p>
      <w:pPr>
        <w:spacing w:after="0" w:line="7" w:lineRule="exact"/>
        <w:rPr>
          <w:sz w:val="20"/>
          <w:szCs w:val="20"/>
          <w:color w:val="auto"/>
        </w:rPr>
      </w:pPr>
    </w:p>
    <w:p>
      <w:pPr>
        <w:ind w:left="1260"/>
        <w:spacing w:after="0"/>
        <w:rPr>
          <w:sz w:val="20"/>
          <w:szCs w:val="20"/>
          <w:color w:val="auto"/>
        </w:rPr>
      </w:pPr>
      <w:r>
        <w:rPr>
          <w:rFonts w:ascii="Courier New" w:cs="Courier New" w:eastAsia="Courier New" w:hAnsi="Courier New"/>
          <w:sz w:val="17"/>
          <w:szCs w:val="17"/>
          <w:color w:val="auto"/>
        </w:rPr>
        <w:t>Incorporated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J.P. Morgan Securities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Robertson Stephens, Inc.................................................</w:t>
      </w:r>
    </w:p>
    <w:p>
      <w:pPr>
        <w:sectPr>
          <w:pgSz w:w="11900" w:h="16838" w:orient="portrait"/>
          <w:cols w:equalWidth="0" w:num="1">
            <w:col w:w="11520"/>
          </w:cols>
          <w:pgMar w:left="240" w:top="315" w:right="1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[4,000,000]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51" w:lineRule="auto"/>
        <w:rPr>
          <w:sz w:val="20"/>
          <w:szCs w:val="20"/>
          <w:color w:val="auto"/>
        </w:rPr>
      </w:pPr>
      <w:r>
        <w:rPr>
          <w:rFonts w:ascii="Courier New" w:cs="Courier New" w:eastAsia="Courier New" w:hAnsi="Courier New"/>
          <w:sz w:val="17"/>
          <w:szCs w:val="17"/>
          <w:color w:val="auto"/>
        </w:rPr>
        <w:t>[600,000] ==========</w:t>
      </w:r>
    </w:p>
    <w:p>
      <w:pPr>
        <w:spacing w:after="0" w:line="197" w:lineRule="exact"/>
        <w:rPr>
          <w:sz w:val="20"/>
          <w:szCs w:val="20"/>
          <w:color w:val="auto"/>
        </w:rPr>
      </w:pPr>
    </w:p>
    <w:p>
      <w:pPr>
        <w:sectPr>
          <w:pgSz w:w="11900" w:h="16838" w:orient="portrait"/>
          <w:cols w:equalWidth="0" w:num="3">
            <w:col w:w="7800" w:space="720"/>
            <w:col w:w="1260" w:space="720"/>
            <w:col w:w="1020"/>
          </w:cols>
          <w:pgMar w:left="240" w:top="315" w:right="139" w:bottom="1440" w:gutter="0" w:footer="0" w:header="0"/>
          <w:type w:val="continuous"/>
        </w:sectPr>
      </w:pPr>
    </w:p>
    <w:p>
      <w:pPr>
        <w:ind w:left="3740"/>
        <w:spacing w:after="0"/>
        <w:rPr>
          <w:sz w:val="20"/>
          <w:szCs w:val="20"/>
          <w:color w:val="auto"/>
        </w:rPr>
      </w:pPr>
      <w:r>
        <w:rPr>
          <w:rFonts w:ascii="Courier New" w:cs="Courier New" w:eastAsia="Courier New" w:hAnsi="Courier New"/>
          <w:sz w:val="17"/>
          <w:szCs w:val="17"/>
          <w:color w:val="auto"/>
        </w:rPr>
        <w:t>Sch A-1</w:t>
      </w:r>
    </w:p>
    <w:p>
      <w:pPr>
        <w:sectPr>
          <w:pgSz w:w="11900" w:h="16838" w:orient="portrait"/>
          <w:cols w:equalWidth="0" w:num="1">
            <w:col w:w="11520"/>
          </w:cols>
          <w:pgMar w:left="240" w:top="315" w:right="139" w:bottom="1440" w:gutter="0" w:footer="0" w:header="0"/>
          <w:type w:val="continuous"/>
        </w:sectPr>
      </w:pPr>
    </w:p>
    <w:bookmarkStart w:id="100" w:name="page101"/>
    <w:bookmarkEnd w:id="100"/>
    <w:p>
      <w:pPr>
        <w:spacing w:after="0"/>
        <w:rPr>
          <w:sz w:val="20"/>
          <w:szCs w:val="20"/>
          <w:color w:val="auto"/>
        </w:rPr>
      </w:pPr>
      <w:r>
        <w:rPr>
          <w:rFonts w:ascii="Courier New" w:cs="Courier New" w:eastAsia="Courier New" w:hAnsi="Courier New"/>
          <w:sz w:val="17"/>
          <w:szCs w:val="17"/>
          <w:color w:val="auto"/>
        </w:rPr>
        <w:t>29</w:t>
      </w:r>
    </w:p>
    <w:p>
      <w:pPr>
        <w:spacing w:after="0" w:line="7"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SCHEDULE B</w:t>
      </w:r>
    </w:p>
    <w:p>
      <w:pPr>
        <w:spacing w:after="0" w:line="207"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REGENERON PHARMACEUTICALS, INC.</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[4,000,000] Shares of Common Stock</w:t>
      </w:r>
    </w:p>
    <w:p>
      <w:pPr>
        <w:spacing w:after="0" w:line="7"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(Par Value $0.001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20" w:right="2319" w:firstLine="937"/>
        <w:spacing w:after="0" w:line="251" w:lineRule="auto"/>
        <w:tabs>
          <w:tab w:leader="none" w:pos="1867"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public offering price per share for the Securities, determined as provided in said Section 2, shall be $[ ].</w:t>
      </w:r>
    </w:p>
    <w:p>
      <w:pPr>
        <w:spacing w:after="0" w:line="196" w:lineRule="exact"/>
        <w:rPr>
          <w:rFonts w:ascii="Courier New" w:cs="Courier New" w:eastAsia="Courier New" w:hAnsi="Courier New"/>
          <w:sz w:val="17"/>
          <w:szCs w:val="17"/>
          <w:color w:val="auto"/>
        </w:rPr>
      </w:pPr>
    </w:p>
    <w:p>
      <w:pPr>
        <w:ind w:left="620" w:right="1899" w:firstLine="937"/>
        <w:spacing w:after="0" w:line="249" w:lineRule="auto"/>
        <w:tabs>
          <w:tab w:leader="none" w:pos="1867"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 price per share for the Securities to be paid by the several Underwriters shall be $[ ], being an amount equal to the public offering price set forth above less $[ ] per share; provided that the purchase price per share for any Option Securities purchased upon the exercise of the over-allotment option described in Section 2(b) shall be reduced by an amount per share equal to any dividends or distributions declared by the Company and payable on the Initial Securities but not payable on the Option Securities.</w:t>
      </w:r>
    </w:p>
    <w:p>
      <w:pPr>
        <w:spacing w:after="0" w:line="400"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Sch B-1</w:t>
      </w:r>
    </w:p>
    <w:p>
      <w:pPr>
        <w:sectPr>
          <w:pgSz w:w="11900" w:h="16838" w:orient="portrait"/>
          <w:cols w:equalWidth="0" w:num="1">
            <w:col w:w="9899"/>
          </w:cols>
          <w:pgMar w:left="560" w:top="315" w:right="1440" w:bottom="1440" w:gutter="0" w:footer="0" w:header="0"/>
        </w:sectPr>
      </w:pPr>
    </w:p>
    <w:bookmarkStart w:id="101" w:name="page102"/>
    <w:bookmarkEnd w:id="101"/>
    <w:p>
      <w:pPr>
        <w:ind w:left="320"/>
        <w:spacing w:after="0"/>
        <w:rPr>
          <w:sz w:val="20"/>
          <w:szCs w:val="20"/>
          <w:color w:val="auto"/>
        </w:rPr>
      </w:pPr>
      <w:r>
        <w:rPr>
          <w:rFonts w:ascii="Courier New" w:cs="Courier New" w:eastAsia="Courier New" w:hAnsi="Courier New"/>
          <w:sz w:val="17"/>
          <w:szCs w:val="17"/>
          <w:color w:val="auto"/>
        </w:rPr>
        <w:t>30</w:t>
      </w:r>
    </w:p>
    <w:p>
      <w:pPr>
        <w:spacing w:after="0" w:line="20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SCHEDULE C</w:t>
      </w:r>
    </w:p>
    <w:p>
      <w:pPr>
        <w:spacing w:after="0" w:line="20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List of persons and entities</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subject to lock-up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Charles A. Baker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S. Brown, M.D.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Jesse M. Cedarbaum, M.D.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Beverly C. Dubs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Alfred G. Gilman, M.D., Ph.D.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Murray A. Goldberg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Joseph L. Goldstein, M.D.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Hans-Peter Guler, M.D.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Stephen L. Holst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X. Horne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Stuart Kolinski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Douglas S. McCorkle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Fred A. Middleton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Fred Plum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G. Roberts, M.D.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Randall G. Rupp, Ph.D.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Leonard S. Schleifer, M.D., Ph.D.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Eric M. Shooter, Ph.D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George L. Sing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Joseph M. Sorrentino, Ph.D.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Neil Stahl, Ph.D.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 Roy Vagelos, M.D.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David M. Valenzuela, Ph.D.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George D. Yancopoulos, M.D., Ph.D.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Glaxo Group Limited</w:t>
      </w:r>
    </w:p>
    <w:p>
      <w:pPr>
        <w:spacing w:after="0" w:line="207"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color w:val="auto"/>
        </w:rPr>
        <w:t>Sch C-1</w:t>
      </w:r>
    </w:p>
    <w:p>
      <w:pPr>
        <w:sectPr>
          <w:pgSz w:w="11900" w:h="16838" w:orient="portrait"/>
          <w:cols w:equalWidth="0" w:num="1">
            <w:col w:w="10219"/>
          </w:cols>
          <w:pgMar w:left="240" w:top="315"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7"/>
          <w:szCs w:val="17"/>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Exhibit A</w:t>
      </w:r>
    </w:p>
    <w:p>
      <w:pPr>
        <w:spacing w:after="0" w:line="207"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FORM OF OPINION OF COMPANY'S COUNSEL</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TO BE DELIVERED PURSUANT TO</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SECTION 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9899"/>
          </w:cols>
          <w:pgMar w:left="560" w:top="315"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7"/>
          <w:szCs w:val="17"/>
          <w:color w:val="auto"/>
        </w:rPr>
        <w:t>32</w:t>
      </w: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Exhibit B</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FORM OF OPINION FOR SPECIAL INTELLECTUAL PROPERTY COUNSEL</w:t>
      </w:r>
    </w:p>
    <w:p>
      <w:pPr>
        <w:spacing w:after="0" w:line="7"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TO BE DELIVERED PURSUANT TO SECTION 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B-1</w:t>
      </w:r>
    </w:p>
    <w:p>
      <w:pPr>
        <w:sectPr>
          <w:pgSz w:w="11900" w:h="16838" w:orient="portrait"/>
          <w:cols w:equalWidth="0" w:num="1">
            <w:col w:w="9899"/>
          </w:cols>
          <w:pgMar w:left="560" w:top="315" w:right="1440" w:bottom="1440" w:gutter="0" w:footer="0" w:header="0"/>
        </w:sectPr>
      </w:pPr>
    </w:p>
    <w:bookmarkStart w:id="104" w:name="page105"/>
    <w:bookmarkEnd w:id="104"/>
    <w:p>
      <w:pPr>
        <w:ind w:left="320"/>
        <w:spacing w:after="0"/>
        <w:rPr>
          <w:sz w:val="20"/>
          <w:szCs w:val="20"/>
          <w:color w:val="auto"/>
        </w:rPr>
      </w:pPr>
      <w:r>
        <w:rPr>
          <w:rFonts w:ascii="Courier New" w:cs="Courier New" w:eastAsia="Courier New" w:hAnsi="Courier New"/>
          <w:sz w:val="17"/>
          <w:szCs w:val="17"/>
          <w:color w:val="auto"/>
        </w:rPr>
        <w:t>33</w:t>
      </w:r>
    </w:p>
    <w:p>
      <w:pPr>
        <w:spacing w:after="0" w:line="200" w:lineRule="exact"/>
        <w:rPr>
          <w:sz w:val="20"/>
          <w:szCs w:val="20"/>
          <w:color w:val="auto"/>
        </w:rPr>
      </w:pP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[FORM OF LOCK-UP FROM DIRECTORS, OFFICERS OR OTHER STOCKHOLDERS PURSUANT TO</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SECTION 5(i)]</w:t>
      </w: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Exhibit C</w:t>
      </w:r>
    </w:p>
    <w:p>
      <w:pPr>
        <w:spacing w:after="0" w:line="207" w:lineRule="exact"/>
        <w:rPr>
          <w:sz w:val="20"/>
          <w:szCs w:val="20"/>
          <w:color w:val="auto"/>
        </w:rPr>
      </w:pPr>
    </w:p>
    <w:p>
      <w:pPr>
        <w:jc w:val="center"/>
        <w:ind w:left="1380"/>
        <w:spacing w:after="0"/>
        <w:tabs>
          <w:tab w:leader="none" w:pos="3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 2001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Merrill Lynch, Pierce, Fenner &amp; Smith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J.P. MORGAN SECURITIES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ROBERTSON STEPHENS, INC.</w:t>
      </w:r>
    </w:p>
    <w:p>
      <w:pPr>
        <w:spacing w:after="0" w:line="7"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as Representative(s) of the several</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Underwriters to be named in the</w:t>
      </w: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within-mentioned Purchase Agreement</w:t>
      </w:r>
    </w:p>
    <w:p>
      <w:pPr>
        <w:spacing w:after="0" w:line="20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C/O</w:t>
        <w:tab/>
        <w:t>MERRILL LYNCH &amp; CO.</w:t>
      </w:r>
    </w:p>
    <w:p>
      <w:pPr>
        <w:spacing w:after="0" w:line="7"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MERRILL LYNCH, PIERCE, FENNER &amp; SMITH</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INCORPORATED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North Tower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World Financial Center</w:t>
      </w:r>
    </w:p>
    <w:p>
      <w:pPr>
        <w:spacing w:after="0" w:line="7"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7"/>
          <w:szCs w:val="17"/>
          <w:color w:val="auto"/>
        </w:rPr>
        <w:t>New York, New York</w:t>
        <w:tab/>
        <w:t>10281</w:t>
      </w:r>
    </w:p>
    <w:p>
      <w:pPr>
        <w:spacing w:after="0" w:line="207" w:lineRule="exact"/>
        <w:rPr>
          <w:sz w:val="20"/>
          <w:szCs w:val="20"/>
          <w:color w:val="auto"/>
        </w:rPr>
      </w:pPr>
    </w:p>
    <w:p>
      <w:pPr>
        <w:jc w:val="both"/>
        <w:ind w:left="1460"/>
        <w:spacing w:after="0"/>
        <w:tabs>
          <w:tab w:leader="none" w:pos="216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Proposed Public Offering by Regeneron Pharmaceuticals,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Sirs:</w:t>
      </w:r>
    </w:p>
    <w:p>
      <w:pPr>
        <w:spacing w:after="0" w:line="207" w:lineRule="exact"/>
        <w:rPr>
          <w:sz w:val="20"/>
          <w:szCs w:val="20"/>
          <w:color w:val="auto"/>
        </w:rPr>
      </w:pPr>
    </w:p>
    <w:p>
      <w:pPr>
        <w:ind w:right="1899" w:firstLine="1870"/>
        <w:spacing w:after="0" w:line="249" w:lineRule="auto"/>
        <w:rPr>
          <w:sz w:val="20"/>
          <w:szCs w:val="20"/>
          <w:color w:val="auto"/>
        </w:rPr>
      </w:pPr>
      <w:r>
        <w:rPr>
          <w:rFonts w:ascii="Courier New" w:cs="Courier New" w:eastAsia="Courier New" w:hAnsi="Courier New"/>
          <w:sz w:val="17"/>
          <w:szCs w:val="17"/>
          <w:color w:val="auto"/>
        </w:rPr>
        <w:t>The undersigned, a stockholder [and an officer and/or director] of Regeneron Pharmaceuticals, Inc. corporation (the "Company"), understands that Merrill Lynch &amp; Co., Merrill Lynch, Pierce, Fenner &amp; Smith Incorporated ("Merrill Lynch"), J.P. Morgan Securities Inc., Robertson Stephens and [ ] propose to enter into a Purchase Agreement (the "Purchase Agreement") with the Company providing for the public offering of shares (the "Securities") of the Company's common stock, par value $0.001 per share (the "Common Stock"). In recognition of the benefit that such an offering will confer upon the undersigned as a stockholder [and an officer and/or director] of the Company, and for other good and valuable consideration, the receipt and sufficiency of which are hereby acknowledged, the undersigned agrees with each underwriter to be named in the Purchase Agreement that, during a period of 90 days from the date of the Purchase Agreement, the undersigned will not, without the prior written consent of Merrill Lynch, directly or indirectly, (i) offer, pledge, sell, contract to sell, sell any option or contract to purchase, purchase any option or contract to sell, grant any option, right or warrant for the sale of, or otherwise dispose of or transfer any shares of the Company's Common Stock or any securities convertible into or exchangeable or exercisable for Common Stock, whether now owned or hereafter acquired by the undersigned or with respect to which the undersigned has or hereafter acquires the power of disposition, or file any registration statement under the Securities Act of 1933, as amended, with respect to any of the foregoing or (ii) enter into any swap or any other agreement or any transaction that transfers, in whole or in part, directly or indirectly, the economic consequence of ownership of the Common Stock, whether any such swap or transaction is to be settled by delivery of Common Stock or other securities, in cash or otherwise.</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C-1</w:t>
      </w:r>
    </w:p>
    <w:p>
      <w:pPr>
        <w:sectPr>
          <w:pgSz w:w="11900" w:h="16838" w:orient="portrait"/>
          <w:cols w:equalWidth="0" w:num="1">
            <w:col w:w="10219"/>
          </w:cols>
          <w:pgMar w:left="240" w:top="315"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7"/>
          <w:szCs w:val="17"/>
          <w:color w:val="auto"/>
        </w:rPr>
        <w:t>34</w:t>
      </w:r>
    </w:p>
    <w:p>
      <w:pPr>
        <w:spacing w:after="0" w:line="207"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Signature:</w:t>
      </w:r>
    </w:p>
    <w:p>
      <w:pPr>
        <w:spacing w:after="0" w:line="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Print Name:</w:t>
      </w:r>
    </w:p>
    <w:p>
      <w:pPr>
        <w:spacing w:after="0" w:line="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C-2</w:t>
      </w:r>
    </w:p>
    <w:p>
      <w:pPr>
        <w:sectPr>
          <w:pgSz w:w="11900" w:h="16838" w:orient="portrait"/>
          <w:cols w:equalWidth="0" w:num="1">
            <w:col w:w="9899"/>
          </w:cols>
          <w:pgMar w:left="560" w:top="315" w:right="1440" w:bottom="1440" w:gutter="0" w:footer="0" w:header="0"/>
        </w:sectPr>
      </w:pPr>
    </w:p>
    <w:bookmarkStart w:id="106" w:name="page107"/>
    <w:bookmarkEnd w:id="106"/>
    <w:p>
      <w:pPr>
        <w:ind w:left="320"/>
        <w:spacing w:after="0"/>
        <w:rPr>
          <w:sz w:val="20"/>
          <w:szCs w:val="20"/>
          <w:color w:val="auto"/>
        </w:rPr>
      </w:pPr>
      <w:r>
        <w:rPr>
          <w:rFonts w:ascii="Courier New" w:cs="Courier New" w:eastAsia="Courier New" w:hAnsi="Courier New"/>
          <w:sz w:val="17"/>
          <w:szCs w:val="17"/>
          <w:color w:val="auto"/>
        </w:rPr>
        <w:t>1</w:t>
      </w:r>
    </w:p>
    <w:p>
      <w:pPr>
        <w:spacing w:after="0" w:line="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Exhibit 5</w:t>
      </w:r>
    </w:p>
    <w:p>
      <w:pPr>
        <w:spacing w:after="0" w:line="200" w:lineRule="exact"/>
        <w:rPr>
          <w:sz w:val="20"/>
          <w:szCs w:val="20"/>
          <w:color w:val="auto"/>
        </w:rPr>
      </w:pPr>
    </w:p>
    <w:p>
      <w:pPr>
        <w:spacing w:after="0" w:line="20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Skadden, Arps, Slate, Meagher &amp; Flom LLP</w:t>
      </w:r>
    </w:p>
    <w:p>
      <w:pPr>
        <w:spacing w:after="0" w:line="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7"/>
          <w:szCs w:val="17"/>
          <w:color w:val="auto"/>
        </w:rPr>
        <w:t>Four Times Square</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New York, NY 10036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March 2,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777 Old Saw Mill River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Tarrytown, New York 10591-6707</w:t>
      </w:r>
    </w:p>
    <w:p>
      <w:pPr>
        <w:spacing w:after="0" w:line="207"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Re: Regeneron Pharmaceuticals, Inc.</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REGISTRATION STATEMENT ON FORM S-3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207" w:lineRule="exact"/>
        <w:rPr>
          <w:sz w:val="20"/>
          <w:szCs w:val="20"/>
          <w:color w:val="auto"/>
        </w:rPr>
      </w:pPr>
    </w:p>
    <w:p>
      <w:pPr>
        <w:ind w:right="1999" w:firstLine="1558"/>
        <w:spacing w:after="0" w:line="249" w:lineRule="auto"/>
        <w:rPr>
          <w:sz w:val="20"/>
          <w:szCs w:val="20"/>
          <w:color w:val="auto"/>
        </w:rPr>
      </w:pPr>
      <w:r>
        <w:rPr>
          <w:rFonts w:ascii="Courier New" w:cs="Courier New" w:eastAsia="Courier New" w:hAnsi="Courier New"/>
          <w:sz w:val="17"/>
          <w:szCs w:val="17"/>
          <w:color w:val="auto"/>
        </w:rPr>
        <w:t>We have acted as special counsel to Regeneron Pharmaceuticals, Inc., a New York corporation (the "Company"), in connection with the public offering by the Company of up to 4,000,000 shares (the "Initial Shares") of the Company's Common Stock, par value $0.001 per share (the "Common Stock"), and an additional 600,000 shares of Common Stock subject to an over-allotment option granted by the Company to the Underwriters (together with the Initial Shares, the "Shares").</w:t>
      </w:r>
    </w:p>
    <w:p>
      <w:pPr>
        <w:spacing w:after="0" w:line="200" w:lineRule="exact"/>
        <w:rPr>
          <w:sz w:val="20"/>
          <w:szCs w:val="20"/>
          <w:color w:val="auto"/>
        </w:rPr>
      </w:pPr>
    </w:p>
    <w:p>
      <w:pPr>
        <w:ind w:right="2219" w:firstLine="1558"/>
        <w:spacing w:after="0" w:line="250" w:lineRule="auto"/>
        <w:rPr>
          <w:sz w:val="20"/>
          <w:szCs w:val="20"/>
          <w:color w:val="auto"/>
        </w:rPr>
      </w:pPr>
      <w:r>
        <w:rPr>
          <w:rFonts w:ascii="Courier New" w:cs="Courier New" w:eastAsia="Courier New" w:hAnsi="Courier New"/>
          <w:sz w:val="17"/>
          <w:szCs w:val="17"/>
          <w:color w:val="auto"/>
        </w:rPr>
        <w:t>This opinion is being furnished in accordance with the requirements of Item 601(b) (5) of Regulation S-K under the Securities Act of 1933, as amended (the "Securities Act").</w:t>
      </w:r>
    </w:p>
    <w:p>
      <w:pPr>
        <w:spacing w:after="0" w:line="197" w:lineRule="exact"/>
        <w:rPr>
          <w:sz w:val="20"/>
          <w:szCs w:val="20"/>
          <w:color w:val="auto"/>
        </w:rPr>
      </w:pPr>
    </w:p>
    <w:p>
      <w:pPr>
        <w:ind w:right="1999" w:firstLine="1558"/>
        <w:spacing w:after="0" w:line="249" w:lineRule="auto"/>
        <w:rPr>
          <w:sz w:val="20"/>
          <w:szCs w:val="20"/>
          <w:color w:val="auto"/>
        </w:rPr>
      </w:pPr>
      <w:r>
        <w:rPr>
          <w:rFonts w:ascii="Courier New" w:cs="Courier New" w:eastAsia="Courier New" w:hAnsi="Courier New"/>
          <w:sz w:val="17"/>
          <w:szCs w:val="17"/>
          <w:color w:val="auto"/>
        </w:rPr>
        <w:t>In connection with this opinion, we have examined originals or copies, certified or otherwise identified to our satisfaction, of (i) the Registration Statement on Form S-3 (File No. 333-54326), as filed with the Securities and Exchange Commission (the "Commission") on January 25, 2001 under the Securities Act, and Amendment No. 1 to the Registration Statement, as filed with the Commission on the date hereof (such Registration Statement, as so amended, being hereinafter referred to as the "Registration Statement"); (ii) the form of the Underwriting</w:t>
      </w:r>
    </w:p>
    <w:p>
      <w:pPr>
        <w:spacing w:after="0" w:line="4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142" w:right="1440" w:bottom="1440" w:gutter="0" w:footer="0" w:header="0"/>
        </w:sectPr>
      </w:pPr>
    </w:p>
    <w:bookmarkStart w:id="107" w:name="page108"/>
    <w:bookmarkEnd w:id="107"/>
    <w:p>
      <w:pPr>
        <w:ind w:left="32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2, 2001</w:t>
      </w:r>
    </w:p>
    <w:p>
      <w:pPr>
        <w:spacing w:after="0" w:line="20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Agreement (the "Underwriting Agreement") proposed to be entered into between the Company, as issuer, and Merrill Lynch, Pierce, Fenner &amp; Smith Incorporated, J.P. Morgan Securities Inc. and Robertson Stephens Inc., as underwriters (the "Under writers"), filed as an exhibit to the Registration Statement; (iii) a specimen certificate evidencing the Common Stock; (iv) the Restated Certificate of Incorporation of the Company, as presently in effect; (v) the By-laws of the Company, as presently in effect; and (vi) certain resolutions of the Board of Directors of the Company dated January 4, 2001, relating to the issuance and sale of the shares and related matters. 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 set forth herein.</w:t>
      </w:r>
    </w:p>
    <w:p>
      <w:pPr>
        <w:spacing w:after="0" w:line="200" w:lineRule="exact"/>
        <w:rPr>
          <w:sz w:val="20"/>
          <w:szCs w:val="20"/>
          <w:color w:val="auto"/>
        </w:rPr>
      </w:pPr>
    </w:p>
    <w:p>
      <w:pPr>
        <w:ind w:right="1899" w:firstLine="1558"/>
        <w:spacing w:after="0" w:line="249" w:lineRule="auto"/>
        <w:rPr>
          <w:sz w:val="20"/>
          <w:szCs w:val="20"/>
          <w:color w:val="auto"/>
        </w:rPr>
      </w:pPr>
      <w:r>
        <w:rPr>
          <w:rFonts w:ascii="Courier New" w:cs="Courier New" w:eastAsia="Courier New" w:hAnsi="Courier New"/>
          <w:sz w:val="17"/>
          <w:szCs w:val="17"/>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conformed or photostatic copies and the authenticity of the originals of such latter documents. In making our examination of documents executed or to be executed by parties other than the Company, its directors and officers, we have assumed that such parties had or will have the power, corporate or other, to enter into and perform all obligations thereunder and have also assumed the due authorization by all requisite action, corporate or other, and execution and delivery by such parties of such documents and the validity and binding effect thereof. As to any facts material to the opinion expressed herein which we have not independently established or verified, we have relied upon statements and representations of officers and other representatives of the Company and others.</w:t>
      </w:r>
    </w:p>
    <w:p>
      <w:pPr>
        <w:spacing w:after="0" w:line="200" w:lineRule="exact"/>
        <w:rPr>
          <w:sz w:val="20"/>
          <w:szCs w:val="20"/>
          <w:color w:val="auto"/>
        </w:rPr>
      </w:pPr>
    </w:p>
    <w:p>
      <w:pPr>
        <w:ind w:right="2099" w:firstLine="1558"/>
        <w:spacing w:after="0" w:line="250" w:lineRule="auto"/>
        <w:rPr>
          <w:sz w:val="20"/>
          <w:szCs w:val="20"/>
          <w:color w:val="auto"/>
        </w:rPr>
      </w:pPr>
      <w:r>
        <w:rPr>
          <w:rFonts w:ascii="Courier New" w:cs="Courier New" w:eastAsia="Courier New" w:hAnsi="Courier New"/>
          <w:sz w:val="17"/>
          <w:szCs w:val="17"/>
          <w:color w:val="auto"/>
        </w:rPr>
        <w:t>Members of our firm are admitted to the bar in the State of New York, and we do not express any opinion as to the laws of any other jurisdiction.</w:t>
      </w:r>
    </w:p>
    <w:p>
      <w:pPr>
        <w:spacing w:after="0" w:line="197" w:lineRule="exact"/>
        <w:rPr>
          <w:sz w:val="20"/>
          <w:szCs w:val="20"/>
          <w:color w:val="auto"/>
        </w:rPr>
      </w:pPr>
    </w:p>
    <w:p>
      <w:pPr>
        <w:ind w:right="1999" w:firstLine="1558"/>
        <w:spacing w:after="0" w:line="249" w:lineRule="auto"/>
        <w:rPr>
          <w:sz w:val="20"/>
          <w:szCs w:val="20"/>
          <w:color w:val="auto"/>
        </w:rPr>
      </w:pPr>
      <w:r>
        <w:rPr>
          <w:rFonts w:ascii="Courier New" w:cs="Courier New" w:eastAsia="Courier New" w:hAnsi="Courier New"/>
          <w:sz w:val="17"/>
          <w:szCs w:val="17"/>
          <w:color w:val="auto"/>
        </w:rPr>
        <w:t>Based upon and subject to the foregoing, we are of the opinion that when (i) the Registration Statement becomes effective under the Securities Act; (ii) the Underwriting Agreement has been duly executed and delivered; and (iii) the</w:t>
      </w:r>
    </w:p>
    <w:p>
      <w:pPr>
        <w:spacing w:after="0" w:line="4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5" w:right="1440" w:bottom="1440" w:gutter="0" w:footer="0" w:header="0"/>
        </w:sectPr>
      </w:pPr>
    </w:p>
    <w:bookmarkStart w:id="108" w:name="page109"/>
    <w:bookmarkEnd w:id="108"/>
    <w:p>
      <w:pPr>
        <w:ind w:left="3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Regeneron Pharmaceuticals,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2, 2001</w:t>
      </w:r>
    </w:p>
    <w:p>
      <w:pPr>
        <w:spacing w:after="0" w:line="200" w:lineRule="exact"/>
        <w:rPr>
          <w:sz w:val="20"/>
          <w:szCs w:val="20"/>
          <w:color w:val="auto"/>
        </w:rPr>
      </w:pP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certificates representing the Shares, in the form of the specimen certificates examined by us, have been manually signed by an authorized officer of the transfer agent and registrar for the Common Stock and registered by such transfer agent and registrar, and delivered to and paid for by the Underwriters at a price per share not less than the per share par value of the Common Stock as contemplated by the Underwriting Agreement, the issuance and sale of the Shares will have been duly authorized, and the Shares will be validly issued, fully paid and nonassessable.</w:t>
      </w:r>
    </w:p>
    <w:p>
      <w:pPr>
        <w:spacing w:after="0" w:line="200" w:lineRule="exact"/>
        <w:rPr>
          <w:sz w:val="20"/>
          <w:szCs w:val="20"/>
          <w:color w:val="auto"/>
        </w:rPr>
      </w:pPr>
    </w:p>
    <w:p>
      <w:pPr>
        <w:ind w:right="1899" w:firstLine="1558"/>
        <w:spacing w:after="0" w:line="249" w:lineRule="auto"/>
        <w:rPr>
          <w:sz w:val="20"/>
          <w:szCs w:val="20"/>
          <w:color w:val="auto"/>
        </w:rPr>
      </w:pPr>
      <w:r>
        <w:rPr>
          <w:rFonts w:ascii="Courier New" w:cs="Courier New" w:eastAsia="Courier New" w:hAnsi="Courier New"/>
          <w:sz w:val="17"/>
          <w:szCs w:val="17"/>
          <w:color w:val="auto"/>
        </w:rPr>
        <w:t>In connection with rendering the opinion set forth above, we draw your attention to Section 630 of the New York Business Corporation Law (the "NYBCL"), which may impose certain liabilities on certain shareholders of New York corporations that have no shares listed on a national securities exchange or regularly quoted in an over-the-counter market. Section 630 of the NYBCL does not presently apply to the Company, and we have assumed that such section will continue to be inapplicable to the Company.</w:t>
      </w:r>
    </w:p>
    <w:p>
      <w:pPr>
        <w:spacing w:after="0" w:line="200" w:lineRule="exact"/>
        <w:rPr>
          <w:sz w:val="20"/>
          <w:szCs w:val="20"/>
          <w:color w:val="auto"/>
        </w:rPr>
      </w:pPr>
    </w:p>
    <w:p>
      <w:pPr>
        <w:ind w:right="1999" w:firstLine="1558"/>
        <w:spacing w:after="0" w:line="249" w:lineRule="auto"/>
        <w:rPr>
          <w:sz w:val="20"/>
          <w:szCs w:val="20"/>
          <w:color w:val="auto"/>
        </w:rPr>
      </w:pPr>
      <w:r>
        <w:rPr>
          <w:rFonts w:ascii="Courier New" w:cs="Courier New" w:eastAsia="Courier New" w:hAnsi="Courier New"/>
          <w:sz w:val="17"/>
          <w:szCs w:val="17"/>
          <w:color w:val="auto"/>
        </w:rPr>
        <w:t>We hereby consent to the filing of this opinion with the Commission as an exhibit to the Registration Statement. We also consent to the reference to our firm under the caption "Legal Matters" in the Registration Statement. In giving such consent, we do not thereby admit that we are included in the category of persons whose consent is required under Section 7 of the Securities Act or the rules and regulations of the Commission.</w:t>
      </w:r>
    </w:p>
    <w:p>
      <w:pPr>
        <w:spacing w:after="0" w:line="200"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Very truly yours,</w:t>
      </w:r>
    </w:p>
    <w:p>
      <w:pPr>
        <w:spacing w:after="0" w:line="7"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/s/ Skadden, Arps, Slate, Meagher &amp; Flom LLP</w:t>
      </w:r>
    </w:p>
    <w:p>
      <w:pPr>
        <w:spacing w:after="0" w:line="200" w:lineRule="exact"/>
        <w:rPr>
          <w:sz w:val="20"/>
          <w:szCs w:val="20"/>
          <w:color w:val="auto"/>
        </w:rPr>
      </w:pPr>
    </w:p>
    <w:p>
      <w:pPr>
        <w:spacing w:after="0" w:line="20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5" w:right="1440" w:bottom="1440" w:gutter="0" w:footer="0" w:header="0"/>
        </w:sectPr>
      </w:pPr>
    </w:p>
    <w:bookmarkStart w:id="109" w:name="page110"/>
    <w:bookmarkEnd w:id="109"/>
    <w:p>
      <w:pPr>
        <w:ind w:left="320"/>
        <w:spacing w:after="0"/>
        <w:rPr>
          <w:sz w:val="20"/>
          <w:szCs w:val="20"/>
          <w:color w:val="auto"/>
        </w:rPr>
      </w:pPr>
      <w:r>
        <w:rPr>
          <w:rFonts w:ascii="Courier New" w:cs="Courier New" w:eastAsia="Courier New" w:hAnsi="Courier New"/>
          <w:sz w:val="17"/>
          <w:szCs w:val="17"/>
          <w:color w:val="auto"/>
        </w:rPr>
        <w:t>1</w:t>
      </w:r>
    </w:p>
    <w:p>
      <w:pPr>
        <w:spacing w:after="0" w:line="20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EXHIBIT 23.1</w:t>
      </w:r>
    </w:p>
    <w:p>
      <w:pPr>
        <w:spacing w:after="0" w:line="207"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200" w:lineRule="exact"/>
        <w:rPr>
          <w:sz w:val="20"/>
          <w:szCs w:val="20"/>
          <w:color w:val="auto"/>
        </w:rPr>
      </w:pPr>
    </w:p>
    <w:p>
      <w:pPr>
        <w:spacing w:after="0" w:line="207" w:lineRule="exact"/>
        <w:rPr>
          <w:sz w:val="20"/>
          <w:szCs w:val="20"/>
          <w:color w:val="auto"/>
        </w:rPr>
      </w:pPr>
    </w:p>
    <w:p>
      <w:pPr>
        <w:ind w:right="2219" w:firstLine="519"/>
        <w:spacing w:after="0" w:line="249" w:lineRule="auto"/>
        <w:rPr>
          <w:sz w:val="20"/>
          <w:szCs w:val="20"/>
          <w:color w:val="auto"/>
        </w:rPr>
      </w:pPr>
      <w:r>
        <w:rPr>
          <w:rFonts w:ascii="Courier New" w:cs="Courier New" w:eastAsia="Courier New" w:hAnsi="Courier New"/>
          <w:sz w:val="17"/>
          <w:szCs w:val="17"/>
          <w:color w:val="auto"/>
        </w:rPr>
        <w:t>We hereby consent to the incorporation by reference in this Registration Statement on Form S-3 of our report, which is based in part on the report of other auditors, dated February 7, 2001 relating to the financial statements, which appears in Regeneron Pharmaceuticals, Inc.'s Annual Report on Form 10-K for the year ended December 31, 2000. We also consent to the reference to us under the heading "Experts" in such Registration Statement.</w:t>
      </w:r>
    </w:p>
    <w:p>
      <w:pPr>
        <w:spacing w:after="0" w:line="200" w:lineRule="exact"/>
        <w:rPr>
          <w:sz w:val="20"/>
          <w:szCs w:val="20"/>
          <w:color w:val="auto"/>
        </w:rPr>
      </w:pPr>
    </w:p>
    <w:p>
      <w:pPr>
        <w:spacing w:after="0" w:line="399"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PricewaterhouseCoopers LLP</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York, New York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1, 2001</w:t>
      </w:r>
    </w:p>
    <w:p>
      <w:pPr>
        <w:sectPr>
          <w:pgSz w:w="11900" w:h="16838" w:orient="portrait"/>
          <w:cols w:equalWidth="0" w:num="1">
            <w:col w:w="10219"/>
          </w:cols>
          <w:pgMar w:left="240" w:top="142" w:right="1440" w:bottom="1440" w:gutter="0" w:footer="0" w:header="0"/>
        </w:sectPr>
      </w:pPr>
    </w:p>
    <w:bookmarkStart w:id="110" w:name="page111"/>
    <w:bookmarkEnd w:id="110"/>
    <w:p>
      <w:pPr>
        <w:ind w:left="320"/>
        <w:spacing w:after="0"/>
        <w:rPr>
          <w:sz w:val="20"/>
          <w:szCs w:val="20"/>
          <w:color w:val="auto"/>
        </w:rPr>
      </w:pPr>
      <w:r>
        <w:rPr>
          <w:rFonts w:ascii="Courier New" w:cs="Courier New" w:eastAsia="Courier New" w:hAnsi="Courier New"/>
          <w:sz w:val="17"/>
          <w:szCs w:val="17"/>
          <w:color w:val="auto"/>
        </w:rPr>
        <w:t>1</w:t>
      </w:r>
    </w:p>
    <w:p>
      <w:pPr>
        <w:spacing w:after="0" w:line="20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EXHIBIT 23.2</w:t>
      </w: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CONSENT OF ERNST &amp; YOUNG LLP, INDEPENDENT AUDITORS</w:t>
      </w:r>
    </w:p>
    <w:p>
      <w:pPr>
        <w:spacing w:after="0" w:line="200" w:lineRule="exact"/>
        <w:rPr>
          <w:sz w:val="20"/>
          <w:szCs w:val="20"/>
          <w:color w:val="auto"/>
        </w:rPr>
      </w:pPr>
    </w:p>
    <w:p>
      <w:pPr>
        <w:spacing w:after="0" w:line="207" w:lineRule="exact"/>
        <w:rPr>
          <w:sz w:val="20"/>
          <w:szCs w:val="20"/>
          <w:color w:val="auto"/>
        </w:rPr>
      </w:pPr>
    </w:p>
    <w:p>
      <w:pPr>
        <w:ind w:right="1899" w:firstLine="519"/>
        <w:spacing w:after="0" w:line="249" w:lineRule="auto"/>
        <w:rPr>
          <w:sz w:val="20"/>
          <w:szCs w:val="20"/>
          <w:color w:val="auto"/>
        </w:rPr>
      </w:pPr>
      <w:r>
        <w:rPr>
          <w:rFonts w:ascii="Courier New" w:cs="Courier New" w:eastAsia="Courier New" w:hAnsi="Courier New"/>
          <w:sz w:val="17"/>
          <w:szCs w:val="17"/>
          <w:color w:val="auto"/>
        </w:rPr>
        <w:t>We consent to the reference to our firm under the caption "Experts" in the Registration Statement (Form S-3 No. 333-54326, as amended) and related Prospectus of Regeneron Pharmaceuticals, Inc. for the registration of 4,600,000 shares of its common stock and to the incorporation by reference therein of our report dated February 2, 2001, with respect to the financial statements of Amgen Regeneron Partners included in Regeneron Pharmaceuticals, Inc.'s Annual Report (Form 10-K) for the year ended December 31, 2000, filed with the Securities and Exchange Commission.</w:t>
      </w:r>
    </w:p>
    <w:p>
      <w:pPr>
        <w:spacing w:after="0" w:line="200" w:lineRule="exact"/>
        <w:rPr>
          <w:sz w:val="20"/>
          <w:szCs w:val="20"/>
          <w:color w:val="auto"/>
        </w:rPr>
      </w:pPr>
    </w:p>
    <w:p>
      <w:pPr>
        <w:spacing w:after="0" w:line="399"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/s/ Ernst &amp; Young LLP</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Los Angeles, California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1, 2001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1)"/>
      <w:numFmt w:val="decimal"/>
      <w:start w:val="2"/>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1"/>
      <w:numFmt w:val="bullet"/>
      <w:start w:val="1"/>
    </w:lvl>
  </w:abstractNum>
  <w:abstractNum w:abstractNumId="25">
    <w:nsid w:val="542289EC"/>
    <w:multiLevelType w:val="hybridMultilevel"/>
    <w:lvl w:ilvl="0">
      <w:lvlJc w:val="left"/>
      <w:lvlText w:val="5"/>
      <w:numFmt w:val="bullet"/>
      <w:start w:val="1"/>
    </w:lvl>
  </w:abstractNum>
  <w:abstractNum w:abstractNumId="26">
    <w:nsid w:val="6DE91B18"/>
    <w:multiLevelType w:val="hybridMultilevel"/>
    <w:lvl w:ilvl="0">
      <w:lvlJc w:val="left"/>
      <w:lvlText w:val="%1"/>
      <w:numFmt w:val="decimal"/>
      <w:start w:val="24"/>
    </w:lvl>
  </w:abstractNum>
  <w:abstractNum w:abstractNumId="27">
    <w:nsid w:val="38437FDB"/>
    <w:multiLevelType w:val="hybridMultilevel"/>
    <w:lvl w:ilvl="0">
      <w:lvlJc w:val="left"/>
      <w:lvlText w:val="%1"/>
      <w:numFmt w:val="decimal"/>
      <w:start w:val="1"/>
    </w:lvl>
    <w:lvl w:ilvl="1">
      <w:lvlJc w:val="left"/>
      <w:lvlText w:val="(%2)"/>
      <w:numFmt w:val="decimal"/>
      <w:start w:val="1"/>
    </w:lvl>
  </w:abstractNum>
  <w:abstractNum w:abstractNumId="28">
    <w:nsid w:val="7644A45C"/>
    <w:multiLevelType w:val="hybridMultilevel"/>
    <w:lvl w:ilvl="0">
      <w:lvlJc w:val="left"/>
      <w:lvlText w:val="(%1)"/>
      <w:numFmt w:val="decimal"/>
      <w:start w:val="4"/>
    </w:lvl>
    <w:lvl w:ilvl="1">
      <w:lvlJc w:val="left"/>
      <w:lvlText w:val="(%2)"/>
      <w:numFmt w:val="decimal"/>
      <w:start w:val="2"/>
    </w:lvl>
  </w:abstractNum>
  <w:abstractNum w:abstractNumId="29">
    <w:nsid w:val="32FFF902"/>
    <w:multiLevelType w:val="hybridMultilevel"/>
    <w:lvl w:ilvl="0">
      <w:lvlJc w:val="left"/>
      <w:lvlText w:val="-"/>
      <w:numFmt w:val="bullet"/>
      <w:start w:val="1"/>
    </w:lvl>
    <w:lvl w:ilvl="1">
      <w:lvlJc w:val="left"/>
      <w:lvlText w:val="%2"/>
      <w:numFmt w:val="upperLetter"/>
      <w:start w:val="1"/>
    </w:lvl>
  </w:abstractNum>
  <w:abstractNum w:abstractNumId="30">
    <w:nsid w:val="684A481A"/>
    <w:multiLevelType w:val="hybridMultilevel"/>
    <w:lvl w:ilvl="0">
      <w:lvlJc w:val="left"/>
      <w:lvlText w:val="1"/>
      <w:numFmt w:val="bullet"/>
      <w:start w:val="1"/>
    </w:lvl>
  </w:abstractNum>
  <w:abstractNum w:abstractNumId="31">
    <w:nsid w:val="579478FE"/>
    <w:multiLevelType w:val="hybridMultilevel"/>
    <w:lvl w:ilvl="0">
      <w:lvlJc w:val="left"/>
      <w:lvlText w:val="5"/>
      <w:numFmt w:val="bullet"/>
      <w:start w:val="1"/>
    </w:lvl>
  </w:abstractNum>
  <w:abstractNum w:abstractNumId="32">
    <w:nsid w:val="749ABB43"/>
    <w:multiLevelType w:val="hybridMultilevel"/>
    <w:lvl w:ilvl="0">
      <w:lvlJc w:val="left"/>
      <w:lvlText w:val="%1"/>
      <w:numFmt w:val="decimal"/>
      <w:start w:val="24"/>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1)"/>
      <w:numFmt w:val="lowerLetter"/>
      <w:start w:val="1"/>
    </w:lvl>
  </w:abstractNum>
  <w:abstractNum w:abstractNumId="35">
    <w:nsid w:val="79A1DEAA"/>
    <w:multiLevelType w:val="hybridMultilevel"/>
    <w:lvl w:ilvl="0">
      <w:lvlJc w:val="left"/>
      <w:lvlText w:val="(%1)"/>
      <w:numFmt w:val="lowerRoman"/>
      <w:start w:val="1"/>
    </w:lvl>
  </w:abstractNum>
  <w:abstractNum w:abstractNumId="36">
    <w:nsid w:val="75C6C33A"/>
    <w:multiLevelType w:val="hybridMultilevel"/>
    <w:lvl w:ilvl="0">
      <w:lvlJc w:val="left"/>
      <w:lvlText w:val="(%1)"/>
      <w:numFmt w:val="lowerRoman"/>
      <w:start w:val="2"/>
    </w:lvl>
  </w:abstractNum>
  <w:abstractNum w:abstractNumId="37">
    <w:nsid w:val="12E685FB"/>
    <w:multiLevelType w:val="hybridMultilevel"/>
    <w:lvl w:ilvl="0">
      <w:lvlJc w:val="left"/>
      <w:lvlText w:val="(%1)"/>
      <w:numFmt w:val="lowerRoman"/>
      <w:start w:val="7"/>
    </w:lvl>
  </w:abstractNum>
  <w:abstractNum w:abstractNumId="38">
    <w:nsid w:val="70C6A529"/>
    <w:multiLevelType w:val="hybridMultilevel"/>
    <w:lvl w:ilvl="0">
      <w:lvlJc w:val="left"/>
      <w:lvlText w:val="(%1)"/>
      <w:numFmt w:val="lowerRoman"/>
      <w:start w:val="12"/>
    </w:lvl>
  </w:abstractNum>
  <w:abstractNum w:abstractNumId="39">
    <w:nsid w:val="520EEDD1"/>
    <w:multiLevelType w:val="hybridMultilevel"/>
    <w:lvl w:ilvl="0">
      <w:lvlJc w:val="left"/>
      <w:lvlText w:val="(%1)"/>
      <w:numFmt w:val="lowerRoman"/>
      <w:start w:val="14"/>
    </w:lvl>
  </w:abstractNum>
  <w:abstractNum w:abstractNumId="40">
    <w:nsid w:val="374A3FE6"/>
    <w:multiLevelType w:val="hybridMultilevel"/>
    <w:lvl w:ilvl="0">
      <w:lvlJc w:val="left"/>
      <w:lvlText w:val="(%1)"/>
      <w:numFmt w:val="lowerRoman"/>
      <w:start w:val="18"/>
    </w:lvl>
  </w:abstractNum>
  <w:abstractNum w:abstractNumId="41">
    <w:nsid w:val="4F4EF005"/>
    <w:multiLevelType w:val="hybridMultilevel"/>
    <w:lvl w:ilvl="0">
      <w:lvlJc w:val="left"/>
      <w:lvlText w:val="(%1)"/>
      <w:numFmt w:val="lowerRoman"/>
      <w:start w:val="21"/>
    </w:lvl>
  </w:abstractNum>
  <w:abstractNum w:abstractNumId="42">
    <w:nsid w:val="23F9C13C"/>
    <w:multiLevelType w:val="hybridMultilevel"/>
    <w:lvl w:ilvl="0">
      <w:lvlJc w:val="left"/>
      <w:lvlText w:val="(%1)"/>
      <w:numFmt w:val="lowerLetter"/>
      <w:start w:val="2"/>
    </w:lvl>
  </w:abstractNum>
  <w:abstractNum w:abstractNumId="43">
    <w:nsid w:val="649BB77C"/>
    <w:multiLevelType w:val="hybridMultilevel"/>
    <w:lvl w:ilvl="0">
      <w:lvlJc w:val="left"/>
      <w:lvlText w:val="(%1)"/>
      <w:numFmt w:val="lowerLetter"/>
      <w:start w:val="1"/>
    </w:lvl>
  </w:abstractNum>
  <w:abstractNum w:abstractNumId="44">
    <w:nsid w:val="275AC794"/>
    <w:multiLevelType w:val="hybridMultilevel"/>
    <w:lvl w:ilvl="0">
      <w:lvlJc w:val="left"/>
      <w:lvlText w:val="(%1)"/>
      <w:numFmt w:val="lowerLetter"/>
      <w:start w:val="3"/>
    </w:lvl>
  </w:abstractNum>
  <w:abstractNum w:abstractNumId="45">
    <w:nsid w:val="39386575"/>
    <w:multiLevelType w:val="hybridMultilevel"/>
    <w:lvl w:ilvl="0">
      <w:lvlJc w:val="left"/>
      <w:lvlText w:val="(%1)"/>
      <w:numFmt w:val="lowerLetter"/>
      <w:start w:val="4"/>
    </w:lvl>
  </w:abstractNum>
  <w:abstractNum w:abstractNumId="46">
    <w:nsid w:val="1CF10FD8"/>
    <w:multiLevelType w:val="hybridMultilevel"/>
    <w:lvl w:ilvl="0">
      <w:lvlJc w:val="left"/>
      <w:lvlText w:val="(%1)"/>
      <w:numFmt w:val="lowerLetter"/>
      <w:start w:val="1"/>
    </w:lvl>
  </w:abstractNum>
  <w:abstractNum w:abstractNumId="47">
    <w:nsid w:val="180115BE"/>
    <w:multiLevelType w:val="hybridMultilevel"/>
    <w:lvl w:ilvl="0">
      <w:lvlJc w:val="left"/>
      <w:lvlText w:val="(%1)"/>
      <w:numFmt w:val="lowerLetter"/>
      <w:start w:val="2"/>
    </w:lvl>
  </w:abstractNum>
  <w:abstractNum w:abstractNumId="48">
    <w:nsid w:val="235BA861"/>
    <w:multiLevelType w:val="hybridMultilevel"/>
    <w:lvl w:ilvl="0">
      <w:lvlJc w:val="left"/>
      <w:lvlText w:val="(%1)"/>
      <w:numFmt w:val="lowerLetter"/>
      <w:start w:val="5"/>
    </w:lvl>
  </w:abstractNum>
  <w:abstractNum w:abstractNumId="49">
    <w:nsid w:val="47398C89"/>
    <w:multiLevelType w:val="hybridMultilevel"/>
    <w:lvl w:ilvl="0">
      <w:lvlJc w:val="left"/>
      <w:lvlText w:val="(%1)"/>
      <w:numFmt w:val="lowerLetter"/>
      <w:start w:val="9"/>
    </w:lvl>
  </w:abstractNum>
  <w:abstractNum w:abstractNumId="50">
    <w:nsid w:val="354FE9F9"/>
    <w:multiLevelType w:val="hybridMultilevel"/>
    <w:lvl w:ilvl="0">
      <w:lvlJc w:val="left"/>
      <w:lvlText w:val="(%1)"/>
      <w:numFmt w:val="lowerLetter"/>
      <w:start w:val="1"/>
    </w:lvl>
  </w:abstractNum>
  <w:abstractNum w:abstractNumId="51">
    <w:nsid w:val="15B5AF5C"/>
    <w:multiLevelType w:val="hybridMultilevel"/>
    <w:lvl w:ilvl="0">
      <w:lvlJc w:val="left"/>
      <w:lvlText w:val="(%1)"/>
      <w:numFmt w:val="lowerLetter"/>
      <w:start w:val="2"/>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lowerLetter"/>
      <w:start w:val="4"/>
    </w:lvl>
  </w:abstractNum>
  <w:abstractNum w:abstractNumId="54">
    <w:nsid w:val="10233C99"/>
    <w:multiLevelType w:val="hybridMultilevel"/>
    <w:lvl w:ilvl="0">
      <w:lvlJc w:val="left"/>
      <w:lvlText w:val="(%1)"/>
      <w:numFmt w:val="lowerLetter"/>
      <w:start w:val="10"/>
    </w:lvl>
  </w:abstractNum>
  <w:abstractNum w:abstractNumId="55">
    <w:nsid w:val="3F6AB60F"/>
    <w:multiLevelType w:val="hybridMultilevel"/>
    <w:lvl w:ilvl="0">
      <w:lvlJc w:val="left"/>
      <w:lvlText w:val="(%1)"/>
      <w:numFmt w:val="lowerRoman"/>
      <w:start w:val="1"/>
    </w:lvl>
  </w:abstractNum>
  <w:abstractNum w:abstractNumId="56">
    <w:nsid w:val="61574095"/>
    <w:multiLevelType w:val="hybridMultilevel"/>
    <w:lvl w:ilvl="0">
      <w:lvlJc w:val="left"/>
      <w:lvlText w:val="(%1)"/>
      <w:numFmt w:val="lowerLetter"/>
      <w:start w:val="11"/>
    </w:lvl>
  </w:abstractNum>
  <w:abstractNum w:abstractNumId="57">
    <w:nsid w:val="7E0C57B1"/>
    <w:multiLevelType w:val="hybridMultilevel"/>
    <w:lvl w:ilvl="0">
      <w:lvlJc w:val="left"/>
      <w:lvlText w:val="(%1)"/>
      <w:numFmt w:val="lowerLetter"/>
      <w:start w:val="1"/>
    </w:lvl>
  </w:abstractNum>
  <w:abstractNum w:abstractNumId="58">
    <w:nsid w:val="77AE35EB"/>
    <w:multiLevelType w:val="hybridMultilevel"/>
    <w:lvl w:ilvl="0">
      <w:lvlJc w:val="left"/>
      <w:lvlText w:val="(%1)"/>
      <w:numFmt w:val="lowerRoman"/>
      <w:start w:val="1"/>
    </w:lvl>
  </w:abstractNum>
  <w:abstractNum w:abstractNumId="59">
    <w:nsid w:val="579BE4F1"/>
    <w:multiLevelType w:val="hybridMultilevel"/>
    <w:lvl w:ilvl="0">
      <w:lvlJc w:val="left"/>
      <w:lvlText w:val="(%1)"/>
      <w:numFmt w:val="lowerLetter"/>
      <w:start w:val="2"/>
    </w:lvl>
  </w:abstractNum>
  <w:abstractNum w:abstractNumId="60">
    <w:nsid w:val="310C50B3"/>
    <w:multiLevelType w:val="hybridMultilevel"/>
    <w:lvl w:ilvl="0">
      <w:lvlJc w:val="left"/>
      <w:lvlText w:val="(%1)"/>
      <w:numFmt w:val="lowerLetter"/>
      <w:start w:val="35"/>
    </w:lvl>
    <w:lvl w:ilvl="1">
      <w:lvlJc w:val="left"/>
      <w:lvlText w:val="(%2)"/>
      <w:numFmt w:val="lowerLetter"/>
      <w:start w:val="4"/>
    </w:lvl>
  </w:abstractNum>
  <w:abstractNum w:abstractNumId="61">
    <w:nsid w:val="5FF87E05"/>
    <w:multiLevelType w:val="hybridMultilevel"/>
    <w:lvl w:ilvl="0">
      <w:lvlJc w:val="left"/>
      <w:lvlText w:val="(%1)"/>
      <w:numFmt w:val="lowerLetter"/>
      <w:start w:val="9"/>
    </w:lvl>
    <w:lvl w:ilvl="1">
      <w:lvlJc w:val="left"/>
      <w:lvlText w:val="%2"/>
      <w:numFmt w:val="lowerLetter"/>
      <w:start w:val="1"/>
    </w:lvl>
  </w:abstractNum>
  <w:abstractNum w:abstractNumId="62">
    <w:nsid w:val="2F305DEF"/>
    <w:multiLevelType w:val="hybridMultilevel"/>
    <w:lvl w:ilvl="0">
      <w:lvlJc w:val="left"/>
      <w:lvlText w:val="(%1)"/>
      <w:numFmt w:val="lowerRoman"/>
      <w:start w:val="1"/>
    </w:lvl>
  </w:abstractNum>
  <w:abstractNum w:abstractNumId="63">
    <w:nsid w:val="25A70BF7"/>
    <w:multiLevelType w:val="hybridMultilevel"/>
    <w:lvl w:ilvl="0">
      <w:lvlJc w:val="left"/>
      <w:lvlText w:val="%1"/>
      <w:numFmt w:val="lowerLetter"/>
      <w:start w:val="1"/>
    </w:lvl>
    <w:lvl w:ilvl="1">
      <w:lvlJc w:val="left"/>
      <w:lvlText w:val="(%2)"/>
      <w:numFmt w:val="lowerLetter"/>
      <w:start w:val="1"/>
    </w:lvl>
  </w:abstractNum>
  <w:abstractNum w:abstractNumId="64">
    <w:nsid w:val="1DBABF00"/>
    <w:multiLevelType w:val="hybridMultilevel"/>
    <w:lvl w:ilvl="0">
      <w:lvlJc w:val="left"/>
      <w:lvlText w:val="(%1)"/>
      <w:numFmt w:val="lowerLetter"/>
      <w:start w:val="9"/>
    </w:lvl>
    <w:lvl w:ilvl="1">
      <w:lvlJc w:val="left"/>
      <w:lvlText w:val="%2"/>
      <w:numFmt w:val="lowerLetter"/>
      <w:start w:val="1"/>
    </w:lvl>
  </w:abstractNum>
  <w:abstractNum w:abstractNumId="65">
    <w:nsid w:val="4AD084E9"/>
    <w:multiLevelType w:val="hybridMultilevel"/>
    <w:lvl w:ilvl="0">
      <w:lvlJc w:val="left"/>
      <w:lvlText w:val="(%1)"/>
      <w:numFmt w:val="lowerRoman"/>
      <w:start w:val="4"/>
    </w:lvl>
    <w:lvl w:ilvl="1">
      <w:lvlJc w:val="left"/>
      <w:lvlText w:val="(%2)"/>
      <w:numFmt w:val="lowerLetter"/>
      <w:start w:val="2"/>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2019-12-20T02:20:23Z</dcterms:created>
  <dcterms:modified xsi:type="dcterms:W3CDTF">2019-12-20T02:20:23Z</dcterms:modified>
</cp:coreProperties>
</file>