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157480</wp:posOffset>
            </wp:positionV>
            <wp:extent cx="7246620" cy="342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226060</wp:posOffset>
            </wp:positionV>
            <wp:extent cx="72466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FORM 8-K</w:t>
      </w: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CURRENT REPORT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Pursuant to Section 13 or 15(d) of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the Securities Exchange Act of 1934</w:t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Date of Report (Date of earliest event reported): 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October 2, 2015 (September 29, 2015)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REGENERON PHARMACEUTICALS, INC.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(Exact name of registrant as specified in its charter)</w:t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New York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(State or other jurisdiction of incorporation)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5600" w:type="dxa"/>
            <w:vAlign w:val="bottom"/>
          </w:tcPr>
          <w:p>
            <w:pPr>
              <w:jc w:val="center"/>
              <w:ind w:right="1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0"/>
              </w:rPr>
              <w:t>000-19034</w:t>
            </w:r>
          </w:p>
        </w:tc>
        <w:tc>
          <w:tcPr>
            <w:tcW w:w="2900" w:type="dxa"/>
            <w:vAlign w:val="bottom"/>
          </w:tcPr>
          <w:p>
            <w:pPr>
              <w:jc w:val="center"/>
              <w:ind w:left="14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1"/>
              </w:rPr>
              <w:t>13-3444607</w:t>
            </w:r>
          </w:p>
        </w:tc>
      </w:tr>
      <w:tr>
        <w:trPr>
          <w:trHeight w:val="216"/>
        </w:trPr>
        <w:tc>
          <w:tcPr>
            <w:tcW w:w="5600" w:type="dxa"/>
            <w:vAlign w:val="bottom"/>
          </w:tcPr>
          <w:p>
            <w:pPr>
              <w:jc w:val="center"/>
              <w:ind w:right="1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(Commission</w:t>
            </w:r>
          </w:p>
        </w:tc>
        <w:tc>
          <w:tcPr>
            <w:tcW w:w="2900" w:type="dxa"/>
            <w:vAlign w:val="bottom"/>
          </w:tcPr>
          <w:p>
            <w:pPr>
              <w:jc w:val="center"/>
              <w:ind w:left="14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(I.R.S. Employer</w:t>
            </w:r>
          </w:p>
        </w:tc>
      </w:tr>
      <w:tr>
        <w:trPr>
          <w:trHeight w:val="230"/>
        </w:trPr>
        <w:tc>
          <w:tcPr>
            <w:tcW w:w="5600" w:type="dxa"/>
            <w:vAlign w:val="bottom"/>
          </w:tcPr>
          <w:p>
            <w:pPr>
              <w:jc w:val="center"/>
              <w:ind w:right="1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File Number)</w:t>
            </w:r>
          </w:p>
        </w:tc>
        <w:tc>
          <w:tcPr>
            <w:tcW w:w="2900" w:type="dxa"/>
            <w:vAlign w:val="bottom"/>
          </w:tcPr>
          <w:p>
            <w:pPr>
              <w:jc w:val="center"/>
              <w:ind w:left="1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Identification No.)</w:t>
            </w:r>
          </w:p>
        </w:tc>
      </w:tr>
      <w:tr>
        <w:trPr>
          <w:trHeight w:val="418"/>
        </w:trPr>
        <w:tc>
          <w:tcPr>
            <w:tcW w:w="5600" w:type="dxa"/>
            <w:vAlign w:val="bottom"/>
          </w:tcPr>
          <w:p>
            <w:pPr>
              <w:jc w:val="center"/>
              <w:ind w:right="1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3"/>
              </w:rPr>
              <w:t>777 Old Saw Mill River Road, Tarrytown, New York</w:t>
            </w:r>
          </w:p>
        </w:tc>
        <w:tc>
          <w:tcPr>
            <w:tcW w:w="2900" w:type="dxa"/>
            <w:vAlign w:val="bottom"/>
          </w:tcPr>
          <w:p>
            <w:pPr>
              <w:jc w:val="center"/>
              <w:ind w:left="14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1"/>
              </w:rPr>
              <w:t>10591-6707</w:t>
            </w:r>
          </w:p>
        </w:tc>
      </w:tr>
      <w:tr>
        <w:trPr>
          <w:trHeight w:val="230"/>
        </w:trPr>
        <w:tc>
          <w:tcPr>
            <w:tcW w:w="5600" w:type="dxa"/>
            <w:vAlign w:val="bottom"/>
          </w:tcPr>
          <w:p>
            <w:pPr>
              <w:jc w:val="center"/>
              <w:ind w:right="1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(Address of principal executive offices)</w:t>
            </w:r>
          </w:p>
        </w:tc>
        <w:tc>
          <w:tcPr>
            <w:tcW w:w="2900" w:type="dxa"/>
            <w:vAlign w:val="bottom"/>
          </w:tcPr>
          <w:p>
            <w:pPr>
              <w:jc w:val="center"/>
              <w:ind w:left="14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(Zip Code)</w:t>
            </w:r>
          </w:p>
        </w:tc>
      </w:tr>
    </w:tbl>
    <w:p>
      <w:pPr>
        <w:spacing w:after="0" w:line="19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Registrant’s telephone number, including area code: 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(914) 847-7000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right="12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 below if the Form 8-K filing is intended to simultaneously satisfy the filing obligation of the registrant under any of the following provisions (see General Instructions A.2. below):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 Written communications pursuant to Rule 425 under the Securities Act (17 CFR 230.425)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 Soliciting material pursuant to Rule 14a-12 under the Exchange Act (17 CFR 240.14a-12)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 Pre-commencement communications pursuant to Rule 14d-2(b) under the Exchange Act (17 CFR 240.14d-2(b))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 Pre-commencement communications pursuant to Rule 13e-4(c) under the Exchange Act (17 CFR 240.13e-4(c))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152400</wp:posOffset>
            </wp:positionV>
            <wp:extent cx="724662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194945</wp:posOffset>
            </wp:positionV>
            <wp:extent cx="7246620" cy="342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433070</wp:posOffset>
            </wp:positionV>
            <wp:extent cx="7267575" cy="298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Item 1.01.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Entry into a Material Definitive Agreement.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jc w:val="both"/>
        <w:ind w:right="20" w:firstLine="648"/>
        <w:spacing w:after="0" w:line="28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On September 29, 2015, Regeneron Ireland (“</w:t>
      </w:r>
      <w:r>
        <w:rPr>
          <w:rFonts w:ascii="Arial" w:cs="Arial" w:eastAsia="Arial" w:hAnsi="Arial"/>
          <w:sz w:val="16"/>
          <w:szCs w:val="16"/>
          <w:u w:val="single" w:color="auto"/>
          <w:color w:val="auto"/>
        </w:rPr>
        <w:t>Regeneron</w:t>
      </w:r>
      <w:r>
        <w:rPr>
          <w:rFonts w:ascii="Arial" w:cs="Arial" w:eastAsia="Arial" w:hAnsi="Arial"/>
          <w:sz w:val="16"/>
          <w:szCs w:val="16"/>
          <w:color w:val="auto"/>
        </w:rPr>
        <w:t>”), a wholly owned subsidiary of Regeneron Pharmaceuticals, Inc., and Mitsubishi Tanabe Pharma Corporation (“</w:t>
      </w:r>
      <w:r>
        <w:rPr>
          <w:rFonts w:ascii="Arial" w:cs="Arial" w:eastAsia="Arial" w:hAnsi="Arial"/>
          <w:sz w:val="16"/>
          <w:szCs w:val="16"/>
          <w:u w:val="single" w:color="auto"/>
          <w:color w:val="auto"/>
        </w:rPr>
        <w:t>MTPC</w:t>
      </w:r>
      <w:r>
        <w:rPr>
          <w:rFonts w:ascii="Arial" w:cs="Arial" w:eastAsia="Arial" w:hAnsi="Arial"/>
          <w:sz w:val="16"/>
          <w:szCs w:val="16"/>
          <w:color w:val="auto"/>
        </w:rPr>
        <w:t>”) entered into a strategic collaboration providing MTPC with exclusive development and commercial rights to fasinumab (also known as REGN475), Regeneron’s nerve growth factor antibody in late-stage development for musculoskeletal pain (the “</w:t>
      </w:r>
      <w:r>
        <w:rPr>
          <w:rFonts w:ascii="Arial" w:cs="Arial" w:eastAsia="Arial" w:hAnsi="Arial"/>
          <w:sz w:val="16"/>
          <w:szCs w:val="16"/>
          <w:u w:val="single" w:color="auto"/>
          <w:color w:val="auto"/>
        </w:rPr>
        <w:t>Collaboration Agreement</w:t>
      </w:r>
      <w:r>
        <w:rPr>
          <w:rFonts w:ascii="Arial" w:cs="Arial" w:eastAsia="Arial" w:hAnsi="Arial"/>
          <w:sz w:val="16"/>
          <w:szCs w:val="16"/>
          <w:color w:val="auto"/>
        </w:rPr>
        <w:t>”). Under the terms of the Collaboration Agreement, MTPC will obtain exclusive development and commercial rights to fasinumab in Japan, South Korea,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right="140"/>
        <w:spacing w:after="0" w:line="26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Taiwan, Indonesia, Thailand, the Philippines, Malaysia, Singapore, Vietnam, Myanmar, and Sri Lanka. Regeneron will supply both clinical and commercial supplies of fasinumab to MTPC.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ind w:firstLine="648"/>
        <w:spacing w:after="0" w:line="27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Under the Collaboration Agreement, Regeneron will receive up to $55 million in upfront and other near-term payments. The Collaboration Agreement provides for additional payments to Regeneron of up to $170 million in R&amp;D reimbursement payments and development milestones. Upon commercialization, Regeneron will supply the product at a tiered purchase price, which ranges from 30% to 50% of the net sales of the product, and is eligible for additional purchase price adjustment payments of up to $100 million in total upon achievement of specified annual net sales amounts.</w:t>
      </w: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ind w:right="460" w:firstLine="648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 Collaboration Agreement contains other customary covenants, representations and warranties, indemnification provisions, and termination provisions, including for material breach by the other party.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ind w:right="200" w:firstLine="648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 foregoing description of the Collaboration Agreement is qualified in its entirety by reference to the full text of the Collaboration Agreement, a copy of which will be filed with the United States Securities and Exchange Commission as an exhibit to the Quarterly Report on Form 10-Q to be filed by Regeneron Pharmaceuticals, Inc. for the quarterly period ended September 30, 2015.</w:t>
      </w:r>
    </w:p>
    <w:p>
      <w:pPr>
        <w:spacing w:after="0" w:line="18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81280</wp:posOffset>
            </wp:positionV>
            <wp:extent cx="7267575" cy="298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ectPr>
          <w:pgSz w:w="11900" w:h="16838" w:orient="portrait"/>
          <w:cols w:equalWidth="0" w:num="1">
            <w:col w:w="11420"/>
          </w:cols>
          <w:pgMar w:left="240" w:top="544" w:right="239" w:bottom="90" w:gutter="0" w:footer="0" w:header="0"/>
        </w:sectPr>
      </w:pPr>
    </w:p>
    <w:bookmarkStart w:id="1" w:name="page2"/>
    <w:bookmarkEnd w:id="1"/>
    <w:p>
      <w:pPr>
        <w:ind w:right="480" w:firstLine="648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thereunto duly authorized.</w:t>
      </w:r>
    </w:p>
    <w:p>
      <w:pPr>
        <w:spacing w:after="0" w:line="166" w:lineRule="exact"/>
        <w:rPr>
          <w:sz w:val="20"/>
          <w:szCs w:val="20"/>
          <w:color w:val="auto"/>
        </w:rPr>
      </w:pPr>
    </w:p>
    <w:p>
      <w:pPr>
        <w:ind w:left="5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REGENERON PHARMACEUTICALS, INC.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tbl>
      <w:tblPr>
        <w:tblLayout w:type="fixed"/>
        <w:tblInd w:w="57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By:</w:t>
            </w:r>
          </w:p>
        </w:tc>
        <w:tc>
          <w:tcPr>
            <w:tcW w:w="49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/s/ Joseph J. LaRosa</w:t>
            </w:r>
          </w:p>
        </w:tc>
      </w:tr>
      <w:tr>
        <w:trPr>
          <w:trHeight w:val="195"/>
        </w:trPr>
        <w:tc>
          <w:tcPr>
            <w:tcW w:w="780" w:type="dxa"/>
            <w:vAlign w:val="bottom"/>
          </w:tcPr>
          <w:p>
            <w:pPr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Name:</w:t>
            </w:r>
          </w:p>
        </w:tc>
        <w:tc>
          <w:tcPr>
            <w:tcW w:w="4920" w:type="dxa"/>
            <w:vAlign w:val="bottom"/>
          </w:tcPr>
          <w:p>
            <w:pPr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Joseph J. LaRosa</w:t>
            </w: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Title:</w:t>
            </w:r>
          </w:p>
        </w:tc>
        <w:tc>
          <w:tcPr>
            <w:tcW w:w="4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Senior Vice President, General Counsel and Secretary</w:t>
            </w: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October 2, 2015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81280</wp:posOffset>
            </wp:positionV>
            <wp:extent cx="7267575" cy="298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420"/>
      </w:cols>
      <w:pgMar w:left="240" w:top="125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2019-12-06T05:11:08Z</dcterms:created>
  <dcterms:modified xsi:type="dcterms:W3CDTF">2019-12-06T05:11:08Z</dcterms:modified>
</cp:coreProperties>
</file>