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ind w:left="4500"/>
        <w:spacing w:after="0"/>
        <w:tabs>
          <w:tab w:leader="none" w:pos="654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3896995</wp:posOffset>
            </wp:positionH>
            <wp:positionV relativeFrom="paragraph">
              <wp:posOffset>-12065</wp:posOffset>
            </wp:positionV>
            <wp:extent cx="274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520" w:hanging="287"/>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252" w:lineRule="exact"/>
        <w:rPr>
          <w:rFonts w:ascii="Wingdings" w:cs="Wingdings" w:eastAsia="Wingdings" w:hAnsi="Wingdings"/>
          <w:sz w:val="18"/>
          <w:szCs w:val="18"/>
          <w:b w:val="1"/>
          <w:bCs w:val="1"/>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52" w:lineRule="exact"/>
        <w:rPr>
          <w:rFonts w:ascii="Wingdings" w:cs="Wingdings" w:eastAsia="Wingdings" w:hAnsi="Wingdings"/>
          <w:sz w:val="18"/>
          <w:szCs w:val="18"/>
          <w:b w:val="1"/>
          <w:bCs w:val="1"/>
          <w:color w:val="auto"/>
        </w:rPr>
      </w:pPr>
    </w:p>
    <w:p>
      <w:pPr>
        <w:spacing w:after="0" w:line="282" w:lineRule="auto"/>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36"/>
          <w:szCs w:val="36"/>
          <w:color w:val="auto"/>
          <w:vertAlign w:val="superscript"/>
        </w:rPr>
        <w:t>CUSIP</w:t>
      </w:r>
      <w:r>
        <w:rPr>
          <w:sz w:val="20"/>
          <w:szCs w:val="20"/>
          <w:color w:val="auto"/>
        </w:rPr>
        <w:tab/>
      </w:r>
      <w:r>
        <w:rPr>
          <w:rFonts w:ascii="Times New Roman" w:cs="Times New Roman" w:eastAsia="Times New Roman" w:hAnsi="Times New Roman"/>
          <w:sz w:val="18"/>
          <w:szCs w:val="18"/>
          <w:color w:val="auto"/>
        </w:rPr>
        <w:t>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760" w:right="4900" w:hanging="529"/>
        <w:spacing w:after="0" w:line="181" w:lineRule="auto"/>
        <w:tabs>
          <w:tab w:leader="none" w:pos="760" w:val="left"/>
        </w:tabs>
        <w:numPr>
          <w:ilvl w:val="0"/>
          <w:numId w:val="3"/>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I.R.S. IDENTIFICATION NOS. OF ABOVE PERSONS (ENTITIES ONLY) JPMORGAN CHASE &amp; CO.</w:t>
      </w:r>
    </w:p>
    <w:p>
      <w:pPr>
        <w:spacing w:after="0" w:line="198"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13-2624428</w:t>
      </w:r>
    </w:p>
    <w:p>
      <w:pPr>
        <w:spacing w:after="0" w:line="90"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80" w:hanging="330"/>
        <w:spacing w:after="0"/>
        <w:tabs>
          <w:tab w:leader="none" w:pos="108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18" w:lineRule="exact"/>
        <w:rPr>
          <w:rFonts w:ascii="Times New Roman" w:cs="Times New Roman" w:eastAsia="Times New Roman" w:hAnsi="Times New Roman"/>
          <w:sz w:val="18"/>
          <w:szCs w:val="18"/>
          <w:color w:val="auto"/>
        </w:rPr>
      </w:pPr>
    </w:p>
    <w:p>
      <w:pPr>
        <w:ind w:left="2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30"/>
          <w:szCs w:val="30"/>
          <w:b w:val="1"/>
          <w:bCs w:val="1"/>
          <w:color w:val="auto"/>
        </w:rPr>
        <w:t xml:space="preserve">2  </w:t>
      </w:r>
      <w:r>
        <w:rPr>
          <w:rFonts w:ascii="Times New Roman" w:cs="Times New Roman" w:eastAsia="Times New Roman" w:hAnsi="Times New Roman"/>
          <w:sz w:val="16"/>
          <w:szCs w:val="16"/>
          <w:color w:val="auto"/>
        </w:rPr>
        <w:t>(b)</w:t>
      </w:r>
      <w:r>
        <w:rPr>
          <w:rFonts w:ascii="Times New Roman" w:cs="Times New Roman" w:eastAsia="Times New Roman" w:hAnsi="Times New Roman"/>
          <w:sz w:val="30"/>
          <w:szCs w:val="30"/>
          <w:b w:val="1"/>
          <w:bCs w:val="1"/>
          <w:color w:val="auto"/>
        </w:rPr>
        <w:t xml:space="preserve">  </w:t>
      </w:r>
      <w:r>
        <w:rPr>
          <w:rFonts w:ascii="Wingdings" w:cs="Wingdings" w:eastAsia="Wingdings" w:hAnsi="Wingdings"/>
          <w:sz w:val="16"/>
          <w:szCs w:val="16"/>
          <w:b w:val="1"/>
          <w:bCs w:val="1"/>
          <w:color w:val="auto"/>
        </w:rPr>
        <w:t>o</w:t>
      </w:r>
    </w:p>
    <w:p>
      <w:pPr>
        <w:spacing w:after="0" w:line="4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5,535,989</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28,639</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6,063,413</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34,499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6"/>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6,101,044</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78"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Wingdings" w:cs="Wingdings" w:eastAsia="Wingdings" w:hAnsi="Wingdings"/>
          <w:sz w:val="23"/>
          <w:szCs w:val="23"/>
          <w:b w:val="1"/>
          <w:bCs w:val="1"/>
          <w:color w:val="auto"/>
          <w:vertAlign w:val="subscript"/>
        </w:rPr>
        <w:t>o</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5.6 %</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HC</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REGENERON PHARMACEUTICALS, INC.</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648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777 Old Saw Mill River Road,</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Tarrytown, New York 10591-6707</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&amp; CO.</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383 Madison Avenue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10179</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908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 par value $.001 per share</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876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75886F107</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 parent holding company or control person in accordance with § 240.13d-1(b)(1)(ii)(G);</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associations as defined in Section 3(b) of the Federal Deposit Insurance Act (12 U.S.C. 1813);</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Act of 1940 (15 U.S.C. 80a-3);</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non-U.S. institution in accordance with § 240.13d-1(b)(1)(ii)(J).</w:t>
      </w:r>
    </w:p>
    <w:p>
      <w:pPr>
        <w:sectPr>
          <w:pgSz w:w="11900" w:h="16838" w:orient="portrait"/>
          <w:cols w:equalWidth="0" w:num="1">
            <w:col w:w="11200"/>
          </w:cols>
          <w:pgMar w:left="320" w:top="509" w:right="379" w:bottom="0" w:gutter="0" w:footer="0" w:header="0"/>
        </w:sectPr>
      </w:pPr>
    </w:p>
    <w:bookmarkStart w:id="3" w:name="page4"/>
    <w:bookmarkEnd w:id="3"/>
    <w:p>
      <w:pPr>
        <w:ind w:left="1304" w:hanging="1304"/>
        <w:spacing w:after="0" w:line="282" w:lineRule="auto"/>
        <w:tabs>
          <w:tab w:leader="none" w:pos="656" w:val="left"/>
        </w:tabs>
        <w:numPr>
          <w:ilvl w:val="0"/>
          <w:numId w:val="10"/>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group, in accordance with § 240.13d-1(b)(1)(ii)(K). If filing as a non-U.S. institution in accordance with § 240.13d-1(b)(1)(ii)</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684530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0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6,101,044</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5.6 %</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5,535,989</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28,639</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6,063,413</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34,499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Trust Company of Delaware</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(Asia Pacific) Limited</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SE</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(Suisse) SA</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(Taiwan) Limited</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Private Investments Inc.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China International Fund Management Co. Ltd</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55I, LLC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09" w:right="539" w:bottom="1440" w:gutter="0" w:footer="0" w:header="0"/>
        </w:sectPr>
      </w:pPr>
    </w:p>
    <w:bookmarkStart w:id="5" w:name="page6"/>
    <w:bookmarkEnd w:id="5"/>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JPMORGAN CHASE &amp; CO.</w:t>
      </w:r>
    </w:p>
    <w:p>
      <w:pPr>
        <w:sectPr>
          <w:pgSz w:w="11900" w:h="16838" w:orient="portrait"/>
          <w:cols w:equalWidth="0" w:num="1">
            <w:col w:w="11180"/>
          </w:cols>
          <w:pgMar w:left="320" w:top="752"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Rachel Tsvaygoft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 Rachel Tsvaygoft</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2"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ectPr>
          <w:pgSz w:w="11900" w:h="16838" w:orient="portrait"/>
          <w:cols w:equalWidth="0" w:num="1">
            <w:col w:w="11180"/>
          </w:cols>
          <w:pgMar w:left="320" w:top="752" w:right="39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lvl w:ilvl="1">
      <w:lvlJc w:val="left"/>
      <w:lvlText w:val="o"/>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2023-01-11T11:11:39Z</dcterms:created>
  <dcterms:modified xsi:type="dcterms:W3CDTF">2023-01-11T11:11:39Z</dcterms:modified>
</cp:coreProperties>
</file>