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980" w:type="dxa"/>
        <w:tblCellMar>
          <w:top w:w="0" w:type="dxa"/>
          <w:left w:w="0" w:type="dxa"/>
          <w:bottom w:w="0" w:type="dxa"/>
          <w:right w:w="0" w:type="dxa"/>
        </w:tblCellMar>
      </w:tblPr>
      <w:tr>
        <w:trPr>
          <w:trHeight w:val="250"/>
        </w:trPr>
        <w:tc>
          <w:tcPr>
            <w:tcW w:w="400" w:type="dxa"/>
            <w:vAlign w:val="bottom"/>
          </w:tcPr>
          <w:p>
            <w:pPr>
              <w:spacing w:after="0"/>
              <w:rPr>
                <w:sz w:val="21"/>
                <w:szCs w:val="21"/>
                <w:color w:val="auto"/>
              </w:rPr>
            </w:pP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New York</w:t>
            </w:r>
          </w:p>
        </w:tc>
        <w:tc>
          <w:tcPr>
            <w:tcW w:w="5100" w:type="dxa"/>
            <w:vAlign w:val="bottom"/>
            <w:gridSpan w:val="2"/>
          </w:tcPr>
          <w:p>
            <w:pPr>
              <w:jc w:val="center"/>
              <w:ind w:left="2370"/>
              <w:spacing w:after="0"/>
              <w:rPr>
                <w:sz w:val="20"/>
                <w:szCs w:val="20"/>
                <w:color w:val="auto"/>
              </w:rPr>
            </w:pPr>
            <w:r>
              <w:rPr>
                <w:rFonts w:ascii="Arial" w:cs="Arial" w:eastAsia="Arial" w:hAnsi="Arial"/>
                <w:sz w:val="18"/>
                <w:szCs w:val="18"/>
                <w:color w:val="auto"/>
                <w:w w:val="91"/>
              </w:rPr>
              <w:t>13-3444607</w:t>
            </w:r>
          </w:p>
        </w:tc>
      </w:tr>
      <w:tr>
        <w:trPr>
          <w:trHeight w:val="189"/>
        </w:trPr>
        <w:tc>
          <w:tcPr>
            <w:tcW w:w="4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(State or other jurisdiction of</w:t>
            </w:r>
          </w:p>
        </w:tc>
        <w:tc>
          <w:tcPr>
            <w:tcW w:w="380" w:type="dxa"/>
            <w:vAlign w:val="bottom"/>
            <w:tcBorders>
              <w:top w:val="single" w:sz="8" w:color="auto"/>
            </w:tcBorders>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860" w:type="dxa"/>
            <w:vAlign w:val="bottom"/>
            <w:gridSpan w:val="3"/>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24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18"/>
        </w:trPr>
        <w:tc>
          <w:tcPr>
            <w:tcW w:w="286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w:t>
            </w:r>
          </w:p>
        </w:tc>
        <w:tc>
          <w:tcPr>
            <w:tcW w:w="24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Tarrytown, New York</w:t>
            </w:r>
          </w:p>
        </w:tc>
        <w:tc>
          <w:tcPr>
            <w:tcW w:w="5100" w:type="dxa"/>
            <w:vAlign w:val="bottom"/>
            <w:gridSpan w:val="2"/>
          </w:tcPr>
          <w:p>
            <w:pPr>
              <w:jc w:val="center"/>
              <w:ind w:left="2370"/>
              <w:spacing w:after="0"/>
              <w:rPr>
                <w:sz w:val="20"/>
                <w:szCs w:val="20"/>
                <w:color w:val="auto"/>
              </w:rPr>
            </w:pPr>
            <w:r>
              <w:rPr>
                <w:rFonts w:ascii="Arial" w:cs="Arial" w:eastAsia="Arial" w:hAnsi="Arial"/>
                <w:sz w:val="18"/>
                <w:szCs w:val="18"/>
                <w:color w:val="auto"/>
                <w:w w:val="91"/>
              </w:rPr>
              <w:t>10591-6707</w:t>
            </w:r>
          </w:p>
        </w:tc>
      </w:tr>
      <w:tr>
        <w:trPr>
          <w:trHeight w:val="224"/>
        </w:trPr>
        <w:tc>
          <w:tcPr>
            <w:tcW w:w="28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8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(914) 347-7000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4820"/>
        <w:spacing w:after="0" w:line="207" w:lineRule="exact"/>
        <w:tabs>
          <w:tab w:leader="none" w:pos="6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0"/>
          <w:szCs w:val="20"/>
          <w:color w:val="auto"/>
        </w:rPr>
      </w:pPr>
    </w:p>
    <w:p>
      <w:pPr>
        <w:ind w:left="4820"/>
        <w:spacing w:after="0" w:line="207" w:lineRule="exact"/>
        <w:tabs>
          <w:tab w:leader="none" w:pos="61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0"/>
          <w:szCs w:val="20"/>
          <w:color w:val="auto"/>
        </w:rPr>
      </w:pPr>
    </w:p>
    <w:p>
      <w:pPr>
        <w:ind w:left="4860"/>
        <w:spacing w:after="0"/>
        <w:tabs>
          <w:tab w:leader="none" w:pos="61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Class of Common Stock</w:t>
            </w:r>
          </w:p>
        </w:tc>
        <w:tc>
          <w:tcPr>
            <w:tcW w:w="33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Number of Shares</w:t>
            </w:r>
          </w:p>
        </w:tc>
        <w:tc>
          <w:tcPr>
            <w:tcW w:w="2260" w:type="dxa"/>
            <w:vAlign w:val="bottom"/>
          </w:tcPr>
          <w:p>
            <w:pPr>
              <w:spacing w:after="0"/>
              <w:rPr>
                <w:sz w:val="14"/>
                <w:szCs w:val="14"/>
                <w:color w:val="auto"/>
              </w:rPr>
            </w:pPr>
          </w:p>
        </w:tc>
      </w:tr>
      <w:tr>
        <w:trPr>
          <w:trHeight w:val="195"/>
        </w:trPr>
        <w:tc>
          <w:tcPr>
            <w:tcW w:w="2240" w:type="dxa"/>
            <w:vAlign w:val="bottom"/>
          </w:tcPr>
          <w:p>
            <w:pPr>
              <w:spacing w:after="0"/>
              <w:rPr>
                <w:sz w:val="16"/>
                <w:szCs w:val="16"/>
                <w:color w:val="auto"/>
              </w:rPr>
            </w:pPr>
          </w:p>
        </w:tc>
        <w:tc>
          <w:tcPr>
            <w:tcW w:w="2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Stock, $0.001 par value</w:t>
            </w:r>
          </w:p>
        </w:tc>
        <w:tc>
          <w:tcPr>
            <w:tcW w:w="3380" w:type="dxa"/>
            <w:vAlign w:val="bottom"/>
          </w:tcPr>
          <w:p>
            <w:pPr>
              <w:spacing w:after="0"/>
              <w:rPr>
                <w:sz w:val="16"/>
                <w:szCs w:val="16"/>
                <w:color w:val="auto"/>
              </w:rPr>
            </w:pPr>
          </w:p>
        </w:tc>
        <w:tc>
          <w:tcPr>
            <w:tcW w:w="1120" w:type="dxa"/>
            <w:vAlign w:val="bottom"/>
          </w:tcPr>
          <w:p>
            <w:pPr>
              <w:jc w:val="right"/>
              <w:ind w:right="79"/>
              <w:spacing w:after="0" w:line="195" w:lineRule="exact"/>
              <w:rPr>
                <w:sz w:val="20"/>
                <w:szCs w:val="20"/>
                <w:color w:val="auto"/>
              </w:rPr>
            </w:pPr>
            <w:r>
              <w:rPr>
                <w:rFonts w:ascii="Arial" w:cs="Arial" w:eastAsia="Arial" w:hAnsi="Arial"/>
                <w:sz w:val="18"/>
                <w:szCs w:val="18"/>
                <w:color w:val="auto"/>
              </w:rPr>
              <w:t>2,351,873</w:t>
            </w:r>
          </w:p>
        </w:tc>
        <w:tc>
          <w:tcPr>
            <w:tcW w:w="2260" w:type="dxa"/>
            <w:vAlign w:val="bottom"/>
          </w:tcPr>
          <w:p>
            <w:pPr>
              <w:spacing w:after="0"/>
              <w:rPr>
                <w:sz w:val="16"/>
                <w:szCs w:val="16"/>
                <w:color w:val="auto"/>
              </w:rPr>
            </w:pPr>
          </w:p>
        </w:tc>
      </w:tr>
      <w:tr>
        <w:trPr>
          <w:trHeight w:val="230"/>
        </w:trPr>
        <w:tc>
          <w:tcPr>
            <w:tcW w:w="22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4500" w:type="dxa"/>
            <w:vAlign w:val="bottom"/>
            <w:gridSpan w:val="2"/>
          </w:tcPr>
          <w:p>
            <w:pPr>
              <w:jc w:val="right"/>
              <w:ind w:right="79"/>
              <w:spacing w:after="0"/>
              <w:rPr>
                <w:sz w:val="20"/>
                <w:szCs w:val="20"/>
                <w:color w:val="auto"/>
              </w:rPr>
            </w:pPr>
            <w:r>
              <w:rPr>
                <w:rFonts w:ascii="Arial" w:cs="Arial" w:eastAsia="Arial" w:hAnsi="Arial"/>
                <w:sz w:val="18"/>
                <w:szCs w:val="18"/>
                <w:color w:val="auto"/>
              </w:rPr>
              <w:t>53,810,695</w:t>
            </w:r>
          </w:p>
        </w:tc>
        <w:tc>
          <w:tcPr>
            <w:tcW w:w="2260" w:type="dxa"/>
            <w:vAlign w:val="bottom"/>
          </w:tcPr>
          <w:p>
            <w:pPr>
              <w:spacing w:after="0"/>
              <w:rPr>
                <w:sz w:val="20"/>
                <w:szCs w:val="20"/>
                <w:color w:val="auto"/>
              </w:rPr>
            </w:pPr>
          </w:p>
        </w:tc>
      </w:tr>
      <w:tr>
        <w:trPr>
          <w:trHeight w:val="237"/>
        </w:trPr>
        <w:tc>
          <w:tcPr>
            <w:tcW w:w="2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r>
      <w:tr>
        <w:trPr>
          <w:trHeight w:val="631"/>
        </w:trPr>
        <w:tc>
          <w:tcPr>
            <w:tcW w:w="22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80" w:type="dxa"/>
            <w:vAlign w:val="bottom"/>
            <w:vMerge w:val="restart"/>
          </w:tcPr>
          <w:p>
            <w:pPr>
              <w:spacing w:after="0"/>
              <w:rPr>
                <w:sz w:val="14"/>
                <w:szCs w:val="14"/>
                <w:color w:val="auto"/>
              </w:rPr>
            </w:pPr>
          </w:p>
        </w:tc>
        <w:tc>
          <w:tcPr>
            <w:tcW w:w="2400" w:type="dxa"/>
            <w:vAlign w:val="bottom"/>
            <w:gridSpan w:val="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340" w:type="dxa"/>
            <w:vAlign w:val="bottom"/>
            <w:gridSpan w:val="3"/>
            <w:vMerge w:val="restart"/>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Page Numbers</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400" w:type="dxa"/>
            <w:vAlign w:val="bottom"/>
            <w:tcBorders>
              <w:bottom w:val="single" w:sz="8" w:color="0000EE"/>
            </w:tcBorders>
            <w:gridSpan w:val="3"/>
            <w:vMerge w:val="continue"/>
          </w:tcPr>
          <w:p>
            <w:pPr>
              <w:spacing w:after="0"/>
              <w:rPr>
                <w:sz w:val="14"/>
                <w:szCs w:val="14"/>
                <w:color w:val="auto"/>
              </w:rPr>
            </w:pPr>
          </w:p>
        </w:tc>
        <w:tc>
          <w:tcPr>
            <w:tcW w:w="634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1000" w:type="dxa"/>
            <w:vAlign w:val="bottom"/>
            <w:gridSpan w:val="2"/>
          </w:tcPr>
          <w:p>
            <w:pPr>
              <w:spacing w:after="0"/>
              <w:rPr>
                <w:sz w:val="24"/>
                <w:szCs w:val="24"/>
                <w:color w:val="auto"/>
              </w:rPr>
            </w:pPr>
          </w:p>
        </w:tc>
        <w:tc>
          <w:tcPr>
            <w:tcW w:w="874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4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(unaudited) at September 30, 2005 and December 31, 2004</w:t>
              </w:r>
            </w:hyperlink>
          </w:p>
        </w:tc>
        <w:tc>
          <w:tcPr>
            <w:tcW w:w="1200" w:type="dxa"/>
            <w:vAlign w:val="bottom"/>
          </w:tcPr>
          <w:p>
            <w:pPr>
              <w:jc w:val="right"/>
              <w:ind w:right="5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40" w:type="dxa"/>
            <w:vAlign w:val="bottom"/>
            <w:gridSpan w:val="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statements of operations (unaudited) for the three months and nine months ended September 30, 2005 and</w:t>
              </w:r>
            </w:hyperlink>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2004</w:t>
              </w:r>
            </w:hyperlink>
          </w:p>
        </w:tc>
        <w:tc>
          <w:tcPr>
            <w:tcW w:w="1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16"/>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0" w:type="dxa"/>
            <w:vAlign w:val="bottom"/>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stockholders’ equity (unaudited) for the nine months ended September 30, 2005</w:t>
              </w:r>
            </w:hyperlink>
          </w:p>
        </w:tc>
        <w:tc>
          <w:tcPr>
            <w:tcW w:w="2080" w:type="dxa"/>
            <w:vAlign w:val="bottom"/>
          </w:tcPr>
          <w:p>
            <w:pPr>
              <w:ind w:left="1660"/>
              <w:spacing w:after="0"/>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statements of cash flows (unaudited) for the nine months ended September 30, 2005 and 2004</w:t>
              </w:r>
            </w:hyperlink>
          </w:p>
        </w:tc>
        <w:tc>
          <w:tcPr>
            <w:tcW w:w="2080" w:type="dxa"/>
            <w:vAlign w:val="bottom"/>
          </w:tcPr>
          <w:p>
            <w:pPr>
              <w:ind w:left="1660"/>
              <w:spacing w:after="0"/>
              <w:rPr>
                <w:sz w:val="20"/>
                <w:szCs w:val="20"/>
                <w:color w:val="auto"/>
              </w:rPr>
            </w:pPr>
            <w:r>
              <w:rPr>
                <w:rFonts w:ascii="Arial" w:cs="Arial" w:eastAsia="Arial" w:hAnsi="Arial"/>
                <w:sz w:val="18"/>
                <w:szCs w:val="18"/>
                <w:color w:val="auto"/>
              </w:rPr>
              <w:t>6</w:t>
            </w: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 (unaudited)</w:t>
              </w:r>
            </w:hyperlink>
          </w:p>
        </w:tc>
        <w:tc>
          <w:tcPr>
            <w:tcW w:w="2080" w:type="dxa"/>
            <w:vAlign w:val="bottom"/>
          </w:tcPr>
          <w:p>
            <w:pPr>
              <w:ind w:left="1660"/>
              <w:spacing w:after="0"/>
              <w:rPr>
                <w:sz w:val="20"/>
                <w:szCs w:val="20"/>
                <w:color w:val="auto"/>
              </w:rPr>
            </w:pPr>
            <w:r>
              <w:rPr>
                <w:rFonts w:ascii="Arial" w:cs="Arial" w:eastAsia="Arial" w:hAnsi="Arial"/>
                <w:sz w:val="18"/>
                <w:szCs w:val="18"/>
                <w:color w:val="auto"/>
              </w:rPr>
              <w:t>7-20</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w:t>
              </w:r>
            </w:hyperlink>
          </w:p>
        </w:tc>
        <w:tc>
          <w:tcPr>
            <w:tcW w:w="1000" w:type="dxa"/>
            <w:vAlign w:val="bottom"/>
            <w:gridSpan w:val="2"/>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140" w:type="dxa"/>
            <w:vAlign w:val="bottom"/>
            <w:gridSpan w:val="2"/>
          </w:tcPr>
          <w:p>
            <w:pPr>
              <w:spacing w:after="0"/>
              <w:rPr>
                <w:sz w:val="24"/>
                <w:szCs w:val="24"/>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w w:val="86"/>
              </w:rPr>
              <w:t>21-57</w:t>
            </w: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Item 3</w:t>
              </w:r>
            </w:hyperlink>
          </w:p>
        </w:tc>
        <w:tc>
          <w:tcPr>
            <w:tcW w:w="1000" w:type="dxa"/>
            <w:vAlign w:val="bottom"/>
            <w:gridSpan w:val="2"/>
          </w:tcPr>
          <w:p>
            <w:pPr>
              <w:spacing w:after="0"/>
              <w:rPr>
                <w:sz w:val="24"/>
                <w:szCs w:val="24"/>
                <w:color w:val="auto"/>
              </w:rPr>
            </w:pPr>
          </w:p>
        </w:tc>
        <w:tc>
          <w:tcPr>
            <w:tcW w:w="7600" w:type="dxa"/>
            <w:vAlign w:val="bottom"/>
            <w:gridSpan w:val="1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&amp; Qualitative Disclosure About Market Risk</w:t>
              </w:r>
            </w:hyperlink>
          </w:p>
        </w:tc>
        <w:tc>
          <w:tcPr>
            <w:tcW w:w="2080" w:type="dxa"/>
            <w:vAlign w:val="bottom"/>
          </w:tcPr>
          <w:p>
            <w:pPr>
              <w:ind w:left="1660"/>
              <w:spacing w:after="0"/>
              <w:rPr>
                <w:sz w:val="20"/>
                <w:szCs w:val="20"/>
                <w:color w:val="auto"/>
              </w:rPr>
            </w:pPr>
            <w:r>
              <w:rPr>
                <w:rFonts w:ascii="Arial" w:cs="Arial" w:eastAsia="Arial" w:hAnsi="Arial"/>
                <w:sz w:val="18"/>
                <w:szCs w:val="18"/>
                <w:color w:val="auto"/>
              </w:rPr>
              <w:t>57</w:t>
            </w:r>
          </w:p>
        </w:tc>
      </w:tr>
      <w:tr>
        <w:trPr>
          <w:trHeight w:val="412"/>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Item 4</w:t>
              </w:r>
            </w:hyperlink>
          </w:p>
        </w:tc>
        <w:tc>
          <w:tcPr>
            <w:tcW w:w="1000" w:type="dxa"/>
            <w:vAlign w:val="bottom"/>
            <w:gridSpan w:val="2"/>
          </w:tcPr>
          <w:p>
            <w:pPr>
              <w:spacing w:after="0"/>
              <w:rPr>
                <w:sz w:val="24"/>
                <w:szCs w:val="24"/>
                <w:color w:val="auto"/>
              </w:rPr>
            </w:pPr>
          </w:p>
        </w:tc>
        <w:tc>
          <w:tcPr>
            <w:tcW w:w="4160" w:type="dxa"/>
            <w:vAlign w:val="bottom"/>
            <w:tcBorders>
              <w:top w:val="single" w:sz="8" w:color="0000EE"/>
            </w:tcBorders>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3440" w:type="dxa"/>
            <w:vAlign w:val="bottom"/>
            <w:gridSpan w:val="4"/>
          </w:tcPr>
          <w:p>
            <w:pPr>
              <w:spacing w:after="0"/>
              <w:rPr>
                <w:sz w:val="24"/>
                <w:szCs w:val="24"/>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w w:val="86"/>
              </w:rPr>
              <w:t>57-58</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1480" w:type="dxa"/>
            <w:vAlign w:val="bottom"/>
            <w:gridSpan w:val="4"/>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w:t>
              </w:r>
            </w:hyperlink>
          </w:p>
        </w:tc>
        <w:tc>
          <w:tcPr>
            <w:tcW w:w="7600" w:type="dxa"/>
            <w:vAlign w:val="bottom"/>
            <w:gridSpan w:val="11"/>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OTHER INFORMATION</w:t>
              </w:r>
            </w:hyperlink>
          </w:p>
        </w:tc>
        <w:tc>
          <w:tcPr>
            <w:tcW w:w="2080" w:type="dxa"/>
            <w:vAlign w:val="bottom"/>
          </w:tcPr>
          <w:p>
            <w:pPr>
              <w:spacing w:after="0"/>
              <w:rPr>
                <w:sz w:val="24"/>
                <w:szCs w:val="24"/>
                <w:color w:val="auto"/>
              </w:rPr>
            </w:pP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Item 1</w:t>
              </w:r>
            </w:hyperlink>
          </w:p>
        </w:tc>
        <w:tc>
          <w:tcPr>
            <w:tcW w:w="1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5580" w:type="dxa"/>
            <w:vAlign w:val="bottom"/>
            <w:gridSpan w:val="6"/>
          </w:tcPr>
          <w:p>
            <w:pPr>
              <w:spacing w:after="0"/>
              <w:rPr>
                <w:sz w:val="24"/>
                <w:szCs w:val="24"/>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rPr>
              <w:t>58</w:t>
            </w: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Item 6</w:t>
              </w:r>
            </w:hyperlink>
          </w:p>
        </w:tc>
        <w:tc>
          <w:tcPr>
            <w:tcW w:w="1000" w:type="dxa"/>
            <w:vAlign w:val="bottom"/>
            <w:gridSpan w:val="2"/>
          </w:tcPr>
          <w:p>
            <w:pPr>
              <w:spacing w:after="0"/>
              <w:rPr>
                <w:sz w:val="24"/>
                <w:szCs w:val="24"/>
                <w:color w:val="auto"/>
              </w:rPr>
            </w:pPr>
          </w:p>
        </w:tc>
        <w:tc>
          <w:tcPr>
            <w:tcW w:w="7600" w:type="dxa"/>
            <w:vAlign w:val="bottom"/>
            <w:gridSpan w:val="1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2080" w:type="dxa"/>
            <w:vAlign w:val="bottom"/>
          </w:tcPr>
          <w:p>
            <w:pPr>
              <w:ind w:left="1660"/>
              <w:spacing w:after="0"/>
              <w:rPr>
                <w:sz w:val="20"/>
                <w:szCs w:val="20"/>
                <w:color w:val="auto"/>
              </w:rPr>
            </w:pPr>
            <w:r>
              <w:rPr>
                <w:rFonts w:ascii="Arial" w:cs="Arial" w:eastAsia="Arial" w:hAnsi="Arial"/>
                <w:sz w:val="18"/>
                <w:szCs w:val="18"/>
                <w:color w:val="auto"/>
              </w:rPr>
              <w:t>59</w:t>
            </w: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61">
              <w:r>
                <w:rPr>
                  <w:rFonts w:ascii="Arial" w:cs="Arial" w:eastAsia="Arial" w:hAnsi="Arial"/>
                  <w:sz w:val="18"/>
                  <w:szCs w:val="18"/>
                  <w:b w:val="1"/>
                  <w:bCs w:val="1"/>
                  <w:color w:val="0000EE"/>
                  <w:w w:val="97"/>
                </w:rPr>
                <w:t>SIGNATURE PAGE</w:t>
              </w:r>
            </w:hyperlink>
          </w:p>
        </w:tc>
        <w:tc>
          <w:tcPr>
            <w:tcW w:w="7480" w:type="dxa"/>
            <w:vAlign w:val="bottom"/>
            <w:gridSpan w:val="10"/>
          </w:tcPr>
          <w:p>
            <w:pPr>
              <w:spacing w:after="0"/>
              <w:rPr>
                <w:sz w:val="24"/>
                <w:szCs w:val="24"/>
                <w:color w:val="auto"/>
              </w:rPr>
            </w:pPr>
          </w:p>
        </w:tc>
        <w:tc>
          <w:tcPr>
            <w:tcW w:w="2080" w:type="dxa"/>
            <w:vAlign w:val="bottom"/>
          </w:tcPr>
          <w:p>
            <w:pPr>
              <w:ind w:left="1660"/>
              <w:spacing w:after="0"/>
              <w:rPr>
                <w:sz w:val="20"/>
                <w:szCs w:val="20"/>
                <w:color w:val="auto"/>
              </w:rPr>
            </w:pPr>
            <w:r>
              <w:rPr>
                <w:rFonts w:ascii="Arial" w:cs="Arial" w:eastAsia="Arial" w:hAnsi="Arial"/>
                <w:sz w:val="18"/>
                <w:szCs w:val="18"/>
                <w:color w:val="auto"/>
              </w:rPr>
              <w:t>60</w:t>
            </w:r>
          </w:p>
        </w:tc>
      </w:tr>
      <w:tr>
        <w:trPr>
          <w:trHeight w:val="196"/>
        </w:trPr>
        <w:tc>
          <w:tcPr>
            <w:tcW w:w="60" w:type="dxa"/>
            <w:vAlign w:val="bottom"/>
          </w:tcPr>
          <w:p>
            <w:pPr>
              <w:spacing w:after="0"/>
              <w:rPr>
                <w:sz w:val="17"/>
                <w:szCs w:val="17"/>
                <w:color w:val="auto"/>
              </w:rPr>
            </w:pPr>
          </w:p>
        </w:tc>
        <w:tc>
          <w:tcPr>
            <w:tcW w:w="9020" w:type="dxa"/>
            <w:vAlign w:val="bottom"/>
            <w:gridSpan w:val="14"/>
          </w:tcPr>
          <w:p>
            <w:pPr>
              <w:spacing w:after="0" w:line="196" w:lineRule="exact"/>
              <w:rPr>
                <w:sz w:val="20"/>
                <w:szCs w:val="20"/>
                <w:color w:val="auto"/>
              </w:rPr>
            </w:pPr>
            <w:r>
              <w:rPr>
                <w:rFonts w:ascii="Arial" w:cs="Arial" w:eastAsia="Arial" w:hAnsi="Arial"/>
                <w:sz w:val="18"/>
                <w:szCs w:val="18"/>
                <w:color w:val="0000EE"/>
              </w:rPr>
              <w:t>EX-12.1: STATEMENT RE: COMPUTATION OF RATIO OF EARNINGS TO COMBINED CHARGES</w:t>
            </w:r>
          </w:p>
        </w:tc>
        <w:tc>
          <w:tcPr>
            <w:tcW w:w="20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08"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SEPTEMBER 30, 2005 AND DECEMBER 31, 2004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4"/>
                <w:szCs w:val="14"/>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176,093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131,449</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10,536</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4,043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324,958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343,955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26,020</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64,044</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4,253</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419,275</w:t>
            </w:r>
          </w:p>
        </w:tc>
        <w:tc>
          <w:tcPr>
            <w:tcW w:w="2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473,108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20,599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34,139</w:t>
            </w: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49,373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282,894</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290,565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400"/>
              <w:spacing w:after="0" w:line="201" w:lineRule="exact"/>
              <w:rPr>
                <w:sz w:val="20"/>
                <w:szCs w:val="20"/>
                <w:color w:val="auto"/>
              </w:rPr>
            </w:pPr>
            <w:r>
              <w:rPr>
                <w:rFonts w:ascii="Arial" w:cs="Arial" w:eastAsia="Arial" w:hAnsi="Arial"/>
                <w:sz w:val="18"/>
                <w:szCs w:val="18"/>
                <w:color w:val="auto"/>
              </w:rPr>
              <w:t>Class A Stock, convertible, $.001 par value; 40,000,000 shares authorized; shares issued and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600"/>
              <w:spacing w:after="0"/>
              <w:rPr>
                <w:sz w:val="20"/>
                <w:szCs w:val="20"/>
                <w:color w:val="auto"/>
              </w:rPr>
            </w:pPr>
            <w:r>
              <w:rPr>
                <w:rFonts w:ascii="Arial" w:cs="Arial" w:eastAsia="Arial" w:hAnsi="Arial"/>
                <w:sz w:val="18"/>
                <w:szCs w:val="18"/>
                <w:color w:val="auto"/>
              </w:rPr>
              <w:t>outstanding - 2,351,873 in 2005 and 2,358,373 in 2004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Common Stock, $.001 par value; 160,000,000 shares authorized; shares issued and outstanding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53,780,333 in 2005 and 53,502,004 in 2004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693,426</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675,389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(555,608)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(489,834)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136,381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182,543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419,275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2"/>
              </w:rPr>
              <w:t>Three months ended September 30,</w:t>
            </w:r>
          </w:p>
        </w:tc>
        <w:tc>
          <w:tcPr>
            <w:tcW w:w="2100" w:type="dxa"/>
            <w:vAlign w:val="bottom"/>
          </w:tcPr>
          <w:p>
            <w:pPr>
              <w:spacing w:after="0"/>
              <w:rPr>
                <w:sz w:val="14"/>
                <w:szCs w:val="14"/>
                <w:color w:val="auto"/>
              </w:rPr>
            </w:pPr>
          </w:p>
        </w:tc>
        <w:tc>
          <w:tcPr>
            <w:tcW w:w="224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Contract research and development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11,533</w:t>
            </w:r>
          </w:p>
        </w:tc>
        <w:tc>
          <w:tcPr>
            <w:tcW w:w="2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25,621</w:t>
            </w:r>
          </w:p>
        </w:tc>
        <w:tc>
          <w:tcPr>
            <w:tcW w:w="2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38,580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progress payments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Contract manufacturing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10,898</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36,519</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3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32,828</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Contract manufacturing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8,986</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4,184</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45,998</w:t>
            </w: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(34,387)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(9,479)</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3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contract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1,417</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(3,014)</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(1,597)</w:t>
            </w: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34,652)</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11,076)</w:t>
            </w:r>
          </w:p>
        </w:tc>
        <w:tc>
          <w:tcPr>
            <w:tcW w:w="2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65,774)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38,907</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2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2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55,978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55,468</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55,468</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Class A Stock</w:t>
            </w:r>
          </w:p>
        </w:tc>
        <w:tc>
          <w:tcPr>
            <w:tcW w:w="420" w:type="dxa"/>
            <w:vAlign w:val="bottom"/>
          </w:tcPr>
          <w:p>
            <w:pPr>
              <w:spacing w:after="0"/>
              <w:rPr>
                <w:sz w:val="14"/>
                <w:szCs w:val="14"/>
                <w:color w:val="auto"/>
              </w:rPr>
            </w:pPr>
          </w:p>
        </w:tc>
        <w:tc>
          <w:tcPr>
            <w:tcW w:w="160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Borders>
              <w:bottom w:val="single" w:sz="8" w:color="auto"/>
            </w:tcBorders>
            <w:gridSpan w:val="4"/>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48"/>
              <w:spacing w:after="0" w:line="158"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10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Shares</w:t>
            </w:r>
          </w:p>
        </w:tc>
        <w:tc>
          <w:tcPr>
            <w:tcW w:w="42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2,358</w:t>
            </w:r>
          </w:p>
        </w:tc>
        <w:tc>
          <w:tcPr>
            <w:tcW w:w="11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$ 2</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53,502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$ 54</w:t>
            </w:r>
          </w:p>
        </w:tc>
        <w:tc>
          <w:tcPr>
            <w:tcW w:w="2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$ 675,389</w:t>
            </w:r>
          </w:p>
        </w:tc>
        <w:tc>
          <w:tcPr>
            <w:tcW w:w="18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in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connection with exercise of stock</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1,122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 Company 401(k)</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Savings Plan contribution</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Class A Stock to</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88"/>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Forfeitures of restricted Common</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under Long-Term Incentive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86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16,313</w:t>
            </w:r>
          </w:p>
        </w:tc>
        <w:tc>
          <w:tcPr>
            <w:tcW w:w="1860" w:type="dxa"/>
            <w:vAlign w:val="bottom"/>
            <w:gridSpan w:val="3"/>
          </w:tcPr>
          <w:p>
            <w:pPr>
              <w:jc w:val="right"/>
              <w:ind w:right="368"/>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Change in net unrealized loss on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marketable securities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2,352</w:t>
            </w:r>
          </w:p>
        </w:tc>
        <w:tc>
          <w:tcPr>
            <w:tcW w:w="116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$ 2</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53,780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$ 54</w:t>
            </w:r>
          </w:p>
        </w:tc>
        <w:tc>
          <w:tcPr>
            <w:tcW w:w="2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$ 693,426</w:t>
            </w:r>
          </w:p>
        </w:tc>
        <w:tc>
          <w:tcPr>
            <w:tcW w:w="18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2"/>
                <w:szCs w:val="12"/>
                <w:color w:val="auto"/>
              </w:rPr>
            </w:pP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($489,834)</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9"/>
              </w:rPr>
              <w:t>$ 182,543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with exercise of stock options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1,122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 401(k) Savings Plan</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Class A Stock to Common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Forfeitures of restricted Common Stock under</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 Plan</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17,771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(65,774)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(65,774)</w:t>
            </w:r>
          </w:p>
        </w:tc>
        <w:tc>
          <w:tcPr>
            <w:tcW w:w="3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($65,774)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w w:val="95"/>
              </w:rPr>
              <w:t>Change in net unrealized loss on marketable</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368"/>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0"/>
                <w:szCs w:val="20"/>
                <w:color w:val="auto"/>
              </w:rPr>
            </w:pPr>
          </w:p>
        </w:tc>
        <w:tc>
          <w:tcPr>
            <w:tcW w:w="1860" w:type="dxa"/>
            <w:vAlign w:val="bottom"/>
            <w:gridSpan w:val="3"/>
          </w:tcPr>
          <w:p>
            <w:pPr>
              <w:jc w:val="right"/>
              <w:ind w:right="40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2005</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($555,608)</w:t>
            </w:r>
          </w:p>
        </w:tc>
        <w:tc>
          <w:tcPr>
            <w:tcW w:w="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9"/>
              </w:rPr>
              <w:t>$ 136,381</w:t>
            </w:r>
          </w:p>
        </w:tc>
        <w:tc>
          <w:tcPr>
            <w:tcW w:w="3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($65,687)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65,774)</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11,624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compensation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Forgiveness of loan payable to Novartis Pharma AG, inclusive of accrued interest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Decrease (increase) in accounts receivable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32,566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Decrease in inventory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 in deferred revenue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adjustments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(91,078)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restricted marketable securities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Sales or maturities of marketable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185,882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Maturities of restricted marketable securities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90,191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proceeds from the issuance of stock</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Borrowings under loan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80,864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95,229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97,477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176,093</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2004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 Share Data</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basic net income (loss) per share amounts have been computed by dividing net income or loss by the weighted average number of shares of Common Stock and Class A Stock outstanding. Diluted net income per share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outstanding convertible senior subordinated notes, which are included under the if-converted method when dilutive. For the three and nine months ended September 30, 2005 and the three months ended September 30, 2004, the Company reported a net loss and, therefore, no common stock equivalents were included in the computation of diluted net loss per share for such periods, since such inclusion would have been antidilutive. The calculations of basic and diluted net income (loss) per share are as follows: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7"/>
          </w:tcPr>
          <w:p>
            <w:pPr>
              <w:jc w:val="right"/>
              <w:ind w:right="8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ind w:right="16"/>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w w:val="93"/>
              </w:rPr>
              <w:t>September 30,</w:t>
            </w:r>
          </w:p>
        </w:tc>
        <w:tc>
          <w:tcPr>
            <w:tcW w:w="620" w:type="dxa"/>
            <w:vAlign w:val="bottom"/>
            <w:vMerge w:val="restart"/>
          </w:tcPr>
          <w:p>
            <w:pPr>
              <w:jc w:val="right"/>
              <w:ind w:right="13"/>
              <w:spacing w:after="0"/>
              <w:rPr>
                <w:sz w:val="20"/>
                <w:szCs w:val="20"/>
                <w:color w:val="auto"/>
              </w:rPr>
            </w:pPr>
            <w:r>
              <w:rPr>
                <w:rFonts w:ascii="Arial" w:cs="Arial" w:eastAsia="Arial" w:hAnsi="Arial"/>
                <w:sz w:val="14"/>
                <w:szCs w:val="14"/>
                <w:color w:val="auto"/>
              </w:rPr>
              <w:t>2004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34,652)</w:t>
            </w:r>
          </w:p>
        </w:tc>
        <w:tc>
          <w:tcPr>
            <w:tcW w:w="9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200" w:type="dxa"/>
            <w:vAlign w:val="bottom"/>
          </w:tcPr>
          <w:p>
            <w:pPr>
              <w:spacing w:after="0"/>
              <w:rPr>
                <w:sz w:val="24"/>
                <w:szCs w:val="2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55,978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55,468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9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5"/>
          </w:tcPr>
          <w:p>
            <w:pPr>
              <w:jc w:val="right"/>
              <w:ind w:right="60"/>
              <w:spacing w:after="0"/>
              <w:rPr>
                <w:sz w:val="20"/>
                <w:szCs w:val="20"/>
                <w:color w:val="auto"/>
              </w:rPr>
            </w:pPr>
            <w:r>
              <w:rPr>
                <w:rFonts w:ascii="Arial" w:cs="Arial" w:eastAsia="Arial" w:hAnsi="Arial"/>
                <w:sz w:val="14"/>
                <w:szCs w:val="14"/>
                <w:color w:val="auto"/>
              </w:rPr>
              <w:t>Nine Months Ended</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4"/>
                <w:szCs w:val="14"/>
                <w:color w:val="auto"/>
              </w:rPr>
              <w:t>2005</w:t>
            </w:r>
          </w:p>
        </w:tc>
        <w:tc>
          <w:tcPr>
            <w:tcW w:w="1060" w:type="dxa"/>
            <w:vAlign w:val="bottom"/>
            <w:gridSpan w:val="4"/>
          </w:tcPr>
          <w:p>
            <w:pPr>
              <w:jc w:val="right"/>
              <w:ind w:right="220"/>
              <w:spacing w:after="0"/>
              <w:rPr>
                <w:sz w:val="20"/>
                <w:szCs w:val="20"/>
                <w:color w:val="auto"/>
              </w:rPr>
            </w:pPr>
            <w:r>
              <w:rPr>
                <w:rFonts w:ascii="Arial" w:cs="Arial" w:eastAsia="Arial" w:hAnsi="Arial"/>
                <w:sz w:val="14"/>
                <w:szCs w:val="14"/>
                <w:color w:val="auto"/>
                <w:w w:val="89"/>
              </w:rPr>
              <w:t>September 30,</w:t>
            </w:r>
          </w:p>
        </w:tc>
        <w:tc>
          <w:tcPr>
            <w:tcW w:w="620" w:type="dxa"/>
            <w:vAlign w:val="bottom"/>
            <w:vMerge w:val="restart"/>
          </w:tcPr>
          <w:p>
            <w:pPr>
              <w:jc w:val="right"/>
              <w:ind w:right="193"/>
              <w:spacing w:after="0"/>
              <w:rPr>
                <w:sz w:val="20"/>
                <w:szCs w:val="20"/>
                <w:color w:val="auto"/>
              </w:rPr>
            </w:pPr>
            <w:r>
              <w:rPr>
                <w:rFonts w:ascii="Arial" w:cs="Arial" w:eastAsia="Arial" w:hAnsi="Arial"/>
                <w:sz w:val="14"/>
                <w:szCs w:val="14"/>
                <w:color w:val="auto"/>
              </w:rPr>
              <w:t>2004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(Numerator)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65,774)</w:t>
            </w:r>
          </w:p>
        </w:tc>
        <w:tc>
          <w:tcPr>
            <w:tcW w:w="9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38,907</w:t>
            </w: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Shares, in thousands (Denominator):</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Weighted-average shares for basic per share calculations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55,903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Effect of stock options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restricted stock awards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Adjusted weighted-average shares for diluted per share calculations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9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9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Shares issuable upon the exercise of stock options, vesting of restricted stock awards, and conversion of convertible debt, which have been excluded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and 2004 diluted per share amounts because their effect would have been antidilutive, include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jc w:val="right"/>
              <w:ind w:right="353"/>
              <w:spacing w:after="0"/>
              <w:rPr>
                <w:sz w:val="20"/>
                <w:szCs w:val="20"/>
                <w:color w:val="auto"/>
              </w:rPr>
            </w:pPr>
            <w:r>
              <w:rPr>
                <w:rFonts w:ascii="Arial" w:cs="Arial" w:eastAsia="Arial" w:hAnsi="Arial"/>
                <w:sz w:val="14"/>
                <w:szCs w:val="14"/>
                <w:color w:val="auto"/>
                <w:w w:val="94"/>
              </w:rPr>
              <w:t>Three months ended September 30,</w:t>
            </w:r>
          </w:p>
        </w:tc>
      </w:tr>
      <w:tr>
        <w:trPr>
          <w:trHeight w:val="167"/>
        </w:trPr>
        <w:tc>
          <w:tcPr>
            <w:tcW w:w="44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2005</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2004</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480" w:type="dxa"/>
            <w:vAlign w:val="bottom"/>
          </w:tcPr>
          <w:p>
            <w:pPr>
              <w:ind w:left="420"/>
              <w:spacing w:after="0"/>
              <w:rPr>
                <w:sz w:val="20"/>
                <w:szCs w:val="20"/>
                <w:color w:val="auto"/>
              </w:rPr>
            </w:pPr>
            <w:r>
              <w:rPr>
                <w:rFonts w:ascii="Arial" w:cs="Arial" w:eastAsia="Arial" w:hAnsi="Arial"/>
                <w:sz w:val="18"/>
                <w:szCs w:val="18"/>
                <w:color w:val="auto"/>
              </w:rPr>
              <w:t>Weighted average number, in thousands</w:t>
            </w: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w w:val="87"/>
              </w:rPr>
              <w:t>13,236</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13,015</w:t>
            </w:r>
          </w:p>
        </w:tc>
      </w:tr>
      <w:tr>
        <w:trPr>
          <w:trHeight w:val="216"/>
        </w:trPr>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exercise price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14.54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20.28</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Restricted Stock:</w:t>
            </w: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196</w:t>
            </w: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Convertible Debt:</w:t>
            </w:r>
          </w:p>
        </w:tc>
        <w:tc>
          <w:tcPr>
            <w:tcW w:w="4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4480" w:type="dxa"/>
            <w:vAlign w:val="bottom"/>
          </w:tcPr>
          <w:p>
            <w:pPr>
              <w:ind w:left="420"/>
              <w:spacing w:after="0"/>
              <w:rPr>
                <w:sz w:val="20"/>
                <w:szCs w:val="20"/>
                <w:color w:val="auto"/>
              </w:rPr>
            </w:pPr>
            <w:r>
              <w:rPr>
                <w:rFonts w:ascii="Arial" w:cs="Arial" w:eastAsia="Arial" w:hAnsi="Arial"/>
                <w:sz w:val="18"/>
                <w:szCs w:val="18"/>
                <w:color w:val="auto"/>
              </w:rPr>
              <w:t>Conversion price</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r>
        <w:trPr>
          <w:trHeight w:val="391"/>
        </w:trPr>
        <w:tc>
          <w:tcPr>
            <w:tcW w:w="4480" w:type="dxa"/>
            <w:vAlign w:val="bottom"/>
          </w:tcPr>
          <w:p>
            <w:pPr>
              <w:spacing w:after="0"/>
              <w:rPr>
                <w:sz w:val="24"/>
                <w:szCs w:val="24"/>
                <w:color w:val="auto"/>
              </w:rPr>
            </w:pPr>
          </w:p>
        </w:tc>
        <w:tc>
          <w:tcPr>
            <w:tcW w:w="4020" w:type="dxa"/>
            <w:vAlign w:val="bottom"/>
          </w:tcPr>
          <w:p>
            <w:pPr>
              <w:jc w:val="right"/>
              <w:ind w:right="265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color w:val="auto"/>
                <w:w w:val="96"/>
              </w:rPr>
              <w:t>Nine months ended September 30,</w:t>
            </w:r>
          </w:p>
        </w:tc>
      </w:tr>
      <w:tr>
        <w:trPr>
          <w:trHeight w:val="142"/>
        </w:trPr>
        <w:tc>
          <w:tcPr>
            <w:tcW w:w="8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2005</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500" w:type="dxa"/>
            <w:vAlign w:val="bottom"/>
          </w:tcPr>
          <w:p>
            <w:pPr>
              <w:ind w:left="4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w w:val="87"/>
              </w:rPr>
              <w:t>13,335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10,141</w:t>
            </w: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14.61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23.85</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188</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w:t>
            </w:r>
          </w:p>
        </w:tc>
      </w:tr>
      <w:tr>
        <w:trPr>
          <w:trHeight w:val="432"/>
        </w:trPr>
        <w:tc>
          <w:tcPr>
            <w:tcW w:w="8500" w:type="dxa"/>
            <w:vAlign w:val="bottom"/>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8500" w:type="dxa"/>
            <w:vAlign w:val="bottom"/>
          </w:tcPr>
          <w:p>
            <w:pPr>
              <w:ind w:left="42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Employee Compensation</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Effective January 1, 2005, the Company adopted the fair value based method of accounting for stock-based employee compensation under the provisions of Statement of Financial Accounting Standards No. (“SFAS”)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using the modified prospective method as described in SFAS 148, </w:t>
      </w:r>
      <w:r>
        <w:rPr>
          <w:rFonts w:ascii="Arial" w:cs="Arial" w:eastAsia="Arial" w:hAnsi="Arial"/>
          <w:sz w:val="16"/>
          <w:szCs w:val="16"/>
          <w:i w:val="1"/>
          <w:iCs w:val="1"/>
          <w:color w:val="auto"/>
        </w:rPr>
        <w:t>Accounting for Stock-Based Compensation- Transition and Disclosure</w:t>
      </w:r>
      <w:r>
        <w:rPr>
          <w:rFonts w:ascii="Arial" w:cs="Arial" w:eastAsia="Arial" w:hAnsi="Arial"/>
          <w:sz w:val="16"/>
          <w:szCs w:val="16"/>
          <w:color w:val="auto"/>
        </w:rPr>
        <w:t xml:space="preserve">. As a result, the Company has begun recognizing expense, in an amount equal to the fair value of share-based payments (including stock option awards) on their date of grant, over the vesting period of the awards. Under the modified prospective method, compensation expense for the Company is recognized for (a) all share based payments granted on or after January 1, 2005, (including replacement options granted under the Company’s stock option exchange program which concluded on January 5, 2005 (see Note 11))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Therefore, compensation expense related to employee stock options was not reflected</w:t>
      </w:r>
      <w:r>
        <w:rPr>
          <w:rFonts w:ascii="Arial" w:cs="Arial" w:eastAsia="Arial" w:hAnsi="Arial"/>
          <w:sz w:val="16"/>
          <w:szCs w:val="16"/>
          <w:i w:val="1"/>
          <w:iCs w:val="1"/>
          <w:color w:val="auto"/>
        </w:rPr>
        <w:t xml:space="preserve"> </w:t>
      </w:r>
      <w:r>
        <w:rPr>
          <w:rFonts w:ascii="Arial" w:cs="Arial" w:eastAsia="Arial" w:hAnsi="Arial"/>
          <w:sz w:val="16"/>
          <w:szCs w:val="16"/>
          <w:color w:val="auto"/>
        </w:rPr>
        <w:t>in operating expenses in any period prior to the first quarter of 2005 and prior period results have not been restated. For the three months ended September 30, 2005, non-cash stock-based employee compensation expense related to stock option awards (“Stock Option Expense”) totaled $5,374. Stock Option Expense recognized in operating expenses, which includes $65 of Stock Option Expense previously capitalized in inventory, totaled $5,439 for the three months ended September 30, 2005. For the nine months ended September 30, 2005, Stock Option Expense totaled $16,313, of which $16,166 was recognized in operating expenses and $147 was capitalized in inventory. For the three and nine months ended September 30, 2004, had the Company adopted the fair value based method of accounting for stock-based employee compensation under the provisions of SFAS 123, Stock Option Expense would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have totaled $8,037 and $25,547, respectively, and the effect on the Company’s net income (loss) and net income (loss) per share would have been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color w:val="auto"/>
                <w:w w:val="95"/>
              </w:rPr>
              <w:t>Three months ended</w:t>
            </w:r>
          </w:p>
        </w:tc>
        <w:tc>
          <w:tcPr>
            <w:tcW w:w="920" w:type="dxa"/>
            <w:vAlign w:val="bottom"/>
          </w:tcPr>
          <w:p>
            <w:pPr>
              <w:spacing w:after="0"/>
              <w:rPr>
                <w:sz w:val="14"/>
                <w:szCs w:val="14"/>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7"/>
              </w:rPr>
              <w:t>September 30, 2004</w:t>
            </w:r>
          </w:p>
        </w:tc>
        <w:tc>
          <w:tcPr>
            <w:tcW w:w="92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9"/>
              </w:rPr>
              <w:t>September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11,076)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618</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 compensation expense determined under fair value based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 for all awards</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(8,655)</w:t>
            </w: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tcPr>
          <w:p>
            <w:pPr>
              <w:spacing w:after="0"/>
              <w:rPr>
                <w:sz w:val="20"/>
                <w:szCs w:val="20"/>
                <w:color w:val="auto"/>
              </w:rPr>
            </w:pPr>
            <w:r>
              <w:rPr>
                <w:rFonts w:ascii="Arial" w:cs="Arial" w:eastAsia="Arial" w:hAnsi="Arial"/>
                <w:sz w:val="18"/>
                <w:szCs w:val="18"/>
                <w:color w:val="auto"/>
              </w:rPr>
              <w:t>Pro forma net income (loss), basic</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19,113)</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amounts: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0.20)</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 forma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0.34)</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Diluted net income (loss) per share amounts: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fair value of each option granted under the Regeneron Pharmaceuticals, Inc. 2000 Long-Term Incentive Plan (“2000 Incentive Plan”) during the three and nine months ended September 30, 2005 and 2004 was estimated on the date of grant using the Black-Scholes option-pricing model. Using this model, fair value is calculated based on assumptions with respect to (i) expected volatility of the Company’s Common Stock price, (ii) the periods of time over which employees and Board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weighted-average fair value of the options granted during the three months ended September 30, 2005 and 2004 was $5.12 and $6.72 per option, respectively. The weighted-average fair value of the options granted during the nine months ended September 30, 2005 and 2004 was $5.79 and $9.68</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per option, respectively. The following table summarizes the weighted average values of the assumptions used in computing the fair value of option grants.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color w:val="auto"/>
              </w:rPr>
              <w:t>Three months ended September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2005</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2004</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5.0 years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7.5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4.00%</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4.27%</w:t>
            </w:r>
          </w:p>
        </w:tc>
      </w:tr>
      <w:tr>
        <w:trPr>
          <w:trHeight w:val="350"/>
        </w:trPr>
        <w:tc>
          <w:tcPr>
            <w:tcW w:w="886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color w:val="auto"/>
              </w:rPr>
              <w:t>Nine months ended September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2005</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2004</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75%</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 years</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7.4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3.96%</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3.91%</w:t>
            </w:r>
          </w:p>
        </w:tc>
      </w:tr>
    </w:tbl>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2000 Incentive Plan, the Company also awards shares of restricted stock. In accordance with generally accepted accounting principles, the Company records unearned compensation in Stockholders’ Equity related to these awards. The amount is based on the fair market value of shares of Common Stock on the grant date of the restricted stock award and is expensed, on a pro rata basis, over the period that the restrictions lapse. For the three months ended September 30, 2005 and 2004, the Company recognized compensation expense related to restricted stock awards of $482 and $618, respectively. For the nine months ended September 30, 2005 and 2004, the Company recognized compensation expense related to restricted stock awards of $1,458 and $1,917,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Included in accounts payable and accrued expenses at September 30, 2005 and December 31, 2004 are $252 and $550, respectively, of accrued capital expenditures. Included in accounts payable and accrued expenses at September 30, 2004 and December 31, 2003 are $648 and $752, respectively, of accrued capital expenditures.</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Included in accounts payable and accrued expenses at December 31, 2004 and 2003 are $632 and $917, respectively, of accrued Company 401(k) Savings Plan contribution expense. In the first quarter of both 2005 and 2004, the Company contributed 90,385 and 64,333 shares, respectively, of Common Stock to the 401(k) Savings Plan in satisfaction of these obligations.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Included in marketable securities at September 30, 2005 and December 31, 2004 are $1,110 and $2,607, respectively, of accrued interest income. Included in marketable securities at September 30, 2004 and December 31, 2003 are $1,602 and $878, respectively, of accrued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The Company has revised the classification of its investments in auction rate securities from cash and cash equivalents to short-term investments on its balance sheets at December 31, 2004 and 2003, and September 30, 2004.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decreases in cash and cash equivalents and corresponding increases in short-term marketable securities of $6,005 and $20,808 at December 31, 2004 and 2003, respectively, and $13,404 at September 30, 2004. The Company held no auction rate securities at September 30, 2005. In addition, the Company revised its statements of cash flows to reflect the purchases and sales of these securities as investing activities rather than as a component of cash and cash equivalents, resulting in increases in cash flows from investing activities of $14,803 and $14,230 for the years ended December 31, 2004 and 2003, respectively, and $7,404 for the nine months ended September 30, 2004. This change in classification had no impact on the Company’s previously reported current assets, net income (loss), or cash flows from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as of September 30, 2005 and December 31, 2004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color w:val="auto"/>
                <w:w w:val="89"/>
              </w:rPr>
              <w:t>September 30,</w:t>
            </w:r>
          </w:p>
        </w:tc>
        <w:tc>
          <w:tcPr>
            <w:tcW w:w="740" w:type="dxa"/>
            <w:vAlign w:val="bottom"/>
          </w:tcPr>
          <w:p>
            <w:pPr>
              <w:spacing w:after="0"/>
              <w:rPr>
                <w:sz w:val="14"/>
                <w:szCs w:val="14"/>
                <w:color w:val="auto"/>
              </w:rPr>
            </w:pPr>
          </w:p>
        </w:tc>
        <w:tc>
          <w:tcPr>
            <w:tcW w:w="1100" w:type="dxa"/>
            <w:vAlign w:val="bottom"/>
            <w:gridSpan w:val="4"/>
          </w:tcPr>
          <w:p>
            <w:pPr>
              <w:ind w:left="140"/>
              <w:spacing w:after="0"/>
              <w:rPr>
                <w:sz w:val="20"/>
                <w:szCs w:val="20"/>
                <w:color w:val="auto"/>
              </w:rPr>
            </w:pPr>
            <w:r>
              <w:rPr>
                <w:rFonts w:ascii="Arial" w:cs="Arial" w:eastAsia="Arial" w:hAnsi="Arial"/>
                <w:sz w:val="14"/>
                <w:szCs w:val="14"/>
                <w:color w:val="auto"/>
              </w:rPr>
              <w:t>December 31,</w:t>
            </w:r>
          </w:p>
        </w:tc>
      </w:tr>
      <w:tr>
        <w:trPr>
          <w:trHeight w:val="167"/>
        </w:trPr>
        <w:tc>
          <w:tcPr>
            <w:tcW w:w="8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2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200" w:type="dxa"/>
            <w:vAlign w:val="bottom"/>
            <w:tcBorders>
              <w:bottom w:val="single" w:sz="8" w:color="auto"/>
            </w:tcBorders>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9,528</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39,362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Receivable from Merck &amp; Co., Inc.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1,008</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1,315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Procter &amp; Gamble Company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2,345</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10,536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43,102</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 of raw materials, work-in process, and finished products associated with the production of an intermediate for a Merck &amp; Co.,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pediatric vaccine under a long-term manufacturing agreement which will expire in October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September 30, 2005 and December 31, 2004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8"/>
          </w:tcPr>
          <w:p>
            <w:pPr>
              <w:jc w:val="center"/>
              <w:ind w:right="20"/>
              <w:spacing w:after="0"/>
              <w:rPr>
                <w:sz w:val="20"/>
                <w:szCs w:val="20"/>
                <w:color w:val="auto"/>
              </w:rPr>
            </w:pPr>
            <w:r>
              <w:rPr>
                <w:rFonts w:ascii="Arial" w:cs="Arial" w:eastAsia="Arial" w:hAnsi="Arial"/>
                <w:sz w:val="14"/>
                <w:szCs w:val="14"/>
                <w:color w:val="auto"/>
                <w:w w:val="89"/>
              </w:rPr>
              <w:t>September 30,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ind w:left="120"/>
              <w:spacing w:after="0"/>
              <w:rPr>
                <w:sz w:val="20"/>
                <w:szCs w:val="20"/>
                <w:color w:val="auto"/>
              </w:rPr>
            </w:pPr>
            <w:r>
              <w:rPr>
                <w:rFonts w:ascii="Arial" w:cs="Arial" w:eastAsia="Arial" w:hAnsi="Arial"/>
                <w:sz w:val="14"/>
                <w:szCs w:val="14"/>
                <w:color w:val="auto"/>
              </w:rPr>
              <w:t>December 31,</w:t>
            </w:r>
          </w:p>
        </w:tc>
      </w:tr>
      <w:tr>
        <w:trPr>
          <w:trHeight w:val="167"/>
        </w:trPr>
        <w:tc>
          <w:tcPr>
            <w:tcW w:w="20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2004</w:t>
            </w:r>
          </w:p>
        </w:tc>
        <w:tc>
          <w:tcPr>
            <w:tcW w:w="200" w:type="dxa"/>
            <w:vAlign w:val="bottom"/>
            <w:tcBorders>
              <w:bottom w:val="single" w:sz="8" w:color="auto"/>
            </w:tcBorders>
          </w:tcPr>
          <w:p>
            <w:pPr>
              <w:spacing w:after="0"/>
              <w:rPr>
                <w:sz w:val="14"/>
                <w:szCs w:val="14"/>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r>
              <w:rPr>
                <w:rFonts w:ascii="Arial" w:cs="Arial" w:eastAsia="Arial" w:hAnsi="Arial"/>
                <w:sz w:val="15"/>
                <w:szCs w:val="15"/>
                <w:color w:val="auto"/>
              </w:rPr>
              <w:t>(1)</w:t>
            </w: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2,227</w:t>
            </w:r>
          </w:p>
        </w:tc>
      </w:tr>
      <w:tr>
        <w:trPr>
          <w:trHeight w:val="223"/>
        </w:trPr>
        <w:tc>
          <w:tcPr>
            <w:tcW w:w="2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2060" w:type="dxa"/>
            <w:vAlign w:val="bottom"/>
            <w:tcBorders>
              <w:bottom w:val="single" w:sz="8" w:color="auto"/>
            </w:tcBorders>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866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Net of reserves of $256.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w w:val="92"/>
              </w:rPr>
              <w:t>Accounts payable and accrued expenses as of September 30, 2005 and December 31, 2004 consist of the following:</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6"/>
        </w:trPr>
        <w:tc>
          <w:tcPr>
            <w:tcW w:w="20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0" w:type="dxa"/>
            <w:vAlign w:val="bottom"/>
            <w:gridSpan w:val="10"/>
          </w:tcPr>
          <w:p>
            <w:pPr>
              <w:ind w:left="140"/>
              <w:spacing w:after="0"/>
              <w:rPr>
                <w:sz w:val="20"/>
                <w:szCs w:val="20"/>
                <w:color w:val="auto"/>
              </w:rPr>
            </w:pPr>
            <w:r>
              <w:rPr>
                <w:rFonts w:ascii="Arial" w:cs="Arial" w:eastAsia="Arial" w:hAnsi="Arial"/>
                <w:sz w:val="14"/>
                <w:szCs w:val="14"/>
                <w:color w:val="auto"/>
              </w:rPr>
              <w:t>September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tcPr>
          <w:p>
            <w:pPr>
              <w:ind w:left="60"/>
              <w:spacing w:after="0"/>
              <w:rPr>
                <w:sz w:val="20"/>
                <w:szCs w:val="20"/>
                <w:color w:val="auto"/>
              </w:rPr>
            </w:pPr>
            <w:r>
              <w:rPr>
                <w:rFonts w:ascii="Arial" w:cs="Arial" w:eastAsia="Arial" w:hAnsi="Arial"/>
                <w:sz w:val="14"/>
                <w:szCs w:val="14"/>
                <w:color w:val="auto"/>
              </w:rPr>
              <w:t>December 31,</w:t>
            </w:r>
          </w:p>
        </w:tc>
      </w:tr>
      <w:tr>
        <w:trPr>
          <w:trHeight w:val="167"/>
        </w:trPr>
        <w:tc>
          <w:tcPr>
            <w:tcW w:w="20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89"/>
              </w:rPr>
              <w:t>2004</w:t>
            </w:r>
          </w:p>
        </w:tc>
        <w:tc>
          <w:tcPr>
            <w:tcW w:w="200" w:type="dxa"/>
            <w:vAlign w:val="bottom"/>
            <w:tcBorders>
              <w:bottom w:val="single" w:sz="8" w:color="auto"/>
            </w:tcBorders>
          </w:tcPr>
          <w:p>
            <w:pPr>
              <w:spacing w:after="0"/>
              <w:rPr>
                <w:sz w:val="14"/>
                <w:szCs w:val="14"/>
                <w:color w:val="auto"/>
              </w:rPr>
            </w:pPr>
          </w:p>
        </w:tc>
      </w:tr>
      <w:tr>
        <w:trPr>
          <w:trHeight w:val="210"/>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3,452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4,407</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8"/>
              </w:rPr>
              <w:t>4,234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7,972</w:t>
            </w: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2,083</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Accrued expenses, other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8"/>
              </w:rPr>
              <w:t>1,808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2,118</w:t>
            </w: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2,292</w:t>
            </w:r>
          </w:p>
        </w:tc>
      </w:tr>
      <w:tr>
        <w:trPr>
          <w:trHeight w:val="223"/>
        </w:trPr>
        <w:tc>
          <w:tcPr>
            <w:tcW w:w="2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83"/>
              </w:rPr>
              <w:t>20,599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18,872</w:t>
            </w:r>
          </w:p>
        </w:tc>
        <w:tc>
          <w:tcPr>
            <w:tcW w:w="200" w:type="dxa"/>
            <w:vAlign w:val="bottom"/>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(loss) on marketable securities. The net effect of income taxes on comprehensive income (loss) is immaterial. For the three months ended September 30, 2005 and 2004, the components of comprehensive loss 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440"/>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color w:val="auto"/>
              </w:rPr>
              <w:t>2005</w:t>
            </w:r>
          </w:p>
        </w:tc>
        <w:tc>
          <w:tcPr>
            <w:tcW w:w="16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2004</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($34,652)</w:t>
            </w:r>
          </w:p>
        </w:tc>
        <w:tc>
          <w:tcPr>
            <w:tcW w:w="1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36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364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34,625)</w:t>
            </w:r>
          </w:p>
        </w:tc>
        <w:tc>
          <w:tcPr>
            <w:tcW w:w="1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60" w:type="dxa"/>
            <w:vAlign w:val="bottom"/>
            <w:vMerge w:val="restart"/>
          </w:tcPr>
          <w:p>
            <w:pPr>
              <w:jc w:val="right"/>
              <w:ind w:right="25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2005 and 2004, the components of comprehensive income (loss)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jc w:val="right"/>
              <w:ind w:right="300"/>
              <w:spacing w:after="0"/>
              <w:rPr>
                <w:sz w:val="20"/>
                <w:szCs w:val="20"/>
                <w:color w:val="auto"/>
              </w:rPr>
            </w:pPr>
            <w:r>
              <w:rPr>
                <w:rFonts w:ascii="Arial" w:cs="Arial" w:eastAsia="Arial" w:hAnsi="Arial"/>
                <w:sz w:val="14"/>
                <w:szCs w:val="14"/>
                <w:color w:val="auto"/>
              </w:rPr>
              <w:t>Nine months ended September 30,</w:t>
            </w:r>
          </w:p>
        </w:tc>
      </w:tr>
      <w:tr>
        <w:trPr>
          <w:trHeight w:val="167"/>
        </w:trPr>
        <w:tc>
          <w:tcPr>
            <w:tcW w:w="87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2004</w:t>
            </w:r>
          </w:p>
        </w:tc>
        <w:tc>
          <w:tcPr>
            <w:tcW w:w="100" w:type="dxa"/>
            <w:vAlign w:val="bottom"/>
            <w:tcBorders>
              <w:bottom w:val="single" w:sz="8" w:color="auto"/>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($65,774)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38,907</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r>
      <w:tr>
        <w:trPr>
          <w:trHeight w:val="27"/>
        </w:trPr>
        <w:tc>
          <w:tcPr>
            <w:tcW w:w="8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($65,687)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38,601</w:t>
            </w: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The sanofi-aventis Group</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September 2003, the Company entered into a collaboration agreement (the “s-a Agreement”) with Aventis Pharmaceuticals Inc., now a member of the sanofi-aventis Group, to jointly develop and commercialize the Company’s Vascular Endothelial Growth Factor (“VEGF”) Trap. In connection with this agreement, Aventis Pharmaceuticals made a non-refundable up-front payment of $80.0 million and purchased $45.0 million of newly issued, unregistered shares of the Company’s Common Stock.</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January 2005, the Company and sanofi-aventis amended the s-a Agreement to exclude rights to develop and commercialize the VEGF Trap for eye diseases through local delivery systems, and these VEGF Trap product rights reverted to Regeneron. In connection with this amendment, sanofi-aventis made a one-time $25.0 million payment to Regeneron in January 2005. Under the s-a Agreement, as amended, Regeneron and sanofi-aventis will share co-promotion rights for and profits on sales, if any, from the VEGF Trap, for disease indications included in the companies’ collaboration.</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s-a Agreement, as amended, agreed upon development expenses incurred by both companies during the term of the agreement will be funded by sanofi-aventis. If the collaboration becomes profitable, Regeneron will reimburse sanofi-aventis for 50% of the VEGF Trap development expenses, including 50% of the $25.0 million payment received in connection with the January 2005 amendment to the collaboration agreement, in accordance with a formula based on the amount of development expenses and Regeneron’s share of the collaboration profits, or at a faster rate at Regeneron’s option. In addition, if the first commercial sale of a VEGF Trap product for diseases of the eye through local delivery systems predates the first commercial sale of a VEGF Trap product under the collaboration, Regeneron will begin reimbursing sanofi-aventis for up to $7.5 million of VEGF Trap development expenses commencing two years after such initial commercialization outside the collaboration in accordance with a defined formula, until the first commercial VEGF Trap sale under the collaboration occurs.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The Procter &amp; Gamble Company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30, 2005, the Company and The Procter &amp; Gamble Company agreed to amend their collaboration agreement (the “Collaboration Agreement”) entered into as of December 31, 2000. Pursuant to the terms of the amendment and agreement (the “Amendment”) entered into by the parties on June 30, 2005, the Company and Procter &amp; Gamble agreed that the research activities of the parties under the Collaboration Agreement were completed on June 30, 2005, six months prior to the December 31, 2005 expiration date in the Collaboration Agreement. In connection with the Amendment, Procter &amp; Gamble agreed to make a one-time $5.6 million payment to Regeneron, which was received in July 2005, and the Company agreed to pay $950 to Procter &amp; Gamble to acquire certain capital equipment owned by Procter &amp; Gamble and located at the Company’s facilities. Procter &amp; Gamble also funded Regeneron’s research for the second quarter of 2005 under the terms of the Collaboration Agreement. Procter &amp; Gamble and the Company divided rights to research programs and pre-clinical product candidates that were developed during the research term of the Collaboration Agreement. Neither party has the right to participate in the development or commercialization of the other party’s product candidates. The Company is entitled to receive royalties based on any future product sales of a Procter &amp; Gamble pre-clinical candidate arising from the collaboration. Neither party is entitled to receive royalties or other payments based on any other products arising from the collaboration.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Amgen Inc.</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1, 2005, the Company and Amgen Inc. agreed to terminate their collaboration agreement (the “Amgen Agreement”) entered into in August 1990 to develop and attempt to commercialize two proprietary products. The Company and Amgen also agreed to terminate Amgen-Regeneron Partners, a partnership established in connection with the Amgen Agreement to complete the development and to commercialize the two products. There were no ongoing activities to develop these products and selected financial data of Amgen-Regeneron Partners as of and for the nine months ended September 30, 2005 and the years ended December 31, 2004, 2003 and 2002 were not significant. The Company and Amgen were equal partners in Amgen-Regeneron Partners. Neither party is entitled to receive royalties based on any products arising from the collaboration.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Exchange Program</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December 2004, the Company’s shareholders approved a stock option exchange program. Under the program, Company regular employees who worked an average of 20 hours per week, other than the Company’s chairman and the Company’s president and chief executive officer, were provided the opportunity to make a one-time election to surrender options granted under the Company’s Long-Term Incentive Plans that had 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exercise price per share of at least $18.00 and exchange them for replacement options granted under the 2000 Incentive Plan in accordance with the following exchange ratios: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Exchange Ratio</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 of Eligible Options</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1"/>
              </w:rPr>
              <w:t>Surrendered and Cancelled for Each</w:t>
            </w:r>
          </w:p>
        </w:tc>
      </w:tr>
      <w:tr>
        <w:trPr>
          <w:trHeight w:val="167"/>
        </w:trPr>
        <w:tc>
          <w:tcPr>
            <w:tcW w:w="8820" w:type="dxa"/>
            <w:vAlign w:val="bottom"/>
            <w:gridSpan w:val="2"/>
          </w:tcPr>
          <w:p>
            <w:pPr>
              <w:spacing w:after="0"/>
              <w:rPr>
                <w:sz w:val="20"/>
                <w:szCs w:val="20"/>
                <w:color w:val="auto"/>
              </w:rPr>
            </w:pPr>
            <w:r>
              <w:rPr>
                <w:rFonts w:ascii="Arial" w:cs="Arial" w:eastAsia="Arial" w:hAnsi="Arial"/>
                <w:sz w:val="14"/>
                <w:szCs w:val="14"/>
                <w:color w:val="auto"/>
              </w:rPr>
              <w:t>Exercise Price of Eligible Options</w:t>
            </w:r>
          </w:p>
        </w:tc>
        <w:tc>
          <w:tcPr>
            <w:tcW w:w="5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w w:val="93"/>
              </w:rPr>
              <w:t>Replacement Option)</w:t>
            </w:r>
          </w:p>
        </w:tc>
      </w:tr>
      <w:tr>
        <w:trPr>
          <w:trHeight w:val="210"/>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$18.00 to $28.00</w:t>
            </w:r>
          </w:p>
        </w:tc>
        <w:tc>
          <w:tcPr>
            <w:tcW w:w="50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1.50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$28.01 to $37.00</w:t>
            </w:r>
          </w:p>
        </w:tc>
        <w:tc>
          <w:tcPr>
            <w:tcW w:w="2600" w:type="dxa"/>
            <w:vAlign w:val="bottom"/>
            <w:gridSpan w:val="2"/>
          </w:tcPr>
          <w:p>
            <w:pPr>
              <w:jc w:val="center"/>
              <w:ind w:left="410"/>
              <w:spacing w:after="0"/>
              <w:rPr>
                <w:sz w:val="20"/>
                <w:szCs w:val="20"/>
                <w:color w:val="auto"/>
              </w:rPr>
            </w:pPr>
            <w:r>
              <w:rPr>
                <w:rFonts w:ascii="Arial" w:cs="Arial" w:eastAsia="Arial" w:hAnsi="Arial"/>
                <w:sz w:val="18"/>
                <w:szCs w:val="18"/>
                <w:color w:val="auto"/>
                <w:w w:val="85"/>
              </w:rPr>
              <w:t>2.00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$37.01 and up</w:t>
            </w:r>
          </w:p>
        </w:tc>
        <w:tc>
          <w:tcPr>
            <w:tcW w:w="26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5"/>
              </w:rPr>
              <w:t>3.00</w:t>
            </w: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Participation in the stock option exchange program was voluntary, and non-employee directors, consultants, former employees, and retirees were not eligible to participate. The participation deadline for the program was January 5, 2005. Eligible employees elected to exchange options with a total of 3,665,819 underlying shares of Common Stock, and on January 5, 2005, the Company issued replacement options with respect to a total of 1,977,840 underlying shares of Common Stock at an exercise price of $8.50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Research and development</w:t>
      </w:r>
      <w:r>
        <w:rPr>
          <w:rFonts w:ascii="Arial" w:cs="Arial" w:eastAsia="Arial" w:hAnsi="Arial"/>
          <w:sz w:val="18"/>
          <w:szCs w:val="18"/>
          <w:color w:val="auto"/>
        </w:rPr>
        <w:t>: Includes all activities related to the discovery of potential therapeutics for human medical 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Contract manufacturing</w:t>
      </w:r>
      <w:r>
        <w:rPr>
          <w:rFonts w:ascii="Arial" w:cs="Arial" w:eastAsia="Arial" w:hAnsi="Arial"/>
          <w:sz w:val="18"/>
          <w:szCs w:val="18"/>
          <w:color w:val="auto"/>
        </w:rPr>
        <w:t>: Includes all revenues and expenses related to the commercial production of products under contract manufacturing arrangements. The Company produces an intermediate for a Merck &amp; Co., Inc. pediatric vaccine under a long-term manufacturing agreement which will expire in October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information about reported segments for the three and nine months ended September 30, 2005 and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7"/>
          </w:tcPr>
          <w:p>
            <w:pPr>
              <w:jc w:val="right"/>
              <w:ind w:right="72"/>
              <w:spacing w:after="0"/>
              <w:rPr>
                <w:sz w:val="20"/>
                <w:szCs w:val="20"/>
                <w:color w:val="auto"/>
              </w:rPr>
            </w:pPr>
            <w:r>
              <w:rPr>
                <w:rFonts w:ascii="Arial" w:cs="Arial" w:eastAsia="Arial" w:hAnsi="Arial"/>
                <w:sz w:val="14"/>
                <w:szCs w:val="14"/>
                <w:color w:val="auto"/>
                <w:w w:val="93"/>
              </w:rPr>
              <w:t>Three months ended September 30, 2005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Research &amp;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Contract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Reconciling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Development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Manufacturing</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Items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$ 11,533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58"/>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28"/>
              <w:spacing w:after="0"/>
              <w:rPr>
                <w:sz w:val="20"/>
                <w:szCs w:val="20"/>
                <w:color w:val="auto"/>
              </w:rPr>
            </w:pPr>
            <w:r>
              <w:rPr>
                <w:rFonts w:ascii="Arial" w:cs="Arial" w:eastAsia="Arial" w:hAnsi="Arial"/>
                <w:sz w:val="18"/>
                <w:szCs w:val="18"/>
                <w:color w:val="auto"/>
              </w:rPr>
              <w:t>$ 16,194</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261</w:t>
            </w:r>
          </w:p>
        </w:tc>
        <w:tc>
          <w:tcPr>
            <w:tcW w:w="1640" w:type="dxa"/>
            <w:vAlign w:val="bottom"/>
            <w:gridSpan w:val="5"/>
          </w:tcPr>
          <w:p>
            <w:pPr>
              <w:jc w:val="right"/>
              <w:ind w:right="228"/>
              <w:spacing w:after="0"/>
              <w:rPr>
                <w:sz w:val="20"/>
                <w:szCs w:val="20"/>
                <w:color w:val="auto"/>
              </w:rPr>
            </w:pPr>
            <w:r>
              <w:rPr>
                <w:rFonts w:ascii="Arial" w:cs="Arial" w:eastAsia="Arial" w:hAnsi="Arial"/>
                <w:sz w:val="18"/>
                <w:szCs w:val="18"/>
                <w:color w:val="auto"/>
              </w:rPr>
              <w:t>3,935</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4"/>
              </w:rPr>
              <w:t>3,011</w:t>
            </w:r>
          </w:p>
        </w:tc>
        <w:tc>
          <w:tcPr>
            <w:tcW w:w="1640" w:type="dxa"/>
            <w:vAlign w:val="bottom"/>
            <w:gridSpan w:val="5"/>
            <w:shd w:val="clear" w:color="auto" w:fill="CCEEFF"/>
          </w:tcPr>
          <w:p>
            <w:pPr>
              <w:jc w:val="right"/>
              <w:ind w:right="228"/>
              <w:spacing w:after="0"/>
              <w:rPr>
                <w:sz w:val="20"/>
                <w:szCs w:val="20"/>
                <w:color w:val="auto"/>
              </w:rPr>
            </w:pPr>
            <w:r>
              <w:rPr>
                <w:rFonts w:ascii="Arial" w:cs="Arial" w:eastAsia="Arial" w:hAnsi="Arial"/>
                <w:sz w:val="18"/>
                <w:szCs w:val="18"/>
                <w:color w:val="auto"/>
              </w:rPr>
              <w:t>3,011</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(35,802)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158"/>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w:t>
            </w:r>
            <w:r>
              <w:rPr>
                <w:rFonts w:ascii="Arial" w:cs="Arial" w:eastAsia="Arial" w:hAnsi="Arial"/>
                <w:sz w:val="15"/>
                <w:szCs w:val="15"/>
                <w:color w:val="auto"/>
              </w:rPr>
              <w:t>(2)</w:t>
            </w:r>
          </w:p>
        </w:tc>
        <w:tc>
          <w:tcPr>
            <w:tcW w:w="1640" w:type="dxa"/>
            <w:vAlign w:val="bottom"/>
            <w:gridSpan w:val="5"/>
          </w:tcPr>
          <w:p>
            <w:pPr>
              <w:jc w:val="right"/>
              <w:ind w:right="168"/>
              <w:spacing w:after="0"/>
              <w:rPr>
                <w:sz w:val="20"/>
                <w:szCs w:val="20"/>
                <w:color w:val="auto"/>
              </w:rPr>
            </w:pPr>
            <w:r>
              <w:rPr>
                <w:rFonts w:ascii="Arial" w:cs="Arial" w:eastAsia="Arial" w:hAnsi="Arial"/>
                <w:sz w:val="18"/>
                <w:szCs w:val="18"/>
                <w:color w:val="auto"/>
              </w:rPr>
              <w:t>(34,652)</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28"/>
              <w:spacing w:after="0"/>
              <w:rPr>
                <w:sz w:val="20"/>
                <w:szCs w:val="20"/>
                <w:color w:val="auto"/>
              </w:rPr>
            </w:pPr>
            <w:r>
              <w:rPr>
                <w:rFonts w:ascii="Arial" w:cs="Arial" w:eastAsia="Arial" w:hAnsi="Arial"/>
                <w:sz w:val="18"/>
                <w:szCs w:val="18"/>
                <w:color w:val="auto"/>
              </w:rPr>
              <w:t>575</w:t>
            </w:r>
          </w:p>
        </w:tc>
      </w:tr>
      <w:tr>
        <w:trPr>
          <w:trHeight w:val="346"/>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right"/>
              <w:ind w:right="112"/>
              <w:spacing w:after="0"/>
              <w:rPr>
                <w:sz w:val="20"/>
                <w:szCs w:val="20"/>
                <w:color w:val="auto"/>
              </w:rPr>
            </w:pPr>
            <w:r>
              <w:rPr>
                <w:rFonts w:ascii="Arial" w:cs="Arial" w:eastAsia="Arial" w:hAnsi="Arial"/>
                <w:sz w:val="14"/>
                <w:szCs w:val="14"/>
                <w:color w:val="auto"/>
                <w:w w:val="92"/>
              </w:rPr>
              <w:t>Three months ended September 30, 2004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0"/>
              </w:rPr>
              <w:t>Research &amp;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Contract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Reconciling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4"/>
              </w:rPr>
              <w:t>Development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Manufacturing</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color w:val="auto"/>
                <w:w w:val="93"/>
              </w:rPr>
              <w:t>Items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$ 25,621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78"/>
              <w:spacing w:after="0"/>
              <w:rPr>
                <w:sz w:val="20"/>
                <w:szCs w:val="20"/>
                <w:color w:val="auto"/>
              </w:rPr>
            </w:pPr>
            <w:r>
              <w:rPr>
                <w:rFonts w:ascii="Arial" w:cs="Arial" w:eastAsia="Arial" w:hAnsi="Arial"/>
                <w:sz w:val="18"/>
                <w:szCs w:val="18"/>
                <w:color w:val="auto"/>
              </w:rPr>
              <w:t>$10,898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$ 36,519</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261</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3,876</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3"/>
              </w:rPr>
              <w:t>3,014</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3,014</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(11,391)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178"/>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(1,597)</w:t>
            </w:r>
            <w:r>
              <w:rPr>
                <w:rFonts w:ascii="Arial" w:cs="Arial" w:eastAsia="Arial" w:hAnsi="Arial"/>
                <w:sz w:val="15"/>
                <w:szCs w:val="15"/>
                <w:color w:val="auto"/>
              </w:rPr>
              <w:t>(2)</w:t>
            </w:r>
          </w:p>
        </w:tc>
        <w:tc>
          <w:tcPr>
            <w:tcW w:w="1640" w:type="dxa"/>
            <w:vAlign w:val="bottom"/>
            <w:gridSpan w:val="5"/>
          </w:tcPr>
          <w:p>
            <w:pPr>
              <w:jc w:val="right"/>
              <w:ind w:right="148"/>
              <w:spacing w:after="0"/>
              <w:rPr>
                <w:sz w:val="20"/>
                <w:szCs w:val="20"/>
                <w:color w:val="auto"/>
              </w:rPr>
            </w:pPr>
            <w:r>
              <w:rPr>
                <w:rFonts w:ascii="Arial" w:cs="Arial" w:eastAsia="Arial" w:hAnsi="Arial"/>
                <w:sz w:val="18"/>
                <w:szCs w:val="18"/>
                <w:color w:val="auto"/>
              </w:rPr>
              <w:t>(11,076)</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1,844</w:t>
            </w:r>
          </w:p>
        </w:tc>
      </w:tr>
      <w:tr>
        <w:trPr>
          <w:trHeight w:val="346"/>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right"/>
              <w:ind w:right="212"/>
              <w:spacing w:after="0"/>
              <w:rPr>
                <w:sz w:val="20"/>
                <w:szCs w:val="20"/>
                <w:color w:val="auto"/>
              </w:rPr>
            </w:pPr>
            <w:r>
              <w:rPr>
                <w:rFonts w:ascii="Arial" w:cs="Arial" w:eastAsia="Arial" w:hAnsi="Arial"/>
                <w:sz w:val="14"/>
                <w:szCs w:val="14"/>
                <w:color w:val="auto"/>
                <w:w w:val="91"/>
              </w:rPr>
              <w:t>Nine months ended September 30, 2005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Research &amp;</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Contract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Reconciling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w w:val="94"/>
              </w:rPr>
              <w:t>Development</w:t>
            </w:r>
          </w:p>
        </w:tc>
        <w:tc>
          <w:tcPr>
            <w:tcW w:w="2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4"/>
                <w:szCs w:val="14"/>
                <w:color w:val="auto"/>
              </w:rPr>
              <w:t>Manufacturing</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color w:val="auto"/>
              </w:rPr>
              <w:t>Items</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w:t>
            </w:r>
          </w:p>
        </w:tc>
      </w:tr>
      <w:tr>
        <w:trPr>
          <w:trHeight w:val="210"/>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6"/>
              </w:rPr>
              <w:t>$ 38,580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98"/>
              <w:spacing w:after="0"/>
              <w:rPr>
                <w:sz w:val="20"/>
                <w:szCs w:val="20"/>
                <w:color w:val="auto"/>
              </w:rPr>
            </w:pPr>
            <w:r>
              <w:rPr>
                <w:rFonts w:ascii="Arial" w:cs="Arial" w:eastAsia="Arial" w:hAnsi="Arial"/>
                <w:sz w:val="18"/>
                <w:szCs w:val="18"/>
                <w:color w:val="auto"/>
              </w:rPr>
              <w:t>$10,189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$ 48,769</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ind w:right="254"/>
              <w:spacing w:after="0"/>
              <w:rPr>
                <w:sz w:val="20"/>
                <w:szCs w:val="20"/>
                <w:color w:val="auto"/>
              </w:rPr>
            </w:pPr>
            <w:r>
              <w:rPr>
                <w:rFonts w:ascii="Arial" w:cs="Arial" w:eastAsia="Arial" w:hAnsi="Arial"/>
                <w:sz w:val="18"/>
                <w:szCs w:val="18"/>
                <w:color w:val="auto"/>
              </w:rPr>
              <w:t>10,841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80" w:type="dxa"/>
            <w:vAlign w:val="bottom"/>
            <w:gridSpan w:val="4"/>
          </w:tcPr>
          <w:p>
            <w:pPr>
              <w:jc w:val="right"/>
              <w:ind w:right="10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783</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11,624</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8"/>
              </w:rPr>
              <w:t>9,035</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9,035</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contract income</w:t>
            </w:r>
          </w:p>
        </w:tc>
        <w:tc>
          <w:tcPr>
            <w:tcW w:w="1040" w:type="dxa"/>
            <w:vAlign w:val="bottom"/>
          </w:tcPr>
          <w:p>
            <w:pPr>
              <w:jc w:val="right"/>
              <w:ind w:right="254"/>
              <w:spacing w:after="0"/>
              <w:rPr>
                <w:sz w:val="20"/>
                <w:szCs w:val="20"/>
                <w:color w:val="auto"/>
              </w:rPr>
            </w:pPr>
            <w:r>
              <w:rPr>
                <w:rFonts w:ascii="Arial" w:cs="Arial" w:eastAsia="Arial" w:hAnsi="Arial"/>
                <w:sz w:val="18"/>
                <w:szCs w:val="18"/>
                <w:color w:val="auto"/>
              </w:rPr>
              <w:t>30,640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30,640</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(67,031)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98"/>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(1,520)</w:t>
            </w:r>
            <w:r>
              <w:rPr>
                <w:rFonts w:ascii="Arial" w:cs="Arial" w:eastAsia="Arial" w:hAnsi="Arial"/>
                <w:sz w:val="15"/>
                <w:szCs w:val="15"/>
                <w:color w:val="auto"/>
              </w:rPr>
              <w:t>(2)</w:t>
            </w:r>
          </w:p>
        </w:tc>
        <w:tc>
          <w:tcPr>
            <w:tcW w:w="164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(65,774)</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040" w:type="dxa"/>
            <w:vAlign w:val="bottom"/>
          </w:tcPr>
          <w:p>
            <w:pPr>
              <w:jc w:val="right"/>
              <w:ind w:right="254"/>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208"/>
              <w:spacing w:after="0"/>
              <w:rPr>
                <w:sz w:val="20"/>
                <w:szCs w:val="20"/>
                <w:color w:val="auto"/>
              </w:rPr>
            </w:pPr>
            <w:r>
              <w:rPr>
                <w:rFonts w:ascii="Arial" w:cs="Arial" w:eastAsia="Arial" w:hAnsi="Arial"/>
                <w:sz w:val="18"/>
                <w:szCs w:val="18"/>
                <w:color w:val="auto"/>
              </w:rPr>
              <w:t>4,327</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72,037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98"/>
              <w:spacing w:after="0"/>
              <w:rPr>
                <w:sz w:val="20"/>
                <w:szCs w:val="20"/>
                <w:color w:val="auto"/>
              </w:rPr>
            </w:pPr>
            <w:r>
              <w:rPr>
                <w:rFonts w:ascii="Arial" w:cs="Arial" w:eastAsia="Arial" w:hAnsi="Arial"/>
                <w:sz w:val="18"/>
                <w:szCs w:val="18"/>
                <w:color w:val="auto"/>
              </w:rPr>
              <w:t>5,380</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341,858</w:t>
            </w:r>
            <w:r>
              <w:rPr>
                <w:rFonts w:ascii="Arial" w:cs="Arial" w:eastAsia="Arial" w:hAnsi="Arial"/>
                <w:sz w:val="15"/>
                <w:szCs w:val="15"/>
                <w:color w:val="auto"/>
              </w:rPr>
              <w:t>(3)</w:t>
            </w:r>
          </w:p>
        </w:tc>
        <w:tc>
          <w:tcPr>
            <w:tcW w:w="16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419,275</w:t>
            </w:r>
          </w:p>
        </w:tc>
      </w:tr>
      <w:tr>
        <w:trPr>
          <w:trHeight w:val="405"/>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9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5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60" w:type="dxa"/>
            <w:vAlign w:val="bottom"/>
            <w:gridSpan w:val="4"/>
          </w:tcPr>
          <w:p>
            <w:pPr>
              <w:jc w:val="right"/>
              <w:ind w:right="232"/>
              <w:spacing w:after="0"/>
              <w:rPr>
                <w:sz w:val="20"/>
                <w:szCs w:val="20"/>
                <w:color w:val="auto"/>
              </w:rPr>
            </w:pPr>
            <w:r>
              <w:rPr>
                <w:rFonts w:ascii="Arial" w:cs="Arial" w:eastAsia="Arial" w:hAnsi="Arial"/>
                <w:sz w:val="14"/>
                <w:szCs w:val="14"/>
                <w:color w:val="auto"/>
                <w:w w:val="99"/>
              </w:rPr>
              <w:t>Nine months ended September 30, 2004</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126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Research &amp;</w:t>
            </w:r>
          </w:p>
        </w:tc>
        <w:tc>
          <w:tcPr>
            <w:tcW w:w="440" w:type="dxa"/>
            <w:vAlign w:val="bottom"/>
          </w:tcPr>
          <w:p>
            <w:pPr>
              <w:spacing w:after="0"/>
              <w:rPr>
                <w:sz w:val="12"/>
                <w:szCs w:val="12"/>
                <w:color w:val="auto"/>
              </w:rPr>
            </w:pPr>
          </w:p>
        </w:tc>
        <w:tc>
          <w:tcPr>
            <w:tcW w:w="1220" w:type="dxa"/>
            <w:vAlign w:val="bottom"/>
          </w:tcPr>
          <w:p>
            <w:pPr>
              <w:jc w:val="right"/>
              <w:ind w:right="278"/>
              <w:spacing w:after="0" w:line="149" w:lineRule="exact"/>
              <w:rPr>
                <w:sz w:val="20"/>
                <w:szCs w:val="20"/>
                <w:color w:val="auto"/>
              </w:rPr>
            </w:pPr>
            <w:r>
              <w:rPr>
                <w:rFonts w:ascii="Arial" w:cs="Arial" w:eastAsia="Arial" w:hAnsi="Arial"/>
                <w:sz w:val="14"/>
                <w:szCs w:val="14"/>
                <w:color w:val="auto"/>
              </w:rPr>
              <w:t>Contract</w:t>
            </w:r>
          </w:p>
        </w:tc>
        <w:tc>
          <w:tcPr>
            <w:tcW w:w="460" w:type="dxa"/>
            <w:vAlign w:val="bottom"/>
          </w:tcPr>
          <w:p>
            <w:pPr>
              <w:spacing w:after="0"/>
              <w:rPr>
                <w:sz w:val="12"/>
                <w:szCs w:val="12"/>
                <w:color w:val="auto"/>
              </w:rPr>
            </w:pPr>
          </w:p>
        </w:tc>
        <w:tc>
          <w:tcPr>
            <w:tcW w:w="11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Reconciling</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7"/>
        </w:trPr>
        <w:tc>
          <w:tcPr>
            <w:tcW w:w="5240" w:type="dxa"/>
            <w:vAlign w:val="bottom"/>
          </w:tcPr>
          <w:p>
            <w:pPr>
              <w:spacing w:after="0"/>
              <w:rPr>
                <w:sz w:val="14"/>
                <w:szCs w:val="14"/>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Development</w:t>
            </w:r>
          </w:p>
        </w:tc>
        <w:tc>
          <w:tcPr>
            <w:tcW w:w="440" w:type="dxa"/>
            <w:vAlign w:val="bottom"/>
          </w:tcPr>
          <w:p>
            <w:pPr>
              <w:spacing w:after="0"/>
              <w:rPr>
                <w:sz w:val="14"/>
                <w:szCs w:val="14"/>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color w:val="auto"/>
              </w:rPr>
              <w:t>Manufacturing</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Items</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Total</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$112,147</w:t>
            </w:r>
          </w:p>
        </w:tc>
        <w:tc>
          <w:tcPr>
            <w:tcW w:w="1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$14,780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$126,927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10,663</w:t>
            </w:r>
          </w:p>
        </w:tc>
        <w:tc>
          <w:tcPr>
            <w:tcW w:w="440" w:type="dxa"/>
            <w:vAlign w:val="bottom"/>
          </w:tcPr>
          <w:p>
            <w:pPr>
              <w:spacing w:after="0"/>
              <w:rPr>
                <w:sz w:val="18"/>
                <w:szCs w:val="18"/>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783</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11,446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9,035</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9,161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contract income</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42,750</w:t>
            </w:r>
          </w:p>
        </w:tc>
        <w:tc>
          <w:tcPr>
            <w:tcW w:w="440" w:type="dxa"/>
            <w:vAlign w:val="bottom"/>
          </w:tcPr>
          <w:p>
            <w:pPr>
              <w:spacing w:after="0"/>
              <w:rPr>
                <w:sz w:val="18"/>
                <w:szCs w:val="18"/>
                <w:color w:val="auto"/>
              </w:rPr>
            </w:pP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42,750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41,256</w:t>
            </w:r>
          </w:p>
        </w:tc>
        <w:tc>
          <w:tcPr>
            <w:tcW w:w="1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3,040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r>
              <w:rPr>
                <w:rFonts w:ascii="Arial" w:cs="Arial" w:eastAsia="Arial" w:hAnsi="Arial"/>
                <w:sz w:val="15"/>
                <w:szCs w:val="15"/>
                <w:color w:val="auto"/>
              </w:rPr>
              <w:t>(2)</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38,907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tcPr>
          <w:p>
            <w:pPr>
              <w:jc w:val="right"/>
              <w:ind w:right="254"/>
              <w:spacing w:after="0"/>
              <w:rPr>
                <w:sz w:val="20"/>
                <w:szCs w:val="20"/>
                <w:color w:val="auto"/>
              </w:rPr>
            </w:pPr>
            <w:r>
              <w:rPr>
                <w:rFonts w:ascii="Arial" w:cs="Arial" w:eastAsia="Arial" w:hAnsi="Arial"/>
                <w:sz w:val="18"/>
                <w:szCs w:val="18"/>
                <w:color w:val="auto"/>
              </w:rPr>
              <w:t>4,743</w:t>
            </w:r>
          </w:p>
        </w:tc>
        <w:tc>
          <w:tcPr>
            <w:tcW w:w="440" w:type="dxa"/>
            <w:vAlign w:val="bottom"/>
          </w:tcPr>
          <w:p>
            <w:pPr>
              <w:spacing w:after="0"/>
              <w:rPr>
                <w:sz w:val="18"/>
                <w:szCs w:val="18"/>
                <w:color w:val="auto"/>
              </w:rPr>
            </w:pP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4,743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94,658</w:t>
            </w:r>
          </w:p>
        </w:tc>
        <w:tc>
          <w:tcPr>
            <w:tcW w:w="1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8,416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369,611</w:t>
            </w:r>
            <w:r>
              <w:rPr>
                <w:rFonts w:ascii="Arial" w:cs="Arial" w:eastAsia="Arial" w:hAnsi="Arial"/>
                <w:sz w:val="15"/>
                <w:szCs w:val="15"/>
                <w:color w:val="auto"/>
                <w:w w:val="88"/>
              </w:rPr>
              <w:t>(3)</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472,685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Represents investment income, net of interest expense related primarily to convertible notes issued in October 2001.</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Includes cash and cash equivalents, marketable securities, restricted marketable securities, prepaid expenses and other current assets, and other assets.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a product then being developed by the Company for the treatment of obesity, in violation of Sections 10(b) and 20(a) of the Securities and Exchange Act of 1934 and Rule 10b-5 promulgated thereunder.</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2, 2005, the plaintiffs and the Company entered into a Stipulation and Agreement of Settlement settling all claims against the Company in this lawsuit. The settlement requires no payment by the Company or any of the individual defendants named in the lawsuit. The Company’s primary insurance carrier agreed to make the required payment under the settlement, which is in an immaterial amount to the Company. The settlement includes no admission of wrongdoing by the Company or any of the individual defendants. The settlement must be finally approved by the United States District Court for the Southern District of New York following notice and hearing.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Separately, the plaintiffs and the individual defendants named in the lawsuit entered into a Stipulation of Voluntary Dismissal, dismissing all claims against the individuals. This voluntary dismissal shall automatically become a dismissal with prejudice, without costs, upon the court entering an order and final judgment approving the settlement.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time to time, the Company is a party to other legal proceedings in the course of the Company’s business. The Company does not expect any such other current legal proceedings to have a material adverse effect on the Company’s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Severance Costs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September 2005, the Company announced plans to reduce its workforce from 730 to approximately 565 by the end of 2006. The workforce reduction results from plans to narrow the focus of the Company’s research and development efforts, substantial improvements in manufacturing productivity, the recent expiration of the Company’s collaboration with The Procter &amp; Gamble Company, and the expected completion of contract manufacturing for Merck &amp; Co., Inc. in late 2006. The majority of the headcount reduction will occur by the end of 2005, with the remainder planned for 2006 following the completion of the Company’s contract manufacturing activities for Merck.</w:t>
      </w:r>
    </w:p>
    <w:p>
      <w:pPr>
        <w:spacing w:after="0" w:line="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Details of the workforce reduction plan and related severance benefits were communicated to employees in October 2005. The Company estimates that costs associated with the workforce reduction, which will be comprised principally of severance payments and related payroll taxes, employee benefits, and outplacement services, will total between $2.5 million and $3.0 million, the substantial majority of which will be cash expenditures. These costs will be accounted for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The Company did not recognize costs associated with the workforce reduction in the quarter ended September 30, 2005. The Company expects to incur between $1.8 million and $2.0 million of these workforce reduction costs in the fourth quarter of 2005 and the remainder in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Future Impact of Recently Issued Accounting Standards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In December 2004, the Financial Accounting Standards Board (“FASB”)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is a revision of SFAS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(which we adopted effective January 1, 2005 — see Note 3), and supersedes APB Opinion No.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 and its related implementation guidance. SFAS 123R focuses primarily on accounting for transactions in which an entity obtains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services in share-based payment transactions, and requires the recognition of compensation expense in an amount equal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the share-based payment (including stock options and restricted stock) issued to employees. SFAS 123R is effective for fiscal years beginning after June 15, 2005. In March 2005, the U.S. Securities and Exchange Commission (‘SEC”) issued Staff Accounting Bulletin No. 107 (“SAB 107”) which expresses views of the SEC staff regarding the application of SFAS 123R. Among other things, SAB 107 provides interpretive guidance related to the interaction between SFAS 123R and certain SEC rules and regulations as well as the SEC staff’s views regarding the valuation of share-based payment arrangements for public companies. The Company will be required to adopt SFAS 123R effective for the fiscal year beginning January 1, 2006, and intends to do so using the modified prospective method. Under the modified prospective method, compensation cost is recognized beginning with the effective date based on (a) the requirements of SFAS 123R for all share-based payments granted after the effective date and (b) the requirements of SFAS 123 for all awards granted to employees prior to the effective date of SFAS 123R that remain unvested on the effective date. In addition, the Company will consider the guidance of SAB 107 as it adopts SFAS 123R. Although the impact of adopting SFAS 123R has not yet been quantified, management believes that the future adoption of this standard may have a material impact on the Company’s financial statements.</w:t>
      </w:r>
    </w:p>
    <w:p>
      <w:pPr>
        <w:spacing w:after="0" w:line="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May 2005, the FASB issued SFAS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and requires retrospective application to prior-period financial statements of changes in accounting principle, unless it is impracticable to determine either the period-specific effects or the cumulative effect of a change. SFAS 154 also redefines “restatement” as the revising of previously issued financial statements to reflect the correction of an error. SFAS 154 is effective for accounting changes and corrections of errors made in fiscal years beginning after December 15, 2005. The Company is required to adopt the provisions of SFAS 154, as applicable, effective for the fiscal year beginning January 1, 2006.</w:t>
      </w:r>
    </w:p>
    <w:p>
      <w:pPr>
        <w:spacing w:after="0" w:line="7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In March 2005, the FASB issued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xml:space="preserve"> (“FIN 47”), which clarifies that the term “conditional asset retirement”, as used in SFAS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refers to a legal obligation to perform an asset retirement activity in which the timing and/or method of settlement are conditional on a future event that may or may not be within the control of the entity. FIN 47 requires that a liability be recognized for the fair value of a conditional asset retirement obligation when incurred, if the fair value of the liability can be reasonably estimated. Uncertainty about the timing and method of settlement of a conditional asset retirement obligation would be factored into the measurement of the liability when sufficient information exists. FIN 47 is effective no later than the end of fiscal years ending after December 15, 2005. Management believes that the future adoption of FIN 47 will not have a material impact on the Company’s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6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84"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Regeneron Pharmaceuticals, Inc. is a biopharmaceutical company that discovers, develops, and intends to commercialize pharmaceutical products for the treatment of serious medical conditions. We are strategically focused in 2005 on the development of the VEGF Trap in oncology, the VEGF Trap in eye diseases, and the IL-1 Trap in various inflammatory indications in which interleukin-1 is believed to play a role. Our clinical and preclinical pipeline also includes product candidates for the treatment of allergies, asthma, and other diseases and disorders. Developing and commercializing new medicines entails significant risk and expense. Since inception we have not generated any sales or profits from the commercialization of any of our product candidates.</w:t>
      </w:r>
    </w:p>
    <w:p>
      <w:pPr>
        <w:spacing w:after="0" w:line="5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Here is a summary of the clinical status of our clinical candidates as of September 30, 2005:</w:t>
      </w:r>
    </w:p>
    <w:p>
      <w:pPr>
        <w:spacing w:after="0" w:line="113" w:lineRule="exact"/>
        <w:rPr>
          <w:sz w:val="20"/>
          <w:szCs w:val="20"/>
          <w:color w:val="auto"/>
        </w:rPr>
      </w:pPr>
    </w:p>
    <w:p>
      <w:pPr>
        <w:ind w:left="660" w:right="160" w:hanging="436"/>
        <w:spacing w:after="0" w:line="261"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VEGF TRAP — Oncology: </w:t>
      </w:r>
      <w:r>
        <w:rPr>
          <w:rFonts w:ascii="Arial" w:cs="Arial" w:eastAsia="Arial" w:hAnsi="Arial"/>
          <w:sz w:val="18"/>
          <w:szCs w:val="18"/>
          <w:color w:val="auto"/>
        </w:rPr>
        <w:t>Protein-based product candidate designed to bind Vascular Endothelial Growth Factor (called VEGF, also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Vascular Permeability Factor or VPF) and the related Placental Growth Factor (called PlGF), and prevent their interaction with cell surface receptors. VEGF (and to a less validated degree, PlGF) is required for the growth of new blood vessels that are needed for tumors to grow and is a potent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regulator of vascular permeability and leakage. The VEGF Trap is being developed in collaboration with the sanofi-aventis Group, as described below.</w:t>
      </w:r>
    </w:p>
    <w:p>
      <w:pPr>
        <w:spacing w:after="0" w:line="7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In September 2005, we announced our plans with sanofi-aventis to expand the VEGF Trap oncology program. The companies plan to initiate up to 19 additional trials for the VEGF Trap in various cancer indications. Of these, six are new efficacy/safety trials and up to ten additional trials may be conducted through the National Cancer Institute (NCI) under a Clinical Trials Agreement between the Cancer Therapeutics Evaluation Program (CTEP), NCI, and sanofi-aventis.</w:t>
      </w:r>
    </w:p>
    <w:p>
      <w:pPr>
        <w:spacing w:after="0" w:line="9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Three of the efficacy/safety studies are planned to be single-agent trials that will be conducted in a variety of indications. These studies are planned to begin in the fourth quarter of 2005 and the first quarter of 2006.</w:t>
      </w:r>
    </w:p>
    <w:p>
      <w:pPr>
        <w:spacing w:after="0" w:line="7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Three other efficacy/safety studies will evaluate the VEGF Trap in combination with standard chemotherapy regimens in patients with different cancer types. Two of these studies could begin as early as the second half of 2006, following successful completion of initial combination safety and tolerability studies. Two safety and tolerability combination studies were initiated in May and July 2005 and are continuing. A third study was initiated in October 2005 and two more are scheduled to begin later this year or early next year.</w:t>
      </w:r>
    </w:p>
    <w:p>
      <w:pPr>
        <w:spacing w:after="0" w:line="9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In addition, CTEP plans to sponsor up to ten exploratory efficacy/safety studies evaluating the VEGF Trap in a variety of cancer types. These trials are planned to start in 2006.</w:t>
      </w:r>
    </w:p>
    <w:p>
      <w:pPr>
        <w:spacing w:after="0" w:line="76"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In September 2003, we entered into a collaboration agreement with Aventis Pharmaceuticals, Inc. (now a member of the sanofi-aventis Group) to jointly develop and commercialize the VEGF Trap throughout the world with the exception of Japan, where product rights remain with us. Under the collaboration agreement, as amended in January 2005, we and sanofi-aventis will share profits equally on sales, if any, of the VEGF Trap for disease indications included in our collaboration. Under the terms of the agreement, we may receive up to $360.0 million in milestone payments upon receipt of specified marketing approvals for up to eight VEGF Trap indications in Europe or the United States.</w:t>
      </w:r>
    </w:p>
    <w:p>
      <w:pPr>
        <w:spacing w:after="0" w:line="78" w:lineRule="exact"/>
        <w:rPr>
          <w:sz w:val="20"/>
          <w:szCs w:val="20"/>
          <w:color w:val="auto"/>
        </w:rPr>
      </w:pPr>
    </w:p>
    <w:p>
      <w:pPr>
        <w:ind w:left="660" w:right="40"/>
        <w:spacing w:after="0" w:line="312" w:lineRule="auto"/>
        <w:rPr>
          <w:sz w:val="20"/>
          <w:szCs w:val="20"/>
          <w:color w:val="auto"/>
        </w:rPr>
      </w:pPr>
      <w:r>
        <w:rPr>
          <w:rFonts w:ascii="Arial" w:cs="Arial" w:eastAsia="Arial" w:hAnsi="Arial"/>
          <w:sz w:val="16"/>
          <w:szCs w:val="16"/>
          <w:color w:val="auto"/>
        </w:rPr>
        <w:t>Under the collaboration agreement, agreed upon development expenses incurred by both companies during the term of the agreement will be funded by sanofi-aventis. If the collaboration becomes profitable, we will reimburse sanofi-aventis for 50% of the VEGF Trap development expenses in accordance with a formula based on the amount of development expenses and our share of the collaboration profit, or at a faster rate at our option.</w:t>
      </w:r>
    </w:p>
    <w:p>
      <w:pPr>
        <w:spacing w:after="0" w:line="48" w:lineRule="exact"/>
        <w:rPr>
          <w:sz w:val="20"/>
          <w:szCs w:val="20"/>
          <w:color w:val="auto"/>
        </w:rPr>
      </w:pPr>
    </w:p>
    <w:p>
      <w:pPr>
        <w:jc w:val="both"/>
        <w:ind w:left="660" w:right="40" w:hanging="436"/>
        <w:spacing w:after="0" w:line="26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VEGF TRAP — Eye Diseases</w:t>
      </w:r>
      <w:r>
        <w:rPr>
          <w:rFonts w:ascii="Arial" w:cs="Arial" w:eastAsia="Arial" w:hAnsi="Arial"/>
          <w:sz w:val="18"/>
          <w:szCs w:val="18"/>
          <w:color w:val="auto"/>
        </w:rPr>
        <w:t>: VEGF both stimulates angiogenesis and increases vascular permeability. It has been shown in preclinical studies to</w:t>
      </w:r>
      <w:r>
        <w:rPr>
          <w:rFonts w:ascii="Arial" w:cs="Arial" w:eastAsia="Arial" w:hAnsi="Arial"/>
          <w:sz w:val="18"/>
          <w:szCs w:val="18"/>
          <w:b w:val="1"/>
          <w:bCs w:val="1"/>
          <w:color w:val="auto"/>
        </w:rPr>
        <w:t xml:space="preserve"> </w:t>
      </w:r>
      <w:r>
        <w:rPr>
          <w:rFonts w:ascii="Arial" w:cs="Arial" w:eastAsia="Arial" w:hAnsi="Arial"/>
          <w:sz w:val="18"/>
          <w:szCs w:val="18"/>
          <w:color w:val="auto"/>
        </w:rPr>
        <w:t>be a major pathogenic factor in diabetic retinopathy, diabetic macular edema, and age-related macular degeneration and is believed to be involved in other medical problems affecting the eyes.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In January 2005, we and sanofi-aventis amended our collaboration agreement to exclude rights to develop and commercialize the VEGF Trap for eye diseases through local delivery systems. We now have the exclusive right to develop and commercialize the VEGF Trap for eye diseases through local administration to the eye.</w:t>
      </w:r>
    </w:p>
    <w:p>
      <w:pPr>
        <w:spacing w:after="0" w:line="87"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In September 2005, we announced that a Phase 2 trial in patients with the neovascular form of age-related macular degeneration (wet AMD) could begin as early as late 2005 or early 2006. We are completing a Phase 1 trial, initiated in June 2005, of the VEGF Trap delivered through intravitreal injection to patients with wet AMD. The Phase 1 trial is a two-part, dose-escalating study designed to assess the safety and tolerability of the VEGF Trap in patients with wet AMD. In “Part A” of this trial, patients are receiving a single dose of the VEGF Trap delivered by intravitreal injection into the eye, after which they are being evaluated for three months to measure the durability of effects and provide guidance for dosing regimens to be used in future trials. Following the initial phase of the trial, “Part B” will be conducted, in which the safety and tolerability of a single intravitreal injection of the VEGF Trap will be further evaluated compared with an approved treatment for wet AMD.</w:t>
      </w:r>
    </w:p>
    <w:p>
      <w:pPr>
        <w:spacing w:after="0" w:line="83"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A Phase 1 clinical trial of the VEGF Trap delivered systemically in patients with advanced wet AMD was completed in 2004, and the results of this study were discussed at the Retinal Society Meeting in September 2005. The trial successfully met its pre-specified efficacy endpoint as preliminary results from the trial indicated that the VEGF Trap demonstrated a statistically significant decrease in excess retinal thickness in treated patients, which increased in both magnitude and duration with higher doses. The trial results also showed that the VEGF Trap caused a dose-dependent increase in blood pressure (hypertension), which appears to be a “class-effect” of systemically administered anti-VEGF agents. Further clinical development using systemic delivery of the VEGF Trap for eye diseases is not currently planned.</w:t>
      </w:r>
    </w:p>
    <w:p>
      <w:pPr>
        <w:spacing w:after="0" w:line="80" w:lineRule="exact"/>
        <w:rPr>
          <w:sz w:val="20"/>
          <w:szCs w:val="20"/>
          <w:color w:val="auto"/>
        </w:rPr>
      </w:pPr>
    </w:p>
    <w:p>
      <w:pPr>
        <w:jc w:val="both"/>
        <w:ind w:left="660" w:right="180" w:hanging="436"/>
        <w:spacing w:after="0" w:line="266"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INTERLEUKIN-1 TRAP (IL-1 Trap): </w:t>
      </w:r>
      <w:r>
        <w:rPr>
          <w:rFonts w:ascii="Arial" w:cs="Arial" w:eastAsia="Arial" w:hAnsi="Arial"/>
          <w:sz w:val="18"/>
          <w:szCs w:val="18"/>
          <w:color w:val="auto"/>
        </w:rPr>
        <w:t>Protein-based product candidate designed to bind the interleukin-1 (called IL-1) cytokine and prevent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interaction with cell surface receptors. IL-1 may play an important role in a number of rheumatological and other diseases and disorders, including diseases associated with inflammation in blood vessels.</w:t>
      </w:r>
    </w:p>
    <w:p>
      <w:pPr>
        <w:spacing w:after="0" w:line="85"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earlier human clinical trials, the IL-1 Trap demonstrated evidence of clinical activity and safety in patients who received weekly injections for extended periods of time. In these trials, patients experienced statistically significant reductions in their levels of C-reactive protein (CRP) levels, a marker of inflammation, and the improvements in CRP levels demonstrated a clear dose response to the IL-1 Trap. The IL-1 Trap was generally well tolerated and no serious drug-related adverse events were reported. In November 2005, at the American Heart Association Scientific Sessions, we will report positive preliminary data from a pilot study indicating that the IL-1 Trap provided prolonged suppression of CRP in otherwise healthy adults.</w:t>
      </w:r>
    </w:p>
    <w:p>
      <w:pPr>
        <w:spacing w:after="0" w:line="98"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fourth quarter of 2004, we initiated a pilot study of the IL-1 Trap in patients with </w:t>
      </w:r>
      <w:r>
        <w:rPr>
          <w:rFonts w:ascii="Arial" w:cs="Arial" w:eastAsia="Arial" w:hAnsi="Arial"/>
          <w:sz w:val="18"/>
          <w:szCs w:val="18"/>
          <w:i w:val="1"/>
          <w:iCs w:val="1"/>
          <w:color w:val="auto"/>
        </w:rPr>
        <w:t>CIAS</w:t>
      </w:r>
      <w:r>
        <w:rPr>
          <w:rFonts w:ascii="Arial" w:cs="Arial" w:eastAsia="Arial" w:hAnsi="Arial"/>
          <w:sz w:val="18"/>
          <w:szCs w:val="18"/>
          <w:color w:val="auto"/>
        </w:rPr>
        <w:t xml:space="preserve">1-Associated Periodic Syndrome (CAPS),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IL-1 appears to play a significant role in these diseases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and, in December 2004, the FDA granted orphan drug status to the IL-1 Trap for the treatment of CAPS. In June 2005, we reported positive preliminary results from this ongoing study in CAPS. We are currently in discussions with the FDA to finalize the design of a pivotal registration study, which is planned to begin by the end of the year.</w:t>
      </w:r>
    </w:p>
    <w:p>
      <w:pPr>
        <w:spacing w:after="0" w:line="87"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We believe blocking IL-1 could also be useful in a number of other potential indications where inflammation plays a role. Examples include systemic-onset juvenile idiopathic arthritis (SoJIA) and polymyalgia rheumatica (PMR). Earlier this year, we initiated a proof-of-concept study of the IL-1 Trap in PMR. Later this year, we plan to initiate a proof-of-concept study in SoJIA. The Company does not currently plan to conduct any further studies of the IL-1 Trap in adult rheumatoid arthritis or osteoarthritis.</w:t>
      </w:r>
    </w:p>
    <w:p>
      <w:pPr>
        <w:spacing w:after="0" w:line="92"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Under the terms of our March 2003 collaboration agreement with Novartis Pharma AG, we retain the right to elect to collaborate in the future development and commercialization of a Novartis IL-1 antibody, which is in clinical development, and Novartis has the right to elect to collaborate in the development and commercialization of our second generation IL-1 Trap, should we decide to develop this product candidate.</w:t>
      </w:r>
    </w:p>
    <w:p>
      <w:pPr>
        <w:spacing w:after="0" w:line="3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addition to our clinical programs, we have research programs focused on angiogenesis, inflammatory conditions, muscle atrophy, and other diseases and disorders. We also use our Velocigene® and Trap technology platforms to discover and develop new product candidates and are developing our Velocimmune</w:t>
      </w:r>
      <w:r>
        <w:rPr>
          <w:rFonts w:ascii="Arial" w:cs="Arial" w:eastAsia="Arial" w:hAnsi="Arial"/>
          <w:sz w:val="15"/>
          <w:szCs w:val="15"/>
          <w:color w:val="auto"/>
        </w:rPr>
        <w:t>TM</w:t>
      </w:r>
      <w:r>
        <w:rPr>
          <w:rFonts w:ascii="Arial" w:cs="Arial" w:eastAsia="Arial" w:hAnsi="Arial"/>
          <w:sz w:val="18"/>
          <w:szCs w:val="18"/>
          <w:color w:val="auto"/>
        </w:rPr>
        <w:t xml:space="preserve"> platform to create fully human, therapeutic antibodies.</w:t>
      </w:r>
    </w:p>
    <w:p>
      <w:pPr>
        <w:spacing w:after="0" w:line="73" w:lineRule="exact"/>
        <w:rPr>
          <w:sz w:val="20"/>
          <w:szCs w:val="20"/>
          <w:color w:val="auto"/>
        </w:rPr>
      </w:pPr>
    </w:p>
    <w:p>
      <w:pPr>
        <w:jc w:val="both"/>
        <w:ind w:right="160" w:firstLine="225"/>
        <w:spacing w:after="0" w:line="288" w:lineRule="auto"/>
        <w:rPr>
          <w:sz w:val="20"/>
          <w:szCs w:val="20"/>
          <w:color w:val="auto"/>
        </w:rPr>
      </w:pPr>
      <w:r>
        <w:rPr>
          <w:rFonts w:ascii="Arial" w:cs="Arial" w:eastAsia="Arial" w:hAnsi="Arial"/>
          <w:sz w:val="16"/>
          <w:szCs w:val="16"/>
          <w:color w:val="auto"/>
        </w:rPr>
        <w:t>In June 2005, we and The Procter &amp; Gamble Company amended our Focused Collaboration Agreement entered into as of December 31, 2000. Under the terms of the modified agreement, the two companies agreed that the research activities being pursued under the collaboration agreement were completed on June 30, 2005, six months prior to the December 31, 2005 expiration date in the original agreement. Procter &amp; Gamble agreed to make a one-time</w:t>
      </w:r>
    </w:p>
    <w:p>
      <w:pPr>
        <w:spacing w:after="0" w:line="252" w:lineRule="auto"/>
        <w:rPr>
          <w:sz w:val="20"/>
          <w:szCs w:val="20"/>
          <w:color w:val="auto"/>
        </w:rPr>
      </w:pPr>
      <w:r>
        <w:rPr>
          <w:rFonts w:ascii="Arial" w:cs="Arial" w:eastAsia="Arial" w:hAnsi="Arial"/>
          <w:sz w:val="18"/>
          <w:szCs w:val="18"/>
          <w:color w:val="auto"/>
        </w:rPr>
        <w:t>$5.6 million payment to Regeneron, which was received in July 2005, and to fund Regeneron’s research for the second quarter of 2005 under the terms of the collaboration agreement. We agreed to pay Procter &amp; Gamble $950,000 to acquire certain capital equipment located at our facilities. We and Procter &amp; Gamble divided rights to research programs and preclinical product candidates that were developed during the research term of the collaboration. Neither party has the right to participate in the development or commercialization of the other party’s product candidates. We are entitled to receive royalties based on any future product sales of a Procter &amp; Gamble preclinical candidate arising from the collaboration. Neither party is entitled to receive either royalties or other payments based on any other products arising from the collaboration.</w:t>
      </w:r>
    </w:p>
    <w:p>
      <w:pPr>
        <w:spacing w:after="0" w:line="86"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From inception on January 8, 1988 through September 30, 2005, we had a cumulative loss of $555.6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 and IL-1 Trap; advance new product candidates into clinical development from our existing research programs; continue our research and development programs; and commercialize product candidates that receive regulatory approval, if any.</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activities may expand over time and may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73"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2005 clinical events and plans for the period through 2006 are as follows:</w:t>
      </w:r>
    </w:p>
    <w:p>
      <w:pPr>
        <w:sectPr>
          <w:pgSz w:w="11900" w:h="16838" w:orient="portrait"/>
          <w:cols w:equalWidth="0" w:num="1">
            <w:col w:w="11380"/>
          </w:cols>
          <w:pgMar w:left="240" w:top="419" w:right="27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Product Candidate</w:t>
            </w:r>
          </w:p>
        </w:tc>
        <w:tc>
          <w:tcPr>
            <w:tcW w:w="7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34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2005 Events to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VEGF Trap - Oncology</w:t>
            </w:r>
          </w:p>
        </w:tc>
        <w:tc>
          <w:tcPr>
            <w:tcW w:w="720" w:type="dxa"/>
            <w:vAlign w:val="bottom"/>
            <w:vMerge w:val="continue"/>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The sanofi-aventis Group reaffirmed their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140" w:type="dxa"/>
            <w:vAlign w:val="bottom"/>
            <w:gridSpan w:val="2"/>
          </w:tcPr>
          <w:p>
            <w:pPr>
              <w:ind w:left="720"/>
              <w:spacing w:after="0"/>
              <w:rPr>
                <w:sz w:val="20"/>
                <w:szCs w:val="20"/>
                <w:color w:val="auto"/>
              </w:rPr>
            </w:pPr>
            <w:r>
              <w:rPr>
                <w:rFonts w:ascii="Arial" w:cs="Arial" w:eastAsia="Arial" w:hAnsi="Arial"/>
                <w:sz w:val="18"/>
                <w:szCs w:val="18"/>
                <w:color w:val="auto"/>
                <w:w w:val="93"/>
              </w:rPr>
              <w:t>commitment to the collaborative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40" w:type="dxa"/>
            <w:vAlign w:val="bottom"/>
            <w:gridSpan w:val="2"/>
          </w:tcPr>
          <w:p>
            <w:pPr>
              <w:ind w:left="720"/>
              <w:spacing w:after="0"/>
              <w:rPr>
                <w:sz w:val="20"/>
                <w:szCs w:val="20"/>
                <w:color w:val="auto"/>
              </w:rPr>
            </w:pPr>
            <w:r>
              <w:rPr>
                <w:rFonts w:ascii="Arial" w:cs="Arial" w:eastAsia="Arial" w:hAnsi="Arial"/>
                <w:sz w:val="18"/>
                <w:szCs w:val="18"/>
                <w:color w:val="auto"/>
              </w:rPr>
              <w:t>of the VEGF Trap in oncology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40" w:type="dxa"/>
            <w:vAlign w:val="bottom"/>
            <w:gridSpan w:val="2"/>
          </w:tcPr>
          <w:p>
            <w:pPr>
              <w:ind w:left="52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Reported positive preliminary results of Phase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40" w:type="dxa"/>
            <w:vAlign w:val="bottom"/>
            <w:gridSpan w:val="2"/>
          </w:tcPr>
          <w:p>
            <w:pPr>
              <w:ind w:left="720"/>
              <w:spacing w:after="0"/>
              <w:rPr>
                <w:sz w:val="20"/>
                <w:szCs w:val="20"/>
                <w:color w:val="auto"/>
              </w:rPr>
            </w:pPr>
            <w:r>
              <w:rPr>
                <w:rFonts w:ascii="Arial" w:cs="Arial" w:eastAsia="Arial" w:hAnsi="Arial"/>
                <w:sz w:val="18"/>
                <w:szCs w:val="18"/>
                <w:color w:val="auto"/>
              </w:rPr>
              <w:t>1 trial utilizing intravenous injections</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40" w:type="dxa"/>
            <w:vAlign w:val="bottom"/>
            <w:gridSpan w:val="2"/>
          </w:tcPr>
          <w:p>
            <w:pPr>
              <w:ind w:left="5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three Phase 1 studies of the VEGF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140" w:type="dxa"/>
            <w:vAlign w:val="bottom"/>
            <w:gridSpan w:val="2"/>
          </w:tcPr>
          <w:p>
            <w:pPr>
              <w:ind w:left="720"/>
              <w:spacing w:after="0"/>
              <w:rPr>
                <w:sz w:val="20"/>
                <w:szCs w:val="20"/>
                <w:color w:val="auto"/>
              </w:rPr>
            </w:pPr>
            <w:r>
              <w:rPr>
                <w:rFonts w:ascii="Arial" w:cs="Arial" w:eastAsia="Arial" w:hAnsi="Arial"/>
                <w:sz w:val="18"/>
                <w:szCs w:val="18"/>
                <w:color w:val="auto"/>
              </w:rPr>
              <w:t>Trap in combination with standard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40" w:type="dxa"/>
            <w:vAlign w:val="bottom"/>
            <w:gridSpan w:val="2"/>
          </w:tcPr>
          <w:p>
            <w:pPr>
              <w:ind w:left="720"/>
              <w:spacing w:after="0"/>
              <w:rPr>
                <w:sz w:val="20"/>
                <w:szCs w:val="20"/>
                <w:color w:val="auto"/>
              </w:rPr>
            </w:pPr>
            <w:r>
              <w:rPr>
                <w:rFonts w:ascii="Arial" w:cs="Arial" w:eastAsia="Arial" w:hAnsi="Arial"/>
                <w:sz w:val="18"/>
                <w:szCs w:val="18"/>
                <w:color w:val="auto"/>
              </w:rPr>
              <w:t>chemotherapy regimens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148"/>
        <w:spacing w:after="0"/>
        <w:rPr>
          <w:sz w:val="20"/>
          <w:szCs w:val="20"/>
          <w:color w:val="auto"/>
        </w:rPr>
      </w:pPr>
      <w:r>
        <w:rPr>
          <w:rFonts w:ascii="Arial" w:cs="Arial" w:eastAsia="Arial" w:hAnsi="Arial"/>
          <w:sz w:val="14"/>
          <w:szCs w:val="14"/>
          <w:b w:val="1"/>
          <w:bCs w:val="1"/>
          <w:color w:val="auto"/>
        </w:rPr>
        <w:t>4Q 2005 and 2006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168" w:right="20" w:hanging="168"/>
        <w:spacing w:after="0" w:line="277" w:lineRule="auto"/>
        <w:tabs>
          <w:tab w:leader="none" w:pos="168"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Initiate two additional safety and tolerability studies of the VEGF Trap in combination with standard chemotherapy regimens</w:t>
      </w:r>
    </w:p>
    <w:p>
      <w:pPr>
        <w:spacing w:after="0" w:line="171" w:lineRule="exact"/>
        <w:rPr>
          <w:rFonts w:ascii="Arial" w:cs="Arial" w:eastAsia="Arial" w:hAnsi="Arial"/>
          <w:sz w:val="17"/>
          <w:szCs w:val="17"/>
          <w:b w:val="1"/>
          <w:bCs w:val="1"/>
          <w:color w:val="auto"/>
        </w:rPr>
      </w:pPr>
    </w:p>
    <w:p>
      <w:pPr>
        <w:ind w:left="168" w:right="360" w:hanging="168"/>
        <w:spacing w:after="0" w:line="264" w:lineRule="auto"/>
        <w:tabs>
          <w:tab w:leader="none" w:pos="16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Initiate three efficacy/safety studies of the VEGF Trap as a single agent in different cancer indications</w:t>
      </w:r>
    </w:p>
    <w:p>
      <w:pPr>
        <w:spacing w:after="0" w:line="181" w:lineRule="exact"/>
        <w:rPr>
          <w:rFonts w:ascii="Arial" w:cs="Arial" w:eastAsia="Arial" w:hAnsi="Arial"/>
          <w:sz w:val="18"/>
          <w:szCs w:val="18"/>
          <w:b w:val="1"/>
          <w:bCs w:val="1"/>
          <w:color w:val="auto"/>
        </w:rPr>
      </w:pPr>
    </w:p>
    <w:p>
      <w:pPr>
        <w:ind w:left="168" w:right="140" w:hanging="168"/>
        <w:spacing w:after="0" w:line="279" w:lineRule="auto"/>
        <w:tabs>
          <w:tab w:leader="none" w:pos="168"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Prepare to initiate two efficacy/safety studies of the VEGF Trap in combination with standard chemotherapy regimens in patients with different cancer types</w:t>
      </w:r>
    </w:p>
    <w:p>
      <w:pPr>
        <w:spacing w:after="0" w:line="171" w:lineRule="exact"/>
        <w:rPr>
          <w:rFonts w:ascii="Arial" w:cs="Arial" w:eastAsia="Arial" w:hAnsi="Arial"/>
          <w:sz w:val="17"/>
          <w:szCs w:val="17"/>
          <w:b w:val="1"/>
          <w:bCs w:val="1"/>
          <w:color w:val="auto"/>
        </w:rPr>
      </w:pPr>
    </w:p>
    <w:p>
      <w:pPr>
        <w:ind w:left="168" w:right="60" w:hanging="168"/>
        <w:spacing w:after="0" w:line="259" w:lineRule="auto"/>
        <w:tabs>
          <w:tab w:leader="none" w:pos="16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Finalize agreement for CTEP to sponsor up to ten exploratory efficacy/safety studies evaluating the VEGF Trap in a variety of cancer types</w:t>
      </w:r>
    </w:p>
    <w:p>
      <w:pPr>
        <w:sectPr>
          <w:pgSz w:w="11900" w:h="16838" w:orient="portrait"/>
          <w:cols w:equalWidth="0" w:num="2">
            <w:col w:w="7340" w:space="492"/>
            <w:col w:w="3548"/>
          </w:cols>
          <w:pgMar w:left="240" w:top="419" w:right="27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Product Candidate</w:t>
            </w:r>
          </w:p>
        </w:tc>
        <w:tc>
          <w:tcPr>
            <w:tcW w:w="4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t>
            </w:r>
          </w:p>
        </w:tc>
        <w:tc>
          <w:tcPr>
            <w:tcW w:w="35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2005 Events to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60" w:type="dxa"/>
            <w:vAlign w:val="bottom"/>
          </w:tcPr>
          <w:p>
            <w:pPr>
              <w:spacing w:after="0" w:line="195" w:lineRule="exact"/>
              <w:rPr>
                <w:sz w:val="20"/>
                <w:szCs w:val="20"/>
                <w:color w:val="auto"/>
              </w:rPr>
            </w:pPr>
            <w:r>
              <w:rPr>
                <w:rFonts w:ascii="Arial" w:cs="Arial" w:eastAsia="Arial" w:hAnsi="Arial"/>
                <w:sz w:val="18"/>
                <w:szCs w:val="18"/>
                <w:color w:val="auto"/>
              </w:rPr>
              <w:t>VEGF Trap – Eye Diseases</w:t>
            </w:r>
          </w:p>
        </w:tc>
        <w:tc>
          <w:tcPr>
            <w:tcW w:w="420" w:type="dxa"/>
            <w:vAlign w:val="bottom"/>
            <w:vMerge w:val="continue"/>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6"/>
              </w:rPr>
              <w:t>Reported positive results from Phase 1 trial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w w:val="97"/>
              </w:rPr>
              <w:t>patients with wet AMD utilizing subcutaneous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injections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Initiated Phase 1 study in patients with wet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AMD utilizing local delivery by intravitreal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injections</w:t>
            </w:r>
          </w:p>
        </w:tc>
        <w:tc>
          <w:tcPr>
            <w:tcW w:w="0" w:type="dxa"/>
            <w:vAlign w:val="bottom"/>
          </w:tcPr>
          <w:p>
            <w:pPr>
              <w:spacing w:after="0"/>
              <w:rPr>
                <w:sz w:val="1"/>
                <w:szCs w:val="1"/>
                <w:color w:val="auto"/>
              </w:rPr>
            </w:pP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IL-1 Trap</w:t>
            </w: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Completed safety and tolerability studies of IL-1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Trap at higher doses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Initiated clinical trial in polymyalgia rheumatica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(PMR)</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Successfully completed initial treatment Phase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of proof-of-concept study in CAPS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Discontinued development of IL-1 Trap in adult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rheumatoid arthritis and osteoarthritis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Employee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209"/>
        <w:spacing w:after="0"/>
        <w:rPr>
          <w:sz w:val="20"/>
          <w:szCs w:val="20"/>
          <w:color w:val="auto"/>
        </w:rPr>
      </w:pPr>
      <w:r>
        <w:rPr>
          <w:rFonts w:ascii="Arial" w:cs="Arial" w:eastAsia="Arial" w:hAnsi="Arial"/>
          <w:sz w:val="14"/>
          <w:szCs w:val="14"/>
          <w:b w:val="1"/>
          <w:bCs w:val="1"/>
          <w:color w:val="auto"/>
        </w:rPr>
        <w:t>4Q 2005 and 2006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wp:posOffset>
            </wp:positionV>
            <wp:extent cx="2246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 w:lineRule="exact"/>
        <w:rPr>
          <w:sz w:val="20"/>
          <w:szCs w:val="20"/>
          <w:color w:val="auto"/>
        </w:rPr>
      </w:pPr>
    </w:p>
    <w:p>
      <w:pPr>
        <w:ind w:left="169" w:right="480" w:hanging="169"/>
        <w:spacing w:after="0" w:line="259" w:lineRule="auto"/>
        <w:tabs>
          <w:tab w:leader="none" w:pos="16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Initiate Phase 2 clinical trial in eye disease utilizing intravitreal injections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6" w:lineRule="exact"/>
        <w:rPr>
          <w:rFonts w:ascii="Arial" w:cs="Arial" w:eastAsia="Arial" w:hAnsi="Arial"/>
          <w:sz w:val="18"/>
          <w:szCs w:val="18"/>
          <w:b w:val="1"/>
          <w:bCs w:val="1"/>
          <w:color w:val="auto"/>
        </w:rPr>
      </w:pPr>
    </w:p>
    <w:p>
      <w:pPr>
        <w:ind w:left="169" w:right="360" w:hanging="169"/>
        <w:spacing w:after="0" w:line="277" w:lineRule="auto"/>
        <w:tabs>
          <w:tab w:leader="none" w:pos="16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Initiate exploratory proof-of-concept trial in SoJIA</w:t>
      </w:r>
    </w:p>
    <w:p>
      <w:pPr>
        <w:spacing w:after="0" w:line="170" w:lineRule="exact"/>
        <w:rPr>
          <w:rFonts w:ascii="Arial" w:cs="Arial" w:eastAsia="Arial" w:hAnsi="Arial"/>
          <w:sz w:val="18"/>
          <w:szCs w:val="18"/>
          <w:b w:val="1"/>
          <w:bCs w:val="1"/>
          <w:color w:val="auto"/>
        </w:rPr>
      </w:pPr>
    </w:p>
    <w:p>
      <w:pPr>
        <w:ind w:left="169" w:right="340" w:hanging="169"/>
        <w:spacing w:after="0" w:line="342" w:lineRule="auto"/>
        <w:tabs>
          <w:tab w:leader="none" w:pos="169"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Complete CAPS proof-of-concept study and commence additional trial in this indication</w:t>
      </w:r>
    </w:p>
    <w:p>
      <w:pPr>
        <w:spacing w:after="0" w:line="1744" w:lineRule="exact"/>
        <w:rPr>
          <w:sz w:val="20"/>
          <w:szCs w:val="20"/>
          <w:color w:val="auto"/>
        </w:rPr>
      </w:pPr>
    </w:p>
    <w:p>
      <w:pPr>
        <w:sectPr>
          <w:pgSz w:w="11900" w:h="16838" w:orient="portrait"/>
          <w:cols w:equalWidth="0" w:num="2">
            <w:col w:w="7220" w:space="491"/>
            <w:col w:w="3709"/>
          </w:cols>
          <w:pgMar w:left="240" w:top="419" w:right="239" w:bottom="1440" w:gutter="0" w:footer="0" w:header="0"/>
          <w:type w:val="continuous"/>
        </w:sectPr>
      </w:pPr>
    </w:p>
    <w:p>
      <w:pPr>
        <w:ind w:firstLine="225"/>
        <w:spacing w:after="0" w:line="268" w:lineRule="auto"/>
        <w:rPr>
          <w:sz w:val="20"/>
          <w:szCs w:val="20"/>
          <w:color w:val="auto"/>
        </w:rPr>
      </w:pPr>
      <w:r>
        <w:rPr>
          <w:rFonts w:ascii="Arial" w:cs="Arial" w:eastAsia="Arial" w:hAnsi="Arial"/>
          <w:sz w:val="17"/>
          <w:szCs w:val="17"/>
          <w:color w:val="auto"/>
        </w:rPr>
        <w:t xml:space="preserve">Effective January 1, 2005, we adopted the fair value based method of accounting for stock-based employee compensation under the provisions of Statement of Financial Accounting Standards No. (SFAS)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using the modified prospective method as described in SFAS 148, </w:t>
      </w:r>
      <w:r>
        <w:rPr>
          <w:rFonts w:ascii="Arial" w:cs="Arial" w:eastAsia="Arial" w:hAnsi="Arial"/>
          <w:sz w:val="17"/>
          <w:szCs w:val="17"/>
          <w:i w:val="1"/>
          <w:iCs w:val="1"/>
          <w:color w:val="auto"/>
        </w:rPr>
        <w:t>Accounting for Stock-Based Compensation- Transition and Disclosure</w:t>
      </w:r>
      <w:r>
        <w:rPr>
          <w:rFonts w:ascii="Arial" w:cs="Arial" w:eastAsia="Arial" w:hAnsi="Arial"/>
          <w:sz w:val="17"/>
          <w:szCs w:val="17"/>
          <w:color w:val="auto"/>
        </w:rPr>
        <w:t xml:space="preserve">. As a result, we have begun recognizing expense, in an amount equal to the fair value of share-based payments (including stock option awards) on their date of grant, over the vesting period of the awards. Under the modified prospective method, we recognize compensation expense for (a) all share based payments granted on or after January 1, 2005, (including replacement options granted under our stock option exchange program which concluded on January 5, 2005) and (b) all awards granted to employees prior to January 1, 2005 that were unvested on that date. Prior to the adoption of the fair value method, we accounted for stock-based compensation to employees under the intrinsic value method of accounting set forth in Accounting Principles Board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(APB 25), and related interpretations. Therefore, compensation expense related to employee stock options was not reflected in operating expenses in any period prior to the first quarter of 2005 and prior period operating results have not been restated. For the three months ended September 30, 2005, non-cash stock-based employee compensation expense related to stock option awards (“Stock Option Expense”) totaled $5.4 million. Stock Option Expense recognized in operating expenses, which includes $0.1 million of Stock Option Expense previously capitalized in inventory, totaled $5.5 million for the three months ended September 30, 2005. For the nine months ended September 30, 2005, Stock Option Expense totaled $16.3 million, of which $16.2 million was recognized in operating expenses and $0.1 million was capitalized in inventory.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Board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 values of the assumptions we used in computing the fair value of option grants during the three and nine months ended September 30, 2005: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Three months ended</w:t>
            </w:r>
          </w:p>
        </w:tc>
        <w:tc>
          <w:tcPr>
            <w:tcW w:w="5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Nine months ended</w:t>
            </w:r>
          </w:p>
        </w:tc>
      </w:tr>
      <w:tr>
        <w:trPr>
          <w:trHeight w:val="167"/>
        </w:trPr>
        <w:tc>
          <w:tcPr>
            <w:tcW w:w="83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September 30, 2005</w:t>
            </w:r>
          </w:p>
        </w:tc>
        <w:tc>
          <w:tcPr>
            <w:tcW w:w="5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September 30, 2005</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70%</w:t>
            </w:r>
          </w:p>
        </w:tc>
        <w:tc>
          <w:tcPr>
            <w:tcW w:w="18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75%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Expected lives</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5.0 years</w:t>
            </w:r>
          </w:p>
        </w:tc>
        <w:tc>
          <w:tcPr>
            <w:tcW w:w="5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6.2 years</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0%</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4.00%</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3.96%</w:t>
            </w:r>
          </w:p>
        </w:tc>
      </w:tr>
    </w:tbl>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any of these estimates may materially affect the fair value of stock options granted and the amount of stock-based compensation recognized in any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As described above, effective January 1, 2005, Regeneron began recognizing Stock Option Expense in accordance with SFAS 123 in each of the categories of expense in our Statement of Operations. Prior to the adoption of SFAS 123, Stock Option Expense was not reflected in operating expenses and prior period operating results have not been restated.</w:t>
      </w:r>
    </w:p>
    <w:p>
      <w:pPr>
        <w:spacing w:after="0" w:line="73" w:lineRule="exact"/>
        <w:rPr>
          <w:sz w:val="20"/>
          <w:szCs w:val="20"/>
          <w:color w:val="auto"/>
        </w:rPr>
      </w:pPr>
    </w:p>
    <w:p>
      <w:pPr>
        <w:ind w:right="100" w:firstLine="222"/>
        <w:spacing w:after="0" w:line="288" w:lineRule="auto"/>
        <w:rPr>
          <w:sz w:val="20"/>
          <w:szCs w:val="20"/>
          <w:color w:val="auto"/>
        </w:rPr>
      </w:pPr>
      <w:r>
        <w:rPr>
          <w:rFonts w:ascii="Arial" w:cs="Arial" w:eastAsia="Arial" w:hAnsi="Arial"/>
          <w:sz w:val="16"/>
          <w:szCs w:val="16"/>
          <w:color w:val="auto"/>
        </w:rPr>
        <w:t>The discussion of our results of operations for the three and nine months ended September 30, 2005 and 2004 includes certain financial measures that are calculated in a manner different from generally accepted accounting principles (GAAP) and are considered non-GAAP financial measures under United States Securities and Exchange Commission (SEC) rules. These non-GAAP financial measures for the three and nine months ended September 30, 2005 are:</w:t>
      </w:r>
    </w:p>
    <w:p>
      <w:pPr>
        <w:jc w:val="both"/>
        <w:ind w:right="460" w:firstLine="8"/>
        <w:spacing w:after="0" w:line="30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 forma net income and pro forma net income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and a more useful basis for comparing our operating results for the three and nine months ended September 30, 2005 and 2004. In addition, Regeneron’s management uses non-GAAP financial measures which exclude Stock Option Expense internally for operating, budgeting, and financial planning purposes. In our discussion below we have included tables which provide a reconciliation of the differences between these non-GAAP financial measures and the most directly comparable financial measures calculated and presented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2005 and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Regeneron reported a net loss of $34.7 million, or $0.62 per share (basic and diluted), for the third quarter of 2005 compared with net loss of $11.1 million, or $0.20 per share (basic and diluted), for the third quarter of 2004. Excluding Stock Option Expense, Regeneron had a pro forma net loss of $29.2 million, or $0.52 per share (basic and diluted), in the third quarter of 2005 as follows: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120" w:type="dxa"/>
            <w:vAlign w:val="bottom"/>
            <w:gridSpan w:val="5"/>
            <w:vMerge w:val="restart"/>
          </w:tcPr>
          <w:p>
            <w:pPr>
              <w:jc w:val="right"/>
              <w:ind w:right="210"/>
              <w:spacing w:after="0"/>
              <w:rPr>
                <w:sz w:val="20"/>
                <w:szCs w:val="20"/>
                <w:color w:val="auto"/>
              </w:rPr>
            </w:pPr>
            <w:r>
              <w:rPr>
                <w:rFonts w:ascii="Arial" w:cs="Arial" w:eastAsia="Arial" w:hAnsi="Arial"/>
                <w:sz w:val="14"/>
                <w:szCs w:val="14"/>
                <w:b w:val="1"/>
                <w:bCs w:val="1"/>
                <w:color w:val="auto"/>
              </w:rPr>
              <w:t>Net Loss</w:t>
            </w:r>
          </w:p>
        </w:tc>
        <w:tc>
          <w:tcPr>
            <w:tcW w:w="4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6"/>
              </w:rPr>
              <w:t>Net Loss per Share -</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14"/>
                <w:szCs w:val="14"/>
                <w:color w:val="auto"/>
              </w:rPr>
            </w:pPr>
          </w:p>
        </w:tc>
        <w:tc>
          <w:tcPr>
            <w:tcW w:w="1120" w:type="dxa"/>
            <w:vAlign w:val="bottom"/>
            <w:tcBorders>
              <w:bottom w:val="single" w:sz="8" w:color="auto"/>
            </w:tcBorders>
            <w:gridSpan w:val="5"/>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Basic and Diluted</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120" w:type="dxa"/>
            <w:vAlign w:val="bottom"/>
            <w:tcBorders>
              <w:right w:val="single" w:sz="8" w:color="CCEEFF"/>
            </w:tcBorders>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($34.7)</w:t>
            </w:r>
          </w:p>
        </w:tc>
        <w:tc>
          <w:tcPr>
            <w:tcW w:w="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Add: Stock Option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5.5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loss, exclusive of Stock Option Expense</w:t>
            </w: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ind w:right="1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29.2)</w:t>
            </w:r>
          </w:p>
        </w:tc>
        <w:tc>
          <w:tcPr>
            <w:tcW w:w="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0.52)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i w:val="1"/>
                <w:iCs w:val="1"/>
                <w:color w:val="auto"/>
              </w:rPr>
              <w:t>Revenues: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tcPr>
          <w:p>
            <w:pPr>
              <w:ind w:left="240"/>
              <w:spacing w:after="0"/>
              <w:rPr>
                <w:sz w:val="20"/>
                <w:szCs w:val="20"/>
                <w:color w:val="auto"/>
              </w:rPr>
            </w:pPr>
            <w:r>
              <w:rPr>
                <w:rFonts w:ascii="Arial" w:cs="Arial" w:eastAsia="Arial" w:hAnsi="Arial"/>
                <w:sz w:val="18"/>
                <w:szCs w:val="18"/>
                <w:color w:val="auto"/>
              </w:rPr>
              <w:t>Revenues for the three months ended September 30, 2005 and 2004 consist of the following:</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i w:val="1"/>
                <w:iCs w:val="1"/>
                <w:color w:val="auto"/>
                <w:w w:val="96"/>
              </w:rPr>
              <w:t>(In millions)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The sanofi-aventis Group</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Procter &amp; Gamble Company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total revenue decreased to $16.2 million in the third quarter of 2005 from $36.5 million in the same period of 2004 due primarily to lower revenues related to our collaboration with sanofi-aventis on the VEGF Trap. Contract research and development revenue,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detailed below, consists partly of reimbursement for research and development expenses and partly of the recognition of revenue related to a non-refundable, up-front payment received from sanofi-aventis in September 2003. Non-refundable, up-front payments are recorded as deferred revenue and recognized ratably over the period over which we are obligated to perform services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Contract research &amp; development revenues earned from sanofi-aventis for the three months ended September 30, 2005 and 2004 were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2"/>
              </w:rPr>
              <w:t>2005 Regeneron</w:t>
            </w:r>
          </w:p>
        </w:tc>
        <w:tc>
          <w:tcPr>
            <w:tcW w:w="96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Up-front Payment to Regeneron</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9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Deferred Revenue at</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Expense</w:t>
            </w:r>
          </w:p>
        </w:tc>
        <w:tc>
          <w:tcPr>
            <w:tcW w:w="9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8"/>
                <w:szCs w:val="18"/>
                <w:color w:val="auto"/>
              </w:rPr>
              <w:t>Sanofi-aventis</w:t>
            </w:r>
          </w:p>
        </w:tc>
        <w:tc>
          <w:tcPr>
            <w:tcW w:w="100" w:type="dxa"/>
            <w:vAlign w:val="bottom"/>
          </w:tcPr>
          <w:p>
            <w:pPr>
              <w:spacing w:after="0"/>
              <w:rPr>
                <w:sz w:val="14"/>
                <w:szCs w:val="14"/>
                <w:color w:val="auto"/>
              </w:rPr>
            </w:pPr>
          </w:p>
        </w:tc>
        <w:tc>
          <w:tcPr>
            <w:tcW w:w="15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Reimbursement</w:t>
            </w:r>
          </w:p>
        </w:tc>
        <w:tc>
          <w:tcPr>
            <w:tcW w:w="960" w:type="dxa"/>
            <w:vAlign w:val="bottom"/>
          </w:tcPr>
          <w:p>
            <w:pPr>
              <w:jc w:val="right"/>
              <w:ind w:right="122"/>
              <w:spacing w:after="0"/>
              <w:rPr>
                <w:sz w:val="20"/>
                <w:szCs w:val="20"/>
                <w:color w:val="auto"/>
              </w:rPr>
            </w:pPr>
            <w:r>
              <w:rPr>
                <w:rFonts w:ascii="Arial" w:cs="Arial" w:eastAsia="Arial" w:hAnsi="Arial"/>
                <w:sz w:val="14"/>
                <w:szCs w:val="14"/>
                <w:b w:val="1"/>
                <w:bCs w:val="1"/>
                <w:color w:val="auto"/>
              </w:rPr>
              <w:t>Payment</w:t>
            </w: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in 2005</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2005</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in 2005</w:t>
            </w:r>
          </w:p>
        </w:tc>
        <w:tc>
          <w:tcPr>
            <w:tcW w:w="0" w:type="dxa"/>
            <w:vAlign w:val="bottom"/>
          </w:tcPr>
          <w:p>
            <w:pPr>
              <w:spacing w:after="0"/>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$8.9</w:t>
            </w:r>
          </w:p>
        </w:tc>
        <w:tc>
          <w:tcPr>
            <w:tcW w:w="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9"/>
                <w:szCs w:val="19"/>
                <w:color w:val="auto"/>
              </w:rPr>
            </w:pPr>
          </w:p>
        </w:tc>
        <w:tc>
          <w:tcPr>
            <w:tcW w:w="92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424"/>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$11.2</w:t>
            </w:r>
          </w:p>
        </w:tc>
        <w:tc>
          <w:tcPr>
            <w:tcW w:w="0" w:type="dxa"/>
            <w:vAlign w:val="bottom"/>
          </w:tcPr>
          <w:p>
            <w:pPr>
              <w:spacing w:after="0"/>
              <w:rPr>
                <w:sz w:val="1"/>
                <w:szCs w:val="1"/>
                <w:color w:val="auto"/>
              </w:rPr>
            </w:pPr>
          </w:p>
        </w:tc>
      </w:tr>
      <w:tr>
        <w:trPr>
          <w:trHeight w:val="295"/>
        </w:trPr>
        <w:tc>
          <w:tcPr>
            <w:tcW w:w="3820" w:type="dxa"/>
            <w:vAlign w:val="bottom"/>
          </w:tcPr>
          <w:p>
            <w:pPr>
              <w:spacing w:after="0"/>
              <w:rPr>
                <w:sz w:val="20"/>
                <w:szCs w:val="20"/>
                <w:color w:val="auto"/>
              </w:rPr>
            </w:pPr>
            <w:r>
              <w:rPr>
                <w:rFonts w:ascii="Arial" w:cs="Arial" w:eastAsia="Arial" w:hAnsi="Arial"/>
                <w:sz w:val="18"/>
                <w:szCs w:val="18"/>
                <w:b w:val="1"/>
                <w:bCs w:val="1"/>
                <w:color w:val="auto"/>
                <w:w w:val="92"/>
              </w:rPr>
              <w:t>For the three months ended September 30, 2004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20" w:type="dxa"/>
            <w:vAlign w:val="bottom"/>
          </w:tcPr>
          <w:p>
            <w:pPr>
              <w:spacing w:after="0"/>
              <w:rPr>
                <w:sz w:val="24"/>
                <w:szCs w:val="24"/>
                <w:color w:val="auto"/>
              </w:rPr>
            </w:pPr>
          </w:p>
        </w:tc>
        <w:tc>
          <w:tcPr>
            <w:tcW w:w="162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0"/>
              </w:rPr>
              <w:t>2004 Regeneron</w:t>
            </w:r>
          </w:p>
        </w:tc>
        <w:tc>
          <w:tcPr>
            <w:tcW w:w="9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Up-front Payment to Regeneron</w:t>
            </w:r>
          </w:p>
        </w:tc>
        <w:tc>
          <w:tcPr>
            <w:tcW w:w="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9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Deferred Revenue at</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Expense</w:t>
            </w:r>
          </w:p>
        </w:tc>
        <w:tc>
          <w:tcPr>
            <w:tcW w:w="9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8"/>
                <w:szCs w:val="18"/>
                <w:color w:val="auto"/>
              </w:rPr>
              <w:t>Sanofi-aventis</w:t>
            </w: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Reimbursement</w:t>
            </w:r>
          </w:p>
        </w:tc>
        <w:tc>
          <w:tcPr>
            <w:tcW w:w="960" w:type="dxa"/>
            <w:vAlign w:val="bottom"/>
          </w:tcPr>
          <w:p>
            <w:pPr>
              <w:jc w:val="right"/>
              <w:ind w:right="122"/>
              <w:spacing w:after="0"/>
              <w:rPr>
                <w:sz w:val="20"/>
                <w:szCs w:val="20"/>
                <w:color w:val="auto"/>
              </w:rPr>
            </w:pPr>
            <w:r>
              <w:rPr>
                <w:rFonts w:ascii="Arial" w:cs="Arial" w:eastAsia="Arial" w:hAnsi="Arial"/>
                <w:sz w:val="14"/>
                <w:szCs w:val="14"/>
                <w:b w:val="1"/>
                <w:bCs w:val="1"/>
                <w:color w:val="auto"/>
              </w:rPr>
              <w:t>Payment</w:t>
            </w: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in 2004</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2004</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in 2004</w:t>
            </w:r>
          </w:p>
        </w:tc>
        <w:tc>
          <w:tcPr>
            <w:tcW w:w="0" w:type="dxa"/>
            <w:vAlign w:val="bottom"/>
          </w:tcPr>
          <w:p>
            <w:pPr>
              <w:spacing w:after="0"/>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1160" w:type="dxa"/>
            <w:vAlign w:val="bottom"/>
            <w:tcBorders>
              <w:top w:val="single" w:sz="8" w:color="auto"/>
            </w:tcBorders>
            <w:gridSpan w:val="2"/>
          </w:tcPr>
          <w:p>
            <w:pPr>
              <w:jc w:val="right"/>
              <w:ind w:right="344"/>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9"/>
                <w:szCs w:val="19"/>
                <w:color w:val="auto"/>
              </w:rPr>
            </w:pPr>
          </w:p>
        </w:tc>
        <w:tc>
          <w:tcPr>
            <w:tcW w:w="92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$2.7</w:t>
            </w:r>
          </w:p>
        </w:tc>
        <w:tc>
          <w:tcPr>
            <w:tcW w:w="480" w:type="dxa"/>
            <w:vAlign w:val="bottom"/>
            <w:gridSpan w:val="2"/>
          </w:tcPr>
          <w:p>
            <w:pPr>
              <w:spacing w:after="0"/>
              <w:rPr>
                <w:sz w:val="19"/>
                <w:szCs w:val="19"/>
                <w:color w:val="auto"/>
              </w:rPr>
            </w:pPr>
          </w:p>
        </w:tc>
        <w:tc>
          <w:tcPr>
            <w:tcW w:w="1320" w:type="dxa"/>
            <w:vAlign w:val="bottom"/>
            <w:tcBorders>
              <w:top w:val="single" w:sz="8" w:color="auto"/>
            </w:tcBorders>
          </w:tcPr>
          <w:p>
            <w:pPr>
              <w:jc w:val="right"/>
              <w:ind w:right="424"/>
              <w:spacing w:after="0"/>
              <w:rPr>
                <w:sz w:val="20"/>
                <w:szCs w:val="20"/>
                <w:color w:val="auto"/>
              </w:rPr>
            </w:pPr>
            <w:r>
              <w:rPr>
                <w:rFonts w:ascii="Arial" w:cs="Arial" w:eastAsia="Arial" w:hAnsi="Arial"/>
                <w:sz w:val="18"/>
                <w:szCs w:val="18"/>
                <w:color w:val="auto"/>
              </w:rPr>
              <w:t>$68.2</w:t>
            </w:r>
          </w:p>
        </w:tc>
        <w:tc>
          <w:tcPr>
            <w:tcW w:w="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265"/>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Sanofi-aventis reimbursement of Regeneron VEGF Trap expenses decreased in the third quarter of 2005 from the same period in 2004, primarily due to lower costs in 2005 related to our manufacture of VEGF Trap clinical supplies. We manufactured clinical supplies of VEGF Trap during the third quarter of 2004, but not during the third quarter of 2005.</w:t>
      </w:r>
    </w:p>
    <w:p>
      <w:pPr>
        <w:spacing w:after="0" w:line="73"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Contract manufacturing revenue relates to our long-term agreement with Merck &amp; Co., Inc. to manufacture a vaccine intermediate at our Rensselaer, New York facility. Contract manufacturing revenue decreased to $4.7 million in the third quarter of 2005 from $10.9 million in the same period of 2004 as we shipped less product to Merck. Revenue and the related manufacturing expense are recognized as product is shipped, after acceptance by Merck. Included in contract manufacturing revenue in the third quarter of 2005 and 2004 was $0.5 million and $2.4 million, respectively, of deferred revenue associated with capital improvement reimbursements paid by Merck prior to commencement of production. This deferred revenue is being recognized as product is shipped to Merck based on the total amount of product to be shipped over the term of the agreement. In February 2005, we agreed to extend the manufacturing agreement by one year through October 2006. As a result, we are recognizing the remaining $2.7 million deferred balance as of December 31, 2004 of Merck’s capital improvement reimbursements as revenue as product is shipped to Merck, based upon Merck’s order quantities through October 2006.</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Total operating expenses increased to $50.6 million in the third quarter of 2005 from $46.0 million in the same period of 2004. Operating expenses in the third quarter of 2005 include a total of $5.5 million of Stock Option Expense,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Expenses as</w:t>
            </w:r>
          </w:p>
        </w:tc>
        <w:tc>
          <w:tcPr>
            <w:tcW w:w="12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Stock Option</w:t>
            </w:r>
          </w:p>
        </w:tc>
        <w:tc>
          <w:tcPr>
            <w:tcW w:w="340" w:type="dxa"/>
            <w:vAlign w:val="bottom"/>
          </w:tcPr>
          <w:p>
            <w:pPr>
              <w:spacing w:after="0"/>
              <w:rPr>
                <w:sz w:val="10"/>
                <w:szCs w:val="10"/>
                <w:color w:val="auto"/>
              </w:rPr>
            </w:pPr>
          </w:p>
        </w:tc>
        <w:tc>
          <w:tcPr>
            <w:tcW w:w="13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Expenses exclusive of</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1"/>
              </w:rPr>
              <w:t>Expenses as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2060" w:type="dxa"/>
            <w:vAlign w:val="bottom"/>
            <w:gridSpan w:val="4"/>
          </w:tcPr>
          <w:p>
            <w:pPr>
              <w:ind w:left="340"/>
              <w:spacing w:after="0"/>
              <w:rPr>
                <w:sz w:val="20"/>
                <w:szCs w:val="20"/>
                <w:color w:val="auto"/>
              </w:rPr>
            </w:pPr>
            <w:r>
              <w:rPr>
                <w:rFonts w:ascii="Arial" w:cs="Arial" w:eastAsia="Arial" w:hAnsi="Arial"/>
                <w:sz w:val="14"/>
                <w:szCs w:val="14"/>
                <w:b w:val="1"/>
                <w:bCs w:val="1"/>
                <w:color w:val="auto"/>
              </w:rPr>
              <w:t>Stock Option Expense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7"/>
              </w:rPr>
              <w:t>3.3</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16"/>
              <w:spacing w:after="0"/>
              <w:rPr>
                <w:sz w:val="20"/>
                <w:szCs w:val="20"/>
                <w:color w:val="auto"/>
              </w:rPr>
            </w:pPr>
            <w:r>
              <w:rPr>
                <w:rFonts w:ascii="Arial" w:cs="Arial" w:eastAsia="Arial" w:hAnsi="Arial"/>
                <w:sz w:val="18"/>
                <w:szCs w:val="18"/>
                <w:color w:val="auto"/>
                <w:w w:val="87"/>
              </w:rPr>
              <w:t>0.3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7"/>
              </w:rPr>
              <w:t>1.9</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center"/>
              <w:ind w:left="396"/>
              <w:spacing w:after="0"/>
              <w:rPr>
                <w:sz w:val="20"/>
                <w:szCs w:val="20"/>
                <w:color w:val="auto"/>
              </w:rPr>
            </w:pPr>
            <w:r>
              <w:rPr>
                <w:rFonts w:ascii="Arial" w:cs="Arial" w:eastAsia="Arial" w:hAnsi="Arial"/>
                <w:sz w:val="18"/>
                <w:szCs w:val="18"/>
                <w:color w:val="auto"/>
                <w:w w:val="87"/>
              </w:rPr>
              <w:t>5.5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Included in contract manufacturing expenses is $0.1 million of Stock Option Expense that was previously capitalized into inventory. Stock Option Expense was not included in operating expenses in the third quarter of 2004, as reported in our Statement of Operations. In the third quarter of 2004, had we adopted the fair value based method of accounting for stock-based employee compensation under the provisions of SFAS 123, Stock Option Expense would have totaled $8.0 million. The decrease in total Stock Option Expense of $2.6 million (which excludes the amount previously capitalized into inventory) in the third quarter of 2005 was partly due to lower exercise prices of annual employee option grants made by us in December 2004 in comparison to the exercise prices of annual grants in recent prior years. Exercise prices of these option grants were generally equal to the fair market value of our Common Stock on the date of grant. The decrease in Stock Option Expense in the third quarter of 2005 was also due, in part, to the exchange of options by eligible employees in connection with our stock option exchange program in January 2005, as the unamortized fair value of the surrendered options on the date of the exchange is being recognized as Stock Option Expense over a longer time period (the vesting period of the replacement options) in accordance with SFAS 123.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Research and development expenses, exclusive of Stock Option Expense, increased to $37.8 million in the third quarter of 2005 from $32.8 million in the same period of 2004. The following table summarizes the major categories of our research and development expenses for the three months ended September 30, 2005 and 2004: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3"/>
              </w:rPr>
              <w:t>Expenses as</w:t>
            </w:r>
          </w:p>
        </w:tc>
        <w:tc>
          <w:tcPr>
            <w:tcW w:w="64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Stock Option</w:t>
            </w:r>
          </w:p>
        </w:tc>
        <w:tc>
          <w:tcPr>
            <w:tcW w:w="320" w:type="dxa"/>
            <w:vAlign w:val="bottom"/>
          </w:tcPr>
          <w:p>
            <w:pPr>
              <w:spacing w:after="0"/>
              <w:rPr>
                <w:sz w:val="10"/>
                <w:szCs w:val="10"/>
                <w:color w:val="auto"/>
              </w:rPr>
            </w:pPr>
          </w:p>
        </w:tc>
        <w:tc>
          <w:tcPr>
            <w:tcW w:w="16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Expenses exclusive of</w:t>
            </w:r>
          </w:p>
        </w:tc>
        <w:tc>
          <w:tcPr>
            <w:tcW w:w="44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3"/>
              </w:rPr>
              <w:t>Expenses as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Expense</w:t>
            </w:r>
          </w:p>
        </w:tc>
        <w:tc>
          <w:tcPr>
            <w:tcW w:w="1920" w:type="dxa"/>
            <w:vAlign w:val="bottom"/>
            <w:gridSpan w:val="4"/>
          </w:tcPr>
          <w:p>
            <w:pPr>
              <w:ind w:left="320"/>
              <w:spacing w:after="0"/>
              <w:rPr>
                <w:sz w:val="20"/>
                <w:szCs w:val="20"/>
                <w:color w:val="auto"/>
              </w:rPr>
            </w:pPr>
            <w:r>
              <w:rPr>
                <w:rFonts w:ascii="Arial" w:cs="Arial" w:eastAsia="Arial" w:hAnsi="Arial"/>
                <w:sz w:val="14"/>
                <w:szCs w:val="14"/>
                <w:b w:val="1"/>
                <w:bCs w:val="1"/>
                <w:color w:val="auto"/>
              </w:rPr>
              <w:t>Stock Option Expense</w:t>
            </w:r>
          </w:p>
        </w:tc>
        <w:tc>
          <w:tcPr>
            <w:tcW w:w="4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Reported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w:t>
            </w:r>
          </w:p>
        </w:tc>
        <w:tc>
          <w:tcPr>
            <w:tcW w:w="500" w:type="dxa"/>
            <w:vAlign w:val="bottom"/>
            <w:gridSpan w:val="3"/>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64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Total research and development</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2004, research and development expenses as reported in our Statement of Operations did not include Stock Option Expense.</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Payroll and benefits, exclusive of Stock Option Expense, increased $0.6 million in the third quarter of 2005 compared to the same period in 2004 as we added research and development personnel to support our clinical and research programs, especially for the VEGF Trap and IL-1 Trap. Clinical trial expenses increased $5.2 million in the third quarter of 2005 compared to the same period in 2004 due primarily to higher IL-1 Trap costs associated with commencing clinical studies in new indications and discontinuing the Phase 2b study in adult rheumatoid arthritis. Clinical manufacturing costs, exclusive of Stock Option Expense, increased $0.7 million in the third quarter of 2005 compared to the same period in 2004 as higher costs in 2005 related to manufacturing clinical supplies of IL-1 Trap were partly offset by lower costs related to manufacturing clinical supplies of VEGF Trap. Research and preclinical development costs decreased by $1.8 million in the third quarter of 2005 compared to the same period in 2004, due primarily to lower preclinical VEGF Trap development costs and other discovery research expenses in 2005. Occupancy and other operating costs increased by $0.3 million in the third quarter of 2005 compared to the same period in 2004.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Contract manufacturing expenses, exclusive of Stock Option Expense, decreased to $3.0 million in the third quarter of 2005 compared to $9.0 million in the same period of 2004, primarily because we shipped less product to Merck.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General and administrative expenses, exclusive of Stock Option Expense, increased slightly to $4.3 million in the third quarter of 2005 from $4.2 million in the same period of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Investment income increased to $2.7 million in the third quarter of 2005 from $1.4 million in the same period of 2004 due primarily to higher effective interest rates on investment securities in 2005. Interest expense was $3.0 million for both the third quarter of 2005 and 2004. Interest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expense is attributable primarily to $200.0 million of convertible notes issued in October 2001, which mature in 2008 and bear interest at 5.5% per annum.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2005 and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Regeneron reported a net loss of $65.8 million, or $1.18 per share (basic and diluted) for the first nine months of 2005 compared with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$38.9 million, or $0.70 per basic share and $0.69 per diluted share, for the same period of 2004. Excluding Stock Option Expense, Regeneron had a pro forma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loss of $49.6 million, or $0.89 per share (basic and diluted), in the first nine months of 2005 as follows: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10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Net Loss</w:t>
            </w:r>
          </w:p>
        </w:tc>
        <w:tc>
          <w:tcPr>
            <w:tcW w:w="520" w:type="dxa"/>
            <w:vAlign w:val="bottom"/>
          </w:tcPr>
          <w:p>
            <w:pPr>
              <w:spacing w:after="0"/>
              <w:rPr>
                <w:sz w:val="14"/>
                <w:szCs w:val="1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Net Loss per Share -</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14"/>
                <w:szCs w:val="14"/>
                <w:color w:val="auto"/>
              </w:rPr>
            </w:pPr>
          </w:p>
        </w:tc>
        <w:tc>
          <w:tcPr>
            <w:tcW w:w="1100" w:type="dxa"/>
            <w:vAlign w:val="bottom"/>
            <w:tcBorders>
              <w:bottom w:val="single" w:sz="8" w:color="auto"/>
            </w:tcBorders>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Basic and Diluted</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8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($65.8)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($1.18)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Add: Stock Option Expense</w:t>
            </w:r>
          </w:p>
        </w:tc>
        <w:tc>
          <w:tcPr>
            <w:tcW w:w="3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loss, exclusive of Stock Option Expense</w:t>
            </w:r>
          </w:p>
        </w:tc>
        <w:tc>
          <w:tcPr>
            <w:tcW w:w="3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49.6)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0.89)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i w:val="1"/>
                <w:iCs w:val="1"/>
                <w:color w:val="auto"/>
              </w:rPr>
              <w:t>Revenues: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tcPr>
          <w:p>
            <w:pPr>
              <w:ind w:left="240"/>
              <w:spacing w:after="0"/>
              <w:rPr>
                <w:sz w:val="20"/>
                <w:szCs w:val="20"/>
                <w:color w:val="auto"/>
              </w:rPr>
            </w:pPr>
            <w:r>
              <w:rPr>
                <w:rFonts w:ascii="Arial" w:cs="Arial" w:eastAsia="Arial" w:hAnsi="Arial"/>
                <w:sz w:val="18"/>
                <w:szCs w:val="18"/>
                <w:color w:val="auto"/>
              </w:rPr>
              <w:t>Revenues for the nine months ended September 30, 2005 and 2004 consist of the following: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i w:val="1"/>
                <w:iCs w:val="1"/>
                <w:color w:val="auto"/>
              </w:rPr>
              <w:t>(In millions)</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Sanofi-aventis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30.4</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Novartis Pharma AG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Procter &amp; Gamble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Research progress payment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revenue</w:t>
            </w:r>
          </w:p>
        </w:tc>
        <w:tc>
          <w:tcPr>
            <w:tcW w:w="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total revenue decreased to $48.8 million in the first nine months of 2005 from $127.0 million in the same period of 2004 due primarily to lower revenues related to our collaboration with sanofi-aventis on the VEGF Trap and the absence in the 2005 period of revenues related to our collaboration with Novartis on the IL-1 Trap which ended in 2004. Collaboration revenue earned from sanofi-aventis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SAB 104.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Contract research &amp; development revenues earned from sanofi-aventis and Novartis for the nine months ended September 30, 2005 and 2004 were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76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2"/>
              </w:rPr>
              <w:t>2005 Regeneron</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Up-front Payment to Regeneron</w:t>
            </w:r>
          </w:p>
        </w:tc>
        <w:tc>
          <w:tcPr>
            <w:tcW w:w="1120" w:type="dxa"/>
            <w:vAlign w:val="bottom"/>
          </w:tcPr>
          <w:p>
            <w:pPr>
              <w:spacing w:after="0"/>
              <w:rPr>
                <w:sz w:val="14"/>
                <w:szCs w:val="14"/>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0"/>
                <w:szCs w:val="10"/>
                <w:color w:val="auto"/>
              </w:rPr>
            </w:pPr>
          </w:p>
        </w:tc>
        <w:tc>
          <w:tcPr>
            <w:tcW w:w="14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Recognized</w:t>
            </w:r>
          </w:p>
        </w:tc>
        <w:tc>
          <w:tcPr>
            <w:tcW w:w="400" w:type="dxa"/>
            <w:vAlign w:val="bottom"/>
          </w:tcPr>
          <w:p>
            <w:pPr>
              <w:spacing w:after="0"/>
              <w:rPr>
                <w:sz w:val="10"/>
                <w:szCs w:val="10"/>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Deferred Revenue at</w:t>
            </w:r>
          </w:p>
        </w:tc>
        <w:tc>
          <w:tcPr>
            <w:tcW w:w="11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7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71"/>
        </w:trPr>
        <w:tc>
          <w:tcPr>
            <w:tcW w:w="2820" w:type="dxa"/>
            <w:vAlign w:val="bottom"/>
            <w:vMerge w:val="restart"/>
          </w:tcPr>
          <w:p>
            <w:pPr>
              <w:spacing w:after="0"/>
              <w:rPr>
                <w:sz w:val="20"/>
                <w:szCs w:val="20"/>
                <w:color w:val="auto"/>
              </w:rPr>
            </w:pPr>
            <w:r>
              <w:rPr>
                <w:rFonts w:ascii="Arial" w:cs="Arial" w:eastAsia="Arial" w:hAnsi="Arial"/>
                <w:sz w:val="18"/>
                <w:szCs w:val="18"/>
                <w:color w:val="auto"/>
              </w:rPr>
              <w:t>Sanofi-aventis</w:t>
            </w: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Reimbursement</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Payment</w:t>
            </w:r>
          </w:p>
        </w:tc>
        <w:tc>
          <w:tcPr>
            <w:tcW w:w="3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 2005</w:t>
            </w:r>
          </w:p>
        </w:tc>
        <w:tc>
          <w:tcPr>
            <w:tcW w:w="40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September 30, 2005</w:t>
            </w:r>
          </w:p>
        </w:tc>
        <w:tc>
          <w:tcPr>
            <w:tcW w:w="112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 2005</w:t>
            </w:r>
          </w:p>
        </w:tc>
        <w:tc>
          <w:tcPr>
            <w:tcW w:w="0" w:type="dxa"/>
            <w:vAlign w:val="bottom"/>
          </w:tcPr>
          <w:p>
            <w:pPr>
              <w:spacing w:after="0"/>
              <w:rPr>
                <w:sz w:val="1"/>
                <w:szCs w:val="1"/>
                <w:color w:val="auto"/>
              </w:rPr>
            </w:pPr>
          </w:p>
        </w:tc>
      </w:tr>
      <w:tr>
        <w:trPr>
          <w:trHeight w:val="224"/>
        </w:trPr>
        <w:tc>
          <w:tcPr>
            <w:tcW w:w="2820" w:type="dxa"/>
            <w:vAlign w:val="bottom"/>
            <w:vMerge w:val="continue"/>
          </w:tcPr>
          <w:p>
            <w:pPr>
              <w:spacing w:after="0"/>
              <w:rPr>
                <w:sz w:val="19"/>
                <w:szCs w:val="19"/>
                <w:color w:val="auto"/>
              </w:rPr>
            </w:pPr>
          </w:p>
        </w:tc>
        <w:tc>
          <w:tcPr>
            <w:tcW w:w="124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$23.4</w:t>
            </w:r>
          </w:p>
        </w:tc>
        <w:tc>
          <w:tcPr>
            <w:tcW w:w="52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9"/>
                <w:szCs w:val="19"/>
                <w:color w:val="auto"/>
              </w:rPr>
            </w:pPr>
          </w:p>
        </w:tc>
        <w:tc>
          <w:tcPr>
            <w:tcW w:w="146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$58.8</w:t>
            </w:r>
          </w:p>
        </w:tc>
        <w:tc>
          <w:tcPr>
            <w:tcW w:w="50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323"/>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For the nine months ended September 30, 2004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20" w:type="dxa"/>
            <w:vAlign w:val="bottom"/>
          </w:tcPr>
          <w:p>
            <w:pPr>
              <w:spacing w:after="0"/>
              <w:rPr>
                <w:sz w:val="24"/>
                <w:szCs w:val="24"/>
                <w:color w:val="auto"/>
              </w:rPr>
            </w:pPr>
          </w:p>
        </w:tc>
        <w:tc>
          <w:tcPr>
            <w:tcW w:w="176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2"/>
              </w:rPr>
              <w:t>2004 Regeneron</w:t>
            </w: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Up-front Payment to Regeneron</w:t>
            </w:r>
          </w:p>
        </w:tc>
        <w:tc>
          <w:tcPr>
            <w:tcW w:w="1120" w:type="dxa"/>
            <w:vAlign w:val="bottom"/>
          </w:tcPr>
          <w:p>
            <w:pPr>
              <w:spacing w:after="0"/>
              <w:rPr>
                <w:sz w:val="24"/>
                <w:szCs w:val="24"/>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0"/>
                <w:szCs w:val="10"/>
                <w:color w:val="auto"/>
              </w:rPr>
            </w:pPr>
          </w:p>
        </w:tc>
        <w:tc>
          <w:tcPr>
            <w:tcW w:w="14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Recognized</w:t>
            </w:r>
          </w:p>
        </w:tc>
        <w:tc>
          <w:tcPr>
            <w:tcW w:w="400" w:type="dxa"/>
            <w:vAlign w:val="bottom"/>
          </w:tcPr>
          <w:p>
            <w:pPr>
              <w:spacing w:after="0"/>
              <w:rPr>
                <w:sz w:val="10"/>
                <w:szCs w:val="10"/>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Deferred Revenue at</w:t>
            </w:r>
          </w:p>
        </w:tc>
        <w:tc>
          <w:tcPr>
            <w:tcW w:w="11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7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Reimbursement</w:t>
            </w:r>
          </w:p>
        </w:tc>
        <w:tc>
          <w:tcPr>
            <w:tcW w:w="52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Payment</w:t>
            </w:r>
          </w:p>
        </w:tc>
        <w:tc>
          <w:tcPr>
            <w:tcW w:w="38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 2004</w:t>
            </w:r>
          </w:p>
        </w:tc>
        <w:tc>
          <w:tcPr>
            <w:tcW w:w="40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September 30, 2004</w:t>
            </w:r>
          </w:p>
        </w:tc>
        <w:tc>
          <w:tcPr>
            <w:tcW w:w="112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in 2004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Sanofi-aventis</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$53.8</w:t>
            </w:r>
          </w:p>
        </w:tc>
        <w:tc>
          <w:tcPr>
            <w:tcW w:w="5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$ 80.0</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$ 8.2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00" w:type="dxa"/>
            <w:vAlign w:val="bottom"/>
            <w:shd w:val="clear" w:color="auto" w:fill="CCEEFF"/>
          </w:tcPr>
          <w:p>
            <w:pPr>
              <w:spacing w:after="0"/>
              <w:rPr>
                <w:sz w:val="18"/>
                <w:szCs w:val="18"/>
                <w:color w:val="auto"/>
              </w:rPr>
            </w:pPr>
          </w:p>
        </w:tc>
        <w:tc>
          <w:tcPr>
            <w:tcW w:w="2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Novartis</w:t>
            </w:r>
          </w:p>
        </w:tc>
        <w:tc>
          <w:tcPr>
            <w:tcW w:w="420" w:type="dxa"/>
            <w:vAlign w:val="bottom"/>
          </w:tcPr>
          <w:p>
            <w:pPr>
              <w:spacing w:after="0"/>
              <w:rPr>
                <w:sz w:val="18"/>
                <w:szCs w:val="18"/>
                <w:color w:val="auto"/>
              </w:rPr>
            </w:pPr>
          </w:p>
        </w:tc>
        <w:tc>
          <w:tcPr>
            <w:tcW w:w="134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27.0</w:t>
            </w:r>
          </w:p>
        </w:tc>
        <w:tc>
          <w:tcPr>
            <w:tcW w:w="1840" w:type="dxa"/>
            <w:vAlign w:val="bottom"/>
            <w:gridSpan w:val="4"/>
          </w:tcPr>
          <w:p>
            <w:pPr>
              <w:jc w:val="right"/>
              <w:ind w:right="520"/>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140" w:type="dxa"/>
            <w:vAlign w:val="bottom"/>
            <w:gridSpan w:val="4"/>
          </w:tcPr>
          <w:p>
            <w:pPr>
              <w:jc w:val="right"/>
              <w:ind w:right="3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w:t>
            </w:r>
          </w:p>
        </w:tc>
        <w:tc>
          <w:tcPr>
            <w:tcW w:w="5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107.0</w:t>
            </w:r>
          </w:p>
        </w:tc>
        <w:tc>
          <w:tcPr>
            <w:tcW w:w="18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500" w:type="dxa"/>
            <w:vAlign w:val="bottom"/>
            <w:shd w:val="clear" w:color="auto" w:fill="CCEEFF"/>
          </w:tcPr>
          <w:p>
            <w:pPr>
              <w:spacing w:after="0"/>
              <w:rPr>
                <w:sz w:val="18"/>
                <w:szCs w:val="18"/>
                <w:color w:val="auto"/>
              </w:rPr>
            </w:pPr>
          </w:p>
        </w:tc>
        <w:tc>
          <w:tcPr>
            <w:tcW w:w="2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Sanofi-aventis reimbursement of Regeneron VEGF Trap expenses decreased in the first nine months of 2005 from the same period in 2004, primarily due to lower costs in 2005 related to our manufacture of VEGF Trap clinical supplies. We manufactured clinical supplies of VEGF Trap during the first nine months of 2004, but not during the first nine months of 2005. In the first quarter of 2004, Novartis provided notice of its intention not to proceed with the joint development of the IL-1 Trap and the remaining balance of the $27.0 million up-front payment received from Novartis in March 2003 was recognized as contract research and development revenue. Since the first quarter of 2004, we have not received, and do not expect to receive, any further contract research and development revenue from Novartis.</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March 2004, Novartis forgave all of its outstanding loans, including interest, to us, totaling $17.8 million, based upon our achievement of a pre-defined IL-1 Trap development milestone, which was recognized as a research progress payment.</w:t>
      </w:r>
    </w:p>
    <w:p>
      <w:pPr>
        <w:spacing w:after="0" w:line="62"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Contract manufacturing revenue decreased to $10.2 million in the first nine months of 2005 from $14.8 million in the same period of 2004 as we shipped less product to Merck in 2005. Included in contract manufacturing revenue in both the first nine months of 2005 and 2004 was $1.1 million and $3.0 million, respectively, of deferred revenue associated with capital improvement reimbursements paid by Merck prior to commencement of production. This deferred revenue is being recognized as product is shipped to Merck based on the total amount of product to be shipped over the term of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Total operating expenses increased to $143.7 million in the first nine months of 2005 from $125.2 million in the same period of 2004. Operating expenses in the first nine months of 2005 include a total of $16.2 million of Stock Option Expense, as follows: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84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w w:val="96"/>
              </w:rPr>
              <w:t>Expenses as</w:t>
            </w:r>
          </w:p>
        </w:tc>
        <w:tc>
          <w:tcPr>
            <w:tcW w:w="680" w:type="dxa"/>
            <w:vAlign w:val="bottom"/>
          </w:tcPr>
          <w:p>
            <w:pPr>
              <w:spacing w:after="0"/>
              <w:rPr>
                <w:sz w:val="10"/>
                <w:szCs w:val="10"/>
                <w:color w:val="auto"/>
              </w:rPr>
            </w:pPr>
          </w:p>
        </w:tc>
        <w:tc>
          <w:tcPr>
            <w:tcW w:w="128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Stock Option</w:t>
            </w:r>
          </w:p>
        </w:tc>
        <w:tc>
          <w:tcPr>
            <w:tcW w:w="360" w:type="dxa"/>
            <w:vAlign w:val="bottom"/>
          </w:tcPr>
          <w:p>
            <w:pPr>
              <w:spacing w:after="0"/>
              <w:rPr>
                <w:sz w:val="10"/>
                <w:szCs w:val="10"/>
                <w:color w:val="auto"/>
              </w:rPr>
            </w:pPr>
          </w:p>
        </w:tc>
        <w:tc>
          <w:tcPr>
            <w:tcW w:w="14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Expenses exclusive of</w:t>
            </w:r>
          </w:p>
        </w:tc>
        <w:tc>
          <w:tcPr>
            <w:tcW w:w="70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3"/>
              </w:rPr>
              <w:t>Expenses as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Reported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Expense</w:t>
            </w:r>
          </w:p>
        </w:tc>
        <w:tc>
          <w:tcPr>
            <w:tcW w:w="360" w:type="dxa"/>
            <w:vAlign w:val="bottom"/>
          </w:tcPr>
          <w:p>
            <w:pPr>
              <w:spacing w:after="0"/>
              <w:rPr>
                <w:sz w:val="14"/>
                <w:szCs w:val="14"/>
                <w:color w:val="auto"/>
              </w:rPr>
            </w:pPr>
          </w:p>
        </w:tc>
        <w:tc>
          <w:tcPr>
            <w:tcW w:w="21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Stock Option Expense</w:t>
            </w: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90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79"/>
              </w:rPr>
              <w:t>16.2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$0.1 million of Stock Option Expense was capitalized in inventory, for a total of $16.3 million of Stock Option Expense recognized in the first nine months of 2005. Stock Option Expense was not included in operating expenses in the first nine months of 2004, as reported in our Statement of Operations. In the first nine months of 2004, had we adopted the fair value based method of accounting for stock-based employee compensation under the provisions of SFAS 123, Stock Option Expense would have totaled $25.5 million. The decrease in total Stock Option Expense of $9.2 million in the first nine months of 2005 was partly due to lower exercise prices of annual employee option grants made by us in December 2004 in comparison to the exercise prices of annual grants in recent prior years. Exercise prices of these option grants were generally equal to the fair market value of our Common Stock on the date of grant. The decrease in Stock Option Expense in the first nine months of 2005 was also due, in part, to the exchange of options by eligible employees in connection with our stock option exchange program in January 2005, as the unamortized fair value of the surrendered options on the date of the exchange is being recognized as Stock Option Expense over a longer time period (the vesting period of the replacement options) in accordance with SFAS 123.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Research and development expenses, exclusive of Stock Option Expense, increased to $107.6 million in the first nine months of 2005 from $101.3 million in the same period of 2004. The following table summarizes the major categories of our research and development expenses for the nine months ended September 30, 2005 and 2004: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480" w:type="dxa"/>
            <w:vAlign w:val="bottom"/>
            <w:gridSpan w:val="4"/>
          </w:tcPr>
          <w:p>
            <w:pPr>
              <w:jc w:val="center"/>
              <w:ind w:right="640"/>
              <w:spacing w:after="0" w:line="119" w:lineRule="exact"/>
              <w:rPr>
                <w:sz w:val="20"/>
                <w:szCs w:val="20"/>
                <w:color w:val="auto"/>
              </w:rPr>
            </w:pPr>
            <w:r>
              <w:rPr>
                <w:rFonts w:ascii="Arial" w:cs="Arial" w:eastAsia="Arial" w:hAnsi="Arial"/>
                <w:sz w:val="13"/>
                <w:szCs w:val="13"/>
                <w:b w:val="1"/>
                <w:bCs w:val="1"/>
                <w:color w:val="auto"/>
                <w:w w:val="91"/>
              </w:rPr>
              <w:t>Expenses as</w:t>
            </w:r>
          </w:p>
        </w:tc>
        <w:tc>
          <w:tcPr>
            <w:tcW w:w="12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Stock Option</w:t>
            </w:r>
          </w:p>
        </w:tc>
        <w:tc>
          <w:tcPr>
            <w:tcW w:w="320" w:type="dxa"/>
            <w:vAlign w:val="bottom"/>
          </w:tcPr>
          <w:p>
            <w:pPr>
              <w:spacing w:after="0"/>
              <w:rPr>
                <w:sz w:val="10"/>
                <w:szCs w:val="10"/>
                <w:color w:val="auto"/>
              </w:rPr>
            </w:pPr>
          </w:p>
        </w:tc>
        <w:tc>
          <w:tcPr>
            <w:tcW w:w="16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Expenses exclusive of</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1"/>
              </w:rPr>
              <w:t>Expenses as</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Expense</w:t>
            </w:r>
          </w:p>
        </w:tc>
        <w:tc>
          <w:tcPr>
            <w:tcW w:w="320" w:type="dxa"/>
            <w:vAlign w:val="bottom"/>
          </w:tcPr>
          <w:p>
            <w:pPr>
              <w:spacing w:after="0"/>
              <w:rPr>
                <w:sz w:val="14"/>
                <w:szCs w:val="14"/>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Stock Option Expense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Reported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manufacturing costs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Research and preclinical development costs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00"/>
              <w:spacing w:after="0"/>
              <w:rPr>
                <w:sz w:val="20"/>
                <w:szCs w:val="20"/>
                <w:color w:val="auto"/>
              </w:rPr>
            </w:pPr>
            <w:r>
              <w:rPr>
                <w:rFonts w:ascii="Arial" w:cs="Arial" w:eastAsia="Arial" w:hAnsi="Arial"/>
                <w:sz w:val="18"/>
                <w:szCs w:val="18"/>
                <w:color w:val="auto"/>
              </w:rPr>
              <w:t>Total research and development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2004, research and development expenses as reported in our Statement of Operations did not include Stock Option Expense.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Payroll and benefits, exclusive of Stock Option Expense, increased $2.1 million in the first nine months of 2005 compared to the same period in 2004 as we added research and development personnel to support our clinical and research programs, especially for the VEGF Trap and IL-1 Trap. Clinical trial expenses increased $8.0 million in the first nine months of 2005 compared to the same period in 2004 due primarily to higher IL-1 Trap costs associated with commencing clinical studies in new indications and discontinuing the Phase 2b study in adult rheumatoid arthritis. Clinical manufacturing costs, exclusive of Stock Option Expense, decreased $1.8 million in the first nine months of 2005 compared to the same period in 2004 as lower costs in 2005 related to manufacturing clinical supplies of VEGF Trap and IL-4/13 Trap were partly offset by higher costs related to manufacturing clinical supplies of IL-1 Trap. Research and preclinical development costs decreased by $2.7 million in the first nine months of 2005 compared to the same period in 2004 due primarily to lower preclinical VEGF Trap development costs and other basic discovery expenses in 2005. Occupancy and other operating costs increased by $0.7 million in the first nine months of 2005 compared to the same period in 2004 due primarily to higher costs for utilities, taxes, and operating expenses associated with our leased research facilities in Tarrytown, New York.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Contract manufacturing expenses, exclusive of Stock Option Expense, decreased to $7.1 million in the first nine months of 2005 from $11.7 million in the same period of 2004, primarily because we shipped less product to Merck in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General and administrative expenses, exclusive of Stock Option Expense, increased to $12.8 million in the first nine months of 2005 from $12.2 million in the same period of 2004 due primarily to higher administrative personnel and facility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June 2005, we and Procter &amp; Gamble amended our collaboration agreement and agreed that the research activities of both companies under the collaboration agreement were completed. In connection with the amendment, Procter &amp; Gamble made a one-time $5.6 million payment to us, which we recognized as other contract income in the second quarter of 2005. In January 2005, we and sanofi-aventis amended our collaboration agreement to exclude rights to develop and commercialization the VEGF Trap for eye diseases through local delivery systems. In connection with the amendment, sanofi-aventis made a one-time $25.0 million payment to us, which was recognized as other contract income in the first quarter of 2005. In the first quarter of 2004, Novartis notified us of its decision to forgo its right under the collaboration to jointly develop the IL-1 Trap and paid us $42.75 million to satisfy its obligation to fund development costs for the IL-1 Trap for the nine-month period following its notification and for the two months prior to that notice. The one-time $42.75 million payment was included in other contract income in the first quarter of 2004.</w:t>
      </w:r>
    </w:p>
    <w:p>
      <w:pPr>
        <w:spacing w:after="0" w:line="71"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Investment income increased to $7.5 million in the first nine months of 2005 from $3.6 million in the same period of 2004 due primarily to higher effective interest rates on investment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securities in 2005. Interest expense decreased slightly to $9.0 million in the first nine months of 2005 from $9.2 million in the same period of 2004. Interest expense is attributable primarily to $200.0 million of convertible notes issued in October 2001, which mature in 2008 and bear interest at 5.5% per annum.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Novartis, Procter &amp; Gamble, and Merck,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Classification</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We have revised the classification of our investments in auction rate securities from cash and cash equivalents to short-term investments in our previously issued financial statements.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a decrease in cash and cash equivalents and corresponding increase in short-term marketable securities at each balance sheet date. In addition, we revised our statements of cash flows to reflect the purchases and sales of these securities as investing activities rather than as a component of cash and cash equivalents. This change in classification had no impact on our previously reported current assets, net income (loss), or cash flows from operations. We held no auction rate securities at September 30, 2005.</w:t>
      </w:r>
    </w:p>
    <w:p>
      <w:pPr>
        <w:spacing w:after="0" w:line="7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impact of the revision to the classification of our investments in auction rate securities on previously reported amounts for cash and cash equivalents and short-term marketable securities at December 31, 2004 and 2003, and cash flows provided by (used in) investing activities for the three month, six month, and nine month periods ended March 31, 2004, June 30, 2004, and September 30, 2004, respectively, and the years ended December 31, 2004 and 2003, is as follows: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 at December 31, 2004 and 2003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As originally reported:</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101.2</w:t>
            </w: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3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8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Revised to reflect auction rate securities as short-term investments: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95.2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3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8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540" w:type="dxa"/>
            <w:vAlign w:val="bottom"/>
            <w:vMerge w:val="restart"/>
          </w:tcPr>
          <w:p>
            <w:pPr>
              <w:jc w:val="right"/>
              <w:ind w:right="289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color w:val="auto"/>
        </w:rPr>
        <w:t>Statement of Cash Flows Impact for the three month, six month, and nine month periods ended March 31, June 30, and September 30, 2004, respectively, and the years ended December 31, 2004 and 2003</w:t>
      </w: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2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2004</w:t>
            </w:r>
          </w:p>
        </w:tc>
        <w:tc>
          <w:tcPr>
            <w:tcW w:w="86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2004</w:t>
            </w:r>
          </w:p>
        </w:tc>
        <w:tc>
          <w:tcPr>
            <w:tcW w:w="1540" w:type="dxa"/>
            <w:vAlign w:val="bottom"/>
            <w:gridSpan w:val="2"/>
          </w:tcPr>
          <w:p>
            <w:pPr>
              <w:jc w:val="center"/>
              <w:ind w:left="216"/>
              <w:spacing w:after="0" w:line="142" w:lineRule="exact"/>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2004</w:t>
            </w:r>
          </w:p>
        </w:tc>
        <w:tc>
          <w:tcPr>
            <w:tcW w:w="1640" w:type="dxa"/>
            <w:vAlign w:val="bottom"/>
            <w:gridSpan w:val="3"/>
          </w:tcPr>
          <w:p>
            <w:pPr>
              <w:jc w:val="center"/>
              <w:ind w:left="399"/>
              <w:spacing w:after="0" w:line="142" w:lineRule="exact"/>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 originally reported:</w:t>
            </w: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720" w:type="dxa"/>
            <w:vAlign w:val="bottom"/>
          </w:tcPr>
          <w:p>
            <w:pPr>
              <w:jc w:val="right"/>
              <w:ind w:right="119"/>
              <w:spacing w:after="0"/>
              <w:rPr>
                <w:sz w:val="20"/>
                <w:szCs w:val="20"/>
                <w:color w:val="auto"/>
              </w:rPr>
            </w:pPr>
            <w:r>
              <w:rPr>
                <w:rFonts w:ascii="Arial" w:cs="Arial" w:eastAsia="Arial" w:hAnsi="Arial"/>
                <w:sz w:val="18"/>
                <w:szCs w:val="18"/>
                <w:color w:val="auto"/>
              </w:rPr>
              <w:t>$70.2</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$1.2</w:t>
            </w:r>
          </w:p>
        </w:tc>
        <w:tc>
          <w:tcPr>
            <w:tcW w:w="1540" w:type="dxa"/>
            <w:vAlign w:val="bottom"/>
            <w:gridSpan w:val="2"/>
          </w:tcPr>
          <w:p>
            <w:pPr>
              <w:jc w:val="center"/>
              <w:ind w:left="176"/>
              <w:spacing w:after="0"/>
              <w:rPr>
                <w:sz w:val="20"/>
                <w:szCs w:val="20"/>
                <w:color w:val="auto"/>
              </w:rPr>
            </w:pPr>
            <w:r>
              <w:rPr>
                <w:rFonts w:ascii="Arial" w:cs="Arial" w:eastAsia="Arial" w:hAnsi="Arial"/>
                <w:sz w:val="18"/>
                <w:szCs w:val="18"/>
                <w:color w:val="auto"/>
                <w:w w:val="91"/>
              </w:rPr>
              <w:t>($12.1)</w:t>
            </w:r>
          </w:p>
        </w:tc>
        <w:tc>
          <w:tcPr>
            <w:tcW w:w="3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640" w:type="dxa"/>
            <w:vAlign w:val="bottom"/>
            <w:gridSpan w:val="3"/>
          </w:tcPr>
          <w:p>
            <w:pPr>
              <w:jc w:val="center"/>
              <w:ind w:left="359"/>
              <w:spacing w:after="0"/>
              <w:rPr>
                <w:sz w:val="20"/>
                <w:szCs w:val="20"/>
                <w:color w:val="auto"/>
              </w:rPr>
            </w:pPr>
            <w:r>
              <w:rPr>
                <w:rFonts w:ascii="Arial" w:cs="Arial" w:eastAsia="Arial" w:hAnsi="Arial"/>
                <w:sz w:val="18"/>
                <w:szCs w:val="18"/>
                <w:color w:val="auto"/>
                <w:w w:val="91"/>
              </w:rPr>
              <w:t>($63.8)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Revised to reflect auction rate securities as short-term investments: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flows provided by (used in) investing activities</w:t>
            </w:r>
          </w:p>
        </w:tc>
        <w:tc>
          <w:tcPr>
            <w:tcW w:w="720" w:type="dxa"/>
            <w:vAlign w:val="bottom"/>
          </w:tcPr>
          <w:p>
            <w:pPr>
              <w:jc w:val="right"/>
              <w:ind w:right="119"/>
              <w:spacing w:after="0"/>
              <w:rPr>
                <w:sz w:val="20"/>
                <w:szCs w:val="20"/>
                <w:color w:val="auto"/>
              </w:rPr>
            </w:pPr>
            <w:r>
              <w:rPr>
                <w:rFonts w:ascii="Arial" w:cs="Arial" w:eastAsia="Arial" w:hAnsi="Arial"/>
                <w:sz w:val="18"/>
                <w:szCs w:val="18"/>
                <w:color w:val="auto"/>
              </w:rPr>
              <w:t>$73.2</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$4.2</w:t>
            </w:r>
          </w:p>
        </w:tc>
        <w:tc>
          <w:tcPr>
            <w:tcW w:w="1540" w:type="dxa"/>
            <w:vAlign w:val="bottom"/>
            <w:gridSpan w:val="2"/>
          </w:tcPr>
          <w:p>
            <w:pPr>
              <w:jc w:val="center"/>
              <w:ind w:left="176"/>
              <w:spacing w:after="0"/>
              <w:rPr>
                <w:sz w:val="20"/>
                <w:szCs w:val="20"/>
                <w:color w:val="auto"/>
              </w:rPr>
            </w:pPr>
            <w:r>
              <w:rPr>
                <w:rFonts w:ascii="Arial" w:cs="Arial" w:eastAsia="Arial" w:hAnsi="Arial"/>
                <w:sz w:val="18"/>
                <w:szCs w:val="18"/>
                <w:color w:val="auto"/>
                <w:w w:val="99"/>
              </w:rPr>
              <w:t>($ 4.7)</w:t>
            </w:r>
          </w:p>
        </w:tc>
        <w:tc>
          <w:tcPr>
            <w:tcW w:w="3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6"/>
              <w:spacing w:after="0"/>
              <w:rPr>
                <w:sz w:val="20"/>
                <w:szCs w:val="20"/>
                <w:color w:val="auto"/>
              </w:rPr>
            </w:pPr>
            <w:r>
              <w:rPr>
                <w:rFonts w:ascii="Arial" w:cs="Arial" w:eastAsia="Arial" w:hAnsi="Arial"/>
                <w:sz w:val="18"/>
                <w:szCs w:val="18"/>
                <w:color w:val="auto"/>
                <w:w w:val="85"/>
              </w:rPr>
              <w:t>10.2</w:t>
            </w:r>
          </w:p>
        </w:tc>
        <w:tc>
          <w:tcPr>
            <w:tcW w:w="1640" w:type="dxa"/>
            <w:vAlign w:val="bottom"/>
            <w:gridSpan w:val="3"/>
          </w:tcPr>
          <w:p>
            <w:pPr>
              <w:jc w:val="center"/>
              <w:ind w:left="359"/>
              <w:spacing w:after="0"/>
              <w:rPr>
                <w:sz w:val="20"/>
                <w:szCs w:val="20"/>
                <w:color w:val="auto"/>
              </w:rPr>
            </w:pPr>
            <w:r>
              <w:rPr>
                <w:rFonts w:ascii="Arial" w:cs="Arial" w:eastAsia="Arial" w:hAnsi="Arial"/>
                <w:sz w:val="18"/>
                <w:szCs w:val="18"/>
                <w:color w:val="auto"/>
                <w:w w:val="91"/>
              </w:rPr>
              <w:t>($49.6)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revised amounts, as applicable, are reflected in this Quarterly Report on Form 10-Q for the period ended September 30, 2005, and will be included in our Annual Report on Form 10-K for the year ended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2005 and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Operations:</w:t>
      </w:r>
    </w:p>
    <w:p>
      <w:pPr>
        <w:spacing w:after="0" w:line="117" w:lineRule="exact"/>
        <w:rPr>
          <w:sz w:val="20"/>
          <w:szCs w:val="20"/>
          <w:color w:val="auto"/>
        </w:rPr>
      </w:pPr>
    </w:p>
    <w:p>
      <w:pPr>
        <w:jc w:val="both"/>
        <w:ind w:right="160" w:firstLine="215"/>
        <w:spacing w:after="0" w:line="312" w:lineRule="auto"/>
        <w:rPr>
          <w:sz w:val="20"/>
          <w:szCs w:val="20"/>
          <w:color w:val="auto"/>
        </w:rPr>
      </w:pPr>
      <w:r>
        <w:rPr>
          <w:rFonts w:ascii="Arial" w:cs="Arial" w:eastAsia="Arial" w:hAnsi="Arial"/>
          <w:sz w:val="16"/>
          <w:szCs w:val="16"/>
          <w:color w:val="auto"/>
        </w:rPr>
        <w:t>At September 30, 2005, we had $333.6 million in cash, cash equivalents, and marketable securities compared with $348.9 million at December 31, 2004. In January 2005, we received two $25.0 million payments from sanofi-aventis. One payment was related to a VEGF Trap clinical milestone that was earned in December 2004. The second payment related to changes to our collaboration agreement with sanofi-aventis that were made in January 2005.</w:t>
      </w:r>
    </w:p>
    <w:p>
      <w:pPr>
        <w:spacing w:after="0" w:line="3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In the first nine months of 2005, our net loss was $65.8 million but cash used in our operations was $10.4 million, principally due to receipts during this period from sanofi-aventis for (i) reimbursement of VEGF Trap development expenses incurred by us and (ii) the $25.0 million clinical milestone payment earned in December 2004. In addition, our net loss in the first nine months of 2005 included $17.6 million of non-cash stock-based employee compensation costs, of which $16.2 million represents Stock Option Expense resulting from our adoption of SFAS 123 in January 2005. In the first nine months of 2004, our net income was $38.9 million but we used $4.7 million of cash in operations. The difference between net income and cash usage was primarily due to the recognition of $39.9 million of non-cash deferred and research progress payment revenue pursuant to our collaboration agreement with Novartis.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first nine months of 2005, net cash provided by investing activities was $90.2 million compared to net cash used by investing activities of</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$4.7 million for the same period in 2004. The increase in net cash provided in 2005 was due to a decrease in purchases of marketable securities, net of sales and maturities. In the first nine months of 2005, sales or maturities of marketable securities exceeded purchases by $94.8 million, whereas in the first nine months of 2004, sales or maturities of marketable securities were offset by purchases.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Cash provided by financing activities decreased to $1.1 million in the first nine months of 2005 from $3.6 million in the same period in 2004 due primarily to 2004 borrowings under a loan from Novartis. In accordance with our collaboration agreement with Novartis, we elected to fund our share of 2003 IL-1 Trap development expenses through a loan that was forgiven by Novartis in March 2004 upon our achievement of a pre-defined IL-1 Trap development milestone. In the first quarter of 2004, we drew $3.8 million, excluding interest, against this loan facility for expenses incurred during 2003.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sanofi-aventis Group Agreement:</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January 2005, we and sanofi-aventis amended our collaboration agreement to exclude rights to develop and commercialize the VEGF Trap for eye diseases through local delivery systems. In connection with this amendment, sanofi-aventis made a one-time $25.0 million payment to us. Under the collaboration agreement, as amended, we and sanofi-aventis will share co-promotion rights for and profits on sales, if any, of the VEGF Trap for disease indications included in our collaboration. We will manufacture clinical supplies of the VEGF Trap at our plant in Rensselaer, New York and sanofi-aventis is responsible for providing commercial scale manufacturing capacity for the VEGF Trap.</w:t>
      </w:r>
    </w:p>
    <w:p>
      <w:pPr>
        <w:spacing w:after="0" w:line="80"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Under the collaboration agreement, as amended, agreed upon development expenses incurred by both companies during the term of the agreement, including costs associated with the manufacture of clinical drug supply, will be funded by sanofi-aventis. If the collaboration becomes profitable, we will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or at a faster rate at our option. In addition, if the first commercial sale of a VEGF Trap product for diseases of the eye through local delivery systems predates the first commercial sale of a VEGF Trap product under the collaboration, we will begin reimbursing sanofi-aventis for up to $7.5 million of VEGF Trap development expenses commencing two years after such initial commercialization outside the collaboration in accordance with a formula until the first commercial VEGF Trap sale under the collaboration occurs.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Our additions to property, plant, and equipment totaled $4.3 million and $4.7 million for the first nine months of 2005 and 2004, respectively. During the remainder of 2005, we expect to incur approximately $1 million to $2 million in capital expenditures which will primarily consist of equipment for our manufacturing,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Costs: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September 2005, we announced plans to reduce our workforce from 730 to approximately 565 by the end of 2006. The workforce reduction results from plans to narrow the focus of our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research and development efforts, substantial improvements in manufacturing productivity, the recent expiration of our collaboration with Procter &amp; Gamble, and the expected completion of contract manufacturing for Merck in late 2006. The majority of the headcount reduction will occur by the end of 2005, with the remainder planned for 2006 following the completion of our contract manufacturing activities for Merck.</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Details of the workforce reduction plan and related severance benefits were communicated to employees in October 2005. We estimate that costs associated with the workforce reduction, which will be comprised principally of severance payments and related payroll taxes, employee benefits, and outplacement services, will total between $2.5 million and $3.0 million, the substantial majority of which will be cash expenditures. These costs will be accounted for in accordance with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We did not recognize costs associated with the workforce reduction in the quarter ended September 30, 2005. We expect to incur between $1.8 million and $2.0 million of these workforce reduction costs in the fourth quarter of 2005 and the remainder in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80" w:firstLine="222"/>
        <w:spacing w:after="0" w:line="276" w:lineRule="auto"/>
        <w:rPr>
          <w:sz w:val="20"/>
          <w:szCs w:val="20"/>
          <w:color w:val="auto"/>
        </w:rPr>
      </w:pPr>
      <w:r>
        <w:rPr>
          <w:rFonts w:ascii="Arial" w:cs="Arial" w:eastAsia="Arial" w:hAnsi="Arial"/>
          <w:sz w:val="17"/>
          <w:szCs w:val="17"/>
          <w:color w:val="auto"/>
        </w:rPr>
        <w:t>We expect to continue to incur substantial funding requirements primarily for research and development activities (including preclinical and clinical testing). We currently anticipate that for all of 2005, approximately 55%-60% of our expenditures will be directed toward the preclinical and clinical development of product candidates, including the VEGF Trap for oncology, VEGF Trap for eye diseases, IL-1 Trap, and IL-4/13 Trap; approximately 20%-25% of our expenditures will be applied to our basic research activities and the continued development of our novel technology platforms; and the remainder of our expenditures for 2005 will be used for capital expenditures and general corporate purposes.</w:t>
      </w:r>
    </w:p>
    <w:p>
      <w:pPr>
        <w:spacing w:after="0" w:line="64"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 with sanofi-aventis.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59"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Also, under the terms of the sanofi-aventis collaboration agreement, if the collaboration becomes profitable, we will reimburse sanofi-aventis for 50% of the VEGF Trap development expenses, as previously described above under “The sanofi-aventis Group Agreement”. Sanofi-aventis has the right to terminate the agreement without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mid-2008.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September 30, 2005,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During the nine months ended September 30, 2005, there were no changes to our critical accounting policies and significant judgments and estimates, as described in our Annual Report on Form 10-K for the year ended December 31,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is a revision of SFAS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(which we adopted effective January 1, 2005), and supersedes APB 25,</w:t>
      </w:r>
      <w:r>
        <w:rPr>
          <w:rFonts w:ascii="Arial" w:cs="Arial" w:eastAsia="Arial" w:hAnsi="Arial"/>
          <w:sz w:val="16"/>
          <w:szCs w:val="16"/>
          <w:i w:val="1"/>
          <w:iCs w:val="1"/>
          <w:color w:val="auto"/>
        </w:rPr>
        <w:t xml:space="preserve"> Accounting for Stock Issued to Employees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related implementation guidance.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is effective for fiscal years beginning after June 15, 2005. In March 2005, the U.S. Securities and Exchange Commission (SEC) issued Staff Accounting Bulletin No. 107 (SAB 107) which expresses views of the SEC staff regarding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application of SFAS 123R. Among other things, SAB 107 provides interpretive guidance related to the interaction between SFAS 123R and certain SEC rules and regulations as well as the SEC staff’s views regarding the valuation of share-based payment arrangements for public companies. We will be required to adopt SFAS 123R effective for the fiscal year beginning January 1, 2006, and intend to do so using the modified prospective method. Under the modified prospective method, compensation cost is recognized beginning with the effective date based on (a) the requirements of SFAS 123R for all share-based payments granted after the effective date and (b) the requirements of SFAS 123 for all awards granted to employees prior to the effective date of SFAS 123R that remain unvested on the effective date. In addition, we will consider the guidance of SAB 107 as we adopt SFAS 123R. Although the impact of adopting SFAS 123R has not yet been quantified, management believes that the future adoption of this standard may have a material impact on our financial statements.</w:t>
      </w:r>
    </w:p>
    <w:p>
      <w:pPr>
        <w:spacing w:after="0" w:line="84"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In May 2005, the FASB issued SFAS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and requires retrospective application to prior-period financial statements of changes in accounting principle, unless it is impracticable to determine either the period-specific effects or the cumulative effect of a change. SFAS 154 also redefines “restatement” as the revising of previously issued financial statements to reflect the correction of an error. SFAS 154 is effective for accounting changes and corrections of errors made in fiscal years beginning after December 15, 2005. We are required to adopt the provisions of SFAS 154, as applicable, effective for the fiscal year beginning January 1, 2006.</w:t>
      </w:r>
    </w:p>
    <w:p>
      <w:pPr>
        <w:spacing w:after="0" w:line="70"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 xml:space="preserve">In March 2005, the FASB issued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xml:space="preserve"> (FIN 47) which clarifies that the term “conditional asset retirement”, as used in SFAS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refers to a legal obligation to perform an asset retirement activity in which the timing and/or method of settlement are conditional on a future event that may or may not be within the control of the entity. FIN 47 requires that a liability be recognized for the fair value of a conditional asset retirement obligation when incurred, if the fair value of the liability can be reasonably estimated. Uncertainty about the timing and method of settlement of a conditional asset retirement obligation would be factored into the measurement of the liability when sufficient information exists. FIN 47 is effective no later than the end of fiscal years ending after December 15, 2005. Management believes that the future adoption of FIN 47 will not have a material impact on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our Annual Report on Form 10-K and should be considered by our investors.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From inception on January 8, 1988 through September 30, 2005, we had a cumulative loss of $555.6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until June 30, 2005, we received contract research and development revenue from our agreement with Procter &amp; Gamble. Our agreement with Procter &amp; Gamble expired in June 2005 and our agreement with Merck will expire before the end of 2006. The expiration of these agreements results in a significant loss of revenue to the Company</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mid-2008;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62"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62"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We have adopted, effective January 1, 2005, the fair market value based method of accounting for stock-based employee compensation. This will materially increase operating expenses in our Statement of Operations, primarily due to non-cash compensation costs related to stock options.</w:t>
      </w:r>
    </w:p>
    <w:p>
      <w:pPr>
        <w:spacing w:after="0" w:line="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 xml:space="preserve">We have adopted, effective January 1, 2005, the fair value based method of accounting for stock-based employee compensation under the provisions of SFAS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xml:space="preserve">, using the modified prospective method as described in SFAS 148, </w:t>
      </w:r>
      <w:r>
        <w:rPr>
          <w:rFonts w:ascii="Arial" w:cs="Arial" w:eastAsia="Arial" w:hAnsi="Arial"/>
          <w:sz w:val="16"/>
          <w:szCs w:val="16"/>
          <w:i w:val="1"/>
          <w:iCs w:val="1"/>
          <w:color w:val="auto"/>
        </w:rPr>
        <w:t>Accounting for Stock 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 Transition and Disclosure</w:t>
      </w:r>
      <w:r>
        <w:rPr>
          <w:rFonts w:ascii="Arial" w:cs="Arial" w:eastAsia="Arial" w:hAnsi="Arial"/>
          <w:sz w:val="16"/>
          <w:szCs w:val="16"/>
          <w:color w:val="auto"/>
        </w:rPr>
        <w:t>. As a result, we have begun recognizing expense in an amount equal to the fair value of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 option awards) on their date of grant over the vesting period of the awards. Although the impact of adopting SFAS 123 has not been quantified for the full year 2005, in the first nine months of 2005, non-cash stock-based employee compensation expense of $16.2 million related to stock options awards was recognized in operating expenses in our Statement of Operations, which decreased our basic net loss per share by $0.29 per share. Also, if we had adopted SFAS 123 effective January 1, 2004, our net income for the full year 2004 would have decreased by approximately $33.6 million and our basic and diluted net income per share in 2004 would have been $0.15 per share instead of $0.75 per share (basic) and $0.74 per share (diluted).</w:t>
      </w:r>
    </w:p>
    <w:p>
      <w:pPr>
        <w:spacing w:after="0" w:line="58"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In addition, in December 2004, the FASB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123 and supersedes APB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SFAS 123R requires the recognition of compensation expense in an amount equal to the fair value of share-based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 options) issued to employees. We will be required to adopt SFAS 123R effective for the fiscal year beginning January 1, 2006. The impact of adopting SFAS 123R has not yet been quantified.</w:t>
      </w:r>
    </w:p>
    <w:p>
      <w:pPr>
        <w:spacing w:after="0" w:line="7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negative impact on our income (loss) as a result of adopting SFAS 123 as of January 1, 2005, and subsequently adopting SFAS 123R commencing January 1, 2006, may negatively affect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tablet or capsule delivery. If our products are not successfully commercialized, we will not be able to recover the significant investment we have made in developing such products and our business would be severely harmed.</w:t>
      </w:r>
    </w:p>
    <w:p>
      <w:pPr>
        <w:spacing w:after="0" w:line="62"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We intend to study our lead product candidates, the VEGF Trap and IL-1 Trap, in a wide variety of indications. We intend to study the VEGF Trap in a variety of cancer settings and ophthalmologic indications and the IL-1 Trap in a wide variety of inflammatory disorders. Most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5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7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58" w:lineRule="exact"/>
        <w:rPr>
          <w:sz w:val="20"/>
          <w:szCs w:val="20"/>
          <w:color w:val="auto"/>
        </w:rPr>
      </w:pPr>
    </w:p>
    <w:p>
      <w:pPr>
        <w:ind w:right="260" w:firstLine="225"/>
        <w:spacing w:after="0" w:line="293" w:lineRule="auto"/>
        <w:rPr>
          <w:sz w:val="20"/>
          <w:szCs w:val="20"/>
          <w:color w:val="auto"/>
        </w:rPr>
      </w:pPr>
      <w:r>
        <w:rPr>
          <w:rFonts w:ascii="Arial" w:cs="Arial" w:eastAsia="Arial" w:hAnsi="Arial"/>
          <w:sz w:val="16"/>
          <w:szCs w:val="16"/>
          <w:color w:val="auto"/>
        </w:rPr>
        <w:t>Our VEGF Trap is being studied for the potential treatment of certain types of cancer and diseases of the eye. There are many potential safety concerns associated with significant blockade of vascular endothelial growth factor, or VEGF. These risks, based on the clinical and preclinical experience of systemically delivered VEGF inhibitors, including the VEGF Trap, include bleeding, hypertension, and proteinuria. These serious side effects and other serious side effects have been reported in our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 could harm the development of the VEGF Trap for either the treatment of cancer or diseases of the eye.</w:t>
      </w:r>
    </w:p>
    <w:p>
      <w:pPr>
        <w:spacing w:after="0" w:line="57"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other inflammatory diseases and disorders. Like TNF-antagonists such as EnbrelÒ (a registered trademark of Amgen) and RemicadeÒ (a registered trademark of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and other complications or side effects could harm the development of the IL-1 Trap.</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Subjects who received the IL-1 Trap in clinical trials have developed antibodies. It is possible that as we test the VEGF Trap with more sensitive assays in different patient populations and larger clinical trials, we will find that subjects given the VEGF Trap develop antibodies to the product candidate.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IL-1 Trap, and IL-4/13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w:t>
      </w:r>
    </w:p>
    <w:p>
      <w:pPr>
        <w:spacing w:after="0" w:line="73" w:lineRule="exact"/>
        <w:rPr>
          <w:sz w:val="20"/>
          <w:szCs w:val="20"/>
          <w:color w:val="auto"/>
        </w:rPr>
      </w:pPr>
    </w:p>
    <w:p>
      <w:pPr>
        <w:ind w:right="80" w:firstLine="222"/>
        <w:spacing w:after="0" w:line="293" w:lineRule="auto"/>
        <w:rPr>
          <w:sz w:val="20"/>
          <w:szCs w:val="20"/>
          <w:color w:val="auto"/>
        </w:rPr>
      </w:pPr>
      <w:r>
        <w:rPr>
          <w:rFonts w:ascii="Arial" w:cs="Arial" w:eastAsia="Arial" w:hAnsi="Arial"/>
          <w:sz w:val="16"/>
          <w:szCs w:val="16"/>
          <w:color w:val="auto"/>
        </w:rPr>
        <w:t>We are aware of patents and pending applications owned by Genentech that claim certain chimeric VEGF receptor compositions. Although we do not believe that the VEGF Trap infringes any valid claim in these patents or patent applications, Genentech could initiate a lawsuit for patent infringement and assert its patents are valid and cover the VEGF Trap. Genentech may be motivated to initiate such a lawsuit at some point in an effort to impair our ability to develop and sell the VEGF Trap,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in a damage award.</w:t>
      </w:r>
    </w:p>
    <w:p>
      <w:pPr>
        <w:spacing w:after="0" w:line="57" w:lineRule="exact"/>
        <w:rPr>
          <w:sz w:val="20"/>
          <w:szCs w:val="20"/>
          <w:color w:val="auto"/>
        </w:rPr>
      </w:pPr>
    </w:p>
    <w:p>
      <w:pPr>
        <w:jc w:val="both"/>
        <w:ind w:right="180" w:firstLine="222"/>
        <w:spacing w:after="0" w:line="257" w:lineRule="auto"/>
        <w:rPr>
          <w:sz w:val="20"/>
          <w:szCs w:val="20"/>
          <w:color w:val="auto"/>
        </w:rPr>
      </w:pPr>
      <w:r>
        <w:rPr>
          <w:rFonts w:ascii="Arial" w:cs="Arial" w:eastAsia="Arial" w:hAnsi="Arial"/>
          <w:sz w:val="18"/>
          <w:szCs w:val="18"/>
          <w:color w:val="auto"/>
        </w:rPr>
        <w:t>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80"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0"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commercializing any one or more of our product candidates, which could severely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6"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6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increased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right="40" w:firstLine="215"/>
        <w:spacing w:after="0" w:line="253"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2004, which report was included in our Annual Report on Form 10-K for the year ended December 31, 2004.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sanofi-aventis collaboration agreement would create substantial new and additional risks to the successful development of the VEGF Trap oncology program.</w:t>
      </w:r>
    </w:p>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62"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We depend upon third-party collaborators, including sanofi-aventis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collaborators or contract manufacturers, our business, financial condition, and results of operations may be materially harmed.</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5"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large-scale manufacturing operations in Rensselaer, New York. Under a long-term manufacturing agreement with Merck, which expires in October 2006, we produce an intermediate for a Merck pediatric vaccine at our facility in Rensselaer, New York. We also use our facilities to produce API for our own clinical and preclinical candidates. When we no longer use our facilities to manufacture the Merck intermediate or if clinical candidates are discontinued, we will have to absorb overhead costs and inefficiencies.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152"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50"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European regulatory requirements, our clinical development activities may be delayed or interrupted.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 in eye diseases, and we may be unsuccessful in developing our own sales, marketing, and distribution organization.</w:t>
      </w:r>
    </w:p>
    <w:p>
      <w:pPr>
        <w:spacing w:after="0" w:line="7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Even if our product candidates are ever approved,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7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Genentech has an approved VEGF antagonist, Avastin™, on the market for treating certain cancers and many different pharmaceutical and biotechnology companies are working to develop competing VEGF antagonists, including Novartis, Eyetech Pharmaceuticals, and Pfizer. Many of these molecules are farther along in development than the VEGF Trap and may offer competitive advantages over our molecule</w:t>
      </w:r>
      <w:r>
        <w:rPr>
          <w:rFonts w:ascii="Arial" w:cs="Arial" w:eastAsia="Arial" w:hAnsi="Arial"/>
          <w:sz w:val="17"/>
          <w:szCs w:val="17"/>
          <w:b w:val="1"/>
          <w:bCs w:val="1"/>
          <w:color w:val="auto"/>
        </w:rPr>
        <w:t>.</w:t>
      </w:r>
      <w:r>
        <w:rPr>
          <w:rFonts w:ascii="Arial" w:cs="Arial" w:eastAsia="Arial" w:hAnsi="Arial"/>
          <w:sz w:val="17"/>
          <w:szCs w:val="17"/>
          <w:color w:val="auto"/>
        </w:rPr>
        <w:t xml:space="preserve"> Novartis has an ongoing phase 3 clinical development program evaluating an orally delivered VEGF tyrosine kinase inhibitor in different cancer settings. Onyx Pharmaceuticals and Bayer have filed an New Drug Application with the FDA for approval to market the first oral medication that targets tumor cell growth and new vasculature formation that fuels the growth of tumors. The marketing approval for Genentech’s VEGF antagonist, Avastin,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and their extensive, ongoing clinical development plan for Avastin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if approved by the FDA, the Onyx/Bayer kinase inhibitor and the Novartis phase 3 tyrosine kinase,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5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market for eye diseases is also very competitive. Eyetech Pharmaceuticals and Pfizer are marketing an approved VEGF inhibitor for age-related macular degeneration (wet AMD). Novartis and Genentech are collaborating on the development of a VEGF antibody fragment for the treatment of wet AMD that is in phase 3 development. In July 2005, Genentech announced positive results from its phase 3 clinical trial of this VEGF inhibitor in patients with wet AMD. In addition, it has been reported that ophthalmologists are using a third-party reformulated version of Genentech’s approved VEGF antagonist, Avastin® (a registered trademark of Genentech) with success for the treatment of wet AMD. The marketing approval of the Eyetech/Pfizer VEGF inhibitor and the potential off-label use of Avastin and approval of the Novartis/Genentech VEGF antibody fragment make it more difficult for us to successfully develop the VEGF Trap in eye diseases. Even if the VEGF Trap is ever approved for sale for the treatment of eye diseases, it will be difficult for our drug to compete against the Eyetech/Pfizer drug and, if approved by the FDA, the Novartis/Genentech phase 3 VEGF inhibitor, because doctors and patients will have significant experience using these medicines. Moreover, the relatively low cost of therapy with Avastin in patients with wet AMD presents a further competitive challenge in this indication.</w:t>
      </w:r>
    </w:p>
    <w:p>
      <w:pPr>
        <w:spacing w:after="0" w:line="70"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availability of highly effective FDA approved TNF-antagonists such as Enbrel® (a registered trademark of Amgen), Remicade® (a registered trademark of Centocor), and Humira® (a registered trademark of Abbott Laboratories), and the IL-1 receptor antagonist Kineret® (a registered trademark of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8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There are both small molecules and antibodies in development by third parties that are designed to block the synthesis of interleukin-1 or inhibit the signaling of interleukin-1. For example, Novartis is developing an antibody to interleukin-1 and Amgen is developing an antibody to the interleukin-1 receptor. These drug candidates could offer competitive advantages over the IL-1Trap. The successful development of these competing molecules could delay or impair our ability to successfully develop and commercialize the IL-1 Trap. For example, we may find it difficult to enroll patients in clinical trials for the IL-1 Trap if the companies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developing these competing interleukin-1 inhibitors commence clinical trials in the same indications.</w:t>
      </w:r>
    </w:p>
    <w:p>
      <w:pPr>
        <w:spacing w:after="0" w:line="117"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 xml:space="preserve">We are developing the IL-1 Trap for the treatment of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payers.</w:t>
      </w:r>
    </w:p>
    <w:p>
      <w:pPr>
        <w:spacing w:after="0" w:line="6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payers, the market for any biopharmaceutical product will be limited. These third-party payers increasingly challenge the price and examine the cost-effectiveness of products and services. Significant uncertainty exists as to the reimbursement status of any new therapeutic, particularly if there exist lower-cost standards of care. Third-party payers may not reimburse sales of our products, which would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George D. Yancopoulos, M.D., Ph.D., our Executive Vice President, Chief Scientific Officer and President, Regeneron Research Laboratories, Murray A. Goldberg, our Senior Vice President, Finance &amp; Administration, Chief Financial Officer, Treasurer, and Assistant Secretary, Neil Stahl, Ph.D., our Senior Vice President, Preclinical Development and Biomolecular Science, and Randall G. Rupp, Ph.D., our Senior Vice President, Manufacturing Operations.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our product candidates;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2005, our eight largest shareholders, which include sanofi-aventis and Novartis, beneficially owned 60.1%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September 30, 2005. As of that date, Novartis owned 7,527,050 shares of Common Stock, representing approximately 14.0% of the shares of Common Stock then outstanding. These shares owned by Novartis are eligible to be sold pursuant to Rule 144(k) under the Securities Act of 1933, as amended, without registration, without regard to the volume, manner-of-sale, or other limitations set forth in Rule 144 under such Act, and without any contractual restrictions on sale. As of September 30, 2005, sanofi-aventis owned 2,799,552 shares of Common Stock, representing approximately 5.2% of the shares of Common Stock then outstanding. Under our stock purchase agreement with sanofi-aventis, through September 5, 2006 sanofi-aventis may sell no more than 250,000 of these shares in any calendar quarter. After September 5, 2006, sanofi-aventis may sell no more than 500,000 shares in any calendar quarter. If Novartis or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and Novartis, also might make it more difficult for us to raise funds by selling equity or equity-related securities in the future at a time and price that we deem appropriate.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2005, holders of Class A Stock held 4.2% of all shares of Common Stock and Class A Stock then outstanding, and had 30.4%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September 30, 2005:</w:t>
      </w:r>
    </w:p>
    <w:p>
      <w:pPr>
        <w:spacing w:after="0" w:line="81" w:lineRule="exact"/>
        <w:rPr>
          <w:sz w:val="20"/>
          <w:szCs w:val="20"/>
          <w:color w:val="auto"/>
        </w:rPr>
      </w:pPr>
    </w:p>
    <w:p>
      <w:pPr>
        <w:ind w:left="660" w:hanging="314"/>
        <w:spacing w:after="0" w:line="259"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current officers and directors beneficially owned 13.8% of our outstanding shares of Common Stock, assuming conversion of their Class A Stock into Common Stock and the exercise of all options held by such persons which are exercisable within 60 days of September 30, 2005, and 34.6% of the combined voting power of our outstanding shares of Common Stock and Class A Stock, assuming the exercise of all options held by such persons which are exercisable within 60 days of September 30, 2005; and</w:t>
      </w:r>
    </w:p>
    <w:p>
      <w:pPr>
        <w:spacing w:after="0" w:line="92" w:lineRule="exact"/>
        <w:rPr>
          <w:rFonts w:ascii="Arial" w:cs="Arial" w:eastAsia="Arial" w:hAnsi="Arial"/>
          <w:sz w:val="18"/>
          <w:szCs w:val="18"/>
          <w:b w:val="1"/>
          <w:bCs w:val="1"/>
          <w:color w:val="auto"/>
        </w:rPr>
      </w:pPr>
    </w:p>
    <w:p>
      <w:pPr>
        <w:jc w:val="both"/>
        <w:ind w:left="660" w:right="140" w:hanging="314"/>
        <w:spacing w:after="0" w:line="288"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our eight largest shareholders beneficially owned 60.1%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September 30, 2005. In addition, these eight shareholders held</w:t>
      </w:r>
    </w:p>
    <w:p>
      <w:pPr>
        <w:ind w:left="660" w:right="24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62.9% of the combined voting power of our outstanding shares of Common Stock and Class A Stock, assuming the exercise of all options held by our Chief Executive Officer and our Chairman which are exercisable within 60 days of September 30, 2005.</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rights agreement, and of New York corporate law, could deter, delay, or prevent an acquisition or other “change in control” of us and could adversely affect the price of our common stock.</w:t>
      </w:r>
    </w:p>
    <w:p>
      <w:pPr>
        <w:spacing w:after="0" w:line="62"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660" w:right="20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60" w:hanging="314"/>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80" w:hanging="314"/>
        <w:spacing w:after="0" w:line="308" w:lineRule="auto"/>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100" w:hanging="314"/>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hanging="314"/>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3"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an approximately $0.8 million and $1.8 million change in the fair market value of our investment portfolio at September 30, 2005 and 2004,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communicated to our management, including our Chief Executive Officer and Chief Financial Officer, as appropriate to allow timely decisions regarding required disclosure.</w:t>
      </w:r>
    </w:p>
    <w:p>
      <w:pPr>
        <w:spacing w:after="0" w:line="62"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2005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purports to be brought on behalf of a class consisting of investors in the Company’s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w:t>
      </w:r>
    </w:p>
    <w:p>
      <w:pPr>
        <w:spacing w:after="0" w:line="6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August 2, 2005, the plaintiffs and the Company entered into a Stipulation and Agreement of Settlement settling all claims against the Company in this lawsuit. The settlement requires no payment by the Company or any of the individual defendants named in the lawsuit. The Company’s primary insurance carrier agreed to make the required payment under the settlement, which is in an immaterial amount to the Company. The settlement includes no admission of wrongdoing by the Company or any of the individual defendants. The settlement must be finally approved by the United States District Court for the Southern District of New York following notice and hearing.</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Separately, the plaintiffs and the individual defendants named in the lawsuit entered into a Stipulation of Voluntary Dismissal, dismissing all claims against the individuals. This voluntary dismissal shall automatically become a dismissal with prejudice, without costs, upon the court entering an order and final judgment approving the settlement.</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cannot assure investors that the settlement of the lawsuit will be approved by the court following notice and hearing. If the settlement is not approved by the court, the lawsuit would continue.</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From time to time, we are a party to other legal proceedings in the course of our business. We do not expect any such other current legal proceedings to have a material adverse effect on our business or financial condition.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Statement re: computation of ratio of earnings to combined fixed charges.</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of CEO pursuant to Rule 13a-14(a) under the Securities and Exchange Act of 1934.</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Certification of CFO pursuant to Rule 13a-14(a) under the Securities and Exchange Act of 1934.</w:t>
      </w:r>
    </w:p>
    <w:p>
      <w:pPr>
        <w:spacing w:after="0" w:line="225" w:lineRule="exact"/>
        <w:rPr>
          <w:sz w:val="20"/>
          <w:szCs w:val="20"/>
          <w:color w:val="auto"/>
        </w:rPr>
      </w:pPr>
    </w:p>
    <w:p>
      <w:pPr>
        <w:ind w:left="5620" w:right="4099" w:hanging="5612"/>
        <w:spacing w:after="0" w:line="589" w:lineRule="auto"/>
        <w:tabs>
          <w:tab w:leader="none" w:pos="10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 Certification of CEO and CFO pursuant to 18 U.S.C. Section 1350.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4, 2005</w:t>
      </w:r>
      <w:r>
        <w:rPr>
          <w:sz w:val="20"/>
          <w:szCs w:val="20"/>
          <w:color w:val="auto"/>
        </w:rPr>
        <w:tab/>
      </w: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Assistant Secretary</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80"/>
          </w:cols>
          <w:pgMar w:left="240" w:top="419" w:right="3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4"/>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5"/>
            <w:vMerge w:val="restart"/>
          </w:tcPr>
          <w:p>
            <w:pPr>
              <w:ind w:left="120"/>
              <w:spacing w:after="0"/>
              <w:rPr>
                <w:sz w:val="20"/>
                <w:szCs w:val="20"/>
                <w:color w:val="auto"/>
              </w:rPr>
            </w:pPr>
            <w:r>
              <w:rPr>
                <w:rFonts w:ascii="Arial" w:cs="Arial" w:eastAsia="Arial" w:hAnsi="Arial"/>
                <w:sz w:val="14"/>
                <w:szCs w:val="14"/>
                <w:color w:val="auto"/>
                <w:w w:val="93"/>
              </w:rPr>
              <w:t>Years ended December 31,</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ind w:right="253"/>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312"/>
              <w:spacing w:after="0" w:line="142"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2001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ind w:right="392"/>
              <w:spacing w:after="0" w:line="142" w:lineRule="exact"/>
              <w:rPr>
                <w:sz w:val="20"/>
                <w:szCs w:val="20"/>
                <w:color w:val="auto"/>
              </w:rPr>
            </w:pPr>
            <w:r>
              <w:rPr>
                <w:rFonts w:ascii="Arial" w:cs="Arial" w:eastAsia="Arial" w:hAnsi="Arial"/>
                <w:sz w:val="14"/>
                <w:szCs w:val="14"/>
                <w:color w:val="auto"/>
              </w:rPr>
              <w:t>2002</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ind w:right="412"/>
              <w:spacing w:after="0" w:line="142" w:lineRule="exact"/>
              <w:rPr>
                <w:sz w:val="20"/>
                <w:szCs w:val="20"/>
                <w:color w:val="auto"/>
              </w:rPr>
            </w:pPr>
            <w:r>
              <w:rPr>
                <w:rFonts w:ascii="Arial" w:cs="Arial" w:eastAsia="Arial" w:hAnsi="Arial"/>
                <w:sz w:val="14"/>
                <w:szCs w:val="14"/>
                <w:color w:val="auto"/>
              </w:rPr>
              <w:t>2003</w:t>
            </w:r>
          </w:p>
        </w:tc>
        <w:tc>
          <w:tcPr>
            <w:tcW w:w="1000" w:type="dxa"/>
            <w:vAlign w:val="bottom"/>
            <w:gridSpan w:val="2"/>
          </w:tcPr>
          <w:p>
            <w:pPr>
              <w:jc w:val="right"/>
              <w:ind w:right="190"/>
              <w:spacing w:after="0" w:line="142"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253"/>
              <w:spacing w:after="0" w:line="142" w:lineRule="exact"/>
              <w:rPr>
                <w:sz w:val="20"/>
                <w:szCs w:val="20"/>
                <w:color w:val="auto"/>
              </w:rPr>
            </w:pPr>
            <w:r>
              <w:rPr>
                <w:rFonts w:ascii="Arial" w:cs="Arial" w:eastAsia="Arial" w:hAnsi="Arial"/>
                <w:sz w:val="14"/>
                <w:szCs w:val="14"/>
                <w:color w:val="auto"/>
                <w:w w:val="89"/>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400"/>
              <w:spacing w:after="0" w:line="201" w:lineRule="exact"/>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600"/>
              <w:spacing w:after="0"/>
              <w:rPr>
                <w:sz w:val="20"/>
                <w:szCs w:val="20"/>
                <w:color w:val="auto"/>
              </w:rPr>
            </w:pPr>
            <w:r>
              <w:rPr>
                <w:rFonts w:ascii="Arial" w:cs="Arial" w:eastAsia="Arial" w:hAnsi="Arial"/>
                <w:sz w:val="18"/>
                <w:szCs w:val="18"/>
                <w:color w:val="auto"/>
              </w:rPr>
              <w:t>before income (loss) from equity</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600"/>
              <w:spacing w:after="0"/>
              <w:rPr>
                <w:sz w:val="20"/>
                <w:szCs w:val="20"/>
                <w:color w:val="auto"/>
              </w:rPr>
            </w:pPr>
            <w:r>
              <w:rPr>
                <w:rFonts w:ascii="Arial" w:cs="Arial" w:eastAsia="Arial" w:hAnsi="Arial"/>
                <w:sz w:val="18"/>
                <w:szCs w:val="18"/>
                <w:color w:val="auto"/>
              </w:rPr>
              <w:t>investee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w w:val="88"/>
              </w:rPr>
              <w:t>17,077)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85"/>
              </w:rPr>
              <w:t>75,178)</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87"/>
              </w:rPr>
              <w:t>124,350)</w:t>
            </w: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w w:val="90"/>
              </w:rPr>
              <w:t>107,395)</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$41,565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w w:val="88"/>
              </w:rPr>
              <w:t>65,781)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Fixed charges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13,685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14,108</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14,060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7"/>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00"/>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capitalized</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(276)</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8"/>
              </w:rPr>
              <w:t>15,768)</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5"/>
              </w:rPr>
              <w:t>71,290)</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7"/>
              </w:rPr>
              <w:t>110,887)</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93,530)</w:t>
            </w:r>
          </w:p>
        </w:tc>
        <w:tc>
          <w:tcPr>
            <w:tcW w:w="1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$55,703</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88"/>
              </w:rPr>
              <w:t>55,463)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281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2,657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11,859</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11,932</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$12,175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3"/>
              <w:spacing w:after="0"/>
              <w:rPr>
                <w:sz w:val="20"/>
                <w:szCs w:val="20"/>
                <w:color w:val="auto"/>
              </w:rPr>
            </w:pPr>
            <w:r>
              <w:rPr>
                <w:rFonts w:ascii="Arial" w:cs="Arial" w:eastAsia="Arial" w:hAnsi="Arial"/>
                <w:sz w:val="18"/>
                <w:szCs w:val="18"/>
                <w:color w:val="auto"/>
              </w:rPr>
              <w:t>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capitalized</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400"/>
              <w:spacing w:after="0" w:line="201" w:lineRule="exact"/>
              <w:rPr>
                <w:sz w:val="20"/>
                <w:szCs w:val="20"/>
                <w:color w:val="auto"/>
              </w:rPr>
            </w:pPr>
            <w:r>
              <w:rPr>
                <w:rFonts w:ascii="Arial" w:cs="Arial" w:eastAsia="Arial" w:hAnsi="Arial"/>
                <w:sz w:val="18"/>
                <w:szCs w:val="18"/>
                <w:color w:val="auto"/>
              </w:rPr>
              <w:t>Assumed interest component of rental</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ind w:left="600"/>
              <w:spacing w:after="0"/>
              <w:rPr>
                <w:sz w:val="20"/>
                <w:szCs w:val="20"/>
                <w:color w:val="auto"/>
              </w:rPr>
            </w:pPr>
            <w:r>
              <w:rPr>
                <w:rFonts w:ascii="Arial" w:cs="Arial" w:eastAsia="Arial" w:hAnsi="Arial"/>
                <w:sz w:val="18"/>
                <w:szCs w:val="18"/>
                <w:color w:val="auto"/>
              </w:rPr>
              <w:t>charges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1,028</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1,231</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1,604</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1,900</w:t>
            </w:r>
          </w:p>
        </w:tc>
        <w:tc>
          <w:tcPr>
            <w:tcW w:w="10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1,885</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1,309</w:t>
            </w: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3,888</w:t>
            </w:r>
          </w:p>
        </w:tc>
        <w:tc>
          <w:tcPr>
            <w:tcW w:w="6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13,685</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14,108</w:t>
            </w:r>
          </w:p>
        </w:tc>
        <w:tc>
          <w:tcPr>
            <w:tcW w:w="10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$14,060</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87"/>
              </w:rPr>
              <w:t>10,260</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(A)</w:t>
            </w:r>
          </w:p>
        </w:tc>
        <w:tc>
          <w:tcPr>
            <w:tcW w:w="360" w:type="dxa"/>
            <w:vAlign w:val="bottom"/>
          </w:tcPr>
          <w:p>
            <w:pPr>
              <w:spacing w:after="0"/>
              <w:rPr>
                <w:sz w:val="24"/>
                <w:szCs w:val="24"/>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2000, 2001, 2002, and 2003, and for the nine months ended September 30, 2005, the ratio coverage was less than 1:1. To achieve a coverage ration of 1:1, the registrant must generate additional earnings of the amounts shown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Nine months</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4"/>
                <w:szCs w:val="14"/>
                <w:color w:val="auto"/>
              </w:rPr>
              <w:t>Years ended December 31,</w:t>
            </w: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200" w:type="dxa"/>
            <w:vAlign w:val="bottom"/>
          </w:tcPr>
          <w:p>
            <w:pPr>
              <w:jc w:val="right"/>
              <w:ind w:right="379"/>
              <w:spacing w:after="0" w:line="142" w:lineRule="exact"/>
              <w:rPr>
                <w:sz w:val="20"/>
                <w:szCs w:val="20"/>
                <w:color w:val="auto"/>
              </w:rPr>
            </w:pPr>
            <w:r>
              <w:rPr>
                <w:rFonts w:ascii="Arial" w:cs="Arial" w:eastAsia="Arial" w:hAnsi="Arial"/>
                <w:sz w:val="14"/>
                <w:szCs w:val="14"/>
                <w:color w:val="auto"/>
              </w:rPr>
              <w:t>2000</w:t>
            </w:r>
          </w:p>
        </w:tc>
        <w:tc>
          <w:tcPr>
            <w:tcW w:w="1440" w:type="dxa"/>
            <w:vAlign w:val="bottom"/>
            <w:gridSpan w:val="2"/>
          </w:tcPr>
          <w:p>
            <w:pPr>
              <w:jc w:val="right"/>
              <w:ind w:right="370"/>
              <w:spacing w:after="0" w:line="142" w:lineRule="exact"/>
              <w:rPr>
                <w:sz w:val="20"/>
                <w:szCs w:val="20"/>
                <w:color w:val="auto"/>
              </w:rPr>
            </w:pPr>
            <w:r>
              <w:rPr>
                <w:rFonts w:ascii="Arial" w:cs="Arial" w:eastAsia="Arial" w:hAnsi="Arial"/>
                <w:sz w:val="14"/>
                <w:szCs w:val="14"/>
                <w:color w:val="auto"/>
              </w:rPr>
              <w:t>2001</w:t>
            </w:r>
          </w:p>
        </w:tc>
        <w:tc>
          <w:tcPr>
            <w:tcW w:w="1560" w:type="dxa"/>
            <w:vAlign w:val="bottom"/>
            <w:gridSpan w:val="2"/>
          </w:tcPr>
          <w:p>
            <w:pPr>
              <w:jc w:val="right"/>
              <w:ind w:right="410"/>
              <w:spacing w:after="0" w:line="142" w:lineRule="exact"/>
              <w:rPr>
                <w:sz w:val="20"/>
                <w:szCs w:val="20"/>
                <w:color w:val="auto"/>
              </w:rPr>
            </w:pPr>
            <w:r>
              <w:rPr>
                <w:rFonts w:ascii="Arial" w:cs="Arial" w:eastAsia="Arial" w:hAnsi="Arial"/>
                <w:sz w:val="14"/>
                <w:szCs w:val="14"/>
                <w:color w:val="auto"/>
              </w:rPr>
              <w:t>2002</w:t>
            </w:r>
          </w:p>
        </w:tc>
        <w:tc>
          <w:tcPr>
            <w:tcW w:w="260" w:type="dxa"/>
            <w:vAlign w:val="bottom"/>
          </w:tcPr>
          <w:p>
            <w:pPr>
              <w:spacing w:after="0"/>
              <w:rPr>
                <w:sz w:val="12"/>
                <w:szCs w:val="12"/>
                <w:color w:val="auto"/>
              </w:rPr>
            </w:pPr>
          </w:p>
        </w:tc>
        <w:tc>
          <w:tcPr>
            <w:tcW w:w="1280" w:type="dxa"/>
            <w:vAlign w:val="bottom"/>
          </w:tcPr>
          <w:p>
            <w:pPr>
              <w:jc w:val="right"/>
              <w:ind w:right="419"/>
              <w:spacing w:after="0" w:line="142" w:lineRule="exact"/>
              <w:rPr>
                <w:sz w:val="20"/>
                <w:szCs w:val="20"/>
                <w:color w:val="auto"/>
              </w:rPr>
            </w:pPr>
            <w:r>
              <w:rPr>
                <w:rFonts w:ascii="Arial" w:cs="Arial" w:eastAsia="Arial" w:hAnsi="Arial"/>
                <w:sz w:val="14"/>
                <w:szCs w:val="14"/>
                <w:color w:val="auto"/>
              </w:rPr>
              <w:t>2003</w:t>
            </w:r>
          </w:p>
        </w:tc>
        <w:tc>
          <w:tcPr>
            <w:tcW w:w="1160" w:type="dxa"/>
            <w:vAlign w:val="bottom"/>
            <w:gridSpan w:val="2"/>
          </w:tcPr>
          <w:p>
            <w:pPr>
              <w:jc w:val="right"/>
              <w:ind w:right="210"/>
              <w:spacing w:after="0" w:line="142" w:lineRule="exact"/>
              <w:rPr>
                <w:sz w:val="20"/>
                <w:szCs w:val="20"/>
                <w:color w:val="auto"/>
              </w:rPr>
            </w:pPr>
            <w:r>
              <w:rPr>
                <w:rFonts w:ascii="Arial" w:cs="Arial" w:eastAsia="Arial" w:hAnsi="Arial"/>
                <w:sz w:val="14"/>
                <w:szCs w:val="14"/>
                <w:color w:val="auto"/>
              </w:rPr>
              <w:t>2004</w:t>
            </w:r>
          </w:p>
        </w:tc>
        <w:tc>
          <w:tcPr>
            <w:tcW w:w="1560" w:type="dxa"/>
            <w:vAlign w:val="bottom"/>
            <w:gridSpan w:val="2"/>
          </w:tcPr>
          <w:p>
            <w:pPr>
              <w:jc w:val="center"/>
              <w:ind w:left="188"/>
              <w:spacing w:after="0" w:line="142" w:lineRule="exact"/>
              <w:rPr>
                <w:sz w:val="20"/>
                <w:szCs w:val="20"/>
                <w:color w:val="auto"/>
              </w:rPr>
            </w:pPr>
            <w:r>
              <w:rPr>
                <w:rFonts w:ascii="Arial" w:cs="Arial" w:eastAsia="Arial" w:hAnsi="Arial"/>
                <w:sz w:val="14"/>
                <w:szCs w:val="14"/>
                <w:color w:val="auto"/>
                <w:w w:val="96"/>
              </w:rPr>
              <w:t>2005</w:t>
            </w:r>
          </w:p>
        </w:tc>
        <w:tc>
          <w:tcPr>
            <w:tcW w:w="0" w:type="dxa"/>
            <w:vAlign w:val="bottom"/>
          </w:tcPr>
          <w:p>
            <w:pPr>
              <w:spacing w:after="0"/>
              <w:rPr>
                <w:sz w:val="1"/>
                <w:szCs w:val="1"/>
                <w:color w:val="auto"/>
              </w:rPr>
            </w:pPr>
          </w:p>
        </w:tc>
      </w:tr>
      <w:tr>
        <w:trPr>
          <w:trHeight w:val="224"/>
        </w:trPr>
        <w:tc>
          <w:tcPr>
            <w:tcW w:w="2960" w:type="dxa"/>
            <w:vAlign w:val="bottom"/>
            <w:vMerge w:val="continue"/>
          </w:tcPr>
          <w:p>
            <w:pPr>
              <w:spacing w:after="0"/>
              <w:rPr>
                <w:sz w:val="19"/>
                <w:szCs w:val="19"/>
                <w:color w:val="auto"/>
              </w:rPr>
            </w:pPr>
          </w:p>
        </w:tc>
        <w:tc>
          <w:tcPr>
            <w:tcW w:w="120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$17,077</w:t>
            </w:r>
          </w:p>
        </w:tc>
        <w:tc>
          <w:tcPr>
            <w:tcW w:w="260" w:type="dxa"/>
            <w:vAlign w:val="bottom"/>
          </w:tcPr>
          <w:p>
            <w:pPr>
              <w:spacing w:after="0"/>
              <w:rPr>
                <w:sz w:val="19"/>
                <w:szCs w:val="19"/>
                <w:color w:val="auto"/>
              </w:rPr>
            </w:pPr>
          </w:p>
        </w:tc>
        <w:tc>
          <w:tcPr>
            <w:tcW w:w="11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$75,178</w:t>
            </w:r>
          </w:p>
        </w:tc>
        <w:tc>
          <w:tcPr>
            <w:tcW w:w="260" w:type="dxa"/>
            <w:vAlign w:val="bottom"/>
          </w:tcPr>
          <w:p>
            <w:pPr>
              <w:spacing w:after="0"/>
              <w:rPr>
                <w:sz w:val="19"/>
                <w:szCs w:val="19"/>
                <w:color w:val="auto"/>
              </w:rPr>
            </w:pP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$124,572</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$107,638</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$65,723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160" w:hanging="317"/>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1000" w:right="140" w:hanging="317"/>
        <w:spacing w:after="0" w:line="264"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40" w:hanging="317"/>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hanging="317"/>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2005</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360"/>
          </w:cols>
          <w:pgMar w:left="240" w:top="1044"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160" w:hanging="317"/>
        <w:spacing w:after="0" w:line="264"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65" w:name="page66"/>
    <w:bookmarkEnd w:id="65"/>
    <w:p>
      <w:pPr>
        <w:ind w:left="1000" w:right="140" w:hanging="317"/>
        <w:spacing w:after="0" w:line="264"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40" w:hanging="317"/>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hanging="317"/>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2005</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Senior Vice President, Finance &amp; Administration,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Officer, Treasurer, and Assistant Secretary</w:t>
            </w:r>
          </w:p>
        </w:tc>
      </w:tr>
    </w:tbl>
    <w:p>
      <w:pPr>
        <w:sectPr>
          <w:pgSz w:w="11900" w:h="16838" w:orient="portrait"/>
          <w:cols w:equalWidth="0" w:num="1">
            <w:col w:w="11360"/>
          </w:cols>
          <w:pgMar w:left="240" w:top="1044" w:right="2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September 30, 2005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2005</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32"/>
    </w:lvl>
  </w:abstractNum>
  <w:abstractNum w:abstractNumId="16">
    <w:nsid w:val="436C6125"/>
    <w:multiLevelType w:val="hybridMultilevel"/>
    <w:lvl w:ilvl="0">
      <w:lvlJc w:val="left"/>
      <w:lvlText w:val="(%1)"/>
      <w:numFmt w:val="upp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4"/>
    </w:lvl>
  </w:abstractNum>
  <w:abstractNum w:abstractNumId="19">
    <w:nsid w:val="721DA317"/>
    <w:multiLevelType w:val="hybridMultilevel"/>
    <w:lvl w:ilvl="0">
      <w:lvlJc w:val="left"/>
      <w:lvlText w:val="%1."/>
      <w:numFmt w:val="decimal"/>
      <w:start w:val="5"/>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4"/>
    </w:lvl>
  </w:abstractNum>
  <w:abstractNum w:abstractNumId="22">
    <w:nsid w:val="6763845E"/>
    <w:multiLevelType w:val="hybridMultilevel"/>
    <w:lvl w:ilvl="0">
      <w:lvlJc w:val="left"/>
      <w:lvlText w:val="%1."/>
      <w:numFmt w:val="decimal"/>
      <w:start w:val="5"/>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2019-12-11T22:25:25Z</dcterms:created>
  <dcterms:modified xsi:type="dcterms:W3CDTF">2019-12-11T22:25:25Z</dcterms:modified>
</cp:coreProperties>
</file>