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9064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064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Van Plew Daniel P</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Borders>
              <w:bottom w:val="single" w:sz="8" w:color="0000EE"/>
            </w:tcBorders>
            <w:gridSpan w:val="3"/>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3"/>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3"/>
            <w:vMerge w:val="restart"/>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8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8"/>
                <w:szCs w:val="18"/>
                <w:color w:val="0000FF"/>
              </w:rPr>
              <w:t>SVP &amp; General Mgr Industrial O</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vMerge w:val="restart"/>
          </w:tcPr>
          <w:p>
            <w:pPr>
              <w:ind w:left="240"/>
              <w:spacing w:after="0"/>
              <w:rPr>
                <w:sz w:val="20"/>
                <w:szCs w:val="20"/>
                <w:color w:val="auto"/>
              </w:rPr>
            </w:pPr>
            <w:r>
              <w:rPr>
                <w:rFonts w:ascii="Arial" w:cs="Arial" w:eastAsia="Arial" w:hAnsi="Arial"/>
                <w:sz w:val="18"/>
                <w:szCs w:val="18"/>
                <w:color w:val="0000FF"/>
              </w:rPr>
              <w:t>11/06/2015</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8"/>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vMerge w:val="restart"/>
          </w:tcPr>
          <w:p>
            <w:pPr>
              <w:spacing w:after="0"/>
              <w:rPr>
                <w:sz w:val="7"/>
                <w:szCs w:val="7"/>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1"/>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gridSpan w:val="8"/>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4"/>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center"/>
              <w:ind w:left="4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jc w:val="right"/>
              <w:ind w:right="146"/>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gridSpan w:val="5"/>
          </w:tcPr>
          <w:p>
            <w:pPr>
              <w:jc w:val="center"/>
              <w:ind w:left="523"/>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11/06/2015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2"/>
              <w:spacing w:after="0"/>
              <w:rPr>
                <w:sz w:val="20"/>
                <w:szCs w:val="20"/>
                <w:color w:val="auto"/>
              </w:rPr>
            </w:pPr>
            <w:r>
              <w:rPr>
                <w:rFonts w:ascii="Arial" w:cs="Arial" w:eastAsia="Arial" w:hAnsi="Arial"/>
                <w:sz w:val="18"/>
                <w:szCs w:val="18"/>
                <w:color w:val="0000FF"/>
                <w:w w:val="88"/>
              </w:rPr>
              <w:t>5,700</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9"/>
              </w:rPr>
              <w:t>A</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30.63</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5,700</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11/06/2015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center"/>
              <w:ind w:left="22"/>
              <w:spacing w:after="0"/>
              <w:rPr>
                <w:sz w:val="20"/>
                <w:szCs w:val="20"/>
                <w:color w:val="auto"/>
              </w:rPr>
            </w:pPr>
            <w:r>
              <w:rPr>
                <w:rFonts w:ascii="Arial" w:cs="Arial" w:eastAsia="Arial" w:hAnsi="Arial"/>
                <w:sz w:val="18"/>
                <w:szCs w:val="18"/>
                <w:color w:val="0000FF"/>
                <w:w w:val="86"/>
              </w:rPr>
              <w:t>311</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559.49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5,389</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11/06/2015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center"/>
              <w:ind w:left="42"/>
              <w:spacing w:after="0"/>
              <w:rPr>
                <w:sz w:val="20"/>
                <w:szCs w:val="20"/>
                <w:color w:val="auto"/>
              </w:rPr>
            </w:pPr>
            <w:r>
              <w:rPr>
                <w:rFonts w:ascii="Arial" w:cs="Arial" w:eastAsia="Arial" w:hAnsi="Arial"/>
                <w:sz w:val="18"/>
                <w:szCs w:val="18"/>
                <w:color w:val="0000FF"/>
                <w:w w:val="88"/>
              </w:rPr>
              <w:t>2,778</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559.49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2,611</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11/06/2015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2"/>
              <w:spacing w:after="0"/>
              <w:rPr>
                <w:sz w:val="20"/>
                <w:szCs w:val="20"/>
                <w:color w:val="auto"/>
              </w:rPr>
            </w:pPr>
            <w:r>
              <w:rPr>
                <w:rFonts w:ascii="Arial" w:cs="Arial" w:eastAsia="Arial" w:hAnsi="Arial"/>
                <w:sz w:val="18"/>
                <w:szCs w:val="18"/>
                <w:color w:val="0000FF"/>
                <w:w w:val="88"/>
              </w:rPr>
              <w:t>5,486</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9"/>
              </w:rPr>
              <w:t>A</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30.63</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8,097</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11/06/2015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center"/>
              <w:ind w:left="22"/>
              <w:spacing w:after="0"/>
              <w:rPr>
                <w:sz w:val="20"/>
                <w:szCs w:val="20"/>
                <w:color w:val="auto"/>
              </w:rPr>
            </w:pPr>
            <w:r>
              <w:rPr>
                <w:rFonts w:ascii="Arial" w:cs="Arial" w:eastAsia="Arial" w:hAnsi="Arial"/>
                <w:sz w:val="18"/>
                <w:szCs w:val="18"/>
                <w:color w:val="0000FF"/>
                <w:w w:val="86"/>
              </w:rPr>
              <w:t>300</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559.49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7,797</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11/06/2015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center"/>
              <w:ind w:left="42"/>
              <w:spacing w:after="0"/>
              <w:rPr>
                <w:sz w:val="20"/>
                <w:szCs w:val="20"/>
                <w:color w:val="auto"/>
              </w:rPr>
            </w:pPr>
            <w:r>
              <w:rPr>
                <w:rFonts w:ascii="Arial" w:cs="Arial" w:eastAsia="Arial" w:hAnsi="Arial"/>
                <w:sz w:val="18"/>
                <w:szCs w:val="18"/>
                <w:color w:val="0000FF"/>
                <w:w w:val="88"/>
              </w:rPr>
              <w:t>2,674</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559.49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5,123</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8"/>
                <w:szCs w:val="18"/>
                <w:color w:val="0000FF"/>
                <w:w w:val="86"/>
              </w:rPr>
              <w:t>11/10/2015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22"/>
              <w:spacing w:after="0"/>
              <w:rPr>
                <w:sz w:val="20"/>
                <w:szCs w:val="20"/>
                <w:color w:val="auto"/>
              </w:rPr>
            </w:pPr>
            <w:r>
              <w:rPr>
                <w:rFonts w:ascii="Arial" w:cs="Arial" w:eastAsia="Arial" w:hAnsi="Arial"/>
                <w:sz w:val="18"/>
                <w:szCs w:val="18"/>
                <w:color w:val="0000FF"/>
                <w:w w:val="86"/>
              </w:rPr>
              <w:t>850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551.45</w:t>
            </w:r>
            <w:r>
              <w:rPr>
                <w:rFonts w:ascii="Arial" w:cs="Arial" w:eastAsia="Arial" w:hAnsi="Arial"/>
                <w:sz w:val="22"/>
                <w:szCs w:val="22"/>
                <w:color w:val="008000"/>
                <w:w w:val="84"/>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38"/>
              <w:spacing w:after="0"/>
              <w:rPr>
                <w:sz w:val="20"/>
                <w:szCs w:val="20"/>
                <w:color w:val="auto"/>
              </w:rPr>
            </w:pPr>
            <w:r>
              <w:rPr>
                <w:rFonts w:ascii="Arial" w:cs="Arial" w:eastAsia="Arial" w:hAnsi="Arial"/>
                <w:sz w:val="18"/>
                <w:szCs w:val="18"/>
                <w:color w:val="0000FF"/>
                <w:w w:val="88"/>
              </w:rPr>
              <w:t>4,273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11/10/2015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ind w:left="22"/>
              <w:spacing w:after="0"/>
              <w:rPr>
                <w:sz w:val="20"/>
                <w:szCs w:val="20"/>
                <w:color w:val="auto"/>
              </w:rPr>
            </w:pPr>
            <w:r>
              <w:rPr>
                <w:rFonts w:ascii="Arial" w:cs="Arial" w:eastAsia="Arial" w:hAnsi="Arial"/>
                <w:sz w:val="18"/>
                <w:szCs w:val="18"/>
                <w:color w:val="0000FF"/>
                <w:w w:val="89"/>
              </w:rPr>
              <w:t>50</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552.5</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4,223</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8"/>
                <w:szCs w:val="18"/>
                <w:color w:val="0000FF"/>
                <w:w w:val="86"/>
              </w:rPr>
              <w:t>11/10/2015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42"/>
              <w:spacing w:after="0"/>
              <w:rPr>
                <w:sz w:val="20"/>
                <w:szCs w:val="20"/>
                <w:color w:val="auto"/>
              </w:rPr>
            </w:pPr>
            <w:r>
              <w:rPr>
                <w:rFonts w:ascii="Arial" w:cs="Arial" w:eastAsia="Arial" w:hAnsi="Arial"/>
                <w:sz w:val="18"/>
                <w:szCs w:val="18"/>
                <w:color w:val="0000FF"/>
                <w:w w:val="88"/>
              </w:rPr>
              <w:t>2,000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554.39</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38"/>
              <w:spacing w:after="0"/>
              <w:rPr>
                <w:sz w:val="20"/>
                <w:szCs w:val="20"/>
                <w:color w:val="auto"/>
              </w:rPr>
            </w:pPr>
            <w:r>
              <w:rPr>
                <w:rFonts w:ascii="Arial" w:cs="Arial" w:eastAsia="Arial" w:hAnsi="Arial"/>
                <w:sz w:val="18"/>
                <w:szCs w:val="18"/>
                <w:color w:val="0000FF"/>
                <w:w w:val="88"/>
              </w:rPr>
              <w:t>2,223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80" w:type="dxa"/>
            <w:vAlign w:val="bottom"/>
            <w:gridSpan w:val="5"/>
          </w:tcPr>
          <w:p>
            <w:pPr>
              <w:jc w:val="center"/>
              <w:ind w:left="543"/>
              <w:spacing w:after="0"/>
              <w:rPr>
                <w:sz w:val="20"/>
                <w:szCs w:val="20"/>
                <w:color w:val="auto"/>
              </w:rPr>
            </w:pPr>
            <w:r>
              <w:rPr>
                <w:rFonts w:ascii="Arial" w:cs="Arial" w:eastAsia="Arial" w:hAnsi="Arial"/>
                <w:sz w:val="18"/>
                <w:szCs w:val="18"/>
                <w:color w:val="0000FF"/>
                <w:w w:val="86"/>
              </w:rPr>
              <w:t>11/10/2015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ind w:left="42"/>
              <w:spacing w:after="0"/>
              <w:rPr>
                <w:sz w:val="20"/>
                <w:szCs w:val="20"/>
                <w:color w:val="auto"/>
              </w:rPr>
            </w:pPr>
            <w:r>
              <w:rPr>
                <w:rFonts w:ascii="Arial" w:cs="Arial" w:eastAsia="Arial" w:hAnsi="Arial"/>
                <w:sz w:val="18"/>
                <w:szCs w:val="18"/>
                <w:color w:val="0000FF"/>
                <w:w w:val="88"/>
              </w:rPr>
              <w:t>1,000</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1"/>
              </w:rPr>
              <w:t>D</w:t>
            </w:r>
          </w:p>
        </w:tc>
        <w:tc>
          <w:tcPr>
            <w:tcW w:w="580" w:type="dxa"/>
            <w:vAlign w:val="bottom"/>
            <w:gridSpan w:val="2"/>
          </w:tcPr>
          <w:p>
            <w:pPr>
              <w:jc w:val="center"/>
              <w:ind w:left="6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556</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1,223</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8"/>
                <w:szCs w:val="18"/>
                <w:color w:val="0000FF"/>
                <w:w w:val="86"/>
              </w:rPr>
              <w:t>11/10/2015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42"/>
              <w:spacing w:after="0"/>
              <w:rPr>
                <w:sz w:val="20"/>
                <w:szCs w:val="20"/>
                <w:color w:val="auto"/>
              </w:rPr>
            </w:pPr>
            <w:r>
              <w:rPr>
                <w:rFonts w:ascii="Arial" w:cs="Arial" w:eastAsia="Arial" w:hAnsi="Arial"/>
                <w:sz w:val="18"/>
                <w:szCs w:val="18"/>
                <w:color w:val="0000FF"/>
                <w:w w:val="88"/>
              </w:rPr>
              <w:t>1,223</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557.14</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38"/>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vMerge w:val="restart"/>
          </w:tcPr>
          <w:p>
            <w:pPr>
              <w:jc w:val="center"/>
              <w:ind w:right="338"/>
              <w:spacing w:after="0"/>
              <w:rPr>
                <w:sz w:val="20"/>
                <w:szCs w:val="20"/>
                <w:color w:val="auto"/>
              </w:rPr>
            </w:pPr>
            <w:r>
              <w:rPr>
                <w:rFonts w:ascii="Arial" w:cs="Arial" w:eastAsia="Arial" w:hAnsi="Arial"/>
                <w:sz w:val="18"/>
                <w:szCs w:val="18"/>
                <w:color w:val="0000FF"/>
                <w:w w:val="87"/>
              </w:rPr>
              <w:t>18,705</w:t>
            </w:r>
          </w:p>
        </w:tc>
        <w:tc>
          <w:tcPr>
            <w:tcW w:w="280" w:type="dxa"/>
            <w:vAlign w:val="bottom"/>
          </w:tcPr>
          <w:p>
            <w:pPr>
              <w:spacing w:after="0"/>
              <w:rPr>
                <w:sz w:val="22"/>
                <w:szCs w:val="22"/>
                <w:color w:val="auto"/>
              </w:rPr>
            </w:pPr>
          </w:p>
        </w:tc>
        <w:tc>
          <w:tcPr>
            <w:tcW w:w="700" w:type="dxa"/>
            <w:vAlign w:val="bottom"/>
            <w:vMerge w:val="restart"/>
          </w:tcPr>
          <w:p>
            <w:pPr>
              <w:jc w:val="center"/>
              <w:ind w:right="323"/>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center"/>
              <w:ind w:right="338"/>
              <w:spacing w:after="0"/>
              <w:rPr>
                <w:sz w:val="20"/>
                <w:szCs w:val="20"/>
                <w:color w:val="auto"/>
              </w:rPr>
            </w:pPr>
            <w:r>
              <w:rPr>
                <w:rFonts w:ascii="Arial" w:cs="Arial" w:eastAsia="Arial" w:hAnsi="Arial"/>
                <w:sz w:val="18"/>
                <w:szCs w:val="18"/>
                <w:color w:val="0000FF"/>
                <w:w w:val="88"/>
              </w:rPr>
              <w:t>1,426</w:t>
            </w:r>
          </w:p>
        </w:tc>
        <w:tc>
          <w:tcPr>
            <w:tcW w:w="280" w:type="dxa"/>
            <w:vAlign w:val="bottom"/>
          </w:tcPr>
          <w:p>
            <w:pPr>
              <w:spacing w:after="0"/>
              <w:rPr>
                <w:sz w:val="18"/>
                <w:szCs w:val="18"/>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4"/>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9"/>
          </w:tcPr>
          <w:p>
            <w:pPr>
              <w:ind w:left="8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3"/>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Security</w:t>
            </w:r>
          </w:p>
        </w:tc>
        <w:tc>
          <w:tcPr>
            <w:tcW w:w="2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(Instr. 5)</w:t>
            </w:r>
          </w:p>
        </w:tc>
        <w:tc>
          <w:tcPr>
            <w:tcW w:w="2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11/06/2015</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126"/>
              <w:spacing w:after="0"/>
              <w:rPr>
                <w:sz w:val="20"/>
                <w:szCs w:val="20"/>
                <w:color w:val="auto"/>
              </w:rPr>
            </w:pPr>
            <w:r>
              <w:rPr>
                <w:rFonts w:ascii="Arial" w:cs="Arial" w:eastAsia="Arial" w:hAnsi="Arial"/>
                <w:sz w:val="14"/>
                <w:szCs w:val="14"/>
                <w:color w:val="0000FF"/>
              </w:rPr>
              <w:t>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5,700</w:t>
            </w: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12/14/2020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5,700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60" w:type="dxa"/>
            <w:vAlign w:val="bottom"/>
          </w:tcPr>
          <w:p>
            <w:pPr>
              <w:spacing w:after="0"/>
              <w:rPr>
                <w:sz w:val="17"/>
                <w:szCs w:val="17"/>
                <w:color w:val="auto"/>
              </w:rPr>
            </w:pP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47,681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gridSpan w:val="2"/>
          </w:tcPr>
          <w:p>
            <w:pPr>
              <w:jc w:val="center"/>
              <w:ind w:right="60"/>
              <w:spacing w:after="0" w:line="97" w:lineRule="exact"/>
              <w:rPr>
                <w:sz w:val="20"/>
                <w:szCs w:val="20"/>
                <w:color w:val="auto"/>
              </w:rPr>
            </w:pPr>
            <w:r>
              <w:rPr>
                <w:rFonts w:ascii="Arial" w:cs="Arial" w:eastAsia="Arial" w:hAnsi="Arial"/>
                <w:sz w:val="11"/>
                <w:szCs w:val="11"/>
                <w:color w:val="0000FF"/>
              </w:rPr>
              <w:t>Stock</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11/06/2015</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126"/>
              <w:spacing w:after="0"/>
              <w:rPr>
                <w:sz w:val="20"/>
                <w:szCs w:val="20"/>
                <w:color w:val="auto"/>
              </w:rPr>
            </w:pPr>
            <w:r>
              <w:rPr>
                <w:rFonts w:ascii="Arial" w:cs="Arial" w:eastAsia="Arial" w:hAnsi="Arial"/>
                <w:sz w:val="14"/>
                <w:szCs w:val="14"/>
                <w:color w:val="0000FF"/>
              </w:rPr>
              <w:t>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5,486</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12/14/2020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5,486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60" w:type="dxa"/>
            <w:vAlign w:val="bottom"/>
          </w:tcPr>
          <w:p>
            <w:pPr>
              <w:spacing w:after="0"/>
              <w:rPr>
                <w:sz w:val="17"/>
                <w:szCs w:val="17"/>
                <w:color w:val="auto"/>
              </w:rPr>
            </w:pP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42,195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Represents volume-weighted average price of sales of 850 shares of Company stock on November 10, 2015 at prices ranging from $551.01 to $552.00. Upon request by the Commission staff, the Company,</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or a security holder of the Company, the reporting person will provide full information regarding the number of shares sold by the reporting person on November 10, 2015 at each separate price.</w:t>
      </w:r>
    </w:p>
    <w:p>
      <w:pPr>
        <w:spacing w:after="0" w:line="65" w:lineRule="exact"/>
        <w:rPr>
          <w:sz w:val="20"/>
          <w:szCs w:val="20"/>
          <w:color w:val="auto"/>
        </w:rPr>
      </w:pPr>
    </w:p>
    <w:p>
      <w:pPr>
        <w:ind w:right="4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2,000 shares of Company stock on November 10, 2015 at prices ranging from $554.07 to $554.94. Upon request by the Commission staff, the Company, or a security holder of the Company, the reporting person will provide full information regarding the number of shares sold by the reporting person on November 10, 2015 at each separate price.</w:t>
      </w:r>
    </w:p>
    <w:p>
      <w:pPr>
        <w:ind w:right="4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1,223 shares of Company stock on November 10, 2015 at prices ranging from $557.06 to $558.00. Upon request by the Commission staff, the Company, or a security holder of the Company, the reporting person will provide full information regarding the number of shares sold by the reporting person on November 10, 2015 at each separate price.</w:t>
      </w:r>
    </w:p>
    <w:p>
      <w:pPr>
        <w:ind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exercisable with respect to all shares underlying the option on December 31, 2013, based upon the satisfaction by the company of certain performance criteria during the period ended December 31, 2013.</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award (combined incentive stock option and non-qualified stock option) vests in four equal annual installments, commencing one year after the date of grant.</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/s/**Daniel Van Plew</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11/10/2015</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2019-12-24T09:09:31Z</dcterms:created>
  <dcterms:modified xsi:type="dcterms:W3CDTF">2019-12-24T09:09:31Z</dcterms:modified>
</cp:coreProperties>
</file>