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3, 2007 (May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23495</wp:posOffset>
            </wp:positionV>
            <wp:extent cx="5428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48260</wp:posOffset>
            </wp:positionV>
            <wp:extent cx="6165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00" w:type="dxa"/>
            <w:vAlign w:val="bottom"/>
            <w:gridSpan w:val="5"/>
          </w:tcPr>
          <w:p>
            <w:pPr>
              <w:jc w:val="center"/>
              <w:ind w:right="420"/>
              <w:spacing w:after="0"/>
              <w:rPr>
                <w:sz w:val="20"/>
                <w:szCs w:val="20"/>
                <w:color w:val="auto"/>
              </w:rPr>
            </w:pPr>
            <w:r>
              <w:rPr>
                <w:rFonts w:ascii="Arial" w:cs="Arial" w:eastAsia="Arial" w:hAnsi="Arial"/>
                <w:sz w:val="18"/>
                <w:szCs w:val="18"/>
                <w:color w:val="auto"/>
                <w:w w:val="91"/>
              </w:rPr>
              <w:t>(Exact Name of Registrant as Specified in Charter)</w:t>
            </w:r>
          </w:p>
        </w:tc>
        <w:tc>
          <w:tcPr>
            <w:tcW w:w="3140" w:type="dxa"/>
            <w:vAlign w:val="bottom"/>
          </w:tcPr>
          <w:p>
            <w:pPr>
              <w:spacing w:after="0"/>
              <w:rPr>
                <w:sz w:val="20"/>
                <w:szCs w:val="20"/>
                <w:color w:val="auto"/>
              </w:rPr>
            </w:pPr>
          </w:p>
        </w:tc>
      </w:tr>
      <w:tr>
        <w:trPr>
          <w:trHeight w:val="432"/>
        </w:trPr>
        <w:tc>
          <w:tcPr>
            <w:tcW w:w="3240" w:type="dxa"/>
            <w:vAlign w:val="bottom"/>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Pr>
          <w:p>
            <w:pPr>
              <w:jc w:val="right"/>
              <w:ind w:right="131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500"/>
        </w:trPr>
        <w:tc>
          <w:tcPr>
            <w:tcW w:w="3240" w:type="dxa"/>
            <w:vAlign w:val="bottom"/>
          </w:tcPr>
          <w:p>
            <w:pPr>
              <w:spacing w:after="0"/>
              <w:rPr>
                <w:sz w:val="24"/>
                <w:szCs w:val="24"/>
                <w:color w:val="auto"/>
              </w:rPr>
            </w:pPr>
          </w:p>
        </w:tc>
        <w:tc>
          <w:tcPr>
            <w:tcW w:w="50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3140" w:type="dxa"/>
            <w:vAlign w:val="bottom"/>
          </w:tcPr>
          <w:p>
            <w:pPr>
              <w:spacing w:after="0"/>
              <w:rPr>
                <w:sz w:val="24"/>
                <w:szCs w:val="24"/>
                <w:color w:val="auto"/>
              </w:rPr>
            </w:pPr>
          </w:p>
        </w:tc>
      </w:tr>
      <w:tr>
        <w:trPr>
          <w:trHeight w:val="237"/>
        </w:trPr>
        <w:tc>
          <w:tcPr>
            <w:tcW w:w="3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26035</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May 2, 2007, Regeneron Pharmaceuticals, Inc. issued a press release announcing its financial and operating results for the quarter ended March 31, 2007. The press release is being furnished to the Securities and Exchange Commission pursuant to Item 2.02 of Form 8-K and is attached as Exhibit 99.1 to this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May 3, 2007</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959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4180"/>
              <w:spacing w:after="0"/>
              <w:rPr>
                <w:sz w:val="20"/>
                <w:szCs w:val="20"/>
                <w:color w:val="auto"/>
              </w:rPr>
            </w:pPr>
            <w:r>
              <w:rPr>
                <w:rFonts w:ascii="Arial" w:cs="Arial" w:eastAsia="Arial" w:hAnsi="Arial"/>
                <w:sz w:val="18"/>
                <w:szCs w:val="18"/>
                <w:color w:val="auto"/>
              </w:rPr>
              <w:t>Exhibit Index</w:t>
            </w:r>
          </w:p>
        </w:tc>
      </w:tr>
      <w:tr>
        <w:trPr>
          <w:trHeight w:val="365"/>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24"/>
                <w:szCs w:val="24"/>
                <w:color w:val="auto"/>
              </w:rPr>
            </w:pPr>
          </w:p>
        </w:tc>
        <w:tc>
          <w:tcPr>
            <w:tcW w:w="10380" w:type="dxa"/>
            <w:vAlign w:val="bottom"/>
            <w:tcBorders>
              <w:bottom w:val="single" w:sz="8" w:color="auto"/>
            </w:tcBorders>
          </w:tcPr>
          <w:p>
            <w:pPr>
              <w:ind w:left="4860"/>
              <w:spacing w:after="0"/>
              <w:rPr>
                <w:sz w:val="20"/>
                <w:szCs w:val="20"/>
                <w:color w:val="auto"/>
              </w:rPr>
            </w:pPr>
            <w:r>
              <w:rPr>
                <w:rFonts w:ascii="Arial" w:cs="Arial" w:eastAsia="Arial" w:hAnsi="Arial"/>
                <w:sz w:val="14"/>
                <w:szCs w:val="14"/>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Press Release dated May 2, 2007.</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FIRST QUARTER FINANCIAL AND OPERATING RESULTS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Tarrytown, New York (May 2, 2007)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first quarter of 2007. The Company reported a net loss of $29.9 million, or $0.46 per share (basic and diluted) for the first quarter of 2007 compared with a net loss of $20.4 million, or $0.36 per share (basic and diluted) for the first quarter of 2006.</w:t>
      </w:r>
    </w:p>
    <w:p>
      <w:pPr>
        <w:spacing w:after="0" w:line="7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 xml:space="preserve">At March 31, 2007, cash, restricted cash, and marketable securities totaled $515.0 million compared with $522.9 million at December 31, 2006. In the first quarter of 2007, the Company entered into non-exclusive license agreements with AstraZeneca UK Limited and Astellas Pharma Inc. with respect to the Company’s </w:t>
      </w:r>
      <w:r>
        <w:rPr>
          <w:rFonts w:ascii="Arial" w:cs="Arial" w:eastAsia="Arial" w:hAnsi="Arial"/>
          <w:sz w:val="16"/>
          <w:szCs w:val="16"/>
          <w:i w:val="1"/>
          <w:iCs w:val="1"/>
          <w:color w:val="auto"/>
        </w:rPr>
        <w:t>VelocImmune</w:t>
      </w:r>
      <w:r>
        <w:rPr>
          <w:rFonts w:ascii="Arial" w:cs="Arial" w:eastAsia="Arial" w:hAnsi="Arial"/>
          <w:sz w:val="13"/>
          <w:szCs w:val="13"/>
          <w:color w:val="auto"/>
        </w:rPr>
        <w:t>®</w:t>
      </w:r>
      <w:r>
        <w:rPr>
          <w:rFonts w:ascii="Arial" w:cs="Arial" w:eastAsia="Arial" w:hAnsi="Arial"/>
          <w:sz w:val="16"/>
          <w:szCs w:val="16"/>
          <w:color w:val="auto"/>
        </w:rPr>
        <w:t xml:space="preserve"> technology for generating human monoclonal antibody product candidates, as described below. In connection with these agreements, AstraZeneca and Astellas each made an up-front payment to the Company of $20.0 million in February and April 2007,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$200.0 million of convertible notes, which bear interest at 5.5% per annum, mature in October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Regeneron is currently focused on three clinical development programs: IL-1 Trap (rilonacept) in various inflammatory indications, the VEGF Trap in oncology, and the VEGF Trap-Eye in eye diseases. The Company also is developing its pipeline of preclinical antibody candidates discovered utilizing its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line="279" w:lineRule="auto"/>
        <w:rPr>
          <w:sz w:val="20"/>
          <w:szCs w:val="20"/>
          <w:color w:val="auto"/>
        </w:rPr>
      </w:pPr>
      <w:r>
        <w:rPr>
          <w:rFonts w:ascii="Arial" w:cs="Arial" w:eastAsia="Arial" w:hAnsi="Arial"/>
          <w:sz w:val="17"/>
          <w:szCs w:val="17"/>
          <w:color w:val="auto"/>
        </w:rPr>
        <w:t>The VEGF Trap-Eye, a specially purified and formulated form of the VEGF Trap for use in intraocular applications, is being developed in collaboration with Bayer HealthCare AG. The development program in eye disease is expected to total over $250 million over the next several years, with the Company and Bayer HealthCare sharing the costs. The VEGF Trap is being developed in oncology in collaboration with the sanofi-aventis Group. The development program in oncology is expected to total over $400 million over the next several years, which will be funded by sanofi-aventis.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IL-1 Trap — Inflammatory Diseases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Regeneron recently completed the 24-week open-label safety extension phase of the Phase 3 clinical program for the IL-1 Trap in patients suffering from a rare chronic disease known as CAPS (Cryopyrin-Associated Periodic Syndromes). Regeneron is currently preparing to submit a Biologics License Application (BLA) to the U.S. Food and Drug Administration (FDA) for CAPS this quarter. The FDA has granted Orphan Drug status and Fast Track designation to the IL-1 Trap for the treatment of CAPS.</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Phase 3 program included two efficacy studies in which the IL-1 Trap markedly reduced disease activity in subjects with this rare chronic disease. The primary endpoint, which was met in both studies, was the change in disease activity, as measured by a composite symptom score composed of a daily evaluation of fever/chills, rash, fatigue, joint pain, and eye redness/pain.</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Regeneron also is evaluating the potential use of the IL-1 Trap in other indications in which IL-1 may play a role. Based on preclinical evidence that IL-1 appears to play a critical role in gout, the Company initiated a proof of concept study of the IL-1 Trap in gout in the first quarter of 2007. The Company also is preparing to initiate exploratory proof of concept studies of the IL-1 Trap in other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VEGF Trap — Eye Diseases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clinical development program for the VEGF Trap-Eye, Bayer HealthCare and Regeneron currently are conducting a Phase 2 trial of the VEGF Trap-Eye in the neovascular form of age-related macular degeneration (wet AMD). This trial is evaluating the safety and biological effect of intravitreal administration of the VEGF Trap-Eye using different doses and different dosing regimens. In March 2007, the companies announced positive preliminary data from a pre-planned interim analysis of this study. The VEGF Trap-Eye met its primary endpoint of a statistically significant reduction in retinal thickness after 12 weeks compared with baseline (all groups combined, decrease of 135 microns, p &lt; 0.0001). Mean change from baseline in visual acuity, a key secondary endpoint of the study, also demonstrated statistically significant improvement (all groups combined, increase of 5.9 letters, p &lt; 0.0001). Moreover, patients in the dose groups that received only a single dose, on average, demonstrated a decrease in excess retinal thickness (p &lt; 0.0001) and an increase in visual acuity (p = 0.012) at 12 weeks. There were no drug-related serious adverse events, and treatment with the VEGF Trap-Eye was generally well-tolerated. The most common adverse events were those typically associated with intravitreal injections. Detailed data from this interim analysis are scheduled for presentation at an upcoming scientific conference.</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these results, Regeneron and Bayer HealthCare plan to initiate the VEGF Trap-Eye Phase 3 program later this year. The companies are collaborating on the global development of the VEGF Trap-Eye for the treatment of wet AMD, diabetic eye diseases, and other eye diseases and disorders. Bayer HealthCare and Regeneron will jointly commercialize the VEGF Trap-Eye outside the United States, and Regeneron maintains exclusive rights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 — Oncology</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Regeneron and sanofi-aventis are conducting a broad-based clinical development program for the VEGF Trap in different cancer indications. Currently, the companies are conducting Phase 2 single-agent studies, with patient enrollment underway in advanced ovarian cancer (AOC), non-small cell lung adenocarcinoma (NSCLA), and AOC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20"/>
        <w:spacing w:after="0" w:line="257" w:lineRule="auto"/>
        <w:rPr>
          <w:sz w:val="20"/>
          <w:szCs w:val="20"/>
          <w:color w:val="auto"/>
        </w:rPr>
      </w:pPr>
      <w:r>
        <w:rPr>
          <w:rFonts w:ascii="Arial" w:cs="Arial" w:eastAsia="Arial" w:hAnsi="Arial"/>
          <w:sz w:val="18"/>
          <w:szCs w:val="18"/>
          <w:color w:val="auto"/>
        </w:rPr>
        <w:t>with symptomatic malignant ascites (SMA). Earlier this year, sanofi-aventis reported that a registration filing is possible for the VEGF Trap in at least one of these single-agent indications in 2008. Sanofi-aventis and Regeneron also announced that they intend to conduct five Phase 3 trials evaluating the safety and efficacy of the VEGF Trap in combination with standard chemotherapy regimens in specific cancer types, with at least three of these trials planned to begin in 2007. Five safety and tolerability studies of the VEGF Trap in combination with standard chemotherapy regimens are continuing in a variety of cancer types to support the planned Phase 3 clinical program.</w:t>
      </w:r>
    </w:p>
    <w:p>
      <w:pPr>
        <w:spacing w:after="0" w:line="8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addition, six new Phase 2 single-agent studies have begun in conjunction with the National Cancer Institute (NCI) Cancer Therapy Evaluation Program (CTEP) in several different cancer types. These trials will evaluate the VEGF Trap in single-agent trials as well as in combination with chemotherapy regimens. The companies are working to finalize plans with NCI/CTEP for at least four additional trials in different cancer types.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VelocImmune</w:t>
      </w:r>
      <w:r>
        <w:rPr>
          <w:rFonts w:ascii="Arial" w:cs="Arial" w:eastAsia="Arial" w:hAnsi="Arial"/>
          <w:sz w:val="18"/>
          <w:szCs w:val="18"/>
          <w:color w:val="auto"/>
        </w:rPr>
        <w:t>, Regeneron’s novel technology for producing fully human monoclonal antibodies, is part of the Company’s suite of proprietary, inter-related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platforms that are designed to provide Regeneron with its next generation of therapeutic candidates. Regeneron plans to move its first new antibody product candidate into clinical trials in the fourth quarter of 2007, with plans to advance at least two antibody product candidates into human clinical trials each year going forward.</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2007, Regeneron has entered into non-exclusive license agreements with AstraZeneca and Astellas that will allow those companies to utilize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their internal research programs to discover human monoclonal antibody product candidates. Each of those companies made a $20.0 million up-front, non-refundable payment and will make up to five additional annual payments of $20.0 million, subject to the ability to terminate the agreement after making the first three additional payments. Upon commercialization of any antibody products discovered utilizing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VelocImmune</w:t>
      </w:r>
      <w:r>
        <w:rPr>
          <w:rFonts w:ascii="Arial" w:cs="Arial" w:eastAsia="Arial" w:hAnsi="Arial"/>
          <w:sz w:val="18"/>
          <w:szCs w:val="18"/>
          <w:color w:val="auto"/>
        </w:rPr>
        <w:t>, the licensees will pay to Regeneron a mid-single-digit royalty on product sales.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Regeneron’s total revenue decreased to $15.8 million in the first quarter of 2007 from $18.2 million in the same period of 2006. Contract research and development revenue in the first quarters of 2007 and 2006 principally related to the Company’s VEGF Trap collaboration with sanofi-aventis in cancer indications. Contract manufacturing revenue in 2006 related to Regeneron’s long-term manufacturing agreement with Merck &amp; Co., Inc., which expired in October 2006. Technology licensing revenue in the first quarter of 2007 related to the Company’s license agreement with AstraZeneca, as described below.</w:t>
      </w:r>
    </w:p>
    <w:p>
      <w:pPr>
        <w:spacing w:after="0" w:line="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Regeneron recognized contract research and development revenue of $11.8 million in the first quarter of 2007 related to the Company’s collaboration with sanofi-aventis, compared with $13.9 million in the same period of 2006. Contract research and development revenue from the sanofi-aventis collaboration consisted of reimbursement of VEGF Trap development expenses plus recognition of amounts related to $105.0 million of previously received and deferred up-front, non-refundable payments. Reimbursement of expenses decreased to $9.6 million in the first quarter of 2007 from $10.8 million in the same period of 2006, principally because costs related to the Company’s manufacture of VEGF Trap clinical supplies were lower in 2007. With respect to the up-front payments from sanofi-aventis, $2.2 million was recognized as revenue in the first quarter of 2007 compared to $3.1 million in the same quarter of 2006.</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Sanofi-aventis also incurs VEGF Trap development expenses directly and these expenses are increasing because of the growing number of clinical trials sanofi-aventis is overseeing in the VEGF Trap oncology program. During the term of the collaboration, sanofi-aventis pays 100% of agreed-upon VEGF Trap development expenses incurred by both companies. Following commercialization of a VEGF Trap product by the collaboration, Regeneron, from its 50% share of VEGF Trap profits, will reimburse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aventis for 50% of the VEGF Trap development expenses previously paid by sanofi-aventis.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October 2006, the Company entered into a collaboration with Bayer HealthCare for the development and commercialization of the VEGF Trap-Eye outside the United States, and received a $75.0 million up-front, non-refundable payment which was recorded as deferred revenue. In 2007, agreed upon VEGF Trap-Eye development expenses incurred by both companies under a global development plan will be shared as follows: Up to the first $50.0 million will be shared equally; Regeneron is solely responsible for the next $40.0 million; over $90.0 million will be shared equally. Bayer HealthCare reimbursements of shared development expenses incurred by the Company are recorded as deferred revenue. When the Company and Bayer HealthCare have formalized their global development plans for the VEGF Trap-Eye and the projected responsibilities of each of the companies under those plans, the Company will begin recognizing contract research and development revenue related to payments from Bayer HealthCare, including the $75.0 million up-front payment. The Company recognizes revenue from collaborations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FASB Emerging Issue Task Force Issue No. 00-21, </w:t>
      </w:r>
      <w:r>
        <w:rPr>
          <w:rFonts w:ascii="Arial" w:cs="Arial" w:eastAsia="Arial" w:hAnsi="Arial"/>
          <w:sz w:val="17"/>
          <w:szCs w:val="17"/>
          <w:i w:val="1"/>
          <w:iCs w:val="1"/>
          <w:color w:val="auto"/>
        </w:rPr>
        <w:t>Accounting for Revenue Arrangements with Multiple Deliverables.</w:t>
      </w:r>
    </w:p>
    <w:p>
      <w:pPr>
        <w:spacing w:after="0" w:line="7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the terms of the Company’s license agreement with AstraZeneca, the Company received a $20.0 million non-refundable, up-front payment in February 2007 which was deferred and will be recognized as revenue ratably over approximately the first year of the agreement. In the first quarter of 2007, the Company recognized $2.1 million of technology licensing revenue related to the AstraZeneca agreement.</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operating expenses for the first quarter of 2007 were $49.4 million, 24 percent higher than the same period in 2006. Operating expenses in the first quarter of 2007 and 2006 include a total of $6.6 million and $3.9 million, respectively, of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compensation expense related to employee stock option awards (Stock Option Expense),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March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gridSpan w:val="4"/>
          </w:tcPr>
          <w:p>
            <w:pPr>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color w:val="auto"/>
              </w:rPr>
              <w:t>2007</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color w:val="auto"/>
                <w:w w:val="95"/>
              </w:rPr>
              <w:t>Expenses before</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w w:val="97"/>
              </w:rPr>
              <w:t>inclusion of Stock</w:t>
            </w:r>
          </w:p>
        </w:tc>
        <w:tc>
          <w:tcPr>
            <w:tcW w:w="2020" w:type="dxa"/>
            <w:vAlign w:val="bottom"/>
            <w:gridSpan w:val="4"/>
          </w:tcPr>
          <w:p>
            <w:pPr>
              <w:ind w:left="6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w w:val="97"/>
              </w:rPr>
              <w:t>Expenses as</w:t>
            </w:r>
          </w:p>
        </w:tc>
        <w:tc>
          <w:tcPr>
            <w:tcW w:w="0" w:type="dxa"/>
            <w:vAlign w:val="bottom"/>
          </w:tcPr>
          <w:p>
            <w:pPr>
              <w:spacing w:after="0"/>
              <w:rPr>
                <w:sz w:val="1"/>
                <w:szCs w:val="1"/>
                <w:color w:val="auto"/>
              </w:rPr>
            </w:pPr>
          </w:p>
        </w:tc>
      </w:tr>
      <w:tr>
        <w:trPr>
          <w:trHeight w:val="167"/>
        </w:trPr>
        <w:tc>
          <w:tcPr>
            <w:tcW w:w="752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080" w:type="dxa"/>
            <w:vAlign w:val="bottom"/>
            <w:gridSpan w:val="3"/>
          </w:tcPr>
          <w:p>
            <w:pPr>
              <w:ind w:left="60"/>
              <w:spacing w:after="0"/>
              <w:rPr>
                <w:sz w:val="20"/>
                <w:szCs w:val="20"/>
                <w:color w:val="auto"/>
              </w:rPr>
            </w:pPr>
            <w:r>
              <w:rPr>
                <w:rFonts w:ascii="Arial" w:cs="Arial" w:eastAsia="Arial" w:hAnsi="Arial"/>
                <w:sz w:val="14"/>
                <w:szCs w:val="14"/>
                <w:color w:val="auto"/>
              </w:rPr>
              <w:t>Option Expense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7520" w:type="dxa"/>
            <w:vAlign w:val="bottom"/>
            <w:gridSpan w:val="4"/>
            <w:vMerge w:val="restart"/>
          </w:tcPr>
          <w:p>
            <w:pPr>
              <w:spacing w:after="0"/>
              <w:rPr>
                <w:sz w:val="20"/>
                <w:szCs w:val="20"/>
                <w:color w:val="auto"/>
              </w:rPr>
            </w:pPr>
            <w:r>
              <w:rPr>
                <w:rFonts w:ascii="Arial" w:cs="Arial" w:eastAsia="Arial" w:hAnsi="Arial"/>
                <w:sz w:val="18"/>
                <w:szCs w:val="18"/>
                <w:color w:val="auto"/>
              </w:rPr>
              <w:t>For the three months ended March 31,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5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millions)</w:t>
            </w:r>
          </w:p>
        </w:tc>
        <w:tc>
          <w:tcPr>
            <w:tcW w:w="4760" w:type="dxa"/>
            <w:vAlign w:val="bottom"/>
            <w:gridSpan w:val="2"/>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color w:val="auto"/>
              </w:rPr>
              <w:t>2006</w:t>
            </w: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color w:val="auto"/>
                <w:w w:val="95"/>
              </w:rPr>
              <w:t>Expenses before</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w w:val="97"/>
              </w:rPr>
              <w:t>inclusion of Stock</w:t>
            </w:r>
          </w:p>
        </w:tc>
        <w:tc>
          <w:tcPr>
            <w:tcW w:w="2020" w:type="dxa"/>
            <w:vAlign w:val="bottom"/>
            <w:gridSpan w:val="4"/>
          </w:tcPr>
          <w:p>
            <w:pPr>
              <w:ind w:left="6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w w:val="97"/>
              </w:rPr>
              <w:t>Expenses as</w:t>
            </w:r>
          </w:p>
        </w:tc>
        <w:tc>
          <w:tcPr>
            <w:tcW w:w="0" w:type="dxa"/>
            <w:vAlign w:val="bottom"/>
          </w:tcPr>
          <w:p>
            <w:pPr>
              <w:spacing w:after="0"/>
              <w:rPr>
                <w:sz w:val="1"/>
                <w:szCs w:val="1"/>
                <w:color w:val="auto"/>
              </w:rPr>
            </w:pPr>
          </w:p>
        </w:tc>
      </w:tr>
      <w:tr>
        <w:trPr>
          <w:trHeight w:val="167"/>
        </w:trPr>
        <w:tc>
          <w:tcPr>
            <w:tcW w:w="752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080" w:type="dxa"/>
            <w:vAlign w:val="bottom"/>
            <w:gridSpan w:val="3"/>
          </w:tcPr>
          <w:p>
            <w:pPr>
              <w:ind w:left="60"/>
              <w:spacing w:after="0"/>
              <w:rPr>
                <w:sz w:val="20"/>
                <w:szCs w:val="20"/>
                <w:color w:val="auto"/>
              </w:rPr>
            </w:pPr>
            <w:r>
              <w:rPr>
                <w:rFonts w:ascii="Arial" w:cs="Arial" w:eastAsia="Arial" w:hAnsi="Arial"/>
                <w:sz w:val="14"/>
                <w:szCs w:val="14"/>
                <w:color w:val="auto"/>
              </w:rPr>
              <w:t>Option Expense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Contract manufacturing</w:t>
            </w:r>
          </w:p>
        </w:tc>
        <w:tc>
          <w:tcPr>
            <w:tcW w:w="4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increase in total Stock Option Expense in the first quarter of 2007 was primarily due to the higher fair market value of the Company’s Common Stock on the date of annual employee option grants made by the Company in December 2006 in comparison to the fair market value of the Company’s Common Stock on the dates of annual employee option grants made in recent prior years.</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Research and development (R&amp;D) expenses increased to $41.2 million in the first quarter of 2007 from $32.1 million in the comparable quarter of 2006. In addition to the impact of Stock Option Expense, as described above, in the first quarter of 2007, the Company incurred higher costs related to advancing new antibody candidates into preclinical development and higher development expenses for the VEGF Trap-Eye and IL-1 Trap, which were partly offset by lower development expenses for the VEGF Trap cancer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2006. Regeneron does not undertake any obligation to update publicly any forward-looking statement, whether as a result of new information, future events, or otherwise unless required by law.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1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20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Media: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20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700" w:type="dxa"/>
            <w:vAlign w:val="bottom"/>
          </w:tcPr>
          <w:p>
            <w:pPr>
              <w:spacing w:after="0"/>
              <w:rPr>
                <w:sz w:val="18"/>
                <w:szCs w:val="18"/>
                <w:color w:val="auto"/>
              </w:rPr>
            </w:pPr>
          </w:p>
        </w:tc>
        <w:tc>
          <w:tcPr>
            <w:tcW w:w="3980" w:type="dxa"/>
            <w:vAlign w:val="bottom"/>
            <w:gridSpan w:val="2"/>
          </w:tcPr>
          <w:p>
            <w:pPr>
              <w:ind w:left="2060"/>
              <w:spacing w:after="0"/>
              <w:rPr>
                <w:sz w:val="20"/>
                <w:szCs w:val="20"/>
                <w:color w:val="auto"/>
              </w:rPr>
            </w:pPr>
            <w:r>
              <w:rPr>
                <w:rFonts w:ascii="Arial" w:cs="Arial" w:eastAsia="Arial" w:hAnsi="Arial"/>
                <w:sz w:val="18"/>
                <w:szCs w:val="18"/>
                <w:color w:val="auto"/>
              </w:rPr>
              <w:t>212.845.5609</w:t>
            </w:r>
          </w:p>
        </w:tc>
        <w:tc>
          <w:tcPr>
            <w:tcW w:w="3540" w:type="dxa"/>
            <w:vAlign w:val="bottom"/>
          </w:tcPr>
          <w:p>
            <w:pPr>
              <w:spacing w:after="0"/>
              <w:rPr>
                <w:sz w:val="18"/>
                <w:szCs w:val="18"/>
                <w:color w:val="auto"/>
              </w:rPr>
            </w:pP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2060" w:type="dxa"/>
            <w:vAlign w:val="bottom"/>
          </w:tcPr>
          <w:p>
            <w:pPr>
              <w:spacing w:after="0"/>
              <w:rPr>
                <w:sz w:val="16"/>
                <w:szCs w:val="16"/>
                <w:color w:val="auto"/>
              </w:rPr>
            </w:pPr>
          </w:p>
        </w:tc>
        <w:tc>
          <w:tcPr>
            <w:tcW w:w="5460" w:type="dxa"/>
            <w:vAlign w:val="bottom"/>
            <w:gridSpan w:val="2"/>
          </w:tcPr>
          <w:p>
            <w:pPr>
              <w:spacing w:after="0" w:line="190" w:lineRule="exact"/>
              <w:rPr>
                <w:sz w:val="20"/>
                <w:szCs w:val="20"/>
                <w:color w:val="auto"/>
              </w:rPr>
            </w:pPr>
            <w:r>
              <w:rPr>
                <w:rFonts w:ascii="Arial" w:cs="Arial" w:eastAsia="Arial" w:hAnsi="Arial"/>
                <w:sz w:val="18"/>
                <w:szCs w:val="18"/>
                <w:color w:val="auto"/>
              </w:rPr>
              <w:t>ltortorete@biosector2.com</w:t>
            </w:r>
          </w:p>
        </w:tc>
      </w:tr>
      <w:tr>
        <w:trPr>
          <w:trHeight w:val="652"/>
        </w:trPr>
        <w:tc>
          <w:tcPr>
            <w:tcW w:w="2200" w:type="dxa"/>
            <w:vAlign w:val="bottom"/>
            <w:tcBorders>
              <w:top w:val="single" w:sz="8" w:color="auto"/>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920" w:type="dxa"/>
            <w:vAlign w:val="bottom"/>
            <w:tcBorders>
              <w:top w:val="single" w:sz="8" w:color="auto"/>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514,975</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33,632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47,781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601,431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20,081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184,661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200,000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196,689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601,431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For the three months</w:t>
      </w:r>
    </w:p>
    <w:p>
      <w:pPr>
        <w:jc w:val="center"/>
        <w:ind w:left="90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1980" w:type="dxa"/>
            <w:vAlign w:val="bottom"/>
            <w:gridSpan w:val="3"/>
          </w:tcPr>
          <w:p>
            <w:pPr>
              <w:jc w:val="right"/>
              <w:ind w:right="360"/>
              <w:spacing w:after="0"/>
              <w:rPr>
                <w:sz w:val="20"/>
                <w:szCs w:val="20"/>
                <w:color w:val="auto"/>
              </w:rPr>
            </w:pPr>
            <w:r>
              <w:rPr>
                <w:rFonts w:ascii="Arial" w:cs="Arial" w:eastAsia="Arial" w:hAnsi="Arial"/>
                <w:sz w:val="18"/>
                <w:szCs w:val="18"/>
                <w:color w:val="auto"/>
              </w:rPr>
              <w:t>$  13,645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Technology licensing</w:t>
            </w:r>
          </w:p>
        </w:tc>
        <w:tc>
          <w:tcPr>
            <w:tcW w:w="8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2,143</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15,788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18,219</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41,235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8,202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49,437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(33,649)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(21,663)</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1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6,743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(3,011)</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3,732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8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6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86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(29,917)</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adopting Statement of Financial Accounting Standards No. 123R (“SFAS 123R”)</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($29,917)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1980" w:type="dxa"/>
            <w:vAlign w:val="bottom"/>
            <w:gridSpan w:val="3"/>
          </w:tcPr>
          <w:p>
            <w:pPr>
              <w:jc w:val="right"/>
              <w:ind w:right="300"/>
              <w:spacing w:after="0"/>
              <w:rPr>
                <w:sz w:val="20"/>
                <w:szCs w:val="20"/>
                <w:color w:val="auto"/>
              </w:rPr>
            </w:pPr>
            <w:r>
              <w:rPr>
                <w:rFonts w:ascii="Arial" w:cs="Arial" w:eastAsia="Arial" w:hAnsi="Arial"/>
                <w:sz w:val="18"/>
                <w:szCs w:val="18"/>
                <w:color w:val="auto"/>
              </w:rPr>
              <w:t>($0.46)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adopting SFAS 123R</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65,563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56,727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2019-12-11T21:27:07Z</dcterms:created>
  <dcterms:modified xsi:type="dcterms:W3CDTF">2019-12-11T21:27:07Z</dcterms:modified>
</cp:coreProperties>
</file>