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4480"/>
        <w:spacing w:after="0"/>
        <w:rPr>
          <w:sz w:val="20"/>
          <w:szCs w:val="20"/>
          <w:color w:val="auto"/>
        </w:rPr>
      </w:pPr>
      <w:r>
        <w:rPr>
          <w:rFonts w:ascii="Courier New" w:cs="Courier New" w:eastAsia="Courier New" w:hAnsi="Courier New"/>
          <w:sz w:val="14"/>
          <w:szCs w:val="14"/>
          <w:color w:val="auto"/>
        </w:rPr>
        <w:t>As filed with the Securities and Exchange Commission on March 6, 2000</w:t>
      </w:r>
    </w:p>
    <w:p>
      <w:pPr>
        <w:spacing w:after="0" w:line="4" w:lineRule="exact"/>
        <w:rPr>
          <w:sz w:val="24"/>
          <w:szCs w:val="24"/>
          <w:color w:val="auto"/>
        </w:rPr>
      </w:pPr>
    </w:p>
    <w:p>
      <w:pPr>
        <w:jc w:val="center"/>
        <w:ind w:right="4480"/>
        <w:spacing w:after="0"/>
        <w:rPr>
          <w:sz w:val="20"/>
          <w:szCs w:val="20"/>
          <w:color w:val="auto"/>
        </w:rPr>
      </w:pPr>
      <w:r>
        <w:rPr>
          <w:rFonts w:ascii="Courier New" w:cs="Courier New" w:eastAsia="Courier New" w:hAnsi="Courier New"/>
          <w:sz w:val="14"/>
          <w:szCs w:val="14"/>
          <w:color w:val="auto"/>
        </w:rPr>
        <w:t>Registration No. 333-</w:t>
      </w:r>
    </w:p>
    <w:p>
      <w:pPr>
        <w:spacing w:after="0" w:line="168" w:lineRule="exact"/>
        <w:rPr>
          <w:sz w:val="24"/>
          <w:szCs w:val="24"/>
          <w:color w:val="auto"/>
        </w:rPr>
      </w:pPr>
    </w:p>
    <w:p>
      <w:pPr>
        <w:jc w:val="center"/>
        <w:ind w:right="456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68" w:lineRule="exact"/>
        <w:rPr>
          <w:sz w:val="24"/>
          <w:szCs w:val="24"/>
          <w:color w:val="auto"/>
        </w:rPr>
      </w:pPr>
    </w:p>
    <w:p>
      <w:pPr>
        <w:ind w:left="2460"/>
        <w:spacing w:after="0"/>
        <w:rPr>
          <w:sz w:val="20"/>
          <w:szCs w:val="20"/>
          <w:color w:val="auto"/>
        </w:rPr>
      </w:pPr>
      <w:r>
        <w:rPr>
          <w:rFonts w:ascii="Courier New" w:cs="Courier New" w:eastAsia="Courier New" w:hAnsi="Courier New"/>
          <w:sz w:val="14"/>
          <w:szCs w:val="14"/>
          <w:color w:val="auto"/>
        </w:rPr>
        <w:t>Washington, D.C. 20549</w:t>
      </w:r>
    </w:p>
    <w:p>
      <w:pPr>
        <w:spacing w:after="0" w:line="168" w:lineRule="exact"/>
        <w:rPr>
          <w:sz w:val="24"/>
          <w:szCs w:val="24"/>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4"/>
          <w:szCs w:val="24"/>
          <w:color w:val="auto"/>
        </w:rPr>
      </w:pPr>
    </w:p>
    <w:p>
      <w:pPr>
        <w:jc w:val="center"/>
        <w:ind w:right="4560"/>
        <w:spacing w:after="0"/>
        <w:rPr>
          <w:sz w:val="20"/>
          <w:szCs w:val="20"/>
          <w:color w:val="auto"/>
        </w:rPr>
      </w:pPr>
      <w:r>
        <w:rPr>
          <w:rFonts w:ascii="Courier New" w:cs="Courier New" w:eastAsia="Courier New" w:hAnsi="Courier New"/>
          <w:sz w:val="14"/>
          <w:szCs w:val="14"/>
          <w:color w:val="auto"/>
        </w:rPr>
        <w:t>FORM S-3</w:t>
      </w:r>
    </w:p>
    <w:p>
      <w:pPr>
        <w:spacing w:after="0" w:line="4" w:lineRule="exact"/>
        <w:rPr>
          <w:sz w:val="24"/>
          <w:szCs w:val="24"/>
          <w:color w:val="auto"/>
        </w:rPr>
      </w:pPr>
    </w:p>
    <w:p>
      <w:pPr>
        <w:jc w:val="center"/>
        <w:ind w:right="4560"/>
        <w:spacing w:after="0"/>
        <w:rPr>
          <w:sz w:val="20"/>
          <w:szCs w:val="20"/>
          <w:color w:val="auto"/>
        </w:rPr>
      </w:pPr>
      <w:r>
        <w:rPr>
          <w:rFonts w:ascii="Courier New" w:cs="Courier New" w:eastAsia="Courier New" w:hAnsi="Courier New"/>
          <w:sz w:val="14"/>
          <w:szCs w:val="14"/>
          <w:color w:val="auto"/>
        </w:rPr>
        <w:t>REGISTRATION STATEMENT</w:t>
      </w:r>
    </w:p>
    <w:p>
      <w:pPr>
        <w:spacing w:after="0" w:line="168" w:lineRule="exact"/>
        <w:rPr>
          <w:sz w:val="24"/>
          <w:szCs w:val="24"/>
          <w:color w:val="auto"/>
        </w:rPr>
      </w:pPr>
    </w:p>
    <w:p>
      <w:pPr>
        <w:jc w:val="center"/>
        <w:ind w:right="4480"/>
        <w:spacing w:after="0"/>
        <w:rPr>
          <w:sz w:val="20"/>
          <w:szCs w:val="20"/>
          <w:color w:val="auto"/>
        </w:rPr>
      </w:pPr>
      <w:r>
        <w:rPr>
          <w:rFonts w:ascii="Courier New" w:cs="Courier New" w:eastAsia="Courier New" w:hAnsi="Courier New"/>
          <w:sz w:val="14"/>
          <w:szCs w:val="14"/>
          <w:color w:val="auto"/>
        </w:rPr>
        <w:t>UNDER</w:t>
      </w:r>
    </w:p>
    <w:p>
      <w:pPr>
        <w:spacing w:after="0" w:line="168" w:lineRule="exact"/>
        <w:rPr>
          <w:sz w:val="24"/>
          <w:szCs w:val="24"/>
          <w:color w:val="auto"/>
        </w:rPr>
      </w:pPr>
    </w:p>
    <w:p>
      <w:pPr>
        <w:jc w:val="center"/>
        <w:ind w:right="4560"/>
        <w:spacing w:after="0"/>
        <w:rPr>
          <w:sz w:val="20"/>
          <w:szCs w:val="20"/>
          <w:color w:val="auto"/>
        </w:rPr>
      </w:pPr>
      <w:r>
        <w:rPr>
          <w:rFonts w:ascii="Courier New" w:cs="Courier New" w:eastAsia="Courier New" w:hAnsi="Courier New"/>
          <w:sz w:val="14"/>
          <w:szCs w:val="14"/>
          <w:color w:val="auto"/>
        </w:rPr>
        <w:t>THE SECURITIES ACT OF 1933</w:t>
      </w:r>
    </w:p>
    <w:p>
      <w:pPr>
        <w:spacing w:after="0" w:line="168" w:lineRule="exact"/>
        <w:rPr>
          <w:sz w:val="24"/>
          <w:szCs w:val="24"/>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4"/>
          <w:szCs w:val="24"/>
          <w:color w:val="auto"/>
        </w:rPr>
      </w:pPr>
    </w:p>
    <w:p>
      <w:pPr>
        <w:jc w:val="center"/>
        <w:ind w:right="4480"/>
        <w:spacing w:after="0"/>
        <w:rPr>
          <w:sz w:val="20"/>
          <w:szCs w:val="20"/>
          <w:color w:val="auto"/>
        </w:rPr>
      </w:pPr>
      <w:r>
        <w:rPr>
          <w:rFonts w:ascii="Courier New" w:cs="Courier New" w:eastAsia="Courier New" w:hAnsi="Courier New"/>
          <w:sz w:val="14"/>
          <w:szCs w:val="14"/>
          <w:color w:val="auto"/>
        </w:rPr>
        <w:t>REGENERON PHARMACEUTICALS, INC.</w:t>
      </w:r>
    </w:p>
    <w:p>
      <w:pPr>
        <w:spacing w:after="0" w:line="4" w:lineRule="exact"/>
        <w:rPr>
          <w:sz w:val="24"/>
          <w:szCs w:val="24"/>
          <w:color w:val="auto"/>
        </w:rPr>
      </w:pPr>
    </w:p>
    <w:p>
      <w:pPr>
        <w:jc w:val="center"/>
        <w:ind w:right="45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68" w:lineRule="exact"/>
        <w:rPr>
          <w:sz w:val="24"/>
          <w:szCs w:val="24"/>
          <w:color w:val="auto"/>
        </w:rPr>
      </w:pPr>
    </w:p>
    <w:p>
      <w:pPr>
        <w:ind w:left="2120"/>
        <w:spacing w:after="0"/>
        <w:rPr>
          <w:sz w:val="20"/>
          <w:szCs w:val="20"/>
          <w:color w:val="auto"/>
        </w:rPr>
      </w:pPr>
      <w:r>
        <w:rPr>
          <w:rFonts w:ascii="Courier New" w:cs="Courier New" w:eastAsia="Courier New" w:hAnsi="Courier New"/>
          <w:sz w:val="14"/>
          <w:szCs w:val="14"/>
          <w:color w:val="auto"/>
        </w:rPr>
        <w:t>------------------------------</w:t>
      </w:r>
    </w:p>
    <w:p>
      <w:pPr>
        <w:sectPr>
          <w:pgSz w:w="11900" w:h="16900" w:orient="portrait"/>
          <w:cols w:equalWidth="0" w:num="1">
            <w:col w:w="11360"/>
          </w:cols>
          <w:pgMar w:left="300" w:top="554" w:right="239" w:bottom="0" w:gutter="0" w:footer="0" w:header="0"/>
        </w:sectPr>
      </w:pPr>
    </w:p>
    <w:p>
      <w:pPr>
        <w:spacing w:after="0" w:line="168" w:lineRule="exact"/>
        <w:rPr>
          <w:sz w:val="24"/>
          <w:szCs w:val="24"/>
          <w:color w:val="auto"/>
        </w:rPr>
      </w:pPr>
    </w:p>
    <w:p>
      <w:pPr>
        <w:ind w:left="1280"/>
        <w:spacing w:after="0"/>
        <w:rPr>
          <w:sz w:val="20"/>
          <w:szCs w:val="20"/>
          <w:color w:val="auto"/>
        </w:rPr>
      </w:pPr>
      <w:r>
        <w:rPr>
          <w:rFonts w:ascii="Courier New" w:cs="Courier New" w:eastAsia="Courier New" w:hAnsi="Courier New"/>
          <w:sz w:val="14"/>
          <w:szCs w:val="14"/>
          <w:color w:val="auto"/>
        </w:rPr>
        <w:t>New York</w:t>
      </w:r>
    </w:p>
    <w:p>
      <w:pPr>
        <w:spacing w:after="0" w:line="4"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13-3444607</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68" w:lineRule="exact"/>
        <w:rPr>
          <w:sz w:val="24"/>
          <w:szCs w:val="24"/>
          <w:color w:val="auto"/>
        </w:rPr>
      </w:pPr>
    </w:p>
    <w:p>
      <w:pPr>
        <w:sectPr>
          <w:pgSz w:w="11900" w:h="16900" w:orient="portrait"/>
          <w:cols w:equalWidth="0" w:num="2">
            <w:col w:w="3520" w:space="720"/>
            <w:col w:w="7120"/>
          </w:cols>
          <w:pgMar w:left="300" w:top="554" w:right="239" w:bottom="0" w:gutter="0" w:footer="0" w:header="0"/>
          <w:type w:val="continuous"/>
        </w:sectPr>
      </w:pPr>
    </w:p>
    <w:p>
      <w:pPr>
        <w:ind w:left="2220"/>
        <w:spacing w:after="0"/>
        <w:rPr>
          <w:sz w:val="20"/>
          <w:szCs w:val="20"/>
          <w:color w:val="auto"/>
        </w:rPr>
      </w:pPr>
      <w:r>
        <w:rPr>
          <w:rFonts w:ascii="Courier New" w:cs="Courier New" w:eastAsia="Courier New" w:hAnsi="Courier New"/>
          <w:sz w:val="14"/>
          <w:szCs w:val="14"/>
          <w:color w:val="auto"/>
        </w:rPr>
        <w:t>777 Old Saw Mill River Road</w:t>
      </w:r>
    </w:p>
    <w:p>
      <w:pPr>
        <w:spacing w:after="0" w:line="4" w:lineRule="exact"/>
        <w:rPr>
          <w:sz w:val="24"/>
          <w:szCs w:val="24"/>
          <w:color w:val="auto"/>
        </w:rPr>
      </w:pPr>
    </w:p>
    <w:p>
      <w:pPr>
        <w:ind w:left="2120"/>
        <w:spacing w:after="0"/>
        <w:rPr>
          <w:sz w:val="20"/>
          <w:szCs w:val="20"/>
          <w:color w:val="auto"/>
        </w:rPr>
      </w:pPr>
      <w:r>
        <w:rPr>
          <w:rFonts w:ascii="Courier New" w:cs="Courier New" w:eastAsia="Courier New" w:hAnsi="Courier New"/>
          <w:sz w:val="14"/>
          <w:szCs w:val="14"/>
          <w:color w:val="auto"/>
        </w:rPr>
        <w:t>Tarrytown, New York 10591-6707</w:t>
      </w:r>
    </w:p>
    <w:p>
      <w:pPr>
        <w:spacing w:after="0" w:line="4" w:lineRule="exact"/>
        <w:rPr>
          <w:sz w:val="24"/>
          <w:szCs w:val="24"/>
          <w:color w:val="auto"/>
        </w:rPr>
      </w:pPr>
    </w:p>
    <w:p>
      <w:pPr>
        <w:ind w:left="2720"/>
        <w:spacing w:after="0"/>
        <w:rPr>
          <w:sz w:val="20"/>
          <w:szCs w:val="20"/>
          <w:color w:val="auto"/>
        </w:rPr>
      </w:pPr>
      <w:r>
        <w:rPr>
          <w:rFonts w:ascii="Courier New" w:cs="Courier New" w:eastAsia="Courier New" w:hAnsi="Courier New"/>
          <w:sz w:val="14"/>
          <w:szCs w:val="14"/>
          <w:color w:val="auto"/>
        </w:rPr>
        <w:t>(914) 347-7000</w:t>
      </w:r>
    </w:p>
    <w:p>
      <w:pPr>
        <w:spacing w:after="0" w:line="4"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4"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168" w:lineRule="exact"/>
        <w:rPr>
          <w:sz w:val="24"/>
          <w:szCs w:val="24"/>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4"/>
          <w:szCs w:val="24"/>
          <w:color w:val="auto"/>
        </w:rPr>
      </w:pPr>
    </w:p>
    <w:p>
      <w:pPr>
        <w:ind w:left="2560"/>
        <w:spacing w:after="0"/>
        <w:rPr>
          <w:sz w:val="20"/>
          <w:szCs w:val="20"/>
          <w:color w:val="auto"/>
        </w:rPr>
      </w:pPr>
      <w:r>
        <w:rPr>
          <w:rFonts w:ascii="Courier New" w:cs="Courier New" w:eastAsia="Courier New" w:hAnsi="Courier New"/>
          <w:sz w:val="14"/>
          <w:szCs w:val="14"/>
          <w:color w:val="auto"/>
        </w:rPr>
        <w:t>Murray A. Goldberg</w:t>
      </w:r>
    </w:p>
    <w:p>
      <w:pPr>
        <w:spacing w:after="0" w:line="4" w:lineRule="exact"/>
        <w:rPr>
          <w:sz w:val="24"/>
          <w:szCs w:val="24"/>
          <w:color w:val="auto"/>
        </w:rPr>
      </w:pPr>
    </w:p>
    <w:p>
      <w:pPr>
        <w:ind w:left="2380"/>
        <w:spacing w:after="0"/>
        <w:rPr>
          <w:sz w:val="20"/>
          <w:szCs w:val="20"/>
          <w:color w:val="auto"/>
        </w:rPr>
      </w:pPr>
      <w:r>
        <w:rPr>
          <w:rFonts w:ascii="Courier New" w:cs="Courier New" w:eastAsia="Courier New" w:hAnsi="Courier New"/>
          <w:sz w:val="14"/>
          <w:szCs w:val="14"/>
          <w:color w:val="auto"/>
        </w:rPr>
        <w:t>Chief Financial Officer</w:t>
      </w:r>
    </w:p>
    <w:p>
      <w:pPr>
        <w:spacing w:after="0" w:line="4" w:lineRule="exact"/>
        <w:rPr>
          <w:sz w:val="24"/>
          <w:szCs w:val="24"/>
          <w:color w:val="auto"/>
        </w:rPr>
      </w:pPr>
    </w:p>
    <w:p>
      <w:pPr>
        <w:ind w:left="2040"/>
        <w:spacing w:after="0"/>
        <w:rPr>
          <w:sz w:val="20"/>
          <w:szCs w:val="20"/>
          <w:color w:val="auto"/>
        </w:rPr>
      </w:pPr>
      <w:r>
        <w:rPr>
          <w:rFonts w:ascii="Courier New" w:cs="Courier New" w:eastAsia="Courier New" w:hAnsi="Courier New"/>
          <w:sz w:val="14"/>
          <w:szCs w:val="14"/>
          <w:color w:val="auto"/>
        </w:rPr>
        <w:t>Regeneron Pharmaceuticals, Inc.</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4"/>
          <w:szCs w:val="14"/>
          <w:color w:val="auto"/>
        </w:rPr>
        <w:t>777 Old Saw Mill River Road</w:t>
      </w:r>
    </w:p>
    <w:p>
      <w:pPr>
        <w:spacing w:after="0" w:line="4" w:lineRule="exact"/>
        <w:rPr>
          <w:sz w:val="24"/>
          <w:szCs w:val="24"/>
          <w:color w:val="auto"/>
        </w:rPr>
      </w:pPr>
    </w:p>
    <w:p>
      <w:pPr>
        <w:ind w:left="2040"/>
        <w:spacing w:after="0"/>
        <w:rPr>
          <w:sz w:val="20"/>
          <w:szCs w:val="20"/>
          <w:color w:val="auto"/>
        </w:rPr>
      </w:pPr>
      <w:r>
        <w:rPr>
          <w:rFonts w:ascii="Courier New" w:cs="Courier New" w:eastAsia="Courier New" w:hAnsi="Courier New"/>
          <w:sz w:val="14"/>
          <w:szCs w:val="14"/>
          <w:color w:val="auto"/>
        </w:rPr>
        <w:t>Tarrytown, New York 10591-6707</w:t>
      </w:r>
    </w:p>
    <w:p>
      <w:pPr>
        <w:spacing w:after="0" w:line="4" w:lineRule="exact"/>
        <w:rPr>
          <w:sz w:val="24"/>
          <w:szCs w:val="24"/>
          <w:color w:val="auto"/>
        </w:rPr>
      </w:pPr>
    </w:p>
    <w:p>
      <w:pPr>
        <w:ind w:left="2720"/>
        <w:spacing w:after="0"/>
        <w:rPr>
          <w:sz w:val="20"/>
          <w:szCs w:val="20"/>
          <w:color w:val="auto"/>
        </w:rPr>
      </w:pPr>
      <w:r>
        <w:rPr>
          <w:rFonts w:ascii="Courier New" w:cs="Courier New" w:eastAsia="Courier New" w:hAnsi="Courier New"/>
          <w:sz w:val="14"/>
          <w:szCs w:val="14"/>
          <w:color w:val="auto"/>
        </w:rPr>
        <w:t>(914) 347-7000</w:t>
      </w:r>
    </w:p>
    <w:p>
      <w:pPr>
        <w:spacing w:after="0" w:line="168" w:lineRule="exact"/>
        <w:rPr>
          <w:sz w:val="24"/>
          <w:szCs w:val="24"/>
          <w:color w:val="auto"/>
        </w:rPr>
      </w:pPr>
    </w:p>
    <w:p>
      <w:pPr>
        <w:jc w:val="center"/>
        <w:ind w:right="4740"/>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4" w:lineRule="exact"/>
        <w:rPr>
          <w:sz w:val="24"/>
          <w:szCs w:val="24"/>
          <w:color w:val="auto"/>
        </w:rPr>
      </w:pPr>
    </w:p>
    <w:p>
      <w:pPr>
        <w:jc w:val="center"/>
        <w:ind w:right="4740"/>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3780" w:type="dxa"/>
            <w:vAlign w:val="bottom"/>
          </w:tcPr>
          <w:p>
            <w:pPr>
              <w:ind w:left="2900"/>
              <w:spacing w:after="0"/>
              <w:rPr>
                <w:sz w:val="20"/>
                <w:szCs w:val="20"/>
                <w:color w:val="auto"/>
              </w:rPr>
            </w:pPr>
            <w:r>
              <w:rPr>
                <w:rFonts w:ascii="Courier New" w:cs="Courier New" w:eastAsia="Courier New" w:hAnsi="Courier New"/>
                <w:sz w:val="14"/>
                <w:szCs w:val="14"/>
                <w:color w:val="auto"/>
              </w:rPr>
              <w:t>Copies to:</w:t>
            </w:r>
          </w:p>
        </w:tc>
        <w:tc>
          <w:tcPr>
            <w:tcW w:w="2500" w:type="dxa"/>
            <w:vAlign w:val="bottom"/>
          </w:tcPr>
          <w:p>
            <w:pPr>
              <w:spacing w:after="0"/>
              <w:rPr>
                <w:sz w:val="13"/>
                <w:szCs w:val="13"/>
                <w:color w:val="auto"/>
              </w:rPr>
            </w:pPr>
          </w:p>
        </w:tc>
      </w:tr>
      <w:tr>
        <w:trPr>
          <w:trHeight w:val="326"/>
        </w:trPr>
        <w:tc>
          <w:tcPr>
            <w:tcW w:w="3780" w:type="dxa"/>
            <w:vAlign w:val="bottom"/>
          </w:tcPr>
          <w:p>
            <w:pPr>
              <w:jc w:val="center"/>
              <w:ind w:right="549"/>
              <w:spacing w:after="0"/>
              <w:rPr>
                <w:sz w:val="20"/>
                <w:szCs w:val="20"/>
                <w:color w:val="auto"/>
              </w:rPr>
            </w:pPr>
            <w:r>
              <w:rPr>
                <w:rFonts w:ascii="Courier New" w:cs="Courier New" w:eastAsia="Courier New" w:hAnsi="Courier New"/>
                <w:sz w:val="14"/>
                <w:szCs w:val="14"/>
                <w:color w:val="auto"/>
              </w:rPr>
              <w:t>Matthew J. Mallow, Esq.</w:t>
            </w:r>
          </w:p>
        </w:tc>
        <w:tc>
          <w:tcPr>
            <w:tcW w:w="2500" w:type="dxa"/>
            <w:vAlign w:val="bottom"/>
          </w:tcPr>
          <w:p>
            <w:pPr>
              <w:jc w:val="center"/>
              <w:spacing w:after="0"/>
              <w:rPr>
                <w:sz w:val="20"/>
                <w:szCs w:val="20"/>
                <w:color w:val="auto"/>
              </w:rPr>
            </w:pPr>
            <w:r>
              <w:rPr>
                <w:rFonts w:ascii="Courier New" w:cs="Courier New" w:eastAsia="Courier New" w:hAnsi="Courier New"/>
                <w:sz w:val="14"/>
                <w:szCs w:val="14"/>
                <w:color w:val="auto"/>
              </w:rPr>
              <w:t>Ji Hoon Hong, Esq.</w:t>
            </w:r>
          </w:p>
        </w:tc>
      </w:tr>
      <w:tr>
        <w:trPr>
          <w:trHeight w:val="163"/>
        </w:trPr>
        <w:tc>
          <w:tcPr>
            <w:tcW w:w="3780" w:type="dxa"/>
            <w:vAlign w:val="bottom"/>
          </w:tcPr>
          <w:p>
            <w:pPr>
              <w:ind w:left="520"/>
              <w:spacing w:after="0"/>
              <w:rPr>
                <w:sz w:val="20"/>
                <w:szCs w:val="20"/>
                <w:color w:val="auto"/>
              </w:rPr>
            </w:pPr>
            <w:r>
              <w:rPr>
                <w:rFonts w:ascii="Courier New" w:cs="Courier New" w:eastAsia="Courier New" w:hAnsi="Courier New"/>
                <w:sz w:val="14"/>
                <w:szCs w:val="14"/>
                <w:color w:val="auto"/>
              </w:rPr>
              <w:t>David J. Goldschmidt, Esq.</w:t>
            </w:r>
          </w:p>
        </w:tc>
        <w:tc>
          <w:tcPr>
            <w:tcW w:w="2500" w:type="dxa"/>
            <w:vAlign w:val="bottom"/>
          </w:tcPr>
          <w:p>
            <w:pPr>
              <w:jc w:val="center"/>
              <w:spacing w:after="0"/>
              <w:rPr>
                <w:sz w:val="20"/>
                <w:szCs w:val="20"/>
                <w:color w:val="auto"/>
              </w:rPr>
            </w:pPr>
            <w:r>
              <w:rPr>
                <w:rFonts w:ascii="Courier New" w:cs="Courier New" w:eastAsia="Courier New" w:hAnsi="Courier New"/>
                <w:sz w:val="14"/>
                <w:szCs w:val="14"/>
                <w:color w:val="auto"/>
              </w:rPr>
              <w:t>Shearman &amp; Sterling</w:t>
            </w:r>
          </w:p>
        </w:tc>
      </w:t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Skadden, Arps, Slate, Meagher &amp; Flom LLP</w:t>
            </w:r>
          </w:p>
        </w:tc>
        <w:tc>
          <w:tcPr>
            <w:tcW w:w="2500" w:type="dxa"/>
            <w:vAlign w:val="bottom"/>
          </w:tcPr>
          <w:p>
            <w:pPr>
              <w:jc w:val="center"/>
              <w:spacing w:after="0"/>
              <w:rPr>
                <w:sz w:val="20"/>
                <w:szCs w:val="20"/>
                <w:color w:val="auto"/>
              </w:rPr>
            </w:pPr>
            <w:r>
              <w:rPr>
                <w:rFonts w:ascii="Courier New" w:cs="Courier New" w:eastAsia="Courier New" w:hAnsi="Courier New"/>
                <w:sz w:val="14"/>
                <w:szCs w:val="14"/>
                <w:color w:val="auto"/>
              </w:rPr>
              <w:t>599 Lexington Avenue</w:t>
            </w:r>
          </w:p>
        </w:tc>
      </w:tr>
      <w:tr>
        <w:trPr>
          <w:trHeight w:val="163"/>
        </w:trPr>
        <w:tc>
          <w:tcPr>
            <w:tcW w:w="3780" w:type="dxa"/>
            <w:vAlign w:val="bottom"/>
          </w:tcPr>
          <w:p>
            <w:pPr>
              <w:jc w:val="center"/>
              <w:ind w:right="549"/>
              <w:spacing w:after="0"/>
              <w:rPr>
                <w:sz w:val="20"/>
                <w:szCs w:val="20"/>
                <w:color w:val="auto"/>
              </w:rPr>
            </w:pPr>
            <w:r>
              <w:rPr>
                <w:rFonts w:ascii="Courier New" w:cs="Courier New" w:eastAsia="Courier New" w:hAnsi="Courier New"/>
                <w:sz w:val="14"/>
                <w:szCs w:val="14"/>
                <w:color w:val="auto"/>
              </w:rPr>
              <w:t>Four Times Square</w:t>
            </w:r>
          </w:p>
        </w:tc>
        <w:tc>
          <w:tcPr>
            <w:tcW w:w="2500" w:type="dxa"/>
            <w:vAlign w:val="bottom"/>
          </w:tcPr>
          <w:p>
            <w:pPr>
              <w:jc w:val="center"/>
              <w:spacing w:after="0"/>
              <w:rPr>
                <w:sz w:val="20"/>
                <w:szCs w:val="20"/>
                <w:color w:val="auto"/>
              </w:rPr>
            </w:pPr>
            <w:r>
              <w:rPr>
                <w:rFonts w:ascii="Courier New" w:cs="Courier New" w:eastAsia="Courier New" w:hAnsi="Courier New"/>
                <w:sz w:val="14"/>
                <w:szCs w:val="14"/>
                <w:color w:val="auto"/>
              </w:rPr>
              <w:t>New York, New York 10022-6069</w:t>
            </w:r>
          </w:p>
        </w:tc>
      </w:tr>
      <w:tr>
        <w:trPr>
          <w:trHeight w:val="163"/>
        </w:trPr>
        <w:tc>
          <w:tcPr>
            <w:tcW w:w="3780" w:type="dxa"/>
            <w:vAlign w:val="bottom"/>
          </w:tcPr>
          <w:p>
            <w:pPr>
              <w:jc w:val="center"/>
              <w:ind w:right="569"/>
              <w:spacing w:after="0"/>
              <w:rPr>
                <w:sz w:val="20"/>
                <w:szCs w:val="20"/>
                <w:color w:val="auto"/>
              </w:rPr>
            </w:pPr>
            <w:r>
              <w:rPr>
                <w:rFonts w:ascii="Courier New" w:cs="Courier New" w:eastAsia="Courier New" w:hAnsi="Courier New"/>
                <w:sz w:val="14"/>
                <w:szCs w:val="14"/>
                <w:color w:val="auto"/>
              </w:rPr>
              <w:t>New York, New York 10036-6522</w:t>
            </w:r>
          </w:p>
        </w:tc>
        <w:tc>
          <w:tcPr>
            <w:tcW w:w="2500" w:type="dxa"/>
            <w:vAlign w:val="bottom"/>
          </w:tcPr>
          <w:p>
            <w:pPr>
              <w:jc w:val="center"/>
              <w:spacing w:after="0"/>
              <w:rPr>
                <w:sz w:val="20"/>
                <w:szCs w:val="20"/>
                <w:color w:val="auto"/>
              </w:rPr>
            </w:pPr>
            <w:r>
              <w:rPr>
                <w:rFonts w:ascii="Courier New" w:cs="Courier New" w:eastAsia="Courier New" w:hAnsi="Courier New"/>
                <w:sz w:val="14"/>
                <w:szCs w:val="14"/>
                <w:color w:val="auto"/>
              </w:rPr>
              <w:t>(212) 848-4000</w:t>
            </w:r>
          </w:p>
        </w:tc>
      </w:tr>
    </w:tbl>
    <w:p>
      <w:pPr>
        <w:spacing w:after="0" w:line="3" w:lineRule="exact"/>
        <w:rPr>
          <w:sz w:val="24"/>
          <w:szCs w:val="24"/>
          <w:color w:val="auto"/>
        </w:rPr>
      </w:pPr>
    </w:p>
    <w:p>
      <w:pPr>
        <w:ind w:left="1540" w:hanging="515"/>
        <w:spacing w:after="0"/>
        <w:tabs>
          <w:tab w:leader="none" w:pos="15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735-3000</w:t>
      </w:r>
    </w:p>
    <w:p>
      <w:pPr>
        <w:spacing w:after="0" w:line="167" w:lineRule="exact"/>
        <w:rPr>
          <w:rFonts w:ascii="Courier New" w:cs="Courier New" w:eastAsia="Courier New" w:hAnsi="Courier New"/>
          <w:sz w:val="14"/>
          <w:szCs w:val="14"/>
          <w:color w:val="auto"/>
        </w:rPr>
      </w:pPr>
    </w:p>
    <w:p>
      <w:pPr>
        <w:ind w:left="2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4"/>
          <w:szCs w:val="24"/>
          <w:color w:val="auto"/>
        </w:rPr>
      </w:pPr>
    </w:p>
    <w:p>
      <w:pPr>
        <w:ind w:right="4900" w:firstLine="763"/>
        <w:spacing w:after="0" w:line="248" w:lineRule="auto"/>
        <w:rPr>
          <w:sz w:val="20"/>
          <w:szCs w:val="20"/>
          <w:color w:val="auto"/>
        </w:rPr>
      </w:pPr>
      <w:r>
        <w:rPr>
          <w:rFonts w:ascii="Courier New" w:cs="Courier New" w:eastAsia="Courier New" w:hAnsi="Courier New"/>
          <w:sz w:val="14"/>
          <w:szCs w:val="14"/>
          <w:color w:val="auto"/>
        </w:rPr>
        <w:t>Approximate date of commencement of proposed sale to the public: As soon as practicable after this Registration Statement becomes effective.</w:t>
      </w:r>
    </w:p>
    <w:p>
      <w:pPr>
        <w:spacing w:after="0" w:line="161" w:lineRule="exact"/>
        <w:rPr>
          <w:sz w:val="24"/>
          <w:szCs w:val="24"/>
          <w:color w:val="auto"/>
        </w:rPr>
      </w:pPr>
    </w:p>
    <w:p>
      <w:pPr>
        <w:jc w:val="both"/>
        <w:ind w:right="4660" w:firstLine="763"/>
        <w:spacing w:after="0" w:line="247"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/_/</w:t>
      </w:r>
    </w:p>
    <w:p>
      <w:pPr>
        <w:spacing w:after="0" w:line="163" w:lineRule="exact"/>
        <w:rPr>
          <w:sz w:val="24"/>
          <w:szCs w:val="24"/>
          <w:color w:val="auto"/>
        </w:rPr>
      </w:pPr>
    </w:p>
    <w:p>
      <w:pPr>
        <w:ind w:right="4820" w:firstLine="763"/>
        <w:spacing w:after="0" w:line="247"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/_/</w:t>
      </w:r>
    </w:p>
    <w:p>
      <w:pPr>
        <w:spacing w:after="0" w:line="162" w:lineRule="exact"/>
        <w:rPr>
          <w:sz w:val="24"/>
          <w:szCs w:val="24"/>
          <w:color w:val="auto"/>
        </w:rPr>
      </w:pPr>
    </w:p>
    <w:p>
      <w:pPr>
        <w:ind w:right="4560" w:firstLine="763"/>
        <w:spacing w:after="0" w:line="247"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62" w:lineRule="exact"/>
        <w:rPr>
          <w:sz w:val="24"/>
          <w:szCs w:val="24"/>
          <w:color w:val="auto"/>
        </w:rPr>
      </w:pPr>
    </w:p>
    <w:p>
      <w:pPr>
        <w:ind w:right="4560" w:firstLine="763"/>
        <w:spacing w:after="0" w:line="247"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62" w:lineRule="exact"/>
        <w:rPr>
          <w:sz w:val="24"/>
          <w:szCs w:val="24"/>
          <w:color w:val="auto"/>
        </w:rPr>
      </w:pPr>
    </w:p>
    <w:p>
      <w:pPr>
        <w:ind w:right="4740" w:firstLine="763"/>
        <w:spacing w:after="0" w:line="248"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/_/</w:t>
      </w:r>
    </w:p>
    <w:p>
      <w:pPr>
        <w:spacing w:after="0" w:line="161" w:lineRule="exact"/>
        <w:rPr>
          <w:sz w:val="24"/>
          <w:szCs w:val="24"/>
          <w:color w:val="auto"/>
        </w:rPr>
      </w:pPr>
    </w:p>
    <w:p>
      <w:pPr>
        <w:ind w:left="2120"/>
        <w:spacing w:after="0"/>
        <w:rPr>
          <w:sz w:val="20"/>
          <w:szCs w:val="20"/>
          <w:color w:val="auto"/>
        </w:rPr>
      </w:pPr>
      <w:r>
        <w:rPr>
          <w:rFonts w:ascii="Courier New" w:cs="Courier New" w:eastAsia="Courier New" w:hAnsi="Courier New"/>
          <w:sz w:val="14"/>
          <w:szCs w:val="14"/>
          <w:color w:val="auto"/>
        </w:rPr>
        <w:t>CALCULATION OF REGISTRATION FEE</w:t>
      </w:r>
    </w:p>
    <w:p>
      <w:pPr>
        <w:spacing w:after="0" w:line="33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4"/>
          <w:szCs w:val="24"/>
          <w:color w:val="auto"/>
        </w:rPr>
      </w:pPr>
    </w:p>
    <w:p>
      <w:pPr>
        <w:ind w:left="6120"/>
        <w:spacing w:after="0"/>
        <w:tabs>
          <w:tab w:leader="none" w:pos="7880" w:val="left"/>
        </w:tabs>
        <w:rPr>
          <w:sz w:val="20"/>
          <w:szCs w:val="20"/>
          <w:color w:val="auto"/>
        </w:rPr>
      </w:pPr>
      <w:r>
        <w:rPr>
          <w:rFonts w:ascii="Courier New" w:cs="Courier New" w:eastAsia="Courier New" w:hAnsi="Courier New"/>
          <w:sz w:val="14"/>
          <w:szCs w:val="14"/>
          <w:color w:val="auto"/>
        </w:rPr>
        <w:t>Proposed</w:t>
      </w:r>
      <w:r>
        <w:rPr>
          <w:sz w:val="20"/>
          <w:szCs w:val="20"/>
          <w:color w:val="auto"/>
        </w:rPr>
        <w:tab/>
      </w:r>
      <w:r>
        <w:rPr>
          <w:rFonts w:ascii="Courier New" w:cs="Courier New" w:eastAsia="Courier New" w:hAnsi="Courier New"/>
          <w:sz w:val="14"/>
          <w:szCs w:val="14"/>
          <w:color w:val="auto"/>
        </w:rPr>
        <w:t>Proposed</w:t>
      </w:r>
    </w:p>
    <w:p>
      <w:pPr>
        <w:spacing w:after="0" w:line="4" w:lineRule="exact"/>
        <w:rPr>
          <w:sz w:val="24"/>
          <w:szCs w:val="24"/>
          <w:color w:val="auto"/>
        </w:rPr>
      </w:pPr>
    </w:p>
    <w:p>
      <w:pPr>
        <w:ind w:left="1200"/>
        <w:spacing w:after="0"/>
        <w:tabs>
          <w:tab w:leader="none" w:pos="4400" w:val="left"/>
          <w:tab w:leader="none" w:pos="5840" w:val="left"/>
          <w:tab w:leader="none" w:pos="7540" w:val="left"/>
          <w:tab w:leader="none" w:pos="9560" w:val="left"/>
        </w:tabs>
        <w:rPr>
          <w:sz w:val="20"/>
          <w:szCs w:val="20"/>
          <w:color w:val="auto"/>
        </w:rPr>
      </w:pPr>
      <w:r>
        <w:rPr>
          <w:rFonts w:ascii="Courier New" w:cs="Courier New" w:eastAsia="Courier New" w:hAnsi="Courier New"/>
          <w:sz w:val="14"/>
          <w:szCs w:val="14"/>
          <w:color w:val="auto"/>
        </w:rPr>
        <w:t>Title of each class of</w:t>
      </w:r>
      <w:r>
        <w:rPr>
          <w:sz w:val="20"/>
          <w:szCs w:val="20"/>
          <w:color w:val="auto"/>
        </w:rPr>
        <w:tab/>
      </w:r>
      <w:r>
        <w:rPr>
          <w:rFonts w:ascii="Courier New" w:cs="Courier New" w:eastAsia="Courier New" w:hAnsi="Courier New"/>
          <w:sz w:val="14"/>
          <w:szCs w:val="14"/>
          <w:color w:val="auto"/>
        </w:rPr>
        <w:t>Amount to be</w:t>
      </w:r>
      <w:r>
        <w:rPr>
          <w:sz w:val="20"/>
          <w:szCs w:val="20"/>
          <w:color w:val="auto"/>
        </w:rPr>
        <w:tab/>
      </w:r>
      <w:r>
        <w:rPr>
          <w:rFonts w:ascii="Courier New" w:cs="Courier New" w:eastAsia="Courier New" w:hAnsi="Courier New"/>
          <w:sz w:val="14"/>
          <w:szCs w:val="14"/>
          <w:color w:val="auto"/>
        </w:rPr>
        <w:t>maximum offering</w:t>
      </w:r>
      <w:r>
        <w:rPr>
          <w:sz w:val="20"/>
          <w:szCs w:val="20"/>
          <w:color w:val="auto"/>
        </w:rPr>
        <w:tab/>
      </w:r>
      <w:r>
        <w:rPr>
          <w:rFonts w:ascii="Courier New" w:cs="Courier New" w:eastAsia="Courier New" w:hAnsi="Courier New"/>
          <w:sz w:val="14"/>
          <w:szCs w:val="14"/>
          <w:color w:val="auto"/>
        </w:rPr>
        <w:t>maximum aggregate</w:t>
      </w:r>
      <w:r>
        <w:rPr>
          <w:sz w:val="20"/>
          <w:szCs w:val="20"/>
          <w:color w:val="auto"/>
        </w:rPr>
        <w:tab/>
      </w:r>
      <w:r>
        <w:rPr>
          <w:rFonts w:ascii="Courier New" w:cs="Courier New" w:eastAsia="Courier New" w:hAnsi="Courier New"/>
          <w:sz w:val="14"/>
          <w:szCs w:val="14"/>
          <w:color w:val="auto"/>
        </w:rPr>
        <w:t>Amount of</w:t>
      </w:r>
    </w:p>
    <w:p>
      <w:pPr>
        <w:spacing w:after="0" w:line="4" w:lineRule="exact"/>
        <w:rPr>
          <w:sz w:val="24"/>
          <w:szCs w:val="24"/>
          <w:color w:val="auto"/>
        </w:rPr>
      </w:pPr>
    </w:p>
    <w:p>
      <w:pPr>
        <w:ind w:left="940"/>
        <w:spacing w:after="0"/>
        <w:tabs>
          <w:tab w:leader="none" w:pos="4400" w:val="left"/>
          <w:tab w:leader="none" w:pos="5840" w:val="left"/>
          <w:tab w:leader="none" w:pos="7540" w:val="left"/>
          <w:tab w:leader="none" w:pos="9240" w:val="left"/>
        </w:tabs>
        <w:rPr>
          <w:sz w:val="20"/>
          <w:szCs w:val="20"/>
          <w:color w:val="auto"/>
        </w:rPr>
      </w:pPr>
      <w:r>
        <w:rPr>
          <w:rFonts w:ascii="Courier New" w:cs="Courier New" w:eastAsia="Courier New" w:hAnsi="Courier New"/>
          <w:sz w:val="14"/>
          <w:szCs w:val="14"/>
          <w:color w:val="auto"/>
        </w:rPr>
        <w:t>securities to be registered</w:t>
      </w:r>
      <w:r>
        <w:rPr>
          <w:sz w:val="20"/>
          <w:szCs w:val="20"/>
          <w:color w:val="auto"/>
        </w:rPr>
        <w:tab/>
      </w:r>
      <w:r>
        <w:rPr>
          <w:rFonts w:ascii="Courier New" w:cs="Courier New" w:eastAsia="Courier New" w:hAnsi="Courier New"/>
          <w:sz w:val="14"/>
          <w:szCs w:val="14"/>
          <w:color w:val="auto"/>
        </w:rPr>
        <w:t>registered(1)</w:t>
      </w:r>
      <w:r>
        <w:rPr>
          <w:sz w:val="20"/>
          <w:szCs w:val="20"/>
          <w:color w:val="auto"/>
        </w:rPr>
        <w:tab/>
      </w:r>
      <w:r>
        <w:rPr>
          <w:rFonts w:ascii="Courier New" w:cs="Courier New" w:eastAsia="Courier New" w:hAnsi="Courier New"/>
          <w:sz w:val="14"/>
          <w:szCs w:val="14"/>
          <w:color w:val="auto"/>
        </w:rPr>
        <w:t>price per unit(2)</w:t>
      </w:r>
      <w:r>
        <w:rPr>
          <w:sz w:val="20"/>
          <w:szCs w:val="20"/>
          <w:color w:val="auto"/>
        </w:rPr>
        <w:tab/>
      </w:r>
      <w:r>
        <w:rPr>
          <w:rFonts w:ascii="Courier New" w:cs="Courier New" w:eastAsia="Courier New" w:hAnsi="Courier New"/>
          <w:sz w:val="14"/>
          <w:szCs w:val="14"/>
          <w:color w:val="auto"/>
        </w:rPr>
        <w:t>offering price(2)</w:t>
      </w:r>
      <w:r>
        <w:rPr>
          <w:sz w:val="20"/>
          <w:szCs w:val="20"/>
          <w:color w:val="auto"/>
        </w:rPr>
        <w:tab/>
      </w:r>
      <w:r>
        <w:rPr>
          <w:rFonts w:ascii="Courier New" w:cs="Courier New" w:eastAsia="Courier New" w:hAnsi="Courier New"/>
          <w:sz w:val="14"/>
          <w:szCs w:val="14"/>
          <w:color w:val="auto"/>
        </w:rPr>
        <w:t>registration fee(2)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4120" w:type="dxa"/>
            <w:vAlign w:val="bottom"/>
          </w:tcPr>
          <w:p>
            <w:pPr>
              <w:spacing w:after="0"/>
              <w:rPr>
                <w:sz w:val="20"/>
                <w:szCs w:val="20"/>
                <w:color w:val="auto"/>
              </w:rPr>
            </w:pPr>
            <w:r>
              <w:rPr>
                <w:rFonts w:ascii="Courier New" w:cs="Courier New" w:eastAsia="Courier New" w:hAnsi="Courier New"/>
                <w:sz w:val="14"/>
                <w:szCs w:val="14"/>
                <w:color w:val="auto"/>
              </w:rPr>
              <w:t>Common stock, $0.001 par value (including</w:t>
            </w:r>
          </w:p>
        </w:tc>
        <w:tc>
          <w:tcPr>
            <w:tcW w:w="15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3"/>
        </w:trPr>
        <w:tc>
          <w:tcPr>
            <w:tcW w:w="4120" w:type="dxa"/>
            <w:vAlign w:val="bottom"/>
          </w:tcPr>
          <w:p>
            <w:pPr>
              <w:ind w:left="180"/>
              <w:spacing w:after="0"/>
              <w:rPr>
                <w:sz w:val="20"/>
                <w:szCs w:val="20"/>
                <w:color w:val="auto"/>
              </w:rPr>
            </w:pPr>
            <w:r>
              <w:rPr>
                <w:rFonts w:ascii="Courier New" w:cs="Courier New" w:eastAsia="Courier New" w:hAnsi="Courier New"/>
                <w:sz w:val="14"/>
                <w:szCs w:val="14"/>
                <w:color w:val="auto"/>
              </w:rPr>
              <w:t>the associated rights to purchase Series</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3"/>
        </w:trPr>
        <w:tc>
          <w:tcPr>
            <w:tcW w:w="4120" w:type="dxa"/>
            <w:vAlign w:val="bottom"/>
          </w:tcPr>
          <w:p>
            <w:pPr>
              <w:ind w:left="180"/>
              <w:spacing w:after="0"/>
              <w:rPr>
                <w:sz w:val="20"/>
                <w:szCs w:val="20"/>
                <w:color w:val="auto"/>
              </w:rPr>
            </w:pPr>
            <w:r>
              <w:rPr>
                <w:rFonts w:ascii="Courier New" w:cs="Courier New" w:eastAsia="Courier New" w:hAnsi="Courier New"/>
                <w:sz w:val="14"/>
                <w:szCs w:val="14"/>
                <w:color w:val="auto"/>
              </w:rPr>
              <w:t>A Junior Participating Preferred Stock)(3)</w:t>
            </w:r>
          </w:p>
        </w:tc>
        <w:tc>
          <w:tcPr>
            <w:tcW w:w="15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4,600,000</w:t>
            </w:r>
          </w:p>
        </w:tc>
        <w:tc>
          <w:tcPr>
            <w:tcW w:w="17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$ 50.40625</w:t>
            </w:r>
          </w:p>
        </w:tc>
        <w:tc>
          <w:tcPr>
            <w:tcW w:w="19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$ 231,868,750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$ 60,909.75</w:t>
            </w:r>
          </w:p>
        </w:tc>
      </w:tr>
    </w:tbl>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4"/>
          <w:szCs w:val="24"/>
          <w:color w:val="auto"/>
        </w:rPr>
      </w:pPr>
    </w:p>
    <w:p>
      <w:pPr>
        <w:ind w:left="340" w:right="4820" w:hanging="333"/>
        <w:spacing w:after="0" w:line="247" w:lineRule="auto"/>
        <w:tabs>
          <w:tab w:leader="none" w:pos="3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of the common stock of the Registrant which may be sold pursuant to options granted to the Underwriters from a shareholder of the Registrant to cover over-allotments.</w:t>
      </w:r>
    </w:p>
    <w:p>
      <w:pPr>
        <w:sectPr>
          <w:pgSz w:w="11900" w:h="16900" w:orient="portrait"/>
          <w:cols w:equalWidth="0" w:num="1">
            <w:col w:w="11360"/>
          </w:cols>
          <w:pgMar w:left="300" w:top="554" w:right="239" w:bottom="0" w:gutter="0" w:footer="0" w:header="0"/>
          <w:type w:val="continuous"/>
        </w:sectPr>
      </w:pPr>
    </w:p>
    <w:bookmarkStart w:id="1" w:name="page2"/>
    <w:bookmarkEnd w:id="1"/>
    <w:p>
      <w:pPr>
        <w:ind w:left="340" w:right="3359" w:hanging="333"/>
        <w:spacing w:after="0" w:line="247" w:lineRule="auto"/>
        <w:tabs>
          <w:tab w:leader="none" w:pos="3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computing the amount of the registration fee pursuant to Rule 457(c) under the Securities Act of 1933, as amended, based on the average of the high and low prices reported on the Nasdaq National Market as of March 2, 2000.</w:t>
      </w:r>
    </w:p>
    <w:p>
      <w:pPr>
        <w:spacing w:after="0" w:line="162" w:lineRule="exact"/>
        <w:rPr>
          <w:rFonts w:ascii="Courier New" w:cs="Courier New" w:eastAsia="Courier New" w:hAnsi="Courier New"/>
          <w:sz w:val="14"/>
          <w:szCs w:val="14"/>
          <w:color w:val="auto"/>
        </w:rPr>
      </w:pPr>
    </w:p>
    <w:p>
      <w:pPr>
        <w:ind w:left="340" w:right="3359" w:hanging="333"/>
        <w:spacing w:after="0" w:line="247" w:lineRule="auto"/>
        <w:tabs>
          <w:tab w:leader="none" w:pos="3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to purchase shares of our Series A Junior Participating Preferred Stock initially are attached to and trade with the shares of our common stock being registered hereby. Value attributed to such rights, if any, is reflected in the market price of our common stock.</w:t>
      </w:r>
    </w:p>
    <w:p>
      <w:pPr>
        <w:spacing w:after="0" w:line="162"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specifically stating that this Registration Statement shall thereafter become effective in accordance with Section 8(a) of the Securities Act of such date as the Commission, acting pursuant to said Section 8(a), may determine.</w:t>
      </w:r>
    </w:p>
    <w:p>
      <w:pPr>
        <w:sectPr>
          <w:pgSz w:w="11900" w:h="16838" w:orient="portrait"/>
          <w:cols w:equalWidth="0" w:num="1">
            <w:col w:w="10159"/>
          </w:cols>
          <w:pgMar w:left="300" w:top="304" w:right="1440" w:bottom="1440" w:gutter="0" w:footer="0" w:header="0"/>
        </w:sectPr>
      </w:pPr>
    </w:p>
    <w:bookmarkStart w:id="2" w:name="page3"/>
    <w:bookmarkEnd w:id="2"/>
    <w:p>
      <w:pPr>
        <w:ind w:right="3359"/>
        <w:spacing w:after="0" w:line="247"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6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Subject to Completion</w:t>
      </w:r>
    </w:p>
    <w:p>
      <w:pPr>
        <w:spacing w:after="0" w:line="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Preliminary Prospectus dated March 6,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4,000,000 Shares</w:t>
      </w:r>
    </w:p>
    <w:p>
      <w:pPr>
        <w:spacing w:after="0" w:line="16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REGENERON PHARMACEUTICALS, INC.</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Common Stock</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Regeneron is selling 4,000,000 shares.</w:t>
      </w:r>
    </w:p>
    <w:p>
      <w:pPr>
        <w:spacing w:after="0" w:line="168"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The shares are quoted on the Nasdaq National Market under the symbol "REGN." On March 2, 2000, the last sale price of the shares as reported on the Nasdaq National Market was $50 13/32 per share.</w:t>
      </w:r>
    </w:p>
    <w:p>
      <w:pPr>
        <w:spacing w:after="0" w:line="163" w:lineRule="exact"/>
        <w:rPr>
          <w:sz w:val="20"/>
          <w:szCs w:val="20"/>
          <w:color w:val="auto"/>
        </w:rPr>
      </w:pPr>
    </w:p>
    <w:p>
      <w:pPr>
        <w:ind w:right="3799" w:firstLine="424"/>
        <w:spacing w:after="0" w:line="248" w:lineRule="auto"/>
        <w:rPr>
          <w:sz w:val="20"/>
          <w:szCs w:val="20"/>
          <w:color w:val="auto"/>
        </w:rPr>
      </w:pPr>
      <w:r>
        <w:rPr>
          <w:rFonts w:ascii="Courier New" w:cs="Courier New" w:eastAsia="Courier New" w:hAnsi="Courier New"/>
          <w:sz w:val="14"/>
          <w:szCs w:val="14"/>
          <w:color w:val="auto"/>
        </w:rPr>
        <w:t>Investing in the common stock involves risks that are described in the "Risk Factors" section beginning on page 8 of this prospectus.</w:t>
      </w:r>
    </w:p>
    <w:p>
      <w:pPr>
        <w:spacing w:after="0" w:line="161"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4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489"/>
        </w:trPr>
        <w:tc>
          <w:tcPr>
            <w:tcW w:w="4060" w:type="dxa"/>
            <w:vAlign w:val="bottom"/>
          </w:tcPr>
          <w:p>
            <w:pPr>
              <w:spacing w:after="0"/>
              <w:rPr>
                <w:sz w:val="24"/>
                <w:szCs w:val="24"/>
                <w:color w:val="auto"/>
              </w:rPr>
            </w:pP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Per Share</w:t>
            </w:r>
          </w:p>
        </w:tc>
        <w:tc>
          <w:tcPr>
            <w:tcW w:w="840" w:type="dxa"/>
            <w:vAlign w:val="bottom"/>
          </w:tcPr>
          <w:p>
            <w:pPr>
              <w:ind w:left="420"/>
              <w:spacing w:after="0"/>
              <w:rPr>
                <w:sz w:val="20"/>
                <w:szCs w:val="20"/>
                <w:color w:val="auto"/>
              </w:rPr>
            </w:pPr>
            <w:r>
              <w:rPr>
                <w:rFonts w:ascii="Courier New" w:cs="Courier New" w:eastAsia="Courier New" w:hAnsi="Courier New"/>
                <w:sz w:val="14"/>
                <w:szCs w:val="14"/>
                <w:color w:val="auto"/>
                <w:w w:val="95"/>
              </w:rPr>
              <w:t>Total</w:t>
            </w:r>
          </w:p>
        </w:tc>
      </w:tr>
      <w:tr>
        <w:trPr>
          <w:trHeight w:val="163"/>
        </w:trPr>
        <w:tc>
          <w:tcPr>
            <w:tcW w:w="4060" w:type="dxa"/>
            <w:vAlign w:val="bottom"/>
          </w:tcPr>
          <w:p>
            <w:pPr>
              <w:spacing w:after="0"/>
              <w:rPr>
                <w:sz w:val="14"/>
                <w:szCs w:val="14"/>
                <w:color w:val="auto"/>
              </w:rPr>
            </w:pP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center"/>
              <w:ind w:left="349"/>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4060" w:type="dxa"/>
            <w:vAlign w:val="bottom"/>
          </w:tcPr>
          <w:p>
            <w:pPr>
              <w:spacing w:after="0"/>
              <w:rPr>
                <w:sz w:val="20"/>
                <w:szCs w:val="20"/>
                <w:color w:val="auto"/>
              </w:rPr>
            </w:pPr>
            <w:r>
              <w:rPr>
                <w:rFonts w:ascii="Courier New" w:cs="Courier New" w:eastAsia="Courier New" w:hAnsi="Courier New"/>
                <w:sz w:val="14"/>
                <w:szCs w:val="14"/>
                <w:color w:val="auto"/>
              </w:rPr>
              <w:t>Public offering price .........................</w:t>
            </w:r>
          </w:p>
        </w:tc>
        <w:tc>
          <w:tcPr>
            <w:tcW w:w="128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center"/>
              <w:ind w:lef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4060" w:type="dxa"/>
            <w:vAlign w:val="bottom"/>
          </w:tcPr>
          <w:p>
            <w:pPr>
              <w:spacing w:after="0"/>
              <w:rPr>
                <w:sz w:val="20"/>
                <w:szCs w:val="20"/>
                <w:color w:val="auto"/>
              </w:rPr>
            </w:pPr>
            <w:r>
              <w:rPr>
                <w:rFonts w:ascii="Courier New" w:cs="Courier New" w:eastAsia="Courier New" w:hAnsi="Courier New"/>
                <w:sz w:val="14"/>
                <w:szCs w:val="14"/>
                <w:color w:val="auto"/>
              </w:rPr>
              <w:t>Underwriting discount .........................</w:t>
            </w:r>
          </w:p>
        </w:tc>
        <w:tc>
          <w:tcPr>
            <w:tcW w:w="128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center"/>
              <w:ind w:lef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4060" w:type="dxa"/>
            <w:vAlign w:val="bottom"/>
          </w:tcPr>
          <w:p>
            <w:pPr>
              <w:spacing w:after="0"/>
              <w:rPr>
                <w:sz w:val="20"/>
                <w:szCs w:val="20"/>
                <w:color w:val="auto"/>
              </w:rPr>
            </w:pPr>
            <w:r>
              <w:rPr>
                <w:rFonts w:ascii="Courier New" w:cs="Courier New" w:eastAsia="Courier New" w:hAnsi="Courier New"/>
                <w:sz w:val="14"/>
                <w:szCs w:val="14"/>
                <w:color w:val="auto"/>
              </w:rPr>
              <w:t>Proceeds, before expenses, to Regeneron .......</w:t>
            </w:r>
          </w:p>
        </w:tc>
        <w:tc>
          <w:tcPr>
            <w:tcW w:w="128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center"/>
              <w:ind w:left="349"/>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underwriters may also purchase up to an additional 600,000 shares from a selling shareholder at the public offering price, less the underwriting discount, within 30 days from the date of this prospectus to cover over-allotments.</w:t>
      </w:r>
    </w:p>
    <w:p>
      <w:pPr>
        <w:spacing w:after="0" w:line="162"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shares will be ready for delivery on or about __________, 2000.</w:t>
      </w:r>
    </w:p>
    <w:p>
      <w:pPr>
        <w:spacing w:after="0" w:line="16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Merrill Lynch &amp; Co.</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Lehman Brothers</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J.P. Morgan &amp; Co.</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Robertson Stephens</w:t>
      </w:r>
    </w:p>
    <w:p>
      <w:pPr>
        <w:spacing w:after="0" w:line="331" w:lineRule="exact"/>
        <w:rPr>
          <w:sz w:val="20"/>
          <w:szCs w:val="20"/>
          <w:color w:val="auto"/>
        </w:rPr>
      </w:pPr>
    </w:p>
    <w:tbl>
      <w:tblPr>
        <w:tblLayout w:type="fixed"/>
        <w:tblInd w:w="1100" w:type="dxa"/>
        <w:tblCellMar>
          <w:top w:w="0" w:type="dxa"/>
          <w:left w:w="0" w:type="dxa"/>
          <w:bottom w:w="0" w:type="dxa"/>
          <w:right w:w="0" w:type="dxa"/>
        </w:tblCellMar>
      </w:tblPr>
      <w:tr>
        <w:trPr>
          <w:trHeight w:val="160"/>
        </w:trPr>
        <w:tc>
          <w:tcPr>
            <w:tcW w:w="3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3"/>
                <w:szCs w:val="13"/>
                <w:color w:val="auto"/>
              </w:rPr>
            </w:pPr>
          </w:p>
        </w:tc>
      </w:tr>
      <w:tr>
        <w:trPr>
          <w:trHeight w:val="326"/>
        </w:trPr>
        <w:tc>
          <w:tcPr>
            <w:tcW w:w="3620" w:type="dxa"/>
            <w:vAlign w:val="bottom"/>
          </w:tcPr>
          <w:p>
            <w:pPr>
              <w:jc w:val="right"/>
              <w:ind w:right="989"/>
              <w:spacing w:after="0"/>
              <w:rPr>
                <w:sz w:val="20"/>
                <w:szCs w:val="20"/>
                <w:color w:val="auto"/>
              </w:rPr>
            </w:pPr>
            <w:r>
              <w:rPr>
                <w:rFonts w:ascii="Courier New" w:cs="Courier New" w:eastAsia="Courier New" w:hAnsi="Courier New"/>
                <w:sz w:val="14"/>
                <w:szCs w:val="14"/>
                <w:color w:val="auto"/>
              </w:rPr>
              <w:t>The date of this prospectus is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2000.</w:t>
            </w:r>
          </w:p>
        </w:tc>
      </w:tr>
    </w:tbl>
    <w:p>
      <w:pPr>
        <w:sectPr>
          <w:pgSz w:w="11900" w:h="16838" w:orient="portrait"/>
          <w:cols w:equalWidth="0" w:num="1">
            <w:col w:w="10159"/>
          </w:cols>
          <w:pgMar w:left="300" w:top="772"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780" w:type="dxa"/>
            <w:vAlign w:val="bottom"/>
          </w:tcPr>
          <w:p>
            <w:pPr>
              <w:ind w:left="2720"/>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3"/>
                <w:szCs w:val="13"/>
                <w:color w:val="auto"/>
              </w:rPr>
            </w:pPr>
          </w:p>
        </w:tc>
      </w:tr>
      <w:tr>
        <w:trPr>
          <w:trHeight w:val="326"/>
        </w:trPr>
        <w:tc>
          <w:tcPr>
            <w:tcW w:w="57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3"/>
        </w:trPr>
        <w:tc>
          <w:tcPr>
            <w:tcW w:w="57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26"/>
        </w:trPr>
        <w:tc>
          <w:tcPr>
            <w:tcW w:w="5780" w:type="dxa"/>
            <w:vAlign w:val="bottom"/>
          </w:tcPr>
          <w:p>
            <w:pPr>
              <w:spacing w:after="0"/>
              <w:rPr>
                <w:sz w:val="20"/>
                <w:szCs w:val="20"/>
                <w:color w:val="auto"/>
              </w:rPr>
            </w:pPr>
            <w:r>
              <w:rPr>
                <w:rFonts w:ascii="Courier New" w:cs="Courier New" w:eastAsia="Courier New" w:hAnsi="Courier New"/>
                <w:sz w:val="14"/>
                <w:szCs w:val="14"/>
                <w:color w:val="auto"/>
                <w:w w:val="99"/>
              </w:rPr>
              <w:t>Summary  ............................................................</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w w:val="99"/>
              </w:rPr>
              <w:t>Risk Factors.........................................................</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Forward-looking Statements..........................................</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16</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Use of Proceeds.....................................................</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18</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Dividend Policy.....................................................</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18</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19</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Dilution ...........................................................</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20</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Selected Financial Data.............................................</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21</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Business ...........................................................</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22</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Management..........................................................</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30</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Investment Company Act Considerations...............................</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34</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Description of Capital Stock........................................</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34</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Selling Shareholder.................................................</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38</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Underwriting........................................................</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39</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Legal Matters.......................................................</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42</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Experts  ...........................................................</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42</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Where You Can Find More Information.................................</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42</w:t>
            </w:r>
          </w:p>
        </w:tc>
      </w:tr>
    </w:tbl>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 this prospectus, "Regeneron," "our company," "we," "us" and "our" refer to Regeneron Pharmaceuticals, Inc. You should rely only on the information contained or incorporated by reference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33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772" w:right="1440" w:bottom="1440" w:gutter="0" w:footer="0" w:header="0"/>
        </w:sectPr>
      </w:pPr>
    </w:p>
    <w:bookmarkStart w:id="4" w:name="page5"/>
    <w:bookmarkEnd w:id="4"/>
    <w:p>
      <w:pPr>
        <w:ind w:left="3140"/>
        <w:spacing w:after="0"/>
        <w:rPr>
          <w:sz w:val="20"/>
          <w:szCs w:val="20"/>
          <w:color w:val="auto"/>
        </w:rPr>
      </w:pPr>
      <w:r>
        <w:rPr>
          <w:rFonts w:ascii="Courier New" w:cs="Courier New" w:eastAsia="Courier New" w:hAnsi="Courier New"/>
          <w:sz w:val="14"/>
          <w:szCs w:val="14"/>
          <w:color w:val="auto"/>
        </w:rPr>
        <w:t>SUMMARY</w:t>
      </w:r>
    </w:p>
    <w:p>
      <w:pPr>
        <w:spacing w:after="0" w:line="168" w:lineRule="exact"/>
        <w:rPr>
          <w:sz w:val="20"/>
          <w:szCs w:val="20"/>
          <w:color w:val="auto"/>
        </w:rPr>
      </w:pPr>
    </w:p>
    <w:p>
      <w:pPr>
        <w:ind w:right="3359" w:firstLine="1526"/>
        <w:spacing w:after="0" w:line="246" w:lineRule="auto"/>
        <w:rPr>
          <w:sz w:val="20"/>
          <w:szCs w:val="20"/>
          <w:color w:val="auto"/>
        </w:rPr>
      </w:pPr>
      <w:r>
        <w:rPr>
          <w:rFonts w:ascii="Courier New" w:cs="Courier New" w:eastAsia="Courier New" w:hAnsi="Courier New"/>
          <w:sz w:val="14"/>
          <w:szCs w:val="14"/>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 Unless otherwise indicated, all information in this prospectus assumes no exercise of the underwriters' over-allotment option, gives no effect to the exercise of outstanding options to purchase common stock, and assumes all share numbers set forth in this prospectus are as of February 25, 2000.</w:t>
      </w:r>
    </w:p>
    <w:p>
      <w:pPr>
        <w:spacing w:after="0" w:line="331"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Regeneron Pharmaceuticals, Inc.</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We are a biopharmaceutical company that discovers, develops and intends to commercialize therapeutic drugs for the treatment of serious medical conditions. Expanding from our initial focus on degenerative neurologic diseases, we have more recently broadened our product pipeline to include drug candidates for the treatment of obesity, rheumatoid arthritis, cancer, allergies, asthma, ischemia and other diseases and disorders.</w:t>
      </w:r>
    </w:p>
    <w:p>
      <w:pPr>
        <w:spacing w:after="0" w:line="162" w:lineRule="exact"/>
        <w:rPr>
          <w:sz w:val="20"/>
          <w:szCs w:val="20"/>
          <w:color w:val="auto"/>
        </w:rPr>
      </w:pPr>
    </w:p>
    <w:p>
      <w:pPr>
        <w:ind w:right="3539" w:firstLine="763"/>
        <w:spacing w:after="0" w:line="246" w:lineRule="auto"/>
        <w:rPr>
          <w:sz w:val="20"/>
          <w:szCs w:val="20"/>
          <w:color w:val="auto"/>
        </w:rPr>
      </w:pPr>
      <w:r>
        <w:rPr>
          <w:rFonts w:ascii="Courier New" w:cs="Courier New" w:eastAsia="Courier New" w:hAnsi="Courier New"/>
          <w:sz w:val="14"/>
          <w:szCs w:val="14"/>
          <w:color w:val="auto"/>
        </w:rPr>
        <w:t>Our ability to discover and develop product candidates for a wide variety of serious medical conditions results from the leveraging of several powerful technology platforms, many of which were developed or enhanced by us. In contrast to basic genomics approaches, which attempt to identify every gene in a cell or genome, we use Targeted Genomics(TM) and Functionomics(TM) (functional cloning) technology platforms that are designed to discover specific genes of therapeutic interest for a particular disease or cell type. Using these approaches, we have discovered many new families of growth factors and receptors, most of which are already protected by issued patents and which have led to several product candidates. In cases in which the natural gene product is itself not a product candidate, we utilize our Designer Protein Therapeutics(TM) platform to genetically engineer product candidates with the desired properties. This technology platform has already produced more than 10 patented proteins, several of which are in preclinical development.</w:t>
      </w:r>
    </w:p>
    <w:p>
      <w:pPr>
        <w:spacing w:after="0" w:line="170"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sophisticated application of all of these technology platforms, coupled with our biologic expertise in disease modeling, have allowed us to discover drug candidates that address a wide variety of important medical needs. Relative to many participants in the biotechnology and genomics industry, we are well-positioned with three products in ongoing clinical trials and several product candidates planned to enter clinical trials over the next one to two years, including:</w:t>
      </w:r>
    </w:p>
    <w:p>
      <w:pPr>
        <w:spacing w:after="0" w:line="162" w:lineRule="exact"/>
        <w:rPr>
          <w:sz w:val="20"/>
          <w:szCs w:val="20"/>
          <w:color w:val="auto"/>
        </w:rPr>
      </w:pPr>
    </w:p>
    <w:p>
      <w:pPr>
        <w:ind w:left="1200" w:right="3459" w:hanging="430"/>
        <w:spacing w:after="0" w:line="246" w:lineRule="auto"/>
        <w:tabs>
          <w:tab w:leader="none" w:pos="12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AXOKINE(R) second generation ciliary neurotrophic factor: Acts on the brain region regulating food intake and energy expenditure. AXOKINE is being developed for the treatment of obesity and complications of obesity such as Type II diabetes and is</w:t>
      </w:r>
    </w:p>
    <w:p>
      <w:pPr>
        <w:spacing w:after="0" w:line="2" w:lineRule="exact"/>
        <w:rPr>
          <w:rFonts w:ascii="Courier New" w:cs="Courier New" w:eastAsia="Courier New" w:hAnsi="Courier New"/>
          <w:sz w:val="14"/>
          <w:szCs w:val="14"/>
          <w:color w:val="auto"/>
        </w:rPr>
      </w:pPr>
    </w:p>
    <w:p>
      <w:pPr>
        <w:ind w:left="1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clinical trial.</w:t>
      </w:r>
    </w:p>
    <w:p>
      <w:pPr>
        <w:spacing w:after="0" w:line="167" w:lineRule="exact"/>
        <w:rPr>
          <w:rFonts w:ascii="Courier New" w:cs="Courier New" w:eastAsia="Courier New" w:hAnsi="Courier New"/>
          <w:sz w:val="14"/>
          <w:szCs w:val="14"/>
          <w:color w:val="auto"/>
        </w:rPr>
      </w:pPr>
    </w:p>
    <w:p>
      <w:pPr>
        <w:ind w:left="1200" w:right="3359" w:hanging="430"/>
        <w:spacing w:after="0" w:line="247" w:lineRule="auto"/>
        <w:tabs>
          <w:tab w:leader="none" w:pos="12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Cytokine Traps: Antagonists for cytokines such as interleukin-1 (called IL-1), interleukin-4 (IL-4), interleukin-13 (IL-13) and interleukin-6 (IL-6). These cytokines are thought to play a major role in diseases such as rheumatoid arthritis and other inflammatory diseases, asthma, allergic disorders and cancer. Cytokine Traps are potential treatments for these diseases, and at least one Cytokine Trap is expected to enter clinical trials by 2001.</w:t>
      </w:r>
    </w:p>
    <w:p>
      <w:pPr>
        <w:spacing w:after="0" w:line="161" w:lineRule="exact"/>
        <w:rPr>
          <w:rFonts w:ascii="Courier New" w:cs="Courier New" w:eastAsia="Courier New" w:hAnsi="Courier New"/>
          <w:sz w:val="14"/>
          <w:szCs w:val="14"/>
          <w:color w:val="auto"/>
        </w:rPr>
      </w:pPr>
    </w:p>
    <w:p>
      <w:pPr>
        <w:ind w:left="1200" w:right="3539" w:hanging="430"/>
        <w:spacing w:after="0" w:line="246" w:lineRule="auto"/>
        <w:tabs>
          <w:tab w:leader="none" w:pos="12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VEGF Trap: An antagonist to Vascular Endothelial Growth Factor (called VEGF), which is required for the growth of blood vessels that are needed for tumors to grow. VEGF Trap is a potential treatment for cancer and is expected to enter clinical trial</w:t>
      </w:r>
    </w:p>
    <w:p>
      <w:pPr>
        <w:spacing w:after="0" w:line="2" w:lineRule="exact"/>
        <w:rPr>
          <w:rFonts w:ascii="Courier New" w:cs="Courier New" w:eastAsia="Courier New" w:hAnsi="Courier New"/>
          <w:sz w:val="14"/>
          <w:szCs w:val="14"/>
          <w:color w:val="auto"/>
        </w:rPr>
      </w:pPr>
    </w:p>
    <w:p>
      <w:pPr>
        <w:ind w:left="1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2001.</w:t>
      </w:r>
    </w:p>
    <w:p>
      <w:pPr>
        <w:spacing w:after="0" w:line="167" w:lineRule="exact"/>
        <w:rPr>
          <w:rFonts w:ascii="Courier New" w:cs="Courier New" w:eastAsia="Courier New" w:hAnsi="Courier New"/>
          <w:sz w:val="14"/>
          <w:szCs w:val="14"/>
          <w:color w:val="auto"/>
        </w:rPr>
      </w:pPr>
    </w:p>
    <w:p>
      <w:pPr>
        <w:ind w:left="1200" w:right="3539" w:hanging="430"/>
        <w:spacing w:after="0" w:line="247" w:lineRule="auto"/>
        <w:tabs>
          <w:tab w:leader="none" w:pos="12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Angiopoietins: A new family of growth factors, discovered by us, that are specific for blood vessels and early hemopoietic stem cells. The Angiopoietins and engineered forms of these growth factors that can act as activators and blockers, are in preclinical testing for promoting blood</w:t>
      </w:r>
    </w:p>
    <w:p>
      <w:pPr>
        <w:spacing w:after="0" w:line="32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772" w:right="1440" w:bottom="1440" w:gutter="0" w:footer="0" w:header="0"/>
        </w:sectPr>
      </w:pPr>
    </w:p>
    <w:bookmarkStart w:id="5" w:name="page6"/>
    <w:bookmarkEnd w:id="5"/>
    <w:p>
      <w:pPr>
        <w:ind w:left="1200" w:right="3459"/>
        <w:spacing w:after="0" w:line="246" w:lineRule="auto"/>
        <w:rPr>
          <w:sz w:val="20"/>
          <w:szCs w:val="20"/>
          <w:color w:val="auto"/>
        </w:rPr>
      </w:pPr>
      <w:r>
        <w:rPr>
          <w:rFonts w:ascii="Courier New" w:cs="Courier New" w:eastAsia="Courier New" w:hAnsi="Courier New"/>
          <w:sz w:val="14"/>
          <w:szCs w:val="14"/>
          <w:color w:val="auto"/>
        </w:rPr>
        <w:t>vessel growth (to provide blood flow in diseased hearts and other tissues that have lost their original blood supplies), for blocking blood vessel growth (for the treatment of cancers),</w:t>
      </w:r>
    </w:p>
    <w:p>
      <w:pPr>
        <w:spacing w:after="0" w:line="2" w:lineRule="exact"/>
        <w:rPr>
          <w:sz w:val="20"/>
          <w:szCs w:val="20"/>
          <w:color w:val="auto"/>
        </w:rPr>
      </w:pPr>
    </w:p>
    <w:p>
      <w:pPr>
        <w:ind w:left="1200" w:right="3539"/>
        <w:spacing w:after="0" w:line="247" w:lineRule="auto"/>
        <w:rPr>
          <w:sz w:val="20"/>
          <w:szCs w:val="20"/>
          <w:color w:val="auto"/>
        </w:rPr>
      </w:pPr>
      <w:r>
        <w:rPr>
          <w:rFonts w:ascii="Courier New" w:cs="Courier New" w:eastAsia="Courier New" w:hAnsi="Courier New"/>
          <w:sz w:val="14"/>
          <w:szCs w:val="14"/>
          <w:color w:val="auto"/>
        </w:rPr>
        <w:t>for fixing leaky blood vessels (that cause swelling and edema in many different diseases such as stroke, diabetic retinopathy and inflammatory diseases), and for promoting the growth and mobilization of certain hemopoietic cells such as stem cells and platelets.</w:t>
      </w:r>
    </w:p>
    <w:p>
      <w:pPr>
        <w:spacing w:after="0" w:line="162" w:lineRule="exact"/>
        <w:rPr>
          <w:sz w:val="20"/>
          <w:szCs w:val="20"/>
          <w:color w:val="auto"/>
        </w:rPr>
      </w:pPr>
    </w:p>
    <w:p>
      <w:pPr>
        <w:ind w:left="1200" w:right="3459" w:hanging="430"/>
        <w:spacing w:after="0" w:line="247" w:lineRule="auto"/>
        <w:tabs>
          <w:tab w:leader="none" w:pos="12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Brain-derived neurotrophic factor, or BDNF: Promotes survival of the spinal cord neurons that die in amyotrophic lateral sclerosis (or ALS, commonly known as Lou Gehrig's Disease) and is in clinical trial for ALS.</w:t>
      </w:r>
    </w:p>
    <w:p>
      <w:pPr>
        <w:spacing w:after="0" w:line="162" w:lineRule="exact"/>
        <w:rPr>
          <w:rFonts w:ascii="Courier New" w:cs="Courier New" w:eastAsia="Courier New" w:hAnsi="Courier New"/>
          <w:sz w:val="14"/>
          <w:szCs w:val="14"/>
          <w:color w:val="auto"/>
        </w:rPr>
      </w:pPr>
    </w:p>
    <w:p>
      <w:pPr>
        <w:ind w:left="1200" w:right="3459" w:hanging="430"/>
        <w:spacing w:after="0" w:line="247" w:lineRule="auto"/>
        <w:tabs>
          <w:tab w:leader="none" w:pos="12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Neurotrophin-3, or NT-3: Acts on the neurons of the intestinal tract and is in clinical trial for the treatment of constipating disorders associated with spinal cord injury and other neurologic diseases.</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We are currently developing AXOKINE and our Cytokine Traps independently of any corporate partners. We are developing BDNF in partnership with Amgen Inc. and Sumitomo Pharmaceuticals Company, Ltd., NT-3 in partnership with Amgen and our VEGF antagonist, Angiopoietins and other product candidates in partnership with The Procter &amp; Gamble Company. In all our partnerships, we retain 50% U.S. commercialization rights. We also have numerous academic collaborations.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Our GMP manufacturing facility in Tarrytown, New York produces preclinical and clinical supplies of our products and product candidates. At our GMP manufacturing facility in Rensselaer, New York, we contract manufacture products for Sumitomo Pharmaceuticals and Merck &amp; Co., Inc. The Company continues to upgrade and expand its manufacturing facilities as it advances its products toward commercialization.</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We believe that we possess a strong intellectual property position, including 42 issued U.S. patents and more than 100 pending applications in all key areas of our research and development, including angiogenesis, bone and cartilage formation, Cytokine Traps, muscle atrophy and neurological disorders. We have a policy to file patent applications to protect technology, inventions and improvements we consider important to the development of our business. We also rely on trade secrets, know-how and continuing technological innovation to maintain and enhance our competitive position.</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Each member of our senior management team has at least ten years of experience in the biopharmaceutical industry. In addition, our Board of Directors consists of noted business and scientific leaders, including the former Chairman and CEO of Merck and three Nobel Laureates. According to a 1997 survey by the Institute for Scientific Information, our Chief Scientific Officer was among the top 11 most highly cited scientists and the only non-academic scientist in the group. We have been very successful in attracting skilled and experienced personnel in a highly competitive environment. As of December 31, 1999, we had 437 full-time employees, 82 of whom hold a Ph.D. and/or M.D. degree.</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77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0"/>
        </w:trPr>
        <w:tc>
          <w:tcPr>
            <w:tcW w:w="2000" w:type="dxa"/>
            <w:vAlign w:val="bottom"/>
          </w:tcPr>
          <w:p>
            <w:pPr>
              <w:spacing w:after="0"/>
              <w:rPr>
                <w:sz w:val="13"/>
                <w:szCs w:val="13"/>
                <w:color w:val="auto"/>
              </w:rPr>
            </w:pPr>
          </w:p>
        </w:tc>
        <w:tc>
          <w:tcPr>
            <w:tcW w:w="4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Selected Products and Programs</w:t>
            </w:r>
          </w:p>
        </w:tc>
        <w:tc>
          <w:tcPr>
            <w:tcW w:w="158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815"/>
        </w:trPr>
        <w:tc>
          <w:tcPr>
            <w:tcW w:w="2000" w:type="dxa"/>
            <w:vAlign w:val="bottom"/>
          </w:tcPr>
          <w:p>
            <w:pPr>
              <w:spacing w:after="0"/>
              <w:rPr>
                <w:sz w:val="20"/>
                <w:szCs w:val="20"/>
                <w:color w:val="auto"/>
              </w:rPr>
            </w:pPr>
            <w:r>
              <w:rPr>
                <w:rFonts w:ascii="Courier New" w:cs="Courier New" w:eastAsia="Courier New" w:hAnsi="Courier New"/>
                <w:sz w:val="14"/>
                <w:szCs w:val="14"/>
                <w:color w:val="auto"/>
              </w:rPr>
              <w:t>Technology Platforms</w:t>
            </w:r>
          </w:p>
        </w:tc>
        <w:tc>
          <w:tcPr>
            <w:tcW w:w="2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Used for Discovery and</w:t>
            </w:r>
          </w:p>
        </w:tc>
        <w:tc>
          <w:tcPr>
            <w:tcW w:w="2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Commercialization</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Program and Product</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Targeted Indication</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Stage</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Rights</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36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r>
      <w:tr>
        <w:trPr>
          <w:trHeight w:val="489"/>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AXOKINE(R)(Second</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Obesity and</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Generation Ciliary</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complications of</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Neurotrophic Factor)</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obesity such as Type</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II diabetes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BDNF (Brain-derived</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Amyotrophic lateral</w:t>
            </w: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3"/>
        </w:trPr>
        <w:tc>
          <w:tcPr>
            <w:tcW w:w="200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Neurotrophic Factor)</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sclerosis (ALS)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Intrathecal (U.S.)</w:t>
            </w:r>
          </w:p>
        </w:tc>
        <w:tc>
          <w:tcPr>
            <w:tcW w:w="2240" w:type="dxa"/>
            <w:vAlign w:val="bottom"/>
          </w:tcPr>
          <w:p>
            <w:pPr>
              <w:spacing w:after="0"/>
              <w:rPr>
                <w:sz w:val="14"/>
                <w:szCs w:val="14"/>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Amgen</w:t>
            </w:r>
          </w:p>
        </w:tc>
      </w:tr>
      <w:tr>
        <w:trPr>
          <w:trHeight w:val="163"/>
        </w:trPr>
        <w:tc>
          <w:tcPr>
            <w:tcW w:w="200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Subcutaneous (U.S.)</w:t>
            </w:r>
          </w:p>
        </w:tc>
        <w:tc>
          <w:tcPr>
            <w:tcW w:w="2240" w:type="dxa"/>
            <w:vAlign w:val="bottom"/>
          </w:tcPr>
          <w:p>
            <w:pPr>
              <w:spacing w:after="0"/>
              <w:rPr>
                <w:sz w:val="14"/>
                <w:szCs w:val="14"/>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Amgen</w:t>
            </w:r>
          </w:p>
        </w:tc>
      </w:tr>
      <w:tr>
        <w:trPr>
          <w:trHeight w:val="163"/>
        </w:trPr>
        <w:tc>
          <w:tcPr>
            <w:tcW w:w="200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Subcutaneous (Japan)</w:t>
            </w:r>
          </w:p>
        </w:tc>
        <w:tc>
          <w:tcPr>
            <w:tcW w:w="2240" w:type="dxa"/>
            <w:vAlign w:val="bottom"/>
          </w:tcPr>
          <w:p>
            <w:pPr>
              <w:spacing w:after="0"/>
              <w:rPr>
                <w:sz w:val="14"/>
                <w:szCs w:val="14"/>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w w:val="99"/>
              </w:rPr>
              <w:t>Sumitomo Pharmaceuticals</w:t>
            </w: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NT-3 (Neurotrophin-3)</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Constipating</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Amgen</w:t>
            </w:r>
          </w:p>
        </w:tc>
      </w:tr>
      <w:tr>
        <w:trPr>
          <w:trHeight w:val="163"/>
        </w:trPr>
        <w:tc>
          <w:tcPr>
            <w:tcW w:w="2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conditions associated</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with spinal cord</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injury and other</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medical conditions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4"/>
                <w:szCs w:val="2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Cytokine Traps</w:t>
            </w:r>
          </w:p>
        </w:tc>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3"/>
        </w:trPr>
        <w:tc>
          <w:tcPr>
            <w:tcW w:w="200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IL-1</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Rheumatoid arthritis</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Preclinical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42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and other inflammatory</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disorders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IL-4</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Asthma and allergic</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Preclinical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42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disorders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IL-4/13</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Asthma and allergic</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Preclinical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42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disorders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IL-2, IL-3, IL-5,</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Multiple</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Research</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IL-6, IL-15, gamma-</w:t>
            </w: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interferon, TGFbeta</w:t>
            </w: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and others</w:t>
            </w: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4"/>
                <w:szCs w:val="2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Angiogenesis Programs</w:t>
            </w:r>
          </w:p>
        </w:tc>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3"/>
        </w:trPr>
        <w:tc>
          <w:tcPr>
            <w:tcW w:w="200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VEGF Trap</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Cancer</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Preclinical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Angiopoietin-1</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Ischemia, vascular</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Preclinical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FUNCTIONOMICS</w:t>
            </w:r>
          </w:p>
        </w:tc>
        <w:tc>
          <w:tcPr>
            <w:tcW w:w="242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leak and edema, and</w:t>
            </w: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42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hemopoiesis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Ephrins, Angiopoietin-2</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Cancer, ischemia,</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Research</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FUNCTIONOMICS</w:t>
            </w:r>
          </w:p>
        </w:tc>
        <w:tc>
          <w:tcPr>
            <w:tcW w:w="242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hemopoiesis</w:t>
            </w: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Muscle Diseases and</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Muscle atrophy and</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Research</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FUNCTIONOMICS</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Disorders</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injury</w:t>
            </w: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163"/>
        </w:trPr>
        <w:tc>
          <w:tcPr>
            <w:tcW w:w="200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4"/>
                <w:szCs w:val="2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Bone and Cartilage</w:t>
            </w:r>
          </w:p>
        </w:tc>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3"/>
        </w:trPr>
        <w:tc>
          <w:tcPr>
            <w:tcW w:w="200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RORs</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Osteoarthritis</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Research</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FUNCTIONOMICS</w:t>
            </w:r>
          </w:p>
        </w:tc>
        <w:tc>
          <w:tcPr>
            <w:tcW w:w="2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DDRs</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Fibrosis and cirrhosis</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Research</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FUNCTIONOMICS</w:t>
            </w:r>
          </w:p>
        </w:tc>
        <w:tc>
          <w:tcPr>
            <w:tcW w:w="2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G-Protein Coupled</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Multiple</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Research</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FUNCTIONOMICS</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Receptors</w:t>
            </w: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163"/>
        </w:trPr>
        <w:tc>
          <w:tcPr>
            <w:tcW w:w="200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142"/>
        </w:trPr>
        <w:tc>
          <w:tcPr>
            <w:tcW w:w="2000" w:type="dxa"/>
            <w:vAlign w:val="bottom"/>
          </w:tcPr>
          <w:p>
            <w:pPr>
              <w:spacing w:after="0"/>
              <w:rPr>
                <w:sz w:val="24"/>
                <w:szCs w:val="24"/>
                <w:color w:val="auto"/>
              </w:rPr>
            </w:pPr>
          </w:p>
        </w:tc>
        <w:tc>
          <w:tcPr>
            <w:tcW w:w="242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330" w:lineRule="exact"/>
        <w:rPr>
          <w:sz w:val="20"/>
          <w:szCs w:val="20"/>
          <w:color w:val="auto"/>
        </w:rPr>
      </w:pPr>
    </w:p>
    <w:p>
      <w:pPr>
        <w:ind w:right="4060" w:firstLine="1187"/>
        <w:spacing w:after="0" w:line="247" w:lineRule="auto"/>
        <w:rPr>
          <w:sz w:val="20"/>
          <w:szCs w:val="20"/>
          <w:color w:val="auto"/>
        </w:rPr>
      </w:pPr>
      <w:r>
        <w:rPr>
          <w:rFonts w:ascii="Courier New" w:cs="Courier New" w:eastAsia="Courier New" w:hAnsi="Courier New"/>
          <w:sz w:val="14"/>
          <w:szCs w:val="14"/>
          <w:color w:val="auto"/>
        </w:rPr>
        <w:t>We are a New York corporation organized on January 8, 1988. Our executive offices are at 777 Old Saw Mill River Road, Tarrytown, New York 10591-6707 and our telephone number is (914) 347-7000.</w:t>
      </w:r>
    </w:p>
    <w:p>
      <w:pPr>
        <w:spacing w:after="0" w:line="32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600"/>
          </w:cols>
          <w:pgMar w:left="300" w:top="609" w:right="999" w:bottom="503"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0"/>
        </w:trPr>
        <w:tc>
          <w:tcPr>
            <w:tcW w:w="5640" w:type="dxa"/>
            <w:vAlign w:val="bottom"/>
          </w:tcPr>
          <w:p>
            <w:pPr>
              <w:jc w:val="right"/>
              <w:ind w:right="1669"/>
              <w:spacing w:after="0"/>
              <w:rPr>
                <w:sz w:val="20"/>
                <w:szCs w:val="20"/>
                <w:color w:val="auto"/>
              </w:rPr>
            </w:pPr>
            <w:r>
              <w:rPr>
                <w:rFonts w:ascii="Courier New" w:cs="Courier New" w:eastAsia="Courier New" w:hAnsi="Courier New"/>
                <w:sz w:val="14"/>
                <w:szCs w:val="14"/>
                <w:color w:val="auto"/>
              </w:rPr>
              <w:t>The Offering</w:t>
            </w:r>
          </w:p>
        </w:tc>
        <w:tc>
          <w:tcPr>
            <w:tcW w:w="10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652"/>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Common stock offered by Regeneron ................................</w:t>
            </w:r>
          </w:p>
        </w:tc>
        <w:tc>
          <w:tcPr>
            <w:tcW w:w="3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4,000,000 shares</w:t>
            </w:r>
          </w:p>
        </w:tc>
      </w:tr>
      <w:tr>
        <w:trPr>
          <w:trHeight w:val="326"/>
        </w:trPr>
        <w:tc>
          <w:tcPr>
            <w:tcW w:w="5640" w:type="dxa"/>
            <w:vAlign w:val="bottom"/>
          </w:tcPr>
          <w:p>
            <w:pPr>
              <w:jc w:val="right"/>
              <w:ind w:right="2349"/>
              <w:spacing w:after="0"/>
              <w:rPr>
                <w:sz w:val="20"/>
                <w:szCs w:val="20"/>
                <w:color w:val="auto"/>
              </w:rPr>
            </w:pPr>
            <w:r>
              <w:rPr>
                <w:rFonts w:ascii="Courier New" w:cs="Courier New" w:eastAsia="Courier New" w:hAnsi="Courier New"/>
                <w:sz w:val="14"/>
                <w:szCs w:val="14"/>
                <w:color w:val="auto"/>
              </w:rPr>
              <w:t>Shares outstanding after the offering:</w:t>
            </w:r>
          </w:p>
        </w:tc>
        <w:tc>
          <w:tcPr>
            <w:tcW w:w="10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26"/>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32,313,345</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shares (1)</w:t>
            </w:r>
          </w:p>
        </w:tc>
      </w:tr>
      <w:tr>
        <w:trPr>
          <w:trHeight w:val="163"/>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Class A stock..................................................</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3,579,277</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r>
      <w:tr>
        <w:trPr>
          <w:trHeight w:val="163"/>
        </w:trPr>
        <w:tc>
          <w:tcPr>
            <w:tcW w:w="56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14"/>
                <w:szCs w:val="14"/>
                <w:color w:val="auto"/>
              </w:rPr>
            </w:pPr>
          </w:p>
        </w:tc>
      </w:tr>
      <w:tr>
        <w:trPr>
          <w:trHeight w:val="163"/>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35,892,622</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r>
      <w:tr>
        <w:trPr>
          <w:trHeight w:val="163"/>
        </w:trPr>
        <w:tc>
          <w:tcPr>
            <w:tcW w:w="56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spacing w:after="0"/>
              <w:rPr>
                <w:sz w:val="14"/>
                <w:szCs w:val="14"/>
                <w:color w:val="auto"/>
              </w:rPr>
            </w:pPr>
          </w:p>
        </w:tc>
      </w:tr>
      <w:tr>
        <w:trPr>
          <w:trHeight w:val="326"/>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Use of proceeds...................................................</w:t>
            </w:r>
          </w:p>
        </w:tc>
        <w:tc>
          <w:tcPr>
            <w:tcW w:w="3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We estimate that our net proceeds</w:t>
            </w:r>
          </w:p>
        </w:tc>
      </w:tr>
      <w:tr>
        <w:trPr>
          <w:trHeight w:val="163"/>
        </w:trPr>
        <w:tc>
          <w:tcPr>
            <w:tcW w:w="5640" w:type="dxa"/>
            <w:vAlign w:val="bottom"/>
          </w:tcPr>
          <w:p>
            <w:pPr>
              <w:spacing w:after="0"/>
              <w:rPr>
                <w:sz w:val="14"/>
                <w:szCs w:val="1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from this offering will be approxi-</w:t>
            </w:r>
          </w:p>
        </w:tc>
      </w:tr>
      <w:tr>
        <w:trPr>
          <w:trHeight w:val="163"/>
        </w:trPr>
        <w:tc>
          <w:tcPr>
            <w:tcW w:w="5640" w:type="dxa"/>
            <w:vAlign w:val="bottom"/>
          </w:tcPr>
          <w:p>
            <w:pPr>
              <w:spacing w:after="0"/>
              <w:rPr>
                <w:sz w:val="14"/>
                <w:szCs w:val="1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9"/>
              </w:rPr>
              <w:t>mately $191.0 million. We intend to use these</w:t>
            </w:r>
          </w:p>
        </w:tc>
      </w:tr>
      <w:tr>
        <w:trPr>
          <w:trHeight w:val="163"/>
        </w:trPr>
        <w:tc>
          <w:tcPr>
            <w:tcW w:w="5640" w:type="dxa"/>
            <w:vAlign w:val="bottom"/>
          </w:tcPr>
          <w:p>
            <w:pPr>
              <w:spacing w:after="0"/>
              <w:rPr>
                <w:sz w:val="14"/>
                <w:szCs w:val="1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net proceeds for working capital and general</w:t>
            </w:r>
          </w:p>
        </w:tc>
      </w:tr>
      <w:tr>
        <w:trPr>
          <w:trHeight w:val="163"/>
        </w:trPr>
        <w:tc>
          <w:tcPr>
            <w:tcW w:w="5640" w:type="dxa"/>
            <w:vAlign w:val="bottom"/>
          </w:tcPr>
          <w:p>
            <w:pPr>
              <w:spacing w:after="0"/>
              <w:rPr>
                <w:sz w:val="14"/>
                <w:szCs w:val="1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corporate purposes, including research</w:t>
            </w:r>
          </w:p>
        </w:tc>
      </w:tr>
      <w:tr>
        <w:trPr>
          <w:trHeight w:val="163"/>
        </w:trPr>
        <w:tc>
          <w:tcPr>
            <w:tcW w:w="5640" w:type="dxa"/>
            <w:vAlign w:val="bottom"/>
          </w:tcPr>
          <w:p>
            <w:pPr>
              <w:spacing w:after="0"/>
              <w:rPr>
                <w:sz w:val="14"/>
                <w:szCs w:val="1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and development.</w:t>
            </w:r>
          </w:p>
        </w:tc>
      </w:tr>
      <w:tr>
        <w:trPr>
          <w:trHeight w:val="326"/>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Risk factors......................................................</w:t>
            </w:r>
          </w:p>
        </w:tc>
        <w:tc>
          <w:tcPr>
            <w:tcW w:w="3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See "Risk Factors" and other infor-</w:t>
            </w:r>
          </w:p>
        </w:tc>
      </w:tr>
      <w:tr>
        <w:trPr>
          <w:trHeight w:val="163"/>
        </w:trPr>
        <w:tc>
          <w:tcPr>
            <w:tcW w:w="5640" w:type="dxa"/>
            <w:vAlign w:val="bottom"/>
          </w:tcPr>
          <w:p>
            <w:pPr>
              <w:spacing w:after="0"/>
              <w:rPr>
                <w:sz w:val="14"/>
                <w:szCs w:val="1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mation included in this prospectus</w:t>
            </w:r>
          </w:p>
        </w:tc>
      </w:tr>
      <w:tr>
        <w:trPr>
          <w:trHeight w:val="163"/>
        </w:trPr>
        <w:tc>
          <w:tcPr>
            <w:tcW w:w="5640" w:type="dxa"/>
            <w:vAlign w:val="bottom"/>
          </w:tcPr>
          <w:p>
            <w:pPr>
              <w:spacing w:after="0"/>
              <w:rPr>
                <w:sz w:val="14"/>
                <w:szCs w:val="1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 a discussion of factors you should</w:t>
            </w:r>
          </w:p>
        </w:tc>
      </w:tr>
      <w:tr>
        <w:trPr>
          <w:trHeight w:val="163"/>
        </w:trPr>
        <w:tc>
          <w:tcPr>
            <w:tcW w:w="5640" w:type="dxa"/>
            <w:vAlign w:val="bottom"/>
          </w:tcPr>
          <w:p>
            <w:pPr>
              <w:spacing w:after="0"/>
              <w:rPr>
                <w:sz w:val="14"/>
                <w:szCs w:val="1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carefully consider before deciding to</w:t>
            </w:r>
          </w:p>
        </w:tc>
      </w:tr>
      <w:tr>
        <w:trPr>
          <w:trHeight w:val="163"/>
        </w:trPr>
        <w:tc>
          <w:tcPr>
            <w:tcW w:w="5640" w:type="dxa"/>
            <w:vAlign w:val="bottom"/>
          </w:tcPr>
          <w:p>
            <w:pPr>
              <w:spacing w:after="0"/>
              <w:rPr>
                <w:sz w:val="14"/>
                <w:szCs w:val="1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invest in shares of our common stock.</w:t>
            </w:r>
          </w:p>
        </w:tc>
      </w:tr>
      <w:tr>
        <w:trPr>
          <w:trHeight w:val="326"/>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Nasdaq National Market symbol.....................................</w:t>
            </w:r>
          </w:p>
        </w:tc>
        <w:tc>
          <w:tcPr>
            <w:tcW w:w="1020" w:type="dxa"/>
            <w:vAlign w:val="bottom"/>
          </w:tcPr>
          <w:p>
            <w:pPr>
              <w:ind w:left="140"/>
              <w:spacing w:after="0"/>
              <w:rPr>
                <w:sz w:val="20"/>
                <w:szCs w:val="20"/>
                <w:color w:val="auto"/>
              </w:rPr>
            </w:pPr>
            <w:r>
              <w:rPr>
                <w:rFonts w:ascii="Courier New" w:cs="Courier New" w:eastAsia="Courier New" w:hAnsi="Courier New"/>
                <w:sz w:val="14"/>
                <w:szCs w:val="14"/>
                <w:color w:val="auto"/>
              </w:rPr>
              <w:t>REGN</w:t>
            </w:r>
          </w:p>
        </w:tc>
        <w:tc>
          <w:tcPr>
            <w:tcW w:w="2920" w:type="dxa"/>
            <w:vAlign w:val="bottom"/>
          </w:tcPr>
          <w:p>
            <w:pPr>
              <w:spacing w:after="0"/>
              <w:rPr>
                <w:sz w:val="24"/>
                <w:szCs w:val="24"/>
                <w:color w:val="auto"/>
              </w:rPr>
            </w:pPr>
          </w:p>
        </w:tc>
      </w:tr>
    </w:tbl>
    <w:p>
      <w:pPr>
        <w:spacing w:after="0" w:line="200" w:lineRule="exact"/>
        <w:rPr>
          <w:sz w:val="20"/>
          <w:szCs w:val="20"/>
          <w:color w:val="auto"/>
        </w:rPr>
      </w:pPr>
    </w:p>
    <w:p>
      <w:pPr>
        <w:spacing w:after="0" w:line="293"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The number of shares outstanding after the offering is derived from our records and excludes options to purchase 5,248,517 shares of our common stock under our 1990 Long-Term Incentive Plan, of which 2,343,366 were exercisable at February 25, 2000.</w:t>
      </w:r>
    </w:p>
    <w:p>
      <w:pPr>
        <w:spacing w:after="0" w:line="32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77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0"/>
        </w:trPr>
        <w:tc>
          <w:tcPr>
            <w:tcW w:w="6540" w:type="dxa"/>
            <w:vAlign w:val="bottom"/>
            <w:gridSpan w:val="3"/>
          </w:tcPr>
          <w:p>
            <w:pPr>
              <w:jc w:val="right"/>
              <w:ind w:right="689"/>
              <w:spacing w:after="0"/>
              <w:rPr>
                <w:sz w:val="20"/>
                <w:szCs w:val="20"/>
                <w:color w:val="auto"/>
              </w:rPr>
            </w:pPr>
            <w:r>
              <w:rPr>
                <w:rFonts w:ascii="Courier New" w:cs="Courier New" w:eastAsia="Courier New" w:hAnsi="Courier New"/>
                <w:sz w:val="14"/>
                <w:szCs w:val="14"/>
                <w:color w:val="auto"/>
              </w:rPr>
              <w:t>Summary Selected Financial Data</w:t>
            </w: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652"/>
        </w:trPr>
        <w:tc>
          <w:tcPr>
            <w:tcW w:w="4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gridSpan w:val="2"/>
          </w:tcPr>
          <w:p>
            <w:pPr>
              <w:jc w:val="right"/>
              <w:ind w:right="869"/>
              <w:spacing w:after="0"/>
              <w:rPr>
                <w:sz w:val="20"/>
                <w:szCs w:val="20"/>
                <w:color w:val="auto"/>
              </w:rPr>
            </w:pPr>
            <w:r>
              <w:rPr>
                <w:rFonts w:ascii="Courier New" w:cs="Courier New" w:eastAsia="Courier New" w:hAnsi="Courier New"/>
                <w:sz w:val="14"/>
                <w:szCs w:val="14"/>
                <w:color w:val="auto"/>
                <w:w w:val="99"/>
              </w:rPr>
              <w:t>Year Ended December 31,</w:t>
            </w:r>
          </w:p>
        </w:tc>
        <w:tc>
          <w:tcPr>
            <w:tcW w:w="1100" w:type="dxa"/>
            <w:vAlign w:val="bottom"/>
          </w:tcPr>
          <w:p>
            <w:pPr>
              <w:spacing w:after="0"/>
              <w:rPr>
                <w:sz w:val="24"/>
                <w:szCs w:val="24"/>
                <w:color w:val="auto"/>
              </w:rPr>
            </w:pPr>
          </w:p>
        </w:tc>
      </w:tr>
      <w:tr>
        <w:trPr>
          <w:trHeight w:val="163"/>
        </w:trPr>
        <w:tc>
          <w:tcPr>
            <w:tcW w:w="4040" w:type="dxa"/>
            <w:vAlign w:val="bottom"/>
          </w:tcPr>
          <w:p>
            <w:pPr>
              <w:spacing w:after="0"/>
              <w:rPr>
                <w:sz w:val="14"/>
                <w:szCs w:val="14"/>
                <w:color w:val="auto"/>
              </w:rPr>
            </w:pPr>
          </w:p>
        </w:tc>
        <w:tc>
          <w:tcPr>
            <w:tcW w:w="6480" w:type="dxa"/>
            <w:vAlign w:val="bottom"/>
            <w:gridSpan w:val="5"/>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1998</w:t>
            </w:r>
          </w:p>
        </w:tc>
        <w:tc>
          <w:tcPr>
            <w:tcW w:w="152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1997</w:t>
            </w:r>
          </w:p>
        </w:tc>
        <w:tc>
          <w:tcPr>
            <w:tcW w:w="13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1996</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40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300" w:type="dxa"/>
            <w:vAlign w:val="bottom"/>
          </w:tcPr>
          <w:p>
            <w:pPr>
              <w:spacing w:after="0"/>
              <w:rPr>
                <w:sz w:val="14"/>
                <w:szCs w:val="14"/>
                <w:color w:val="auto"/>
              </w:rPr>
            </w:pPr>
          </w:p>
        </w:tc>
        <w:tc>
          <w:tcPr>
            <w:tcW w:w="4080" w:type="dxa"/>
            <w:vAlign w:val="bottom"/>
            <w:gridSpan w:val="3"/>
          </w:tcPr>
          <w:p>
            <w:pPr>
              <w:jc w:val="right"/>
              <w:ind w:right="269"/>
              <w:spacing w:after="0"/>
              <w:rPr>
                <w:sz w:val="20"/>
                <w:szCs w:val="20"/>
                <w:color w:val="auto"/>
              </w:rPr>
            </w:pPr>
            <w:r>
              <w:rPr>
                <w:rFonts w:ascii="Courier New" w:cs="Courier New" w:eastAsia="Courier New" w:hAnsi="Courier New"/>
                <w:sz w:val="14"/>
                <w:szCs w:val="14"/>
                <w:color w:val="auto"/>
              </w:rPr>
              <w:t>(in thousands, except per share data)</w:t>
            </w:r>
          </w:p>
        </w:tc>
        <w:tc>
          <w:tcPr>
            <w:tcW w:w="1100" w:type="dxa"/>
            <w:vAlign w:val="bottom"/>
          </w:tcPr>
          <w:p>
            <w:pPr>
              <w:spacing w:after="0"/>
              <w:rPr>
                <w:sz w:val="14"/>
                <w:szCs w:val="14"/>
                <w:color w:val="auto"/>
              </w:rPr>
            </w:pPr>
          </w:p>
        </w:tc>
      </w:tr>
      <w:tr>
        <w:trPr>
          <w:trHeight w:val="489"/>
        </w:trPr>
        <w:tc>
          <w:tcPr>
            <w:tcW w:w="40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6"/>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Contract research and development .........</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$ 24,539</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$ 19,714</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$ 17,400</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$ 17,303</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$ 23,247</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Research progress payments ................</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9,500</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5,000</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Contract manufacturing ....................</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9,960</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9,113</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4,458</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2,451</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1,140</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Investment income .........................</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5,207</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6,866</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6,242</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4,360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2,997</w:t>
            </w:r>
          </w:p>
        </w:tc>
      </w:tr>
      <w:tr>
        <w:trPr>
          <w:trHeight w:val="163"/>
        </w:trPr>
        <w:tc>
          <w:tcPr>
            <w:tcW w:w="4040" w:type="dxa"/>
            <w:vAlign w:val="bottom"/>
          </w:tcPr>
          <w:p>
            <w:pPr>
              <w:spacing w:after="0"/>
              <w:rPr>
                <w:sz w:val="14"/>
                <w:szCs w:val="14"/>
                <w:color w:val="auto"/>
              </w:rPr>
            </w:pP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14"/>
                <w:szCs w:val="14"/>
                <w:color w:val="auto"/>
              </w:rPr>
            </w:pP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39,706</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45,193</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33,100</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24,114</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27,384</w:t>
            </w:r>
          </w:p>
        </w:tc>
      </w:tr>
      <w:tr>
        <w:trPr>
          <w:trHeight w:val="163"/>
        </w:trPr>
        <w:tc>
          <w:tcPr>
            <w:tcW w:w="4040" w:type="dxa"/>
            <w:vAlign w:val="bottom"/>
          </w:tcPr>
          <w:p>
            <w:pPr>
              <w:spacing w:after="0"/>
              <w:rPr>
                <w:sz w:val="14"/>
                <w:szCs w:val="14"/>
                <w:color w:val="auto"/>
              </w:rPr>
            </w:pP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Research and development ..................</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44,940</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37,047</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27,770</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28,269</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23,310</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Loss in Amgen-Regeneron Partners ..........</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4,159</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2,484</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3,403</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14,250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13,805</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General and administrative ................</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6,355</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5,838</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5,765</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5,880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5,764</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Depreciation and amortization .............</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3,426</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3,019</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4,389</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6,084</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5,886</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Contract manufacturing ....................</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3,612</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5,002</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2,617</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1,115</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284</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428</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735</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940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1,205</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Other .....................................</w:t>
            </w:r>
          </w:p>
        </w:tc>
        <w:tc>
          <w:tcPr>
            <w:tcW w:w="13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850</w:t>
            </w:r>
          </w:p>
        </w:tc>
      </w:tr>
      <w:tr>
        <w:trPr>
          <w:trHeight w:val="163"/>
        </w:trPr>
        <w:tc>
          <w:tcPr>
            <w:tcW w:w="4040" w:type="dxa"/>
            <w:vAlign w:val="bottom"/>
          </w:tcPr>
          <w:p>
            <w:pPr>
              <w:spacing w:after="0"/>
              <w:rPr>
                <w:sz w:val="14"/>
                <w:szCs w:val="14"/>
                <w:color w:val="auto"/>
              </w:rPr>
            </w:pP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14"/>
                <w:szCs w:val="14"/>
                <w:color w:val="auto"/>
              </w:rPr>
            </w:pP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62,776</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53,818</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44,679</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56,538</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50,892</w:t>
            </w:r>
          </w:p>
        </w:tc>
      </w:tr>
      <w:tr>
        <w:trPr>
          <w:trHeight w:val="163"/>
        </w:trPr>
        <w:tc>
          <w:tcPr>
            <w:tcW w:w="4040" w:type="dxa"/>
            <w:vAlign w:val="bottom"/>
          </w:tcPr>
          <w:p>
            <w:pPr>
              <w:spacing w:after="0"/>
              <w:rPr>
                <w:sz w:val="14"/>
                <w:szCs w:val="14"/>
                <w:color w:val="auto"/>
              </w:rPr>
            </w:pP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Net loss .....................................</w:t>
            </w:r>
          </w:p>
        </w:tc>
        <w:tc>
          <w:tcPr>
            <w:tcW w:w="130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($ 23,070)</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($ 8,625)</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($ 11,579)</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($ 32,424)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($ 23,508)</w:t>
            </w:r>
          </w:p>
        </w:tc>
      </w:tr>
      <w:tr>
        <w:trPr>
          <w:trHeight w:val="163"/>
        </w:trPr>
        <w:tc>
          <w:tcPr>
            <w:tcW w:w="4040" w:type="dxa"/>
            <w:vAlign w:val="bottom"/>
          </w:tcPr>
          <w:p>
            <w:pPr>
              <w:spacing w:after="0"/>
              <w:rPr>
                <w:sz w:val="14"/>
                <w:szCs w:val="14"/>
                <w:color w:val="auto"/>
              </w:rPr>
            </w:pP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Weighted average number of Class A and</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0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Common shares outstanding, basic and</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diluted ...................................</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31,308</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30,992</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28,702</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24,464</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19,768</w:t>
            </w:r>
          </w:p>
        </w:tc>
      </w:tr>
      <w:tr>
        <w:trPr>
          <w:trHeight w:val="163"/>
        </w:trPr>
        <w:tc>
          <w:tcPr>
            <w:tcW w:w="4040" w:type="dxa"/>
            <w:vAlign w:val="bottom"/>
          </w:tcPr>
          <w:p>
            <w:pPr>
              <w:spacing w:after="0"/>
              <w:rPr>
                <w:sz w:val="14"/>
                <w:szCs w:val="14"/>
                <w:color w:val="auto"/>
              </w:rPr>
            </w:pP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Net loss per share, basic and diluted ........</w:t>
            </w:r>
          </w:p>
        </w:tc>
        <w:tc>
          <w:tcPr>
            <w:tcW w:w="130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($0.74)</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($0.28)</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($0.40)</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r>
        <w:trPr>
          <w:trHeight w:val="163"/>
        </w:trPr>
        <w:tc>
          <w:tcPr>
            <w:tcW w:w="4040" w:type="dxa"/>
            <w:vAlign w:val="bottom"/>
          </w:tcPr>
          <w:p>
            <w:pPr>
              <w:spacing w:after="0"/>
              <w:rPr>
                <w:sz w:val="14"/>
                <w:szCs w:val="14"/>
                <w:color w:val="auto"/>
              </w:rPr>
            </w:pP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652"/>
        </w:trPr>
        <w:tc>
          <w:tcPr>
            <w:tcW w:w="4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December 31,</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4040" w:type="dxa"/>
            <w:vAlign w:val="bottom"/>
          </w:tcPr>
          <w:p>
            <w:pPr>
              <w:spacing w:after="0"/>
              <w:rPr>
                <w:sz w:val="14"/>
                <w:szCs w:val="14"/>
                <w:color w:val="auto"/>
              </w:rPr>
            </w:pPr>
          </w:p>
        </w:tc>
        <w:tc>
          <w:tcPr>
            <w:tcW w:w="6480" w:type="dxa"/>
            <w:vAlign w:val="bottom"/>
            <w:gridSpan w:val="5"/>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1998</w:t>
            </w:r>
          </w:p>
        </w:tc>
        <w:tc>
          <w:tcPr>
            <w:tcW w:w="152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1997</w:t>
            </w:r>
          </w:p>
        </w:tc>
        <w:tc>
          <w:tcPr>
            <w:tcW w:w="13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1996</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40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(in thousands)</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4040" w:type="dxa"/>
            <w:vAlign w:val="bottom"/>
          </w:tcPr>
          <w:p>
            <w:pPr>
              <w:spacing w:after="0"/>
              <w:rPr>
                <w:sz w:val="20"/>
                <w:szCs w:val="20"/>
                <w:color w:val="auto"/>
              </w:rPr>
            </w:pPr>
            <w:r>
              <w:rPr>
                <w:rFonts w:ascii="Courier New" w:cs="Courier New" w:eastAsia="Courier New" w:hAnsi="Courier New"/>
                <w:sz w:val="14"/>
                <w:szCs w:val="14"/>
                <w:color w:val="auto"/>
              </w:rPr>
              <w:t>Cash, cash equivalents and marketable</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securities ................................</w:t>
            </w:r>
          </w:p>
        </w:tc>
        <w:tc>
          <w:tcPr>
            <w:tcW w:w="130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$ 93,599</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$ 113,530</w:t>
            </w:r>
          </w:p>
        </w:tc>
        <w:tc>
          <w:tcPr>
            <w:tcW w:w="1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$ 128,041</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$ 97,028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$ 59,622</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Working capital ..............................</w:t>
            </w:r>
          </w:p>
        </w:tc>
        <w:tc>
          <w:tcPr>
            <w:tcW w:w="130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59,725</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83,499</w:t>
            </w:r>
          </w:p>
        </w:tc>
        <w:tc>
          <w:tcPr>
            <w:tcW w:w="1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88,953</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72,960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36,254</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Total assets .................................</w:t>
            </w:r>
          </w:p>
        </w:tc>
        <w:tc>
          <w:tcPr>
            <w:tcW w:w="130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136,999</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156,915</w:t>
            </w:r>
          </w:p>
        </w:tc>
        <w:tc>
          <w:tcPr>
            <w:tcW w:w="1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168,380</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137,582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93,811</w:t>
            </w: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Capital lease obligations and note payable,</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long-term portion .........................</w:t>
            </w:r>
          </w:p>
        </w:tc>
        <w:tc>
          <w:tcPr>
            <w:tcW w:w="130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2,731</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3,066</w:t>
            </w:r>
          </w:p>
        </w:tc>
        <w:tc>
          <w:tcPr>
            <w:tcW w:w="1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3,752</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5,148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5,978</w:t>
            </w:r>
          </w:p>
        </w:tc>
      </w:tr>
      <w:tr>
        <w:trPr>
          <w:trHeight w:val="163"/>
        </w:trPr>
        <w:tc>
          <w:tcPr>
            <w:tcW w:w="4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Shareholders' equity .........................</w:t>
            </w:r>
          </w:p>
        </w:tc>
        <w:tc>
          <w:tcPr>
            <w:tcW w:w="130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109,532</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131,227</w:t>
            </w:r>
          </w:p>
        </w:tc>
        <w:tc>
          <w:tcPr>
            <w:tcW w:w="1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138,897</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106,931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67,856</w:t>
            </w:r>
          </w:p>
        </w:tc>
      </w:tr>
      <w:tr>
        <w:trPr>
          <w:trHeight w:val="815"/>
        </w:trPr>
        <w:tc>
          <w:tcPr>
            <w:tcW w:w="404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7</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520"/>
          </w:cols>
          <w:pgMar w:left="300" w:top="772" w:right="1079" w:bottom="1440" w:gutter="0" w:footer="0" w:header="0"/>
        </w:sectPr>
      </w:pPr>
    </w:p>
    <w:bookmarkStart w:id="9" w:name="page10"/>
    <w:bookmarkEnd w:id="9"/>
    <w:p>
      <w:pPr>
        <w:ind w:left="2900"/>
        <w:spacing w:after="0"/>
        <w:rPr>
          <w:sz w:val="20"/>
          <w:szCs w:val="20"/>
          <w:color w:val="auto"/>
        </w:rPr>
      </w:pPr>
      <w:r>
        <w:rPr>
          <w:rFonts w:ascii="Courier New" w:cs="Courier New" w:eastAsia="Courier New" w:hAnsi="Courier New"/>
          <w:sz w:val="14"/>
          <w:szCs w:val="14"/>
          <w:color w:val="auto"/>
        </w:rPr>
        <w:t>RISK FACTORS</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You should carefully consider the following risk factors before you decide to buy our common stock. If any of these risks actually occur, our business, financial condition, operating results or cash flows could be materially adversely affected. This could cause the trading price of our common stock to decline and you may lose part or all of your investment.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Business, Industry and Strategy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Most drug research and development programs fail.</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Only a small minority of all research and development programs ultimately result in commercially successful drugs. It is not possible to predict whether any program will succeed until it actually produces a drug that is commercially marketed for a significant period of time. We are attempting to develop drugs for human therapeutic use and we cannot assure you that any of our research and development activities will be successful or that any of our current or future potential product candidates will be commercialized. The Phase</w:t>
      </w:r>
    </w:p>
    <w:p>
      <w:pPr>
        <w:spacing w:after="0" w:line="4" w:lineRule="exact"/>
        <w:rPr>
          <w:sz w:val="20"/>
          <w:szCs w:val="20"/>
          <w:color w:val="auto"/>
        </w:rPr>
      </w:pPr>
    </w:p>
    <w:p>
      <w:pPr>
        <w:ind w:right="3539" w:firstLine="7"/>
        <w:spacing w:after="0" w:line="247" w:lineRule="auto"/>
        <w:tabs>
          <w:tab w:leader="none" w:pos="33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trial of BDNF that Amgen-Regeneron Partners conducted during 1995 and 1996 failed to achieve its expected results. We rely on third-party clinical investigators to conduct our clinical trials. As a result, we may encounter delays outside of our control.</w:t>
      </w:r>
    </w:p>
    <w:p>
      <w:pPr>
        <w:spacing w:after="0" w:line="162" w:lineRule="exact"/>
        <w:rPr>
          <w:sz w:val="20"/>
          <w:szCs w:val="20"/>
          <w:color w:val="auto"/>
        </w:rPr>
      </w:pPr>
    </w:p>
    <w:p>
      <w:pPr>
        <w:ind w:right="3879"/>
        <w:spacing w:after="0" w:line="248" w:lineRule="auto"/>
        <w:rPr>
          <w:sz w:val="20"/>
          <w:szCs w:val="20"/>
          <w:color w:val="auto"/>
        </w:rPr>
      </w:pPr>
      <w:r>
        <w:rPr>
          <w:rFonts w:ascii="Courier New" w:cs="Courier New" w:eastAsia="Courier New" w:hAnsi="Courier New"/>
          <w:sz w:val="14"/>
          <w:szCs w:val="14"/>
          <w:color w:val="auto"/>
        </w:rPr>
        <w:t>There are risks involved in expanding our initial focus and broadening our product pipeline.</w:t>
      </w:r>
    </w:p>
    <w:p>
      <w:pPr>
        <w:spacing w:after="0" w:line="16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Expanding from our initial focus on degenerative neurologic disease and broadening our product pipeline to include drug candidates for the treatment of other diseases involves risks. As we expand our focus to broaden our product pipeline and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and continue to develop drug candidates independently, we will require additional resources that may be difficult to obtain and we may have to enter into collaboration arrangements with others. We cannot assure you that we will be able to acquire the necessary expertise or enter into collaboration agreements on acceptable terms to develop additional drug candidates.</w:t>
      </w:r>
    </w:p>
    <w:p>
      <w:pPr>
        <w:spacing w:after="0" w:line="332"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We have incurred substantial losses and expect to incur losses over the next several years.</w:t>
      </w:r>
    </w:p>
    <w:p>
      <w:pPr>
        <w:spacing w:after="0" w:line="161"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We have not received revenue from the sale of any commercial product and have incurred losses in each year since inception of operations in 1988. As of December 31, 1999, we had an accumulated deficit of $200.3 million.</w:t>
      </w:r>
    </w:p>
    <w:p>
      <w:pPr>
        <w:spacing w:after="0" w:line="163"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To date, we have received revenues from (1) our licensees and collaborators for research and development efforts, (2) Merck for contract manufacturing and (3) investment income. We cannot assure you that these revenues will continue or to what extent, if any, our expenses incurred in connection with our work on BDNF or NT-3 or other programs will be reimbursed by our licensees or collaborators. In the absence of revenues from commercial product sales or other sources (the amount, timing, nature, or source of which we cannot predict), our losses will continue as we conduct our research and development activities. Our activities may expand over time and may require additional resources and our operating losses may be substantial over at least the next several years. Our losses may fluctuate from quarter to quarter and will depend, among other factors, on the timing of certain expenses and on the progress of our research and development efforts. We do not know if we will ever have an approved product or achieve significant revenues or profitable operations. To date, we have not received any revenues from the commercial sale of products and we do not expect to receive any such revenues for at least several years.</w:t>
      </w:r>
    </w:p>
    <w:p>
      <w:pPr>
        <w:spacing w:after="0" w:line="17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We have had negative cash flow from operations in each year since our inception. We expect that the funding requirements for our activities will remain substantial and could increase significantly if, among other things, our development or clinical trial programs are successful or our research is expanded. In addition, we are required to provide capital from time to time to fund and remain equal partners with Amgen in Amgen-Regeneron Partners. Our aggregate capital contributions to Amgen-Regeneron Partners from the partnership's inception in</w:t>
      </w:r>
    </w:p>
    <w:p>
      <w:pPr>
        <w:spacing w:after="0" w:line="32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772" w:right="1440" w:bottom="1440" w:gutter="0" w:footer="0" w:header="0"/>
        </w:sectPr>
      </w:pPr>
    </w:p>
    <w:bookmarkStart w:id="10" w:name="page11"/>
    <w:bookmarkEnd w:id="10"/>
    <w:p>
      <w:pPr>
        <w:ind w:right="3459"/>
        <w:spacing w:after="0" w:line="246" w:lineRule="auto"/>
        <w:rPr>
          <w:sz w:val="20"/>
          <w:szCs w:val="20"/>
          <w:color w:val="auto"/>
        </w:rPr>
      </w:pPr>
      <w:r>
        <w:rPr>
          <w:rFonts w:ascii="Courier New" w:cs="Courier New" w:eastAsia="Courier New" w:hAnsi="Courier New"/>
          <w:sz w:val="14"/>
          <w:szCs w:val="14"/>
          <w:color w:val="auto"/>
        </w:rPr>
        <w:t>June 1993 through December 31, 1999 was $51.1 million. We expect that our capital contributions in 2000 will total at least $4.5 million. These contributions could increase or decrease, depending upon, among other things, the nature and cost of ongoing and additional BDNF and NT-3 studies that Amgen-Regeneron Partners may conduct and the outcomes of those studies. In addition, the amount needed to fund our operations will also depend on other factors, including the potential future need to expand our professional and support staff and facilities to support new areas of research and development, competitive products, the success of our research and development programs, the status of patent and other intellectual property right developments and the extent and success of any collaborative research arrangements.</w:t>
      </w:r>
    </w:p>
    <w:p>
      <w:pPr>
        <w:spacing w:after="0" w:line="169"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Our success depends upon obtaining FDA and foreign regulatory approval to market products currently under development.</w:t>
      </w:r>
    </w:p>
    <w:p>
      <w:pPr>
        <w:spacing w:after="0" w:line="161"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The safety, effectiveness, testing, manufacture, distribution, labeling, storage, record-keeping, approval, advertising and promotion of our product candidates and the research and development activities associated with them are subject to extensive federal, state and foreign regulation. If we fail to obtain the necessary approvals or comply with regulatory requirements, or if any of our approvals are restricted, suspended or revoked, there could be a material adverse effect on us. Even if we are able to develop drugs and related therapies that are approved for sale by the FDA or by foreign regulatory authorities, we cannot assure you that any such drugs or related therapies will be commercially successful.</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compounds we are developing will require significant additional time-consuming and costly research and development, including further preclinical and clinical testing, before we can file an application for commercial approval. As an initial step in the FDA regulatory approval process, preclinical studies are typically conducted in animals to identify potential safety problems. The results of preclinical studies are submitted to the FDA as a part of Investigation of New Drugs, or the IND, which is filed to comply with FDA regulations before beginning human clinical studies. For several of our drug candidates, no reliably predictive animal model exists. As a result, no indication of efficacy for human beings is available until these product candidates progress to human clinical trials.</w:t>
      </w:r>
    </w:p>
    <w:p>
      <w:pPr>
        <w:spacing w:after="0" w:line="169"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The extensive regulatory approval process required by the FDA and by comparable agencies in other countries can take many years and requires the expenditure of substantial resources. This gives larger companies with greater financial resources a competitive advantage. Data obtained from preclinical and clinical activities are subject to different interpretations which could delay, limit, or prevent FDA regulatory approval. We may encounter delays or rejections based upon changes in FDA policy for drug approval during the period of development and FDA regulatory review. We may also encounter similar delays or rejection of applications in foreign countries. We cannot assure you that even after such time and expenditures, regulatory approval will be obtained for any compounds we develop. Moreover, even if approval is granted, such approval may have limitations on the indicated uses for which compounds may be marketed.</w:t>
      </w:r>
    </w:p>
    <w:p>
      <w:pPr>
        <w:spacing w:after="0" w:line="169"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Our compounds may prove to have undesirable and unintended toxic side effects that may interrupt or delay clinical studies and could ultimately prevent or limit their commercial use. We or the regulatory authorities may suspend or terminate clinical trials at any time if the people participating in such trials are believed to be exposed to unacceptable health risks. Even after we have undertaken additional research and development and preclinical and clinical testing, we cannot assure you that the FDA or foreign regulatory agencies will not require additional preclinical or clinical testing before considering whether to approve the marketing of these compounds. Subsequent discovery of previously unknown problems with a product or its manufacturer may result in restrictions on the product or manufacturer, including withdrawal of the product from the market.</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772" w:right="1440" w:bottom="1440" w:gutter="0" w:footer="0" w:header="0"/>
        </w:sectPr>
      </w:pPr>
    </w:p>
    <w:bookmarkStart w:id="11" w:name="page12"/>
    <w:bookmarkEnd w:id="11"/>
    <w:p>
      <w:pPr>
        <w:ind w:right="3539"/>
        <w:spacing w:after="0" w:line="248" w:lineRule="auto"/>
        <w:rPr>
          <w:sz w:val="20"/>
          <w:szCs w:val="20"/>
          <w:color w:val="auto"/>
        </w:rPr>
      </w:pPr>
      <w:r>
        <w:rPr>
          <w:rFonts w:ascii="Courier New" w:cs="Courier New" w:eastAsia="Courier New" w:hAnsi="Courier New"/>
          <w:sz w:val="14"/>
          <w:szCs w:val="14"/>
          <w:color w:val="auto"/>
        </w:rPr>
        <w:t>We face substantial competition, which may result in others discovering, developing or commercializing products before or more successfully than we do.</w:t>
      </w:r>
    </w:p>
    <w:p>
      <w:pPr>
        <w:spacing w:after="0" w:line="16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or form collaborative arrangements or merge with large pharmaceutical companies. We also compete with academic institutions, government agencies and other public and private research organizations in the development of technologies and processes and, in some instances, compete with others in acquiring technology from such institutions, agencies and organizations. We cannot assure you that we will be able to produce approved compounds that have commercial potential and, even if we achieve product commercialization, that one or more of our competitors may not achieve product commercialization earlier than we do or patent protection that dominates or adversely affects our activities.</w:t>
      </w:r>
    </w:p>
    <w:p>
      <w:pPr>
        <w:spacing w:after="0" w:line="17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There is substantial competition in the discovery and development of treatments for obesity and obesity-related morbidities, including Type II diabetes, as well as established and cost-effective and emerging prescription and over-the-counter treatments for these conditions. For example, Amgen and a number of other pharmaceutical companies are developing leptin and related molecules. Clinical trials of leptin are currently under way.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 The treatment of constipating conditions is highly competitive, with a number of companies providing over-the-counter remedies and other competitors attempting to discover and develop improved over-the-counter or prescription treatments. Many pharmaceutical and biotechnology companies are attempting to discover and develop small-molecule based therapeutics, similar in at least certain respects to our program with Procter &amp; Gamble.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Genentech, as well as many others.</w:t>
      </w:r>
    </w:p>
    <w:p>
      <w:pPr>
        <w:spacing w:after="0" w:line="176"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More specifically, our efforts to develop treatments for neurological diseases and conditions are being conducted in a highly competitive environment. Even if BDNF or NT-3 is shown to be safe and effective to treat ALS or other conditions, other companies have developed or are developing drugs for the treatment of the same or similar conditions, including Rhone-Poulenc Rorer and Sanofi Pharmaceuticals, Inc. Amgen is a direct competitor of ours in the field of neurotrophic factors and possibly other fields. Other potential competitors include Genentech and Cephalon, Inc., which is in a collaboration with Chiron Corporation. Amgen, Genentech, Cephalon and others have filed patent applications and obtained issued patents relating to neurotrophic factors, or have announced that they are actively pursuing preclinical or clinical development programs in the area of neurotrophic factors. Other companies have developed or are developing drugs based on technology other than neurotrophic factors for the treatment of diseases and injuries relating to the nervous system (including ALS). We are also aware that several pharmaceutical companies are conducting clinical trials in ALS with drugs that are orally administered. Our developments relating to treatments for asthma or other inflammatory conditions, obesity, diabetes and other conditions are subject to a similarly competitive environment.</w:t>
      </w:r>
    </w:p>
    <w:p>
      <w:pPr>
        <w:spacing w:after="0" w:line="173" w:lineRule="exact"/>
        <w:rPr>
          <w:sz w:val="20"/>
          <w:szCs w:val="20"/>
          <w:color w:val="auto"/>
        </w:rPr>
      </w:pPr>
    </w:p>
    <w:p>
      <w:pPr>
        <w:ind w:right="3879" w:firstLine="763"/>
        <w:spacing w:after="0" w:line="247" w:lineRule="auto"/>
        <w:rPr>
          <w:sz w:val="20"/>
          <w:szCs w:val="20"/>
          <w:color w:val="auto"/>
        </w:rPr>
      </w:pPr>
      <w:r>
        <w:rPr>
          <w:rFonts w:ascii="Courier New" w:cs="Courier New" w:eastAsia="Courier New" w:hAnsi="Courier New"/>
          <w:sz w:val="14"/>
          <w:szCs w:val="14"/>
          <w:color w:val="auto"/>
        </w:rPr>
        <w:t>If a competitor announces a successful clinical study involving a product that may be competitive with one of our product candidates or an approval by a regulatory agency of the marketing of a competitive product,</w:t>
      </w:r>
    </w:p>
    <w:p>
      <w:pPr>
        <w:spacing w:after="0" w:line="32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772" w:right="1440" w:bottom="1440" w:gutter="0" w:footer="0" w:header="0"/>
        </w:sectPr>
      </w:pPr>
    </w:p>
    <w:bookmarkStart w:id="12" w:name="page13"/>
    <w:bookmarkEnd w:id="12"/>
    <w:p>
      <w:pPr>
        <w:ind w:right="3359"/>
        <w:spacing w:after="0" w:line="248" w:lineRule="auto"/>
        <w:rPr>
          <w:sz w:val="20"/>
          <w:szCs w:val="20"/>
          <w:color w:val="auto"/>
        </w:rPr>
      </w:pPr>
      <w:r>
        <w:rPr>
          <w:rFonts w:ascii="Courier New" w:cs="Courier New" w:eastAsia="Courier New" w:hAnsi="Courier New"/>
          <w:sz w:val="14"/>
          <w:szCs w:val="14"/>
          <w:color w:val="auto"/>
        </w:rPr>
        <w:t>such announcement may have a material adverse effect on our operations or future prospects or the price of our common stock.</w:t>
      </w:r>
    </w:p>
    <w:p>
      <w:pPr>
        <w:spacing w:after="0" w:line="16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We also compete with academic institutions, governmental agencies and other public or private research organizations which continue to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162"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We depend on the collaborative efforts of our academic and corporate partners for research, development and commercialization of some of our products.</w:t>
      </w:r>
    </w:p>
    <w:p>
      <w:pPr>
        <w:spacing w:after="0" w:line="16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Our strategy for research, development and commercialization of certain of our products involves entering into various arrangements with academic and corporate partners and others. As a result, our strategy depends, in part, upon the success of these outside parties in performing their responsibilities. Our collaborators may also be our competitors, such as Amgen. We cannot control the amount and timing of resources that our collaborators devote to performing their contractual obligations. We cannot assure you that these parties will perform their obligations as expected or that any revenue will be derived from these arrangements. If our collaborators breach or terminate their agreement with us or otherwise fail to conduct their collaborative activities in a timely manner,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 Our agreement with Procter &amp; Gamble has an early termination provision whereby either party has the right to terminate the agreement at any time after June 2002 by giving the other party one year's notice. The termination or cancellation of collaborative arrangements could adversely affect our financial condition, intellectual property position and operations.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176"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Other than our contractual rights under our license agreements, we may be limited in our ability to convince our licensees to fulfill their obligations. The failure of such licensees to act in a prompt and effective manner, or the existence of a dispute between us and our licensees regarding this or other matters, could have a material adverse effect on our results of operations and the price of our common stock.</w:t>
      </w:r>
    </w:p>
    <w:p>
      <w:pPr>
        <w:spacing w:after="0" w:line="162"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We rely upon scientific, technical and clinical data supplied by academic and corporate collaborators, licensors, licensees, independent contractors and others in the evaluation and development of potential therapeutic compounds. We cannot assure you that there are no errors or omissions in this data that would materially adversely affect the development of these compounds.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We may seek additional collaborative arrangements to develop and commercialize our products in the future. There can be no assurance that we will be able to negotiate acceptable collaborative arrangements in the future or that any collaborative arrangements will be successful. In addition, we cannot assure you that our col-</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772" w:right="1440" w:bottom="1440" w:gutter="0" w:footer="0" w:header="0"/>
        </w:sectPr>
      </w:pPr>
    </w:p>
    <w:bookmarkStart w:id="13" w:name="page14"/>
    <w:bookmarkEnd w:id="13"/>
    <w:p>
      <w:pPr>
        <w:ind w:right="3539"/>
        <w:spacing w:after="0" w:line="247" w:lineRule="auto"/>
        <w:rPr>
          <w:sz w:val="20"/>
          <w:szCs w:val="20"/>
          <w:color w:val="auto"/>
        </w:rPr>
      </w:pPr>
      <w:r>
        <w:rPr>
          <w:rFonts w:ascii="Courier New" w:cs="Courier New" w:eastAsia="Courier New" w:hAnsi="Courier New"/>
          <w:sz w:val="14"/>
          <w:szCs w:val="14"/>
          <w:color w:val="auto"/>
        </w:rPr>
        <w:t>laborative partners will not pursue alternative technologies or develop alternative compounds independently or in collaboration with others as a means of developing treatments for the diseases targeted by their collaborative programs with us.</w:t>
      </w:r>
    </w:p>
    <w:p>
      <w:pPr>
        <w:spacing w:after="0" w:line="162"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Our ability to conduct timely preclinical and clinical research and development programs, obtain regulatory approval, commercialize our product candidates, fulfill our contract manufacturing obligations to others will depend, in part, upon our ability to manufacture our products, either directly or through third parties, in accordance with FDA and other regulatory requirements.</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If we are unable to manufacture our products, we would be unable to proceed with or could experience delays in the regulatory process for our product candidates under development, suffer potential financial and competitive consequences and experience delays in the commercialization of our products. We cannot assure you that we will be able to manufacture products successfully or in a cost effective manner at our facilities. If we are unable to develop our own manufacturing facilities or to obtain or retain third-party manufacturing on acceptable terms, we may not be able to conduct certain future preclinical and clinical testing or to supply commercial quantities of our product candidates. Our dependence upon third parties for the manufacture of certain of our products and related therapies may adversely affect our profit margins and our ability to develop and deliver products on a timely and competitive basis.</w:t>
      </w:r>
    </w:p>
    <w:p>
      <w:pPr>
        <w:spacing w:after="0" w:line="169"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Our programs to attempt to discover and develop orally active, small molecule drugs may require that we obtain new manufacturing capabilities, facilities, equipment, personnel and expertise, expand our regulatory and related organizations and enter into agreements with third parties to provide some or all of the foregoing. We cannot assure you that we will be successful in any of these efforts, or that the necessary plant, equipment, people, or expertise will be available to us or, if available, will be available at a cost that is acceptable to us.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products may not achieve commercial success.</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commercial success of any of our products will depend upon their acceptance by patients, the medical community and third-party payors, our ability to successfully develop, manufacture and market our products. Among the factors that we believe will materially affect acceptance of our products are:</w:t>
      </w:r>
    </w:p>
    <w:p>
      <w:pPr>
        <w:spacing w:after="0" w:line="162" w:lineRule="exact"/>
        <w:rPr>
          <w:sz w:val="20"/>
          <w:szCs w:val="20"/>
          <w:color w:val="auto"/>
        </w:rPr>
      </w:pPr>
    </w:p>
    <w:p>
      <w:pPr>
        <w:ind w:left="1100" w:hanging="330"/>
        <w:spacing w:after="0"/>
        <w:tabs>
          <w:tab w:leader="none" w:pos="11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manufacture these products successfully;</w:t>
      </w:r>
    </w:p>
    <w:p>
      <w:pPr>
        <w:spacing w:after="0" w:line="167" w:lineRule="exact"/>
        <w:rPr>
          <w:rFonts w:ascii="Courier New" w:cs="Courier New" w:eastAsia="Courier New" w:hAnsi="Courier New"/>
          <w:sz w:val="14"/>
          <w:szCs w:val="14"/>
          <w:color w:val="auto"/>
        </w:rPr>
      </w:pPr>
    </w:p>
    <w:p>
      <w:pPr>
        <w:ind w:left="1100" w:hanging="330"/>
        <w:spacing w:after="0"/>
        <w:tabs>
          <w:tab w:leader="none" w:pos="11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sales, marketing and distribution experience;</w:t>
      </w:r>
    </w:p>
    <w:p>
      <w:pPr>
        <w:spacing w:after="0" w:line="167" w:lineRule="exact"/>
        <w:rPr>
          <w:rFonts w:ascii="Courier New" w:cs="Courier New" w:eastAsia="Courier New" w:hAnsi="Courier New"/>
          <w:sz w:val="14"/>
          <w:szCs w:val="14"/>
          <w:color w:val="auto"/>
        </w:rPr>
      </w:pPr>
    </w:p>
    <w:p>
      <w:pPr>
        <w:ind w:left="1100" w:right="3539" w:hanging="330"/>
        <w:spacing w:after="0" w:line="248" w:lineRule="auto"/>
        <w:tabs>
          <w:tab w:leader="none" w:pos="11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timing of receipt of marketing approvals and the countries in which those approvals are obtained;</w:t>
      </w:r>
    </w:p>
    <w:p>
      <w:pPr>
        <w:spacing w:after="0" w:line="161" w:lineRule="exact"/>
        <w:rPr>
          <w:rFonts w:ascii="Courier New" w:cs="Courier New" w:eastAsia="Courier New" w:hAnsi="Courier New"/>
          <w:sz w:val="14"/>
          <w:szCs w:val="14"/>
          <w:color w:val="auto"/>
        </w:rPr>
      </w:pPr>
    </w:p>
    <w:p>
      <w:pPr>
        <w:ind w:left="1100" w:hanging="330"/>
        <w:spacing w:after="0"/>
        <w:tabs>
          <w:tab w:leader="none" w:pos="11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safety and efficacy of our products;</w:t>
      </w:r>
    </w:p>
    <w:p>
      <w:pPr>
        <w:spacing w:after="0" w:line="167" w:lineRule="exact"/>
        <w:rPr>
          <w:rFonts w:ascii="Courier New" w:cs="Courier New" w:eastAsia="Courier New" w:hAnsi="Courier New"/>
          <w:sz w:val="14"/>
          <w:szCs w:val="14"/>
          <w:color w:val="auto"/>
        </w:rPr>
      </w:pPr>
    </w:p>
    <w:p>
      <w:pPr>
        <w:ind w:left="1100" w:hanging="330"/>
        <w:spacing w:after="0"/>
        <w:tabs>
          <w:tab w:leader="none" w:pos="11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 of physician education programs;</w:t>
      </w:r>
    </w:p>
    <w:p>
      <w:pPr>
        <w:spacing w:after="0" w:line="167" w:lineRule="exact"/>
        <w:rPr>
          <w:rFonts w:ascii="Courier New" w:cs="Courier New" w:eastAsia="Courier New" w:hAnsi="Courier New"/>
          <w:sz w:val="14"/>
          <w:szCs w:val="14"/>
          <w:color w:val="auto"/>
        </w:rPr>
      </w:pPr>
    </w:p>
    <w:p>
      <w:pPr>
        <w:ind w:left="1100" w:right="4039" w:hanging="330"/>
        <w:spacing w:after="0" w:line="248" w:lineRule="auto"/>
        <w:tabs>
          <w:tab w:leader="none" w:pos="11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of our products in comparison with conventional or alternative therapeutic products; and</w:t>
      </w:r>
    </w:p>
    <w:p>
      <w:pPr>
        <w:spacing w:after="0" w:line="161" w:lineRule="exact"/>
        <w:rPr>
          <w:rFonts w:ascii="Courier New" w:cs="Courier New" w:eastAsia="Courier New" w:hAnsi="Courier New"/>
          <w:sz w:val="14"/>
          <w:szCs w:val="14"/>
          <w:color w:val="auto"/>
        </w:rPr>
      </w:pPr>
    </w:p>
    <w:p>
      <w:pPr>
        <w:ind w:left="1100" w:right="3459" w:hanging="330"/>
        <w:spacing w:after="0" w:line="248" w:lineRule="auto"/>
        <w:tabs>
          <w:tab w:leader="none" w:pos="11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availability of government and third-party payor reimbursement of our products.</w:t>
      </w:r>
    </w:p>
    <w:p>
      <w:pPr>
        <w:spacing w:after="0" w:line="161"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As described above, we cannot assure you that we will be able to manufacture our products successfully. We have no sales, marketing and distribution experience and may have to rely significantly on sales, marketing and distribution arrangements with third parties for the products that we are developing.</w:t>
      </w:r>
    </w:p>
    <w:p>
      <w:pPr>
        <w:spacing w:after="0" w:line="162"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The success of our products will depend, in part, upon the extent to which a consumer will be willing to pay the price or be able to obtain reimbursement for the cost of these products from government health administration authorities, private health insurers and other organizations.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772" w:right="1440" w:bottom="1440" w:gutter="0" w:footer="0" w:header="0"/>
        </w:sectPr>
      </w:pPr>
    </w:p>
    <w:bookmarkStart w:id="14" w:name="page15"/>
    <w:bookmarkEnd w:id="14"/>
    <w:p>
      <w:pPr>
        <w:jc w:val="both"/>
        <w:ind w:right="3359" w:firstLine="763"/>
        <w:spacing w:after="0" w:line="246" w:lineRule="auto"/>
        <w:rPr>
          <w:sz w:val="20"/>
          <w:szCs w:val="20"/>
          <w:color w:val="auto"/>
        </w:rPr>
      </w:pPr>
      <w:r>
        <w:rPr>
          <w:rFonts w:ascii="Courier New" w:cs="Courier New" w:eastAsia="Courier New" w:hAnsi="Courier New"/>
          <w:sz w:val="14"/>
          <w:szCs w:val="14"/>
          <w:color w:val="auto"/>
        </w:rPr>
        <w:t>Significant uncertainties exist as to the reimbursement status of newly approved therapeutic products. Medicare generally does not provide reimbursement for self-administered prescription therapeutic agents. We cannot assure you that</w:t>
      </w:r>
    </w:p>
    <w:p>
      <w:pPr>
        <w:spacing w:after="0" w:line="2" w:lineRule="exact"/>
        <w:rPr>
          <w:sz w:val="20"/>
          <w:szCs w:val="20"/>
          <w:color w:val="auto"/>
        </w:rPr>
      </w:pPr>
    </w:p>
    <w:p>
      <w:pPr>
        <w:ind w:right="3539" w:firstLine="7"/>
        <w:spacing w:after="0" w:line="247" w:lineRule="auto"/>
        <w:tabs>
          <w:tab w:leader="none" w:pos="33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in the United States or foreign countries will be available for any of our products or, (2) if available, there will be no decrease in the future or (3) that reimbursement amounts will not reduce the demand for or the price of our products. The unavailability or inadequacy of third-party reimbursement for our products could have a material adverse effect on us.</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Third-party payors are increasingly challenging the prices charged for medical services and products and the trend towards managed care in the United States and the growth of organizations such as health maintenance organizations, which could control or significantly influence the purchase of health care services and products, as well as legislative proposals to reform health care or reduce government insurance programs, may result in lower prices for our products. The cost containment measures that health care providers are instituting and the effect of any health care reform could affect our ability to sell our products and may have a material adverse effect on us. We are unable to forecast what additional legislation or regulation, if any, relating to the health care industry or third-party coverage and reimbursement may be enacted in the future or what effect such legislation or regulation would have on our business.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Intellectual Property</w:t>
      </w:r>
    </w:p>
    <w:p>
      <w:pPr>
        <w:spacing w:after="0" w:line="168"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We may not be able to obtain patent protection for our discoveries and we may infringe patent rights of others.</w:t>
      </w:r>
    </w:p>
    <w:p>
      <w:pPr>
        <w:spacing w:after="0" w:line="16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We believe that patent protection of products or processes that may result from our research and development efforts, our licensors, licensees or collaborators is important to the possible commercialization of our product candidates. We or our licensors or collaborators have filed patent applications on products and processes relating to AXOKINE, cytokine traps, angiopoietins, BDNF, NT-3, as well as other technologies and inventions in the United States and in certain foreign countries. Although we have obtained a number of U.S. patents, we cannot assure you that any additional patents will be issued or that any issued patents will provide adequate protection against competitive products or otherwise be commercially valuable. In addition, patent law relating to the patentability and scope of claims in the biotechnology field is evolving and our patent rights are subject to this additional uncertainty. Others will not independently develop similar products or processes to those developed by us, duplicate any of our products or processes or, if patents are issued to us, design around any products and processes covered by our patents. We expect to continue to file products or processes covered by our patents. However, there can be no assurance that any such patents will be filed or, if filed, that they will be issued. Patents issued to or licensed by us may be infringed by the products or processes of others.</w:t>
      </w:r>
    </w:p>
    <w:p>
      <w:pPr>
        <w:spacing w:after="0" w:line="173"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Defense and enforcement of our rights can be expensive and time consuming, even if the outcome is favorable to us. It is possible that patents issued to or licensed to us will be successfully challenged, that a court of competent jurisdiction may find that we are infringing validly issued patents of third parties, or that we may have to alter our products or processes or pay licensing fees or cease certain activities to take into account patent rights of third parties, causing additional unexpected costs and delays which may have a material adverse effect on us.</w:t>
      </w:r>
    </w:p>
    <w:p>
      <w:pPr>
        <w:spacing w:after="0" w:line="162"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If we are not able to keep our trade secrets confidential, our technology and information may be used by others to compete against us.</w:t>
      </w:r>
    </w:p>
    <w:p>
      <w:pPr>
        <w:spacing w:after="0" w:line="161"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addition to our reliance on patents, we attempt and will continue to attempt to protect our proprietary products and processes by relying on trade secret laws and nondisclosure and confidentiality agreements and exclusive licensing arrangements with our employees and certain other persons who have access to our proprietary products or processes or have licensing or research arrangements exclusive to us. Despite these protections,</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772" w:right="1440" w:bottom="1440" w:gutter="0" w:footer="0" w:header="0"/>
        </w:sectPr>
      </w:pPr>
    </w:p>
    <w:bookmarkStart w:id="15" w:name="page16"/>
    <w:bookmarkEnd w:id="15"/>
    <w:p>
      <w:pPr>
        <w:ind w:right="3459"/>
        <w:spacing w:after="0" w:line="247" w:lineRule="auto"/>
        <w:rPr>
          <w:sz w:val="20"/>
          <w:szCs w:val="20"/>
          <w:color w:val="auto"/>
        </w:rPr>
      </w:pPr>
      <w:r>
        <w:rPr>
          <w:rFonts w:ascii="Courier New" w:cs="Courier New" w:eastAsia="Courier New" w:hAnsi="Courier New"/>
          <w:sz w:val="14"/>
          <w:szCs w:val="14"/>
          <w:color w:val="auto"/>
        </w:rPr>
        <w:t>no assurance can be given that these agreements or arrangements will provide meaningful protection for our trade secrets in the event of unauthorized use or disclosure of such information or that others will not independently develop or obtain access to such products or processes or that our competitive position will not be adversely affected thereby. No assurance can be given that others will not independently develop substantially equivalent proprietary information and techniques or otherwise gain access to our trade secrets or technology or that we can meaningfully protect our rights to our trade secrets.</w:t>
      </w:r>
    </w:p>
    <w:p>
      <w:pPr>
        <w:spacing w:after="0" w:line="162" w:lineRule="exact"/>
        <w:rPr>
          <w:sz w:val="20"/>
          <w:szCs w:val="20"/>
          <w:color w:val="auto"/>
        </w:rPr>
      </w:pPr>
    </w:p>
    <w:p>
      <w:pPr>
        <w:jc w:val="both"/>
        <w:ind w:right="3699"/>
        <w:spacing w:after="0" w:line="247" w:lineRule="auto"/>
        <w:rPr>
          <w:sz w:val="20"/>
          <w:szCs w:val="20"/>
          <w:color w:val="auto"/>
        </w:rPr>
      </w:pPr>
      <w:r>
        <w:rPr>
          <w:rFonts w:ascii="Courier New" w:cs="Courier New" w:eastAsia="Courier New" w:hAnsi="Courier New"/>
          <w:sz w:val="14"/>
          <w:szCs w:val="14"/>
          <w:color w:val="auto"/>
        </w:rPr>
        <w:t>We may become involved in expensive patent litigation or other intellectual property proceedings which could result in liability for damages or stop our product development and commercialization efforts.</w:t>
      </w:r>
    </w:p>
    <w:p>
      <w:pPr>
        <w:spacing w:after="0" w:line="163"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There has been substantial litigation and other proceedings regarding the complex patent and other intellectual property rights in the pharmaceutical and biotechnology industries. We may become a party to patent litigation or other proceedings regarding intellectual property rights.</w:t>
      </w:r>
    </w:p>
    <w:p>
      <w:pPr>
        <w:spacing w:after="0" w:line="162" w:lineRule="exact"/>
        <w:rPr>
          <w:sz w:val="20"/>
          <w:szCs w:val="20"/>
          <w:color w:val="auto"/>
        </w:rPr>
      </w:pPr>
    </w:p>
    <w:p>
      <w:pPr>
        <w:ind w:right="3699" w:firstLine="763"/>
        <w:spacing w:after="0" w:line="248" w:lineRule="auto"/>
        <w:rPr>
          <w:sz w:val="20"/>
          <w:szCs w:val="20"/>
          <w:color w:val="auto"/>
        </w:rPr>
      </w:pPr>
      <w:r>
        <w:rPr>
          <w:rFonts w:ascii="Courier New" w:cs="Courier New" w:eastAsia="Courier New" w:hAnsi="Courier New"/>
          <w:sz w:val="14"/>
          <w:szCs w:val="14"/>
          <w:color w:val="auto"/>
        </w:rPr>
        <w:t>Other types of situations in which we may become involved in patent litigation or other intellectual property proceedings include:</w:t>
      </w:r>
    </w:p>
    <w:p>
      <w:pPr>
        <w:spacing w:after="0" w:line="161" w:lineRule="exact"/>
        <w:rPr>
          <w:sz w:val="20"/>
          <w:szCs w:val="20"/>
          <w:color w:val="auto"/>
        </w:rPr>
      </w:pPr>
    </w:p>
    <w:p>
      <w:pPr>
        <w:ind w:left="1100" w:right="3879" w:hanging="330"/>
        <w:spacing w:after="0" w:line="248" w:lineRule="auto"/>
        <w:tabs>
          <w:tab w:leader="none" w:pos="11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initiate litigation or other proceedings against third parties to enforce our patent rights;</w:t>
      </w:r>
    </w:p>
    <w:p>
      <w:pPr>
        <w:spacing w:after="0" w:line="161" w:lineRule="exact"/>
        <w:rPr>
          <w:rFonts w:ascii="Courier New" w:cs="Courier New" w:eastAsia="Courier New" w:hAnsi="Courier New"/>
          <w:sz w:val="14"/>
          <w:szCs w:val="14"/>
          <w:color w:val="auto"/>
        </w:rPr>
      </w:pPr>
    </w:p>
    <w:p>
      <w:pPr>
        <w:ind w:left="1100" w:right="3619" w:hanging="330"/>
        <w:spacing w:after="0" w:line="247" w:lineRule="auto"/>
        <w:tabs>
          <w:tab w:leader="none" w:pos="11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initiate litigation or other proceedings against third parties to seek to invalidate the patents held by these third parties or to obtain a judgment that our products or services do not infringe the third parties' patents;</w:t>
      </w:r>
    </w:p>
    <w:p>
      <w:pPr>
        <w:spacing w:after="0" w:line="162" w:lineRule="exact"/>
        <w:rPr>
          <w:rFonts w:ascii="Courier New" w:cs="Courier New" w:eastAsia="Courier New" w:hAnsi="Courier New"/>
          <w:sz w:val="14"/>
          <w:szCs w:val="14"/>
          <w:color w:val="auto"/>
        </w:rPr>
      </w:pPr>
    </w:p>
    <w:p>
      <w:pPr>
        <w:ind w:left="1100" w:right="3459" w:hanging="330"/>
        <w:spacing w:after="0" w:line="247" w:lineRule="auto"/>
        <w:tabs>
          <w:tab w:leader="none" w:pos="11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our competitors file patent applications that claim technology also claimed by us, we may participate in interference or opposition proceedings to determine the priority of invention; and</w:t>
      </w:r>
    </w:p>
    <w:p>
      <w:pPr>
        <w:spacing w:after="0" w:line="162" w:lineRule="exact"/>
        <w:rPr>
          <w:rFonts w:ascii="Courier New" w:cs="Courier New" w:eastAsia="Courier New" w:hAnsi="Courier New"/>
          <w:sz w:val="14"/>
          <w:szCs w:val="14"/>
          <w:color w:val="auto"/>
        </w:rPr>
      </w:pPr>
    </w:p>
    <w:p>
      <w:pPr>
        <w:ind w:left="1100" w:right="3359" w:hanging="330"/>
        <w:spacing w:after="0" w:line="247" w:lineRule="auto"/>
        <w:tabs>
          <w:tab w:leader="none" w:pos="11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third parties initiate litigation claiming that our processes or products infringe their patent or other intellectual property rights, we will need to defend against such claims.</w:t>
      </w:r>
    </w:p>
    <w:p>
      <w:pPr>
        <w:spacing w:after="0" w:line="163"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cost to us of any patent litigation or other proceedings, even if resolved in our favor, could be substantial. Some of our competitors may be able to sustain the cost of such litigation or proceedings more effectively than we can because of their substantially greater financial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or not at all.</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Uncertainties resulting from the litigation and continuation of patent litigation or other proceedings could have a material adverse effect on our ability to compete in the marketplace. Patent litigation and other proceedings may also absorb significant management time.</w:t>
      </w:r>
    </w:p>
    <w:p>
      <w:pPr>
        <w:spacing w:after="0" w:line="162"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If we breach any of the agreements under which we license technology from others, we could lose license rights that are important to our business.</w:t>
      </w:r>
    </w:p>
    <w:p>
      <w:pPr>
        <w:spacing w:after="0" w:line="161"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We are a party to technology licenses that are important to our business and expect to enter into additional licenses in the future. These licenses impose commercialization, sublicensing, royalty, insurance and other obligations on us. If we fail to comply with these requirements, the licensor will have the right to terminate the license.</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77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Risks Relating to Ongoing Operations</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Recruiting and retaining qualified scientific and management personnel to perform research and development work and to commercialize products is critical to our success.</w:t>
      </w:r>
    </w:p>
    <w:p>
      <w:pPr>
        <w:spacing w:after="0" w:line="163"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Although we believe we have been successful in attracting and retaining skilled and experienced scientific and management personnel, we cannot assure you that we will be able to continue to attract and retain such personnel on acceptable terms. The loss of any of our key personnel, in particular (1) our Chairman, P. Roy Vagelos, M.D., (2) our President and Chief Executive Officer, Leonard S. Schleifer, M.D., Ph.D. and (3) our Chief Scientific Officer, George D. Yancopoulos, M.D., Ph.D., may have an adverse effect on us. In addition, our anticipated growth and expansion into areas requiring additional expertise are expected to place increased demands on our resources and require the recruitment of additional management personnel and the development of additional expertise by existing management personnel. The failure to acquire such services or to develop such expertise could have a material adverse effect on us.</w:t>
      </w:r>
    </w:p>
    <w:p>
      <w:pPr>
        <w:spacing w:after="0" w:line="169"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We could be exposed to significant liability claims if we are unable to obtain insurance at acceptable costs or otherwise to protect us against potential product liability claims.</w:t>
      </w:r>
    </w:p>
    <w:p>
      <w:pPr>
        <w:spacing w:after="0" w:line="163"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testing, manufacturing and marketing of human pharmaceutical products entail significant inherent risks. Their use in clinical trials and their sale may expose us to liability claims. These claims might be made directly by consumers or by pharmaceutical companies or others selling the products, among others. We are insured by health care product liability insurance policies, including a policy carried by Amgen-Regeneron Partners, the purpose of which is to cover certain claims that could arise during the clinical trials of BDNF and NT-3. Such coverage or the amount and scope of any coverage obtained in the future for these products or any other products, developed with collaborators or by ourselves may be inadequate to protect Regeneron in the event of a successful liability claim and we cannot assure you that the amount of such insurance can be purchased, increased or renewed. We cannot assure you that we will avoid a significant product liability claim or recall that could have a material adverse effect on us.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our Common Stock</w:t>
      </w:r>
    </w:p>
    <w:p>
      <w:pPr>
        <w:spacing w:after="0" w:line="168"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Our stock price could be volatile, which could cause you to lose part or all of your investment.</w:t>
      </w:r>
    </w:p>
    <w:p>
      <w:pPr>
        <w:spacing w:after="0" w:line="16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There has been a history of significant volatility in the market price of shares of biotechnology companies, including our shares and it is likely that the market price of our common stock will continue to be highly volatile. In 1998, the bid price for our common stock fluctuated from a low of $5.75 a share to $11.00 a share. In 1999, the bid price fluctuated from a low of $5.38 per share to a high of $13.00 per share. From January 1, 2000 to March 2, 2000, the bid price fluctuated from a low of $11.50 per share to a high of $56.17 per share. Factors such as fluctuations in our operating results, clinical trial results, announcements of technological innovations or new commercial therapeutic products introduced by us or our competitors, governmental regulation, regulatory delays, litigation, development in patent or other proprietary rights, public concern as to the safety or other implications of the drugs sought to be developed by us or the genetic engineering involved in their production and general market conditions may have a significant effect on the market price of our common stock.</w:t>
      </w:r>
    </w:p>
    <w:p>
      <w:pPr>
        <w:spacing w:after="0" w:line="171"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Our existing shareholders may be able to influence the outcome of corporate actions.</w:t>
      </w:r>
    </w:p>
    <w:p>
      <w:pPr>
        <w:spacing w:after="0" w:line="16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Holders of Class A Stock (the shareholders who purchased their stock from us before our initial public offering) are entitled to ten votes per share and holders of common stock are entitled to one vote per share. Upon completion of this offering, holders of Class A Stock will hold 10.0% of our outstanding common stock and 52.7% of the combined voting power of the common stock and will be in position to elect all of our directors and to effect or prevent certain corporate transactions which require majority or super majority approval of the combined classes, including mergers and other business combinations. Upon the com-</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772" w:right="1440" w:bottom="1440" w:gutter="0" w:footer="0" w:header="0"/>
        </w:sectPr>
      </w:pPr>
    </w:p>
    <w:bookmarkStart w:id="17" w:name="page18"/>
    <w:bookmarkEnd w:id="17"/>
    <w:p>
      <w:pPr>
        <w:ind w:right="3359"/>
        <w:spacing w:after="0" w:line="246" w:lineRule="auto"/>
        <w:rPr>
          <w:sz w:val="20"/>
          <w:szCs w:val="20"/>
          <w:color w:val="auto"/>
        </w:rPr>
      </w:pPr>
      <w:r>
        <w:rPr>
          <w:rFonts w:ascii="Courier New" w:cs="Courier New" w:eastAsia="Courier New" w:hAnsi="Courier New"/>
          <w:sz w:val="14"/>
          <w:szCs w:val="14"/>
          <w:color w:val="auto"/>
        </w:rPr>
        <w:t>pletion of this offering, our current officers and directors will own 65.0% of the outstanding shares of Class A Stock and 4.5% of the shares of our common stock, constituting 10.6% of our outstanding common stock and 36.4% of the combined voting power of our common stock. In addition, certain of our collaborators, including Procter &amp; Gamble and Amgen, hold shares of our common stock. Upon completion of this offering, Procter &amp; Gamble will hold 14.4% of our outstanding common stock (7.6% of the combined voting power) and Amgen will hold 12.1% of our outstanding common stock (16.8% of the combined voting power) and</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10.4% of our outstanding common stock if the underwriters of this offering exercise their option to purchase from Amgen 600,000 shares of our common stock to cover over-allotments. In addition, our Restated Certificate of Incorporation provides for staggered terms for the members of the Board of Directors. A staggered board, the existence of Class A Stock, blank-checked preferred stock, our rights plan and certain provisions of the New York Business Corporation Law may discourage certain types of transactions involving an actual or potential change of control.</w:t>
      </w:r>
    </w:p>
    <w:p>
      <w:pPr>
        <w:spacing w:after="0" w:line="325"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THIS PROSPECTUS CONTAINS FORWARD LOOKING STATEMENTS</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following important factors, among others, in some cases have affected and in the future could affect, our actual results and could cause our actual results to differ materially from those expressed in any forward-looking statements made by, or on behalf of, us:</w:t>
      </w:r>
    </w:p>
    <w:p>
      <w:pPr>
        <w:spacing w:after="0" w:line="162" w:lineRule="exact"/>
        <w:rPr>
          <w:sz w:val="20"/>
          <w:szCs w:val="20"/>
          <w:color w:val="auto"/>
        </w:rPr>
      </w:pPr>
    </w:p>
    <w:p>
      <w:pPr>
        <w:ind w:left="1100" w:right="3539" w:hanging="330"/>
        <w:spacing w:after="0" w:line="247" w:lineRule="auto"/>
        <w:tabs>
          <w:tab w:leader="none" w:pos="11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difficulty, or failure of our research and development programs to produce product candidates that are scientifically or commercially appropriate for further development by us or others.</w:t>
      </w:r>
    </w:p>
    <w:p>
      <w:pPr>
        <w:spacing w:after="0" w:line="162" w:lineRule="exact"/>
        <w:rPr>
          <w:rFonts w:ascii="Courier New" w:cs="Courier New" w:eastAsia="Courier New" w:hAnsi="Courier New"/>
          <w:sz w:val="14"/>
          <w:szCs w:val="14"/>
          <w:color w:val="auto"/>
        </w:rPr>
      </w:pPr>
    </w:p>
    <w:p>
      <w:pPr>
        <w:ind w:left="1100" w:right="3359" w:hanging="330"/>
        <w:spacing w:after="0" w:line="247" w:lineRule="auto"/>
        <w:tabs>
          <w:tab w:leader="none" w:pos="11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 or termination of material collaborative or licensing agreements (including in particular, but not limited to, those with Procter &amp; Gamble and Amgen) and the resulting loss of research or other funding could have a material adverse effect on us and our operations. A change of control of one or more of our material collaborators or licensees could also have a material adverse effect on us.</w:t>
      </w:r>
    </w:p>
    <w:p>
      <w:pPr>
        <w:spacing w:after="0" w:line="162" w:lineRule="exact"/>
        <w:rPr>
          <w:rFonts w:ascii="Courier New" w:cs="Courier New" w:eastAsia="Courier New" w:hAnsi="Courier New"/>
          <w:sz w:val="14"/>
          <w:szCs w:val="14"/>
          <w:color w:val="auto"/>
        </w:rPr>
      </w:pPr>
    </w:p>
    <w:p>
      <w:pPr>
        <w:ind w:left="1100" w:right="3359" w:hanging="330"/>
        <w:spacing w:after="0" w:line="246" w:lineRule="auto"/>
        <w:tabs>
          <w:tab w:leader="none" w:pos="11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difficulty, or failure of a clinical trial of any of our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and the failure of clinical investigators, trial monitors and other consultants, or trial subjects to comply with the trial plan or protocol.</w:t>
      </w:r>
    </w:p>
    <w:p>
      <w:pPr>
        <w:spacing w:after="0" w:line="167" w:lineRule="exact"/>
        <w:rPr>
          <w:rFonts w:ascii="Courier New" w:cs="Courier New" w:eastAsia="Courier New" w:hAnsi="Courier New"/>
          <w:sz w:val="14"/>
          <w:szCs w:val="14"/>
          <w:color w:val="auto"/>
        </w:rPr>
      </w:pPr>
    </w:p>
    <w:p>
      <w:pPr>
        <w:ind w:left="1100" w:right="3359" w:hanging="330"/>
        <w:spacing w:after="0" w:line="246" w:lineRule="auto"/>
        <w:tabs>
          <w:tab w:leader="none" w:pos="11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safety, efficacy, manufacturing and regulatory hurdles faced by our drug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Patients who have been treated with AXOKINE, BDNF and NT-3 have developed antibodies, though we have no information that indicates that these antibodies are neutralizing antibodies.</w:t>
      </w:r>
    </w:p>
    <w:p>
      <w:pPr>
        <w:spacing w:after="0" w:line="171" w:lineRule="exact"/>
        <w:rPr>
          <w:rFonts w:ascii="Courier New" w:cs="Courier New" w:eastAsia="Courier New" w:hAnsi="Courier New"/>
          <w:sz w:val="14"/>
          <w:szCs w:val="14"/>
          <w:color w:val="auto"/>
        </w:rPr>
      </w:pPr>
    </w:p>
    <w:p>
      <w:pPr>
        <w:ind w:left="1100" w:right="3799" w:hanging="330"/>
        <w:spacing w:after="0" w:line="247" w:lineRule="auto"/>
        <w:tabs>
          <w:tab w:leader="none" w:pos="11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difficulty, or failure in obtaining regulatory approval (including approval of our facilities for production) for our products (including vaccine intermediate for Merck), including delays or difficulties in development because of insufficient proof of safety or efficacy.</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772" w:right="1440" w:bottom="1440" w:gutter="0" w:footer="0" w:header="0"/>
        </w:sectPr>
      </w:pPr>
    </w:p>
    <w:bookmarkStart w:id="18" w:name="page19"/>
    <w:bookmarkEnd w:id="18"/>
    <w:p>
      <w:pPr>
        <w:ind w:left="1100" w:right="3959" w:hanging="330"/>
        <w:spacing w:after="0" w:line="247" w:lineRule="auto"/>
        <w:tabs>
          <w:tab w:leader="none" w:pos="11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and irregular costs of development, manufacture, regulatory approval, sales and marketing associated with the introduction of products in the late stage of development.</w:t>
      </w:r>
    </w:p>
    <w:p>
      <w:pPr>
        <w:spacing w:after="0" w:line="162" w:lineRule="exact"/>
        <w:rPr>
          <w:rFonts w:ascii="Courier New" w:cs="Courier New" w:eastAsia="Courier New" w:hAnsi="Courier New"/>
          <w:sz w:val="14"/>
          <w:szCs w:val="14"/>
          <w:color w:val="auto"/>
        </w:rPr>
      </w:pPr>
    </w:p>
    <w:p>
      <w:pPr>
        <w:ind w:left="1100" w:right="3359" w:hanging="330"/>
        <w:spacing w:after="0" w:line="248" w:lineRule="auto"/>
        <w:tabs>
          <w:tab w:leader="none" w:pos="11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or market factors that may cause use of our products to be limited or otherwise fail to achieve broad acceptance.</w:t>
      </w:r>
    </w:p>
    <w:p>
      <w:pPr>
        <w:spacing w:after="0" w:line="161" w:lineRule="exact"/>
        <w:rPr>
          <w:rFonts w:ascii="Courier New" w:cs="Courier New" w:eastAsia="Courier New" w:hAnsi="Courier New"/>
          <w:sz w:val="14"/>
          <w:szCs w:val="14"/>
          <w:color w:val="auto"/>
        </w:rPr>
      </w:pPr>
    </w:p>
    <w:p>
      <w:pPr>
        <w:ind w:left="1100" w:right="3359" w:hanging="330"/>
        <w:spacing w:after="0" w:line="247" w:lineRule="auto"/>
        <w:tabs>
          <w:tab w:leader="none" w:pos="11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62" w:lineRule="exact"/>
        <w:rPr>
          <w:rFonts w:ascii="Courier New" w:cs="Courier New" w:eastAsia="Courier New" w:hAnsi="Courier New"/>
          <w:sz w:val="14"/>
          <w:szCs w:val="14"/>
          <w:color w:val="auto"/>
        </w:rPr>
      </w:pPr>
    </w:p>
    <w:p>
      <w:pPr>
        <w:ind w:left="1100" w:right="3459" w:hanging="330"/>
        <w:spacing w:after="0" w:line="247" w:lineRule="auto"/>
        <w:tabs>
          <w:tab w:leader="none" w:pos="11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or high costs of obtaining adequate financing to meet our obligations under our collaboration and licensing agreements or to fund 50 percent of the cost of developing product candidates in order to retain 50 percent of the commercialization rights.</w:t>
      </w:r>
    </w:p>
    <w:p>
      <w:pPr>
        <w:spacing w:after="0" w:line="162" w:lineRule="exact"/>
        <w:rPr>
          <w:rFonts w:ascii="Courier New" w:cs="Courier New" w:eastAsia="Courier New" w:hAnsi="Courier New"/>
          <w:sz w:val="14"/>
          <w:szCs w:val="14"/>
          <w:color w:val="auto"/>
        </w:rPr>
      </w:pPr>
    </w:p>
    <w:p>
      <w:pPr>
        <w:ind w:left="1100" w:right="3619" w:hanging="330"/>
        <w:spacing w:after="0" w:line="247" w:lineRule="auto"/>
        <w:tabs>
          <w:tab w:leader="none" w:pos="11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and rate of growth of our general and administrative expenses and the impact of unusual charges resulting from our ongoing evaluation of our business strategies and organizational structure.</w:t>
      </w:r>
    </w:p>
    <w:p>
      <w:pPr>
        <w:spacing w:after="0" w:line="162" w:lineRule="exact"/>
        <w:rPr>
          <w:rFonts w:ascii="Courier New" w:cs="Courier New" w:eastAsia="Courier New" w:hAnsi="Courier New"/>
          <w:sz w:val="14"/>
          <w:szCs w:val="14"/>
          <w:color w:val="auto"/>
        </w:rPr>
      </w:pPr>
    </w:p>
    <w:p>
      <w:pPr>
        <w:ind w:left="1100" w:right="3359" w:hanging="330"/>
        <w:spacing w:after="0" w:line="247" w:lineRule="auto"/>
        <w:tabs>
          <w:tab w:leader="none" w:pos="11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of corporate partners to successfully develop or commercialize our products or to retain and expand the markets served by the commercial collaborations; conflicts of interest, priorities and commercial strategies which may arise between us and our corporate partners.</w:t>
      </w:r>
    </w:p>
    <w:p>
      <w:pPr>
        <w:spacing w:after="0" w:line="162" w:lineRule="exact"/>
        <w:rPr>
          <w:rFonts w:ascii="Courier New" w:cs="Courier New" w:eastAsia="Courier New" w:hAnsi="Courier New"/>
          <w:sz w:val="14"/>
          <w:szCs w:val="14"/>
          <w:color w:val="auto"/>
        </w:rPr>
      </w:pPr>
    </w:p>
    <w:p>
      <w:pPr>
        <w:ind w:left="1100" w:right="3359" w:hanging="330"/>
        <w:spacing w:after="0" w:line="247" w:lineRule="auto"/>
        <w:tabs>
          <w:tab w:leader="none" w:pos="11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325" w:lineRule="exact"/>
        <w:rPr>
          <w:rFonts w:ascii="Courier New" w:cs="Courier New" w:eastAsia="Courier New" w:hAnsi="Courier New"/>
          <w:sz w:val="14"/>
          <w:szCs w:val="14"/>
          <w:color w:val="auto"/>
        </w:rPr>
      </w:pPr>
    </w:p>
    <w:p>
      <w:pPr>
        <w:ind w:left="1100" w:right="3619" w:hanging="330"/>
        <w:spacing w:after="0" w:line="248" w:lineRule="auto"/>
        <w:tabs>
          <w:tab w:leader="none" w:pos="11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obtaining key raw materials and supplies for the manufacture of our product candidates.</w:t>
      </w:r>
    </w:p>
    <w:p>
      <w:pPr>
        <w:spacing w:after="0" w:line="161" w:lineRule="exact"/>
        <w:rPr>
          <w:rFonts w:ascii="Courier New" w:cs="Courier New" w:eastAsia="Courier New" w:hAnsi="Courier New"/>
          <w:sz w:val="14"/>
          <w:szCs w:val="14"/>
          <w:color w:val="auto"/>
        </w:rPr>
      </w:pPr>
    </w:p>
    <w:p>
      <w:pPr>
        <w:ind w:left="1100" w:right="3359" w:hanging="330"/>
        <w:spacing w:after="0" w:line="246" w:lineRule="auto"/>
        <w:tabs>
          <w:tab w:leader="none" w:pos="11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and other effects of legal and administrative cases and proceedings (whether civil, such as product- or employment-related, or environmental, or criminal); settlements and investigations; developments or assertions by or against us relating to intellectual property rights and licenses; the issuance and use of patents and proprietary technology by us and our competitors, including the possible negative effect on our ability to develop, manufacture and sell our products in circumstances where we are unable to obtain licenses to patents which may be required for such products.</w:t>
      </w:r>
    </w:p>
    <w:p>
      <w:pPr>
        <w:spacing w:after="0" w:line="168" w:lineRule="exact"/>
        <w:rPr>
          <w:rFonts w:ascii="Courier New" w:cs="Courier New" w:eastAsia="Courier New" w:hAnsi="Courier New"/>
          <w:sz w:val="14"/>
          <w:szCs w:val="14"/>
          <w:color w:val="auto"/>
        </w:rPr>
      </w:pPr>
    </w:p>
    <w:p>
      <w:pPr>
        <w:ind w:left="1100" w:right="3359" w:hanging="330"/>
        <w:spacing w:after="0" w:line="247" w:lineRule="auto"/>
        <w:tabs>
          <w:tab w:leader="none" w:pos="11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Underutilization of our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62" w:lineRule="exact"/>
        <w:rPr>
          <w:rFonts w:ascii="Courier New" w:cs="Courier New" w:eastAsia="Courier New" w:hAnsi="Courier New"/>
          <w:sz w:val="14"/>
          <w:szCs w:val="14"/>
          <w:color w:val="auto"/>
        </w:rPr>
      </w:pPr>
    </w:p>
    <w:p>
      <w:pPr>
        <w:ind w:left="1100" w:right="3879" w:hanging="330"/>
        <w:spacing w:after="0" w:line="247" w:lineRule="auto"/>
        <w:tabs>
          <w:tab w:leader="none" w:pos="11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care reform, including reductions or changes in reimbursement available for prescription medications or other reforms.</w:t>
      </w:r>
    </w:p>
    <w:p>
      <w:pPr>
        <w:spacing w:after="0" w:line="162" w:lineRule="exact"/>
        <w:rPr>
          <w:rFonts w:ascii="Courier New" w:cs="Courier New" w:eastAsia="Courier New" w:hAnsi="Courier New"/>
          <w:sz w:val="14"/>
          <w:szCs w:val="14"/>
          <w:color w:val="auto"/>
        </w:rPr>
      </w:pPr>
    </w:p>
    <w:p>
      <w:pPr>
        <w:ind w:left="1100" w:hanging="330"/>
        <w:spacing w:after="0"/>
        <w:tabs>
          <w:tab w:leader="none" w:pos="11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attract and retain key personnel.</w:t>
      </w:r>
    </w:p>
    <w:p>
      <w:pPr>
        <w:spacing w:after="0" w:line="331"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For these statements, we claim the protection of the safe harbor for forward-looking statements contained in Section 21E of the Securities Act. Our actual results could differ materially from those anticipated in these forward-looking statements as a result of various factors, including all of the risks discussed in "Risk Factors" and elsewhere in this prospectus.</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772" w:right="1440" w:bottom="1440" w:gutter="0" w:footer="0" w:header="0"/>
        </w:sectPr>
      </w:pPr>
    </w:p>
    <w:bookmarkStart w:id="19" w:name="page20"/>
    <w:bookmarkEnd w:id="19"/>
    <w:p>
      <w:pPr>
        <w:ind w:left="2800"/>
        <w:spacing w:after="0"/>
        <w:rPr>
          <w:sz w:val="20"/>
          <w:szCs w:val="20"/>
          <w:color w:val="auto"/>
        </w:rPr>
      </w:pPr>
      <w:r>
        <w:rPr>
          <w:rFonts w:ascii="Courier New" w:cs="Courier New" w:eastAsia="Courier New" w:hAnsi="Courier New"/>
          <w:sz w:val="14"/>
          <w:szCs w:val="14"/>
          <w:color w:val="auto"/>
        </w:rPr>
        <w:t>USE OF PROCEEDS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We estimate that the net proceeds we will receive from the sale of 4,000,000 shares of our common stock will be approximately $190,994,000 at an assumed public offering price of $50.41, after deducting underwriting discounts and commissions and the estimated expenses of this offering. We will not receive any proceeds from the sale of shares of our common stock by our selling shareholder if the underwriters exercise their over-allotment option.</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We intend to use the net proceeds from this offering for working capital and general corporate purposes, including basic research, product development and clinical testing (including our own programs and programs in collaboration with partners), regulatory filings and compliance, commercialization expansion of our facilities and operations, including the acquisition of equipment and furnishings and for other purposes. Proceeds may also be used to acquire companies, technologies or products that complement our business. No such transactions are planned or being negotiated as of the date of this prospectus.</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Pending application of the net proceeds as described above, we intend to invest the net proceeds of this offering primarily in U.S. Government and other investment grade obligations, interest bearing money market funds and other financial instruments. See "Investment Company Act Considerations."</w:t>
      </w:r>
    </w:p>
    <w:p>
      <w:pPr>
        <w:spacing w:after="0" w:line="32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DIVIDEND POLICY</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We have never paid cash dividends and do not anticipate paying any in the foreseeable future. In addition, under the terms of certain of our debt agreements, we are not permitted to declare or pay 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772" w:right="1440" w:bottom="1440" w:gutter="0" w:footer="0" w:header="0"/>
        </w:sectPr>
      </w:pPr>
    </w:p>
    <w:bookmarkStart w:id="20" w:name="page21"/>
    <w:bookmarkEnd w:id="20"/>
    <w:p>
      <w:pPr>
        <w:ind w:left="2800"/>
        <w:spacing w:after="0"/>
        <w:rPr>
          <w:sz w:val="20"/>
          <w:szCs w:val="20"/>
          <w:color w:val="auto"/>
        </w:rPr>
      </w:pPr>
      <w:r>
        <w:rPr>
          <w:rFonts w:ascii="Courier New" w:cs="Courier New" w:eastAsia="Courier New" w:hAnsi="Courier New"/>
          <w:sz w:val="14"/>
          <w:szCs w:val="14"/>
          <w:color w:val="auto"/>
        </w:rPr>
        <w:t>CAPITALIZATION</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The following table sets forth our capitalization as of December 31, 1999 and as adjusted to give effect to our sale of 4,000,000 shares of our common stock in this offering, after deducting underwriting discounts and commissions and estimated expenses of this offering and the application of the estimated net proceeds. See "Use of Proceeds."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60" w:type="dxa"/>
            <w:vAlign w:val="bottom"/>
          </w:tcPr>
          <w:p>
            <w:pPr>
              <w:spacing w:after="0"/>
              <w:rPr>
                <w:sz w:val="13"/>
                <w:szCs w:val="13"/>
                <w:color w:val="auto"/>
              </w:rPr>
            </w:pPr>
          </w:p>
        </w:tc>
        <w:tc>
          <w:tcPr>
            <w:tcW w:w="288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At December 31, 1999</w:t>
            </w:r>
          </w:p>
        </w:tc>
      </w:tr>
      <w:tr>
        <w:trPr>
          <w:trHeight w:val="163"/>
        </w:trPr>
        <w:tc>
          <w:tcPr>
            <w:tcW w:w="646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6460" w:type="dxa"/>
            <w:vAlign w:val="bottom"/>
          </w:tcPr>
          <w:p>
            <w:pPr>
              <w:spacing w:after="0"/>
              <w:rPr>
                <w:sz w:val="14"/>
                <w:szCs w:val="14"/>
                <w:color w:val="auto"/>
              </w:rPr>
            </w:pPr>
          </w:p>
        </w:tc>
        <w:tc>
          <w:tcPr>
            <w:tcW w:w="13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Actual</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As Adjusted</w:t>
            </w:r>
          </w:p>
        </w:tc>
      </w:tr>
      <w:tr>
        <w:trPr>
          <w:trHeight w:val="163"/>
        </w:trPr>
        <w:tc>
          <w:tcPr>
            <w:tcW w:w="6460" w:type="dxa"/>
            <w:vAlign w:val="bottom"/>
          </w:tcPr>
          <w:p>
            <w:pPr>
              <w:spacing w:after="0"/>
              <w:rPr>
                <w:sz w:val="14"/>
                <w:szCs w:val="14"/>
                <w:color w:val="auto"/>
              </w:rPr>
            </w:pPr>
          </w:p>
        </w:tc>
        <w:tc>
          <w:tcPr>
            <w:tcW w:w="13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6460" w:type="dxa"/>
            <w:vAlign w:val="bottom"/>
          </w:tcPr>
          <w:p>
            <w:pPr>
              <w:spacing w:after="0"/>
              <w:rPr>
                <w:sz w:val="14"/>
                <w:szCs w:val="14"/>
                <w:color w:val="auto"/>
              </w:rPr>
            </w:pPr>
          </w:p>
        </w:tc>
        <w:tc>
          <w:tcPr>
            <w:tcW w:w="2880" w:type="dxa"/>
            <w:vAlign w:val="bottom"/>
            <w:gridSpan w:val="2"/>
          </w:tcPr>
          <w:p>
            <w:pPr>
              <w:jc w:val="right"/>
              <w:ind w:right="869"/>
              <w:spacing w:after="0"/>
              <w:rPr>
                <w:sz w:val="20"/>
                <w:szCs w:val="20"/>
                <w:color w:val="auto"/>
              </w:rPr>
            </w:pPr>
            <w:r>
              <w:rPr>
                <w:rFonts w:ascii="Courier New" w:cs="Courier New" w:eastAsia="Courier New" w:hAnsi="Courier New"/>
                <w:sz w:val="14"/>
                <w:szCs w:val="14"/>
                <w:color w:val="auto"/>
              </w:rPr>
              <w:t>(in thousands)</w:t>
            </w:r>
          </w:p>
        </w:tc>
      </w:tr>
      <w:tr>
        <w:trPr>
          <w:trHeight w:val="326"/>
        </w:trPr>
        <w:tc>
          <w:tcPr>
            <w:tcW w:w="6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Cash, cash equivalents and marketable securities...........................</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$93,599</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$284,593</w:t>
            </w:r>
          </w:p>
        </w:tc>
      </w:tr>
      <w:tr>
        <w:trPr>
          <w:trHeight w:val="163"/>
        </w:trPr>
        <w:tc>
          <w:tcPr>
            <w:tcW w:w="6460" w:type="dxa"/>
            <w:vAlign w:val="bottom"/>
          </w:tcPr>
          <w:p>
            <w:pPr>
              <w:spacing w:after="0"/>
              <w:rPr>
                <w:sz w:val="14"/>
                <w:szCs w:val="14"/>
                <w:color w:val="auto"/>
              </w:rPr>
            </w:pP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6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Capital lease obligations - long-term portion..............................</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1,204</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1,204</w:t>
            </w:r>
          </w:p>
        </w:tc>
      </w:tr>
      <w:tr>
        <w:trPr>
          <w:trHeight w:val="163"/>
        </w:trPr>
        <w:tc>
          <w:tcPr>
            <w:tcW w:w="6460" w:type="dxa"/>
            <w:vAlign w:val="bottom"/>
          </w:tcPr>
          <w:p>
            <w:pPr>
              <w:spacing w:after="0"/>
              <w:rPr>
                <w:sz w:val="14"/>
                <w:szCs w:val="14"/>
                <w:color w:val="auto"/>
              </w:rPr>
            </w:pP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6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Note payable - long-term portion...........................................</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1,527</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1,527</w:t>
            </w:r>
          </w:p>
        </w:tc>
      </w:tr>
      <w:tr>
        <w:trPr>
          <w:trHeight w:val="163"/>
        </w:trPr>
        <w:tc>
          <w:tcPr>
            <w:tcW w:w="6460" w:type="dxa"/>
            <w:vAlign w:val="bottom"/>
          </w:tcPr>
          <w:p>
            <w:pPr>
              <w:spacing w:after="0"/>
              <w:rPr>
                <w:sz w:val="14"/>
                <w:szCs w:val="14"/>
                <w:color w:val="auto"/>
              </w:rPr>
            </w:pP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6460" w:type="dxa"/>
            <w:vAlign w:val="bottom"/>
          </w:tcPr>
          <w:p>
            <w:pPr>
              <w:jc w:val="right"/>
              <w:ind w:right="4609"/>
              <w:spacing w:after="0"/>
              <w:rPr>
                <w:sz w:val="20"/>
                <w:szCs w:val="20"/>
                <w:color w:val="auto"/>
              </w:rPr>
            </w:pPr>
            <w:r>
              <w:rPr>
                <w:rFonts w:ascii="Courier New" w:cs="Courier New" w:eastAsia="Courier New" w:hAnsi="Courier New"/>
                <w:sz w:val="14"/>
                <w:szCs w:val="14"/>
                <w:color w:val="auto"/>
                <w:w w:val="99"/>
              </w:rPr>
              <w:t>Shareholders' equity:</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3"/>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Preferred stock, $.01 par value; 30,000,000 shares</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3"/>
        </w:trPr>
        <w:tc>
          <w:tcPr>
            <w:tcW w:w="6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authorized; issued and outstanding - none.......................</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Class A Stock, $.001 par value; 40,000,000 shares</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3"/>
        </w:trPr>
        <w:tc>
          <w:tcPr>
            <w:tcW w:w="6460" w:type="dxa"/>
            <w:vAlign w:val="bottom"/>
          </w:tcPr>
          <w:p>
            <w:pPr>
              <w:ind w:left="940"/>
              <w:spacing w:after="0"/>
              <w:rPr>
                <w:sz w:val="20"/>
                <w:szCs w:val="20"/>
                <w:color w:val="auto"/>
              </w:rPr>
            </w:pPr>
            <w:r>
              <w:rPr>
                <w:rFonts w:ascii="Courier New" w:cs="Courier New" w:eastAsia="Courier New" w:hAnsi="Courier New"/>
                <w:sz w:val="14"/>
                <w:szCs w:val="14"/>
                <w:color w:val="auto"/>
              </w:rPr>
              <w:t>authorized, 3,605,133 shares issued and</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3"/>
        </w:trPr>
        <w:tc>
          <w:tcPr>
            <w:tcW w:w="6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outstanding - actual and as adjusted............................</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w:t>
            </w:r>
          </w:p>
        </w:tc>
      </w:tr>
      <w:tr>
        <w:trPr>
          <w:trHeight w:val="163"/>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Common stock, $.001 par value; 60,000,000 shares</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3"/>
        </w:trPr>
        <w:tc>
          <w:tcPr>
            <w:tcW w:w="6460" w:type="dxa"/>
            <w:vAlign w:val="bottom"/>
          </w:tcPr>
          <w:p>
            <w:pPr>
              <w:ind w:left="940"/>
              <w:spacing w:after="0"/>
              <w:rPr>
                <w:sz w:val="20"/>
                <w:szCs w:val="20"/>
                <w:color w:val="auto"/>
              </w:rPr>
            </w:pPr>
            <w:r>
              <w:rPr>
                <w:rFonts w:ascii="Courier New" w:cs="Courier New" w:eastAsia="Courier New" w:hAnsi="Courier New"/>
                <w:sz w:val="14"/>
                <w:szCs w:val="14"/>
                <w:color w:val="auto"/>
              </w:rPr>
              <w:t>authorized; 27,817,636 shares issued and outstanding - actual;</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3"/>
        </w:trPr>
        <w:tc>
          <w:tcPr>
            <w:tcW w:w="6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31,817,636 shares issued and outstanding - as adjusted..........</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28</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w:t>
            </w:r>
          </w:p>
        </w:tc>
      </w:tr>
      <w:tr>
        <w:trPr>
          <w:trHeight w:val="163"/>
        </w:trPr>
        <w:tc>
          <w:tcPr>
            <w:tcW w:w="6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Additional paid-in capital........................................</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310,296</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501,286</w:t>
            </w:r>
          </w:p>
        </w:tc>
      </w:tr>
      <w:tr>
        <w:trPr>
          <w:trHeight w:val="163"/>
        </w:trPr>
        <w:tc>
          <w:tcPr>
            <w:tcW w:w="6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Accumulated deficit...............................................</w:t>
            </w: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(200,303)</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(200,303)</w:t>
            </w:r>
          </w:p>
        </w:tc>
      </w:tr>
      <w:tr>
        <w:trPr>
          <w:trHeight w:val="163"/>
        </w:trPr>
        <w:tc>
          <w:tcPr>
            <w:tcW w:w="6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Net unrealized loss on marketable securities......................</w:t>
            </w:r>
          </w:p>
        </w:tc>
        <w:tc>
          <w:tcPr>
            <w:tcW w:w="13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(493)</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(493)</w:t>
            </w:r>
          </w:p>
        </w:tc>
      </w:tr>
      <w:tr>
        <w:trPr>
          <w:trHeight w:val="163"/>
        </w:trPr>
        <w:tc>
          <w:tcPr>
            <w:tcW w:w="6460" w:type="dxa"/>
            <w:vAlign w:val="bottom"/>
          </w:tcPr>
          <w:p>
            <w:pPr>
              <w:spacing w:after="0"/>
              <w:rPr>
                <w:sz w:val="14"/>
                <w:szCs w:val="14"/>
                <w:color w:val="auto"/>
              </w:rPr>
            </w:pP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6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Total shareholders' equity....................................</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109,532</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300,526</w:t>
            </w:r>
          </w:p>
        </w:tc>
      </w:tr>
      <w:tr>
        <w:trPr>
          <w:trHeight w:val="163"/>
        </w:trPr>
        <w:tc>
          <w:tcPr>
            <w:tcW w:w="6460" w:type="dxa"/>
            <w:vAlign w:val="bottom"/>
          </w:tcPr>
          <w:p>
            <w:pPr>
              <w:spacing w:after="0"/>
              <w:rPr>
                <w:sz w:val="14"/>
                <w:szCs w:val="14"/>
                <w:color w:val="auto"/>
              </w:rPr>
            </w:pP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6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Total capitalization..........................................</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$112,263</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$303,257</w:t>
            </w:r>
          </w:p>
        </w:tc>
      </w:tr>
      <w:tr>
        <w:trPr>
          <w:trHeight w:val="163"/>
        </w:trPr>
        <w:tc>
          <w:tcPr>
            <w:tcW w:w="6460" w:type="dxa"/>
            <w:vAlign w:val="bottom"/>
          </w:tcPr>
          <w:p>
            <w:pPr>
              <w:spacing w:after="0"/>
              <w:rPr>
                <w:sz w:val="14"/>
                <w:szCs w:val="14"/>
                <w:color w:val="auto"/>
              </w:rPr>
            </w:pP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772" w:right="1440" w:bottom="1440" w:gutter="0" w:footer="0" w:header="0"/>
        </w:sectPr>
      </w:pPr>
    </w:p>
    <w:bookmarkStart w:id="21" w:name="page22"/>
    <w:bookmarkEnd w:id="21"/>
    <w:p>
      <w:pPr>
        <w:jc w:val="center"/>
        <w:ind w:right="3359"/>
        <w:spacing w:after="0"/>
        <w:rPr>
          <w:sz w:val="20"/>
          <w:szCs w:val="20"/>
          <w:color w:val="auto"/>
        </w:rPr>
      </w:pPr>
      <w:r>
        <w:rPr>
          <w:rFonts w:ascii="Courier New" w:cs="Courier New" w:eastAsia="Courier New" w:hAnsi="Courier New"/>
          <w:sz w:val="14"/>
          <w:szCs w:val="14"/>
          <w:color w:val="auto"/>
        </w:rPr>
        <w:t>DILUTION</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As of December 31, 1999, our net tangible book value before the offering was $109.5 million or $3.49 per common stock. "Net tangible book value per share" is determined by dividing our net tangible book value (total assets less total liabilities) by the number of common stock outstanding. After giving effect to the sale of the shares of our common stock in this offering and after deducting underwriting discounts and commissions and the estimated expenses of this offering, our pro forma net tangible book value as of December 31, 1999 would have been $300.5 million in the aggregate, or $8.48 per common stock. This represents an immediate increase in net tangible book value of $4.99 per common stock to existing holders and immediate dilution of $41.93 per common stock to new investors purchasing shares of common stock in this offering. The following table illustrates this per share dilution: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700" w:type="dxa"/>
            <w:vAlign w:val="bottom"/>
          </w:tcPr>
          <w:p>
            <w:pPr>
              <w:jc w:val="right"/>
              <w:ind w:right="9"/>
              <w:spacing w:after="0"/>
              <w:rPr>
                <w:sz w:val="20"/>
                <w:szCs w:val="20"/>
                <w:color w:val="auto"/>
              </w:rPr>
            </w:pPr>
            <w:r>
              <w:rPr>
                <w:rFonts w:ascii="Courier New" w:cs="Courier New" w:eastAsia="Courier New" w:hAnsi="Courier New"/>
                <w:sz w:val="14"/>
                <w:szCs w:val="14"/>
                <w:color w:val="auto"/>
              </w:rPr>
              <w:t>Assumed public offering price.................................................</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$50.41</w:t>
            </w:r>
          </w:p>
        </w:tc>
      </w:tr>
      <w:tr>
        <w:trPr>
          <w:trHeight w:val="163"/>
        </w:trPr>
        <w:tc>
          <w:tcPr>
            <w:tcW w:w="67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Net tangible book value per common stock before this offering........</w:t>
            </w:r>
          </w:p>
        </w:tc>
        <w:tc>
          <w:tcPr>
            <w:tcW w:w="188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$3.49</w:t>
            </w:r>
          </w:p>
        </w:tc>
      </w:tr>
      <w:tr>
        <w:trPr>
          <w:trHeight w:val="163"/>
        </w:trPr>
        <w:tc>
          <w:tcPr>
            <w:tcW w:w="670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Increase attributable to new investors...............................</w:t>
            </w:r>
          </w:p>
        </w:tc>
        <w:tc>
          <w:tcPr>
            <w:tcW w:w="188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$4.99</w:t>
            </w:r>
          </w:p>
        </w:tc>
      </w:tr>
      <w:tr>
        <w:trPr>
          <w:trHeight w:val="163"/>
        </w:trPr>
        <w:tc>
          <w:tcPr>
            <w:tcW w:w="6700" w:type="dxa"/>
            <w:vAlign w:val="bottom"/>
          </w:tcPr>
          <w:p>
            <w:pPr>
              <w:spacing w:after="0"/>
              <w:rPr>
                <w:sz w:val="14"/>
                <w:szCs w:val="14"/>
                <w:color w:val="auto"/>
              </w:rPr>
            </w:pPr>
          </w:p>
        </w:tc>
        <w:tc>
          <w:tcPr>
            <w:tcW w:w="188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w:t>
            </w:r>
          </w:p>
        </w:tc>
      </w:tr>
      <w:tr>
        <w:trPr>
          <w:trHeight w:val="163"/>
        </w:trPr>
        <w:tc>
          <w:tcPr>
            <w:tcW w:w="6700" w:type="dxa"/>
            <w:vAlign w:val="bottom"/>
          </w:tcPr>
          <w:p>
            <w:pPr>
              <w:jc w:val="right"/>
              <w:ind w:right="9"/>
              <w:spacing w:after="0"/>
              <w:rPr>
                <w:sz w:val="20"/>
                <w:szCs w:val="20"/>
                <w:color w:val="auto"/>
              </w:rPr>
            </w:pPr>
            <w:r>
              <w:rPr>
                <w:rFonts w:ascii="Courier New" w:cs="Courier New" w:eastAsia="Courier New" w:hAnsi="Courier New"/>
                <w:sz w:val="14"/>
                <w:szCs w:val="14"/>
                <w:color w:val="auto"/>
              </w:rPr>
              <w:t>Pro forma net tangible book value per common stock after this offering........</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8.48</w:t>
            </w:r>
          </w:p>
        </w:tc>
      </w:tr>
      <w:tr>
        <w:trPr>
          <w:trHeight w:val="163"/>
        </w:trPr>
        <w:tc>
          <w:tcPr>
            <w:tcW w:w="67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6700" w:type="dxa"/>
            <w:vAlign w:val="bottom"/>
          </w:tcPr>
          <w:p>
            <w:pPr>
              <w:jc w:val="right"/>
              <w:ind w:right="9"/>
              <w:spacing w:after="0"/>
              <w:rPr>
                <w:sz w:val="20"/>
                <w:szCs w:val="20"/>
                <w:color w:val="auto"/>
              </w:rPr>
            </w:pPr>
            <w:r>
              <w:rPr>
                <w:rFonts w:ascii="Courier New" w:cs="Courier New" w:eastAsia="Courier New" w:hAnsi="Courier New"/>
                <w:sz w:val="14"/>
                <w:szCs w:val="14"/>
                <w:color w:val="auto"/>
              </w:rPr>
              <w:t>Dilution to new investors(1)..................................................</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$41.93</w:t>
            </w:r>
          </w:p>
        </w:tc>
      </w:tr>
      <w:tr>
        <w:trPr>
          <w:trHeight w:val="163"/>
        </w:trPr>
        <w:tc>
          <w:tcPr>
            <w:tcW w:w="67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p>
      <w:pPr>
        <w:ind w:left="440" w:right="3359" w:hanging="433"/>
        <w:spacing w:after="0" w:line="247"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"Dilution" means the difference between the public offering price per share of common stock and the pro forma net tangible book value per common stock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772" w:right="1440" w:bottom="1440" w:gutter="0" w:footer="0" w:header="0"/>
        </w:sectPr>
      </w:pPr>
    </w:p>
    <w:bookmarkStart w:id="22" w:name="page23"/>
    <w:bookmarkEnd w:id="22"/>
    <w:p>
      <w:pPr>
        <w:ind w:left="2460"/>
        <w:spacing w:after="0"/>
        <w:rPr>
          <w:sz w:val="20"/>
          <w:szCs w:val="20"/>
          <w:color w:val="auto"/>
        </w:rPr>
      </w:pPr>
      <w:r>
        <w:rPr>
          <w:rFonts w:ascii="Courier New" w:cs="Courier New" w:eastAsia="Courier New" w:hAnsi="Courier New"/>
          <w:sz w:val="14"/>
          <w:szCs w:val="14"/>
          <w:color w:val="auto"/>
        </w:rPr>
        <w:t>SELECTED FINANCIAL DATA</w:t>
      </w:r>
    </w:p>
    <w:p>
      <w:pPr>
        <w:spacing w:after="0" w:line="168" w:lineRule="exact"/>
        <w:rPr>
          <w:sz w:val="20"/>
          <w:szCs w:val="20"/>
          <w:color w:val="auto"/>
        </w:rPr>
      </w:pPr>
    </w:p>
    <w:p>
      <w:pPr>
        <w:ind w:right="3800" w:firstLine="763"/>
        <w:spacing w:after="0" w:line="246" w:lineRule="auto"/>
        <w:rPr>
          <w:sz w:val="20"/>
          <w:szCs w:val="20"/>
          <w:color w:val="auto"/>
        </w:rPr>
      </w:pPr>
      <w:r>
        <w:rPr>
          <w:rFonts w:ascii="Courier New" w:cs="Courier New" w:eastAsia="Courier New" w:hAnsi="Courier New"/>
          <w:sz w:val="14"/>
          <w:szCs w:val="14"/>
          <w:color w:val="auto"/>
        </w:rPr>
        <w:t>We have derived the selected financial data presented below for the years ended December 31, 1999, 1998 and 1997 and at December 31, 1999 and 1998 from our audited financial statements and notes thereto included in our Annual Report on Form 10-K for the year ended December 31, 1999 which is incorporated by reference in this prospectus. We have derived the selected financial data for the years ended December 31, 1996 and 1995 and at December 31, 1997, 1996 and 1995 from our audited financial statements and notes thereto not included in this prospectus. You should read the selected financial data together with the audited financial statements and the section entitled "Management's Discussion and Analysis of Financial Condition and Results of Operations" in our Annual Report which is incorporated by reference in this prospectus.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w w:val="99"/>
              </w:rPr>
              <w:t>Year Ended December 31,</w:t>
            </w: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3"/>
        </w:trPr>
        <w:tc>
          <w:tcPr>
            <w:tcW w:w="4040" w:type="dxa"/>
            <w:vAlign w:val="bottom"/>
          </w:tcPr>
          <w:p>
            <w:pPr>
              <w:spacing w:after="0"/>
              <w:rPr>
                <w:sz w:val="14"/>
                <w:szCs w:val="14"/>
                <w:color w:val="auto"/>
              </w:rPr>
            </w:pPr>
          </w:p>
        </w:tc>
        <w:tc>
          <w:tcPr>
            <w:tcW w:w="6560" w:type="dxa"/>
            <w:vAlign w:val="bottom"/>
            <w:gridSpan w:val="5"/>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14"/>
                <w:szCs w:val="14"/>
                <w:color w:val="auto"/>
              </w:rPr>
            </w:pP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1999</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w:t>
            </w:r>
          </w:p>
        </w:tc>
        <w:tc>
          <w:tcPr>
            <w:tcW w:w="194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1997</w:t>
            </w:r>
          </w:p>
        </w:tc>
        <w:tc>
          <w:tcPr>
            <w:tcW w:w="10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1996</w:t>
            </w: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404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100" w:type="dxa"/>
            <w:vAlign w:val="bottom"/>
            <w:gridSpan w:val="3"/>
          </w:tcPr>
          <w:p>
            <w:pPr>
              <w:jc w:val="right"/>
              <w:ind w:right="549"/>
              <w:spacing w:after="0"/>
              <w:rPr>
                <w:sz w:val="20"/>
                <w:szCs w:val="20"/>
                <w:color w:val="auto"/>
              </w:rPr>
            </w:pPr>
            <w:r>
              <w:rPr>
                <w:rFonts w:ascii="Courier New" w:cs="Courier New" w:eastAsia="Courier New" w:hAnsi="Courier New"/>
                <w:sz w:val="14"/>
                <w:szCs w:val="14"/>
                <w:color w:val="auto"/>
              </w:rPr>
              <w:t>(in thousands, except per share data)</w:t>
            </w:r>
          </w:p>
        </w:tc>
        <w:tc>
          <w:tcPr>
            <w:tcW w:w="1060" w:type="dxa"/>
            <w:vAlign w:val="bottom"/>
          </w:tcPr>
          <w:p>
            <w:pPr>
              <w:spacing w:after="0"/>
              <w:rPr>
                <w:sz w:val="14"/>
                <w:szCs w:val="14"/>
                <w:color w:val="auto"/>
              </w:rPr>
            </w:pP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26"/>
        </w:trPr>
        <w:tc>
          <w:tcPr>
            <w:tcW w:w="40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6"/>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Contract research and development.........</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$ 24,539</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$ 19,714</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$ 17,400</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$ 17,303</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$ 23,247</w:t>
            </w:r>
          </w:p>
        </w:tc>
      </w:tr>
      <w:tr>
        <w:trPr>
          <w:trHeight w:val="163"/>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Research progress payments................</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9,500</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5,000</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Contract manufacturing ...................</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9,960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9,113</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4,458</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2,451</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1,140</w:t>
            </w:r>
          </w:p>
        </w:tc>
      </w:tr>
      <w:tr>
        <w:trPr>
          <w:trHeight w:val="163"/>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Investment income.........................</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5,207</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6,866</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6,242</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4,360</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2,997</w:t>
            </w:r>
          </w:p>
        </w:tc>
      </w:tr>
      <w:tr>
        <w:trPr>
          <w:trHeight w:val="163"/>
        </w:trPr>
        <w:tc>
          <w:tcPr>
            <w:tcW w:w="404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39,706</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45,193</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33,100</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24,114</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27,384</w:t>
            </w:r>
          </w:p>
        </w:tc>
      </w:tr>
      <w:tr>
        <w:trPr>
          <w:trHeight w:val="163"/>
        </w:trPr>
        <w:tc>
          <w:tcPr>
            <w:tcW w:w="404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26"/>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44,940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37,047</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27,770</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28,269</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23,310</w:t>
            </w:r>
          </w:p>
        </w:tc>
      </w:tr>
      <w:tr>
        <w:trPr>
          <w:trHeight w:val="163"/>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Loss in Amgen-Regeneron Partners..........</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4,159</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2,484</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3,403</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14,250</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13,805</w:t>
            </w:r>
          </w:p>
        </w:tc>
      </w:tr>
      <w:tr>
        <w:trPr>
          <w:trHeight w:val="163"/>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General and administrative................</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6,355</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5,838</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5,765</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5,880</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5,764</w:t>
            </w:r>
          </w:p>
        </w:tc>
      </w:tr>
      <w:tr>
        <w:trPr>
          <w:trHeight w:val="163"/>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3,426</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3,019</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4,389</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6,084</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5,886</w:t>
            </w:r>
          </w:p>
        </w:tc>
      </w:tr>
      <w:tr>
        <w:trPr>
          <w:trHeight w:val="163"/>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Contract manufacturing....................</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3,612</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5,002</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2,617</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1,115</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w:t>
            </w:r>
          </w:p>
        </w:tc>
      </w:tr>
      <w:tr>
        <w:trPr>
          <w:trHeight w:val="163"/>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284</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428</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735</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940</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1,205</w:t>
            </w:r>
          </w:p>
        </w:tc>
      </w:tr>
      <w:tr>
        <w:trPr>
          <w:trHeight w:val="163"/>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850</w:t>
            </w:r>
          </w:p>
        </w:tc>
      </w:tr>
      <w:tr>
        <w:trPr>
          <w:trHeight w:val="163"/>
        </w:trPr>
        <w:tc>
          <w:tcPr>
            <w:tcW w:w="404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62,776</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53,818</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44,679</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56,538</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50,892</w:t>
            </w:r>
          </w:p>
        </w:tc>
      </w:tr>
      <w:tr>
        <w:trPr>
          <w:trHeight w:val="163"/>
        </w:trPr>
        <w:tc>
          <w:tcPr>
            <w:tcW w:w="404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($ 23,070)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($ 8,625)</w:t>
            </w:r>
          </w:p>
        </w:tc>
        <w:tc>
          <w:tcPr>
            <w:tcW w:w="19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($ 11,579)</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($ 32,424)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($ 23,508)</w:t>
            </w:r>
          </w:p>
        </w:tc>
      </w:tr>
      <w:tr>
        <w:trPr>
          <w:trHeight w:val="163"/>
        </w:trPr>
        <w:tc>
          <w:tcPr>
            <w:tcW w:w="4040" w:type="dxa"/>
            <w:vAlign w:val="bottom"/>
          </w:tcPr>
          <w:p>
            <w:pPr>
              <w:spacing w:after="0"/>
              <w:rPr>
                <w:sz w:val="14"/>
                <w:szCs w:val="14"/>
                <w:color w:val="auto"/>
              </w:rPr>
            </w:pP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4040" w:type="dxa"/>
            <w:vAlign w:val="bottom"/>
          </w:tcPr>
          <w:p>
            <w:pPr>
              <w:spacing w:after="0"/>
              <w:rPr>
                <w:sz w:val="20"/>
                <w:szCs w:val="20"/>
                <w:color w:val="auto"/>
              </w:rPr>
            </w:pPr>
            <w:r>
              <w:rPr>
                <w:rFonts w:ascii="Courier New" w:cs="Courier New" w:eastAsia="Courier New" w:hAnsi="Courier New"/>
                <w:sz w:val="14"/>
                <w:szCs w:val="14"/>
                <w:color w:val="auto"/>
              </w:rPr>
              <w:t>Weighted average number of Class A and</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3"/>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Common shares outstanding, basic and</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31,308</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30,992</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28,702</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24,464</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19,768</w:t>
            </w:r>
          </w:p>
        </w:tc>
      </w:tr>
      <w:tr>
        <w:trPr>
          <w:trHeight w:val="163"/>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40" w:type="dxa"/>
            <w:vAlign w:val="bottom"/>
          </w:tcPr>
          <w:p>
            <w:pPr>
              <w:spacing w:after="0"/>
              <w:rPr>
                <w:sz w:val="20"/>
                <w:szCs w:val="20"/>
                <w:color w:val="auto"/>
              </w:rPr>
            </w:pPr>
            <w:r>
              <w:rPr>
                <w:rFonts w:ascii="Courier New" w:cs="Courier New" w:eastAsia="Courier New" w:hAnsi="Courier New"/>
                <w:sz w:val="14"/>
                <w:szCs w:val="14"/>
                <w:color w:val="auto"/>
              </w:rPr>
              <w:t>Net loss per share, basic and diluted</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($0.74)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($0.28)</w:t>
            </w:r>
          </w:p>
        </w:tc>
        <w:tc>
          <w:tcPr>
            <w:tcW w:w="19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($0.40)</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r>
        <w:trPr>
          <w:trHeight w:val="163"/>
        </w:trPr>
        <w:tc>
          <w:tcPr>
            <w:tcW w:w="4040" w:type="dxa"/>
            <w:vAlign w:val="bottom"/>
          </w:tcPr>
          <w:p>
            <w:pPr>
              <w:spacing w:after="0"/>
              <w:rPr>
                <w:sz w:val="14"/>
                <w:szCs w:val="14"/>
                <w:color w:val="auto"/>
              </w:rPr>
            </w:pP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60" w:type="dxa"/>
            <w:vAlign w:val="bottom"/>
          </w:tcPr>
          <w:p>
            <w:pPr>
              <w:ind w:left="260"/>
              <w:spacing w:after="0"/>
              <w:rPr>
                <w:sz w:val="20"/>
                <w:szCs w:val="20"/>
                <w:color w:val="auto"/>
              </w:rPr>
            </w:pPr>
            <w:r>
              <w:rPr>
                <w:rFonts w:ascii="Courier New" w:cs="Courier New" w:eastAsia="Courier New" w:hAnsi="Courier New"/>
                <w:sz w:val="14"/>
                <w:szCs w:val="14"/>
                <w:color w:val="auto"/>
              </w:rPr>
              <w:t>December 31,</w:t>
            </w: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3"/>
        </w:trPr>
        <w:tc>
          <w:tcPr>
            <w:tcW w:w="4080" w:type="dxa"/>
            <w:vAlign w:val="bottom"/>
          </w:tcPr>
          <w:p>
            <w:pPr>
              <w:spacing w:after="0"/>
              <w:rPr>
                <w:sz w:val="14"/>
                <w:szCs w:val="14"/>
                <w:color w:val="auto"/>
              </w:rPr>
            </w:pPr>
          </w:p>
        </w:tc>
        <w:tc>
          <w:tcPr>
            <w:tcW w:w="64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080" w:type="dxa"/>
            <w:vAlign w:val="bottom"/>
          </w:tcPr>
          <w:p>
            <w:pPr>
              <w:spacing w:after="0"/>
              <w:rPr>
                <w:sz w:val="14"/>
                <w:szCs w:val="14"/>
                <w:color w:val="auto"/>
              </w:rPr>
            </w:pPr>
          </w:p>
        </w:tc>
        <w:tc>
          <w:tcPr>
            <w:tcW w:w="13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1999</w:t>
            </w:r>
          </w:p>
        </w:tc>
        <w:tc>
          <w:tcPr>
            <w:tcW w:w="13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c>
          <w:tcPr>
            <w:tcW w:w="16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4080" w:type="dxa"/>
            <w:vAlign w:val="bottom"/>
          </w:tcPr>
          <w:p>
            <w:pPr>
              <w:spacing w:after="0"/>
              <w:rPr>
                <w:sz w:val="14"/>
                <w:szCs w:val="14"/>
                <w:color w:val="auto"/>
              </w:rPr>
            </w:pP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Courier New" w:cs="Courier New" w:eastAsia="Courier New" w:hAnsi="Courier New"/>
                <w:sz w:val="14"/>
                <w:szCs w:val="14"/>
                <w:color w:val="auto"/>
              </w:rPr>
              <w:t>(in thousands)</w:t>
            </w: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26"/>
        </w:trPr>
        <w:tc>
          <w:tcPr>
            <w:tcW w:w="4080" w:type="dxa"/>
            <w:vAlign w:val="bottom"/>
          </w:tcPr>
          <w:p>
            <w:pPr>
              <w:spacing w:after="0"/>
              <w:rPr>
                <w:sz w:val="20"/>
                <w:szCs w:val="20"/>
                <w:color w:val="auto"/>
              </w:rPr>
            </w:pPr>
            <w:r>
              <w:rPr>
                <w:rFonts w:ascii="Courier New" w:cs="Courier New" w:eastAsia="Courier New" w:hAnsi="Courier New"/>
                <w:sz w:val="14"/>
                <w:szCs w:val="14"/>
                <w:color w:val="auto"/>
              </w:rPr>
              <w:t>Cash, cash equivalents, and marketable</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3"/>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$93,599</w:t>
            </w:r>
          </w:p>
        </w:tc>
        <w:tc>
          <w:tcPr>
            <w:tcW w:w="13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$113,530</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$128,041</w:t>
            </w:r>
          </w:p>
        </w:tc>
        <w:tc>
          <w:tcPr>
            <w:tcW w:w="12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$97,028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$59,622</w:t>
            </w: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59,725</w:t>
            </w:r>
          </w:p>
        </w:tc>
        <w:tc>
          <w:tcPr>
            <w:tcW w:w="13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83,499</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88,953</w:t>
            </w:r>
          </w:p>
        </w:tc>
        <w:tc>
          <w:tcPr>
            <w:tcW w:w="12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72,960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36,254</w:t>
            </w: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136,999</w:t>
            </w:r>
          </w:p>
        </w:tc>
        <w:tc>
          <w:tcPr>
            <w:tcW w:w="13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156,915</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168,380</w:t>
            </w:r>
          </w:p>
        </w:tc>
        <w:tc>
          <w:tcPr>
            <w:tcW w:w="12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137,582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93,811</w:t>
            </w: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Capital lease obligations and note payable,</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long-term portion.........................</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2,731</w:t>
            </w:r>
          </w:p>
        </w:tc>
        <w:tc>
          <w:tcPr>
            <w:tcW w:w="13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3,066</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3,752</w:t>
            </w:r>
          </w:p>
        </w:tc>
        <w:tc>
          <w:tcPr>
            <w:tcW w:w="12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5,148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5,978</w:t>
            </w:r>
          </w:p>
        </w:tc>
      </w:tr>
      <w:tr>
        <w:trPr>
          <w:trHeight w:val="163"/>
        </w:trPr>
        <w:tc>
          <w:tcPr>
            <w:tcW w:w="40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109,532</w:t>
            </w:r>
          </w:p>
        </w:tc>
        <w:tc>
          <w:tcPr>
            <w:tcW w:w="13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131,227</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138,897</w:t>
            </w:r>
          </w:p>
        </w:tc>
        <w:tc>
          <w:tcPr>
            <w:tcW w:w="12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106,931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67,856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600"/>
          </w:cols>
          <w:pgMar w:left="300" w:top="772" w:right="999" w:bottom="1440" w:gutter="0" w:footer="0" w:header="0"/>
        </w:sectPr>
      </w:pPr>
    </w:p>
    <w:bookmarkStart w:id="23" w:name="page24"/>
    <w:bookmarkEnd w:id="23"/>
    <w:p>
      <w:pPr>
        <w:ind w:left="3060"/>
        <w:spacing w:after="0"/>
        <w:rPr>
          <w:sz w:val="20"/>
          <w:szCs w:val="20"/>
          <w:color w:val="auto"/>
        </w:rPr>
      </w:pPr>
      <w:r>
        <w:rPr>
          <w:rFonts w:ascii="Courier New" w:cs="Courier New" w:eastAsia="Courier New" w:hAnsi="Courier New"/>
          <w:sz w:val="14"/>
          <w:szCs w:val="14"/>
          <w:color w:val="auto"/>
        </w:rPr>
        <w:t>BUSINESS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We are a biopharmaceutical company that discovers, develops and intends to commercialize therapeutic drugs for the treatment of serious medical conditions. Expanding from our initial focus on degenerative neurologic diseases, we have more recently broadened our product pipeline to include drug candidates for the treatment of obesity, rheumatoid arthritis, cancer, allergies, asthma, ischemia and other diseases and disorders.</w:t>
      </w:r>
    </w:p>
    <w:p>
      <w:pPr>
        <w:spacing w:after="0" w:line="162" w:lineRule="exact"/>
        <w:rPr>
          <w:sz w:val="20"/>
          <w:szCs w:val="20"/>
          <w:color w:val="auto"/>
        </w:rPr>
      </w:pPr>
    </w:p>
    <w:p>
      <w:pPr>
        <w:ind w:right="3539" w:firstLine="763"/>
        <w:spacing w:after="0" w:line="246" w:lineRule="auto"/>
        <w:rPr>
          <w:sz w:val="20"/>
          <w:szCs w:val="20"/>
          <w:color w:val="auto"/>
        </w:rPr>
      </w:pPr>
      <w:r>
        <w:rPr>
          <w:rFonts w:ascii="Courier New" w:cs="Courier New" w:eastAsia="Courier New" w:hAnsi="Courier New"/>
          <w:sz w:val="14"/>
          <w:szCs w:val="14"/>
          <w:color w:val="auto"/>
        </w:rPr>
        <w:t>Our ability to discover and develop product candidates for a wide variety of serious medical conditions results from the leveraging of several powerful technology platforms, many of which were developed or enhanced by us. In contrast to basic genomics approaches, which attempt to identify every gene in a cell or genome, we use Targeted Genomics(TM) and Functionomics(TM) (functional cloning) technology platforms that are designed to discover specific genes of therapeutic interest for a particular disease or cell type. Using these approaches, we have discovered many new families of growth factors and receptors, most of which are already protected by issued patents and which have led to several product candidates. In cases in which the natural gene product is itself not a product candidate, we utilize our Designer Protein Therapeutics(TM) platform to genetically engineer product candidates with the desired properties. This technology platform has already produced more than 10 patented proteins, several of which are in preclinical development.</w:t>
      </w:r>
    </w:p>
    <w:p>
      <w:pPr>
        <w:spacing w:after="0" w:line="170"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sophisticated application of all of these technology platforms, coupled with our biologic expertise in disease modeling, have allowed us to discover drug candidates that address a wide variety of important medical needs. Relative to many participants in the biotechnology and genomics industry, we are well-positioned with three products in ongoing clinical trials and several product candidates planned to enter clinical trials over the next one to two years, including:</w:t>
      </w:r>
    </w:p>
    <w:p>
      <w:pPr>
        <w:spacing w:after="0" w:line="162" w:lineRule="exact"/>
        <w:rPr>
          <w:sz w:val="20"/>
          <w:szCs w:val="20"/>
          <w:color w:val="auto"/>
        </w:rPr>
      </w:pPr>
    </w:p>
    <w:p>
      <w:pPr>
        <w:ind w:left="1200" w:right="3459" w:hanging="430"/>
        <w:spacing w:after="0" w:line="247" w:lineRule="auto"/>
        <w:tabs>
          <w:tab w:leader="none" w:pos="12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AXOKINE(R) second generation ciliary neurotrophic factor: Acts on the brain region regulating food intake and energy expenditure. AXOKINE is being developed for the treatment of obesity and complications of obesity such as Type II diabetes, and is in clinical trial.</w:t>
      </w:r>
    </w:p>
    <w:p>
      <w:pPr>
        <w:spacing w:after="0" w:line="162" w:lineRule="exact"/>
        <w:rPr>
          <w:rFonts w:ascii="Courier New" w:cs="Courier New" w:eastAsia="Courier New" w:hAnsi="Courier New"/>
          <w:sz w:val="14"/>
          <w:szCs w:val="14"/>
          <w:color w:val="auto"/>
        </w:rPr>
      </w:pPr>
    </w:p>
    <w:p>
      <w:pPr>
        <w:ind w:left="1200" w:right="3359" w:hanging="430"/>
        <w:spacing w:after="0" w:line="247" w:lineRule="auto"/>
        <w:tabs>
          <w:tab w:leader="none" w:pos="12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Cytokine Traps: Antagonists for cytokines such as interleukin-1 (called IL-1), interleukin-4 (IL-4), interleukin-13 (IL-13) and interleukin-6 (IL-6). These cytokines are thought to play a major role in diseases such as rheumatoid arthritis and other inflammatory diseases, asthma, allergic disorders and cancer. Cytokine Traps are potential treatments for these diseases, and at least one Cytokine Trap is expected to enter clinical trials by 2001.</w:t>
      </w:r>
    </w:p>
    <w:p>
      <w:pPr>
        <w:spacing w:after="0" w:line="161" w:lineRule="exact"/>
        <w:rPr>
          <w:rFonts w:ascii="Courier New" w:cs="Courier New" w:eastAsia="Courier New" w:hAnsi="Courier New"/>
          <w:sz w:val="14"/>
          <w:szCs w:val="14"/>
          <w:color w:val="auto"/>
        </w:rPr>
      </w:pPr>
    </w:p>
    <w:p>
      <w:pPr>
        <w:ind w:left="1200" w:right="3539" w:hanging="430"/>
        <w:spacing w:after="0" w:line="247" w:lineRule="auto"/>
        <w:tabs>
          <w:tab w:leader="none" w:pos="12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VEGF Trap: An antagonist to Vascular Endothelial Growth Factor (called VEGF), which is required for the growth of blood vessels that are needed for tumors to grow. VEGF Trap is a potential treatment for cancer and is expected to enter clinical trial in 2001.</w:t>
      </w:r>
    </w:p>
    <w:p>
      <w:pPr>
        <w:spacing w:after="0" w:line="162" w:lineRule="exact"/>
        <w:rPr>
          <w:rFonts w:ascii="Courier New" w:cs="Courier New" w:eastAsia="Courier New" w:hAnsi="Courier New"/>
          <w:sz w:val="14"/>
          <w:szCs w:val="14"/>
          <w:color w:val="auto"/>
        </w:rPr>
      </w:pPr>
    </w:p>
    <w:p>
      <w:pPr>
        <w:ind w:left="1200" w:right="3459" w:hanging="430"/>
        <w:spacing w:after="0" w:line="246" w:lineRule="auto"/>
        <w:tabs>
          <w:tab w:leader="none" w:pos="12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Angiopoietins: A new family of growth factors, discovered by us, that are specific for blood vessels and early hemopoietic stem cells. The Angiopoietins and engineered forms of these growth factors that can act as activators and blockers, are in preclinical testing for promoting blood vessel growth (to provide blood flow in diseased hearts and other tissues that have lost their original blood supplies), for blocking blood vessel growth (for the treatment of cancers), for fixing leaky blood vessels (that cause swelling and edema in diseases such as stroke, diabetic retinopathy and inflammatory diseases) and for promoting the growth and mobilization of certain hemopoietic cells such as stem cells and platelets.</w:t>
      </w:r>
    </w:p>
    <w:p>
      <w:pPr>
        <w:spacing w:after="0" w:line="33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772" w:right="1440" w:bottom="1440" w:gutter="0" w:footer="0" w:header="0"/>
        </w:sectPr>
      </w:pPr>
    </w:p>
    <w:bookmarkStart w:id="24" w:name="page25"/>
    <w:bookmarkEnd w:id="24"/>
    <w:p>
      <w:pPr>
        <w:ind w:left="1200" w:right="3459" w:hanging="430"/>
        <w:spacing w:after="0" w:line="247" w:lineRule="auto"/>
        <w:tabs>
          <w:tab w:leader="none" w:pos="12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Brain-derived neurotrophic factor, or BDNF: Promotes survival of the spinal cord neurons that die in amyotrophic lateral sclerosis (or ALS, commonly known as Lou Gehrig's Disease) and is in clinical trial for ALS.</w:t>
      </w:r>
    </w:p>
    <w:p>
      <w:pPr>
        <w:spacing w:after="0" w:line="162" w:lineRule="exact"/>
        <w:rPr>
          <w:rFonts w:ascii="Courier New" w:cs="Courier New" w:eastAsia="Courier New" w:hAnsi="Courier New"/>
          <w:sz w:val="14"/>
          <w:szCs w:val="14"/>
          <w:color w:val="auto"/>
        </w:rPr>
      </w:pPr>
    </w:p>
    <w:p>
      <w:pPr>
        <w:ind w:left="1200" w:right="3459" w:hanging="430"/>
        <w:spacing w:after="0" w:line="247" w:lineRule="auto"/>
        <w:tabs>
          <w:tab w:leader="none" w:pos="12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Neurotrophin-3, or NT-3: Acts on the neurons of the intestinal tract and is in clinical trial for the treatment of constipating disorders associated with spinal cord injury and other neurologic diseases.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Platforms</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Our ability to discover and develop product candidates for a wide variety of serious medical conditions results from the leveraging of several powerful technology platforms, many of which were developed or enhanced by the Company.</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Targeted Genomics and Bioinformatics. In contrast to basic genomics approaches, which attempt to identify every gene in a cell or genome, we use Targeted Genomics approaches to identify specific genes likely to be of therapeutic interest. Such approaches include homology cloning using low-stringency hybridization approaches, homology cloning using degenerate oligonucleotides in polymerase chain reaction-based amplification searches, subtractive hybridization approaches and bioinformatics-based algorithms that search public genomic and expressed sequence tag (EST) databases for genes of interest. These approaches have resulted in the discovery of a wide variety of important genes useful for developing drugs in a diverse number of therapeutic areas, including angiogenesis, cancer, muscle disorders, bone and cartilage formation, fibrosis and inflammatory diseases. A particular focus of these efforts is the identification of so-called orphan receptors, as described in the next section.</w:t>
      </w:r>
    </w:p>
    <w:p>
      <w:pPr>
        <w:spacing w:after="0" w:line="170"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Functionomics: Orphan Receptor Technology and Functional Cloning of Growth Factors for these Orphan Receptors. The therapeutic utility of many growth factors depends, in part, on the exquisite specificity of their actions. This specificity is determined largely by the limited distribution of receptors for these factors on the target cells of interest. Using proprietary technology initially developed for the discovery and characterization of neurotrophic factors and their receptors described in the previous section on Targeted Genomics and Bioinformatics, we have discovered new receptor proteins specifically expressed on particular cell populations of potentially important clinical interest. These cell populations include not only additional subsets of neurons but non-neuronal cells, such as the endothelial cells that constitute blood vessels, skeletal muscle cells, cartilage cells and hemopoietic cells. Because these novel receptor proteins initially have no defined growth factor partner, they are termed orphan receptors. We have also obtained licenses and established collaborations for additional orphan receptors, including licenses from The Salk Institute for Biological Studies. Our scientists then define the growth factor-binding portion of the orphan receptors and engineer it into an antibody-like reagent, termed a receptor-body. This receptor-body is used to detect a source of the unknown growth factor and a cDNA library is produced from this source. The millions of cDNAs in this library are then introduced into millions of mammalian cells and the rare cell that has taken up the cDNA encoding the unknown growth factor is detected using the receptor-body. The cell is then isolated and its cDNA amplified, allowing for the molecular cloning of the unknown growth factor. These approaches have allowed our scientists to clone growth factor families such as the Angiopoietins and Ephrins.</w:t>
      </w:r>
    </w:p>
    <w:p>
      <w:pPr>
        <w:spacing w:after="0" w:line="176"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Designer Protein Therapeutics and Genetic Engineering. In cases in which the natural gene product is itself not a product candidate, we utilize our Designer Protein Therapeutics platform approaches to genetically engineer product candidates with the desired properties. These technologies allow for the development of derivatives of the growth factors and their receptors, which can allow for modified agonistic or antagonistic properties that may prove to be therapeutically useful. Examples include the generation of AXOKINE as a second generation version of CNTF and the development of Cytokine Traps and the VEGF Trap. Traps are derivatives of the receptors for cytokines and VEGF, in which the binding portions of two different receptor</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772" w:right="1440" w:bottom="1440" w:gutter="0" w:footer="0" w:header="0"/>
        </w:sectPr>
      </w:pPr>
    </w:p>
    <w:bookmarkStart w:id="25" w:name="page26"/>
    <w:bookmarkEnd w:id="25"/>
    <w:p>
      <w:pPr>
        <w:ind w:right="3900"/>
        <w:spacing w:after="0" w:line="247" w:lineRule="auto"/>
        <w:rPr>
          <w:sz w:val="20"/>
          <w:szCs w:val="20"/>
          <w:color w:val="auto"/>
        </w:rPr>
      </w:pPr>
      <w:r>
        <w:rPr>
          <w:rFonts w:ascii="Courier New" w:cs="Courier New" w:eastAsia="Courier New" w:hAnsi="Courier New"/>
          <w:sz w:val="14"/>
          <w:szCs w:val="14"/>
          <w:color w:val="auto"/>
        </w:rPr>
        <w:t>components are combined to form a very high-affinity and fully human soluble antagonist. This technology platform has already produced more than 10 patented proteins, several of which are in preclinical development.</w:t>
      </w:r>
    </w:p>
    <w:p>
      <w:pPr>
        <w:spacing w:after="0" w:line="163" w:lineRule="exact"/>
        <w:rPr>
          <w:sz w:val="20"/>
          <w:szCs w:val="20"/>
          <w:color w:val="auto"/>
        </w:rPr>
      </w:pPr>
    </w:p>
    <w:p>
      <w:pPr>
        <w:ind w:right="3900" w:firstLine="763"/>
        <w:spacing w:after="0" w:line="247" w:lineRule="auto"/>
        <w:rPr>
          <w:sz w:val="20"/>
          <w:szCs w:val="20"/>
          <w:color w:val="auto"/>
        </w:rPr>
      </w:pPr>
      <w:r>
        <w:rPr>
          <w:rFonts w:ascii="Courier New" w:cs="Courier New" w:eastAsia="Courier New" w:hAnsi="Courier New"/>
          <w:sz w:val="14"/>
          <w:szCs w:val="14"/>
          <w:color w:val="auto"/>
        </w:rPr>
        <w:t>Additional research and development capabilities. These capabilities include molecular and cellular biology, protein chemistry, transgenics and gene knockouts, disease modeling, viral gene delivery of proteins, recombinant expression of proteins and large-scale manufacturing of recombinant proteins.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Programs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00" w:type="dxa"/>
            <w:vAlign w:val="bottom"/>
          </w:tcPr>
          <w:p>
            <w:pPr>
              <w:spacing w:after="0"/>
              <w:rPr>
                <w:sz w:val="13"/>
                <w:szCs w:val="13"/>
                <w:color w:val="auto"/>
              </w:rPr>
            </w:pPr>
          </w:p>
        </w:tc>
        <w:tc>
          <w:tcPr>
            <w:tcW w:w="4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Selected Products and Programs</w:t>
            </w:r>
          </w:p>
        </w:tc>
        <w:tc>
          <w:tcPr>
            <w:tcW w:w="158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815"/>
        </w:trPr>
        <w:tc>
          <w:tcPr>
            <w:tcW w:w="2000" w:type="dxa"/>
            <w:vAlign w:val="bottom"/>
          </w:tcPr>
          <w:p>
            <w:pPr>
              <w:spacing w:after="0"/>
              <w:rPr>
                <w:sz w:val="20"/>
                <w:szCs w:val="20"/>
                <w:color w:val="auto"/>
              </w:rPr>
            </w:pPr>
            <w:r>
              <w:rPr>
                <w:rFonts w:ascii="Courier New" w:cs="Courier New" w:eastAsia="Courier New" w:hAnsi="Courier New"/>
                <w:sz w:val="14"/>
                <w:szCs w:val="14"/>
                <w:color w:val="auto"/>
              </w:rPr>
              <w:t>Technology Platforms</w:t>
            </w:r>
          </w:p>
        </w:tc>
        <w:tc>
          <w:tcPr>
            <w:tcW w:w="2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Used for Discovery and</w:t>
            </w:r>
          </w:p>
        </w:tc>
        <w:tc>
          <w:tcPr>
            <w:tcW w:w="2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Commercialization</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Program and Product</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Targeted Indication</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Stage</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Rights</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236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r>
      <w:tr>
        <w:trPr>
          <w:trHeight w:val="489"/>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AXOKINE(R)(Second</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Obesity and</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Generation Ciliary</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complications of</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Neurotrophic Factor)</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obesity such as Type</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II diabetes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BDNF  (Brain-derived</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Amyotrophic lateral</w:t>
            </w: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3"/>
        </w:trPr>
        <w:tc>
          <w:tcPr>
            <w:tcW w:w="2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Neurotrophic Factor)</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sclerosis (ALS)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Intrathecal (U.S.)</w:t>
            </w:r>
          </w:p>
        </w:tc>
        <w:tc>
          <w:tcPr>
            <w:tcW w:w="2380" w:type="dxa"/>
            <w:vAlign w:val="bottom"/>
          </w:tcPr>
          <w:p>
            <w:pPr>
              <w:spacing w:after="0"/>
              <w:rPr>
                <w:sz w:val="14"/>
                <w:szCs w:val="14"/>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Amgen</w:t>
            </w:r>
          </w:p>
        </w:tc>
      </w:tr>
      <w:tr>
        <w:trPr>
          <w:trHeight w:val="163"/>
        </w:trPr>
        <w:tc>
          <w:tcPr>
            <w:tcW w:w="2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Subcutaneous (U.S.)</w:t>
            </w:r>
          </w:p>
        </w:tc>
        <w:tc>
          <w:tcPr>
            <w:tcW w:w="2380" w:type="dxa"/>
            <w:vAlign w:val="bottom"/>
          </w:tcPr>
          <w:p>
            <w:pPr>
              <w:spacing w:after="0"/>
              <w:rPr>
                <w:sz w:val="14"/>
                <w:szCs w:val="14"/>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Amgen</w:t>
            </w:r>
          </w:p>
        </w:tc>
      </w:tr>
      <w:tr>
        <w:trPr>
          <w:trHeight w:val="163"/>
        </w:trPr>
        <w:tc>
          <w:tcPr>
            <w:tcW w:w="2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Subcutaneous (Japan)</w:t>
            </w:r>
          </w:p>
        </w:tc>
        <w:tc>
          <w:tcPr>
            <w:tcW w:w="2380" w:type="dxa"/>
            <w:vAlign w:val="bottom"/>
          </w:tcPr>
          <w:p>
            <w:pPr>
              <w:spacing w:after="0"/>
              <w:rPr>
                <w:sz w:val="14"/>
                <w:szCs w:val="14"/>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w w:val="99"/>
              </w:rPr>
              <w:t>Sumitomo Pharmaceuticals</w:t>
            </w: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NT-3 (Neurotrophin-3)</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Constipating</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Amgen</w:t>
            </w:r>
          </w:p>
        </w:tc>
      </w:tr>
      <w:tr>
        <w:trPr>
          <w:trHeight w:val="163"/>
        </w:trPr>
        <w:tc>
          <w:tcPr>
            <w:tcW w:w="2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conditions associated</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with spinal cord</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injury and other</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medical conditions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4"/>
                <w:szCs w:val="2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Cytokine Traps</w:t>
            </w:r>
          </w:p>
        </w:tc>
        <w:tc>
          <w:tcPr>
            <w:tcW w:w="2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3"/>
        </w:trPr>
        <w:tc>
          <w:tcPr>
            <w:tcW w:w="2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IL-1</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Rheumatoid arthritis</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Preclinical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28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and other inflammatory</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disorders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IL-4</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Asthma and allergic</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Preclinical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28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disorders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IL-4/13</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Asthma and allergic</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Preclinical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28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disorders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IL-2, IL-3, IL-5,</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Multiple</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Research</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IL-6, IL-15, gamma-</w:t>
            </w: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interferon, TTPbeta</w:t>
            </w: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and others</w:t>
            </w: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4"/>
                <w:szCs w:val="2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Angiogenesis Programs</w:t>
            </w:r>
          </w:p>
        </w:tc>
        <w:tc>
          <w:tcPr>
            <w:tcW w:w="2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3"/>
        </w:trPr>
        <w:tc>
          <w:tcPr>
            <w:tcW w:w="2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VEGF Trap</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Cancer</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Preclinical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Angiopoietin-1</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Ischemia, vascular</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Preclinical</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FUNCTIONOMICS</w:t>
            </w:r>
          </w:p>
        </w:tc>
        <w:tc>
          <w:tcPr>
            <w:tcW w:w="228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leak and edema, and</w:t>
            </w: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28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hemopoiesis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Ephrins, Angiopoietin-2</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Cancer, ischemia,</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Research</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FUNCTIONOMICS</w:t>
            </w:r>
          </w:p>
        </w:tc>
        <w:tc>
          <w:tcPr>
            <w:tcW w:w="228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hemopoiesis</w:t>
            </w: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DESIGNER PROTEIN</w:t>
            </w:r>
          </w:p>
        </w:tc>
        <w:tc>
          <w:tcPr>
            <w:tcW w:w="2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THERAPEUTICS</w:t>
            </w:r>
          </w:p>
        </w:tc>
        <w:tc>
          <w:tcPr>
            <w:tcW w:w="2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Muscle Diseases and</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Muscle atrophy and</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Research</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FUNCTIONOMICS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Disorders</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injury</w:t>
            </w: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163"/>
        </w:trPr>
        <w:tc>
          <w:tcPr>
            <w:tcW w:w="2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4"/>
                <w:szCs w:val="2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Bone and Cartilage:</w:t>
            </w:r>
          </w:p>
        </w:tc>
        <w:tc>
          <w:tcPr>
            <w:tcW w:w="2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3"/>
        </w:trPr>
        <w:tc>
          <w:tcPr>
            <w:tcW w:w="2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RORs</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Osteoarthritis</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Research</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FUNCTIONOMICS</w:t>
            </w:r>
          </w:p>
        </w:tc>
        <w:tc>
          <w:tcPr>
            <w:tcW w:w="2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DDRs</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Fibrosis and cirrhosis</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Research</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FUNCTIONOMICS</w:t>
            </w:r>
          </w:p>
        </w:tc>
        <w:tc>
          <w:tcPr>
            <w:tcW w:w="2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326"/>
        </w:trPr>
        <w:tc>
          <w:tcPr>
            <w:tcW w:w="2000" w:type="dxa"/>
            <w:vAlign w:val="bottom"/>
          </w:tcPr>
          <w:p>
            <w:pPr>
              <w:spacing w:after="0"/>
              <w:rPr>
                <w:sz w:val="20"/>
                <w:szCs w:val="20"/>
                <w:color w:val="auto"/>
              </w:rPr>
            </w:pPr>
            <w:r>
              <w:rPr>
                <w:rFonts w:ascii="Courier New" w:cs="Courier New" w:eastAsia="Courier New" w:hAnsi="Courier New"/>
                <w:sz w:val="14"/>
                <w:szCs w:val="14"/>
                <w:color w:val="auto"/>
              </w:rPr>
              <w:t>TARGETED GENOMICS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G-Protein Coupled</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Multiple</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Research</w:t>
            </w: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Regeneron and Procter</w:t>
            </w:r>
          </w:p>
        </w:tc>
      </w:tr>
      <w:tr>
        <w:trPr>
          <w:trHeight w:val="163"/>
        </w:trPr>
        <w:tc>
          <w:tcPr>
            <w:tcW w:w="2000" w:type="dxa"/>
            <w:vAlign w:val="bottom"/>
          </w:tcPr>
          <w:p>
            <w:pPr>
              <w:spacing w:after="0"/>
              <w:rPr>
                <w:sz w:val="20"/>
                <w:szCs w:val="20"/>
                <w:color w:val="auto"/>
              </w:rPr>
            </w:pPr>
            <w:r>
              <w:rPr>
                <w:rFonts w:ascii="Courier New" w:cs="Courier New" w:eastAsia="Courier New" w:hAnsi="Courier New"/>
                <w:sz w:val="14"/>
                <w:szCs w:val="14"/>
                <w:color w:val="auto"/>
              </w:rPr>
              <w:t>FUNCTIONOMICS</w:t>
            </w: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Receptors</w:t>
            </w: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4"/>
                <w:szCs w:val="14"/>
                <w:color w:val="auto"/>
              </w:rPr>
              <w:t>&amp; Gamble</w:t>
            </w:r>
          </w:p>
        </w:tc>
      </w:tr>
      <w:tr>
        <w:trPr>
          <w:trHeight w:val="163"/>
        </w:trPr>
        <w:tc>
          <w:tcPr>
            <w:tcW w:w="20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978"/>
        </w:trPr>
        <w:tc>
          <w:tcPr>
            <w:tcW w:w="2000" w:type="dxa"/>
            <w:vAlign w:val="bottom"/>
          </w:tcPr>
          <w:p>
            <w:pPr>
              <w:spacing w:after="0"/>
              <w:rPr>
                <w:sz w:val="24"/>
                <w:szCs w:val="24"/>
                <w:color w:val="auto"/>
              </w:rPr>
            </w:pPr>
          </w:p>
        </w:tc>
        <w:tc>
          <w:tcPr>
            <w:tcW w:w="2280" w:type="dxa"/>
            <w:vAlign w:val="bottom"/>
          </w:tcPr>
          <w:p>
            <w:pPr>
              <w:ind w:left="1320"/>
              <w:spacing w:after="0"/>
              <w:rPr>
                <w:sz w:val="20"/>
                <w:szCs w:val="20"/>
                <w:color w:val="auto"/>
              </w:rPr>
            </w:pPr>
            <w:r>
              <w:rPr>
                <w:rFonts w:ascii="Courier New" w:cs="Courier New" w:eastAsia="Courier New" w:hAnsi="Courier New"/>
                <w:sz w:val="14"/>
                <w:szCs w:val="14"/>
                <w:color w:val="auto"/>
              </w:rPr>
              <w:t>24</w:t>
            </w:r>
          </w:p>
        </w:tc>
        <w:tc>
          <w:tcPr>
            <w:tcW w:w="2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0600"/>
          </w:cols>
          <w:pgMar w:left="300" w:top="772" w:right="999" w:bottom="13" w:gutter="0" w:footer="0" w:header="0"/>
        </w:sectPr>
      </w:pPr>
    </w:p>
    <w:bookmarkStart w:id="26" w:name="page27"/>
    <w:bookmarkEnd w:id="26"/>
    <w:p>
      <w:pPr>
        <w:ind w:right="3359" w:firstLine="763"/>
        <w:spacing w:after="0" w:line="246" w:lineRule="auto"/>
        <w:rPr>
          <w:sz w:val="20"/>
          <w:szCs w:val="20"/>
          <w:color w:val="auto"/>
        </w:rPr>
      </w:pPr>
      <w:r>
        <w:rPr>
          <w:rFonts w:ascii="Courier New" w:cs="Courier New" w:eastAsia="Courier New" w:hAnsi="Courier New"/>
          <w:sz w:val="14"/>
          <w:szCs w:val="14"/>
          <w:color w:val="auto"/>
        </w:rPr>
        <w:t>AXOKINE. AXOKINE is our patented second generation ciliary neurotrophic factor, called CNTF. In an earlier clinical program, CNTF was evaluated as a potential treatment for patients with ALS. It was discovered that reduced appetite and weight loss were among the prominent adverse events in these patients. Later preclinical studies with AXOKINE in animal models of obesity confirmed the ability of AXOKINE to induce substantial weight loss, preferentially of fat as opposed to lean body mass. AXOKINE is effective in all obesity models studied to date, which include diet induced obesity and genetic obesity rodent models (ob/ob and db/db mice) and causes marked weight loss in lean animals.</w:t>
      </w:r>
    </w:p>
    <w:p>
      <w:pPr>
        <w:spacing w:after="0" w:line="168"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AXOKINE has similarities to and important differences from leptin, a protein that is secreted by fat cells which another company is currently evaluating in clinical trials in obese people. AXOKINE and leptin use similar intracellular signaling pathways but signal through different, but closely related, receptors; they interact with the CNTF and the leptin receptor, respectively. AXOKINE causes weight loss comparable to leptin in ob/ob mice; ob/ob mice are genetically obese mice which lack leptin but have the intact leptin receptor. Leptin in pharmacological doses does not induce weight loss in mice made obese with high fat/high calorie diet. In contrast, AXOKINE in this model produces a 30 percent weight loss in three weeks without causing obvious signs of toxicity.</w:t>
      </w:r>
    </w:p>
    <w:p>
      <w:pPr>
        <w:spacing w:after="0" w:line="169"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The vast majority of obese humans have intact leptin receptors and increased serum leptin levels. Hence, human obesity does not appear to be a leptin deficient state but, rather, a condition of leptin resistance. Based on the animal studies, AXOKINE is anticipated to be pharmacologically active in patients with obesity, despite their elevated leptin levels and leptin resistance.</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Cytokine Traps. Our widely-cited research on the CNTF class of neurotrophic factors led to the discovery that CNTF, although it is a neurotrophic factor, belongs to the "superfamily" of factors referred to as cytokines. This superfamily includes factors such as erythropoietin, thrombopoietin, granulocyte-colony stimulating factor and the interleukins (or ILs). Our research has led to proprietary insights into the receptors and signal transduction mechanisms used by the entire cytokine superfamily and to novel approaches to develop both agonists and antagonists for a variety of cytokines. Our scientists have created protein-based antagonists for IL-1, IL-4, IL-6 and a single antagonist that blocks both IL-4 and IL-13. These antagonists are more potent than previously described antagonists, allowing lower levels of these antagonists to be used; moreover, these antagonists are comprised entirely of natural human-derived sequences and thus would not be expected to induce an immune reaction in humans (although no assurance can be given since none have yet been tested in humans). These cytokine antagonists are termed Cytokine Traps. Because pathological levels of IL-1, IL-4, IL-6 and IL-13 seem to contribute to a variety of disease states, these Cytokine Traps have the potential to be important therapeutic agents. The approach to treating serious diseases by blocking the action of cytokines has been validated by approved drugs for the treatment of rheumatoid arthritis.</w:t>
      </w:r>
    </w:p>
    <w:p>
      <w:pPr>
        <w:spacing w:after="0" w:line="173"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Our research regarding protein-based cytokine antagonists currently includes molecular and cellular research to improve or modify our Cytokine Trap technology, process development efforts to produce experimental and clinical research quantities of the Cytokine Traps and in vivo and in vitro studies to further understand and demonstrate the efficacy of the Cytokine Traps. We plan to commence a clinical study of one of our cytokine traps this year and one next year. The Company has patents covering additional Cytokine Traps for IL-2, IL-3, IL-5, IL-15, gamma-interferon, transforming growth factor beta, and others, which are being pursued at the research level.</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BDNF. Brain-derived neurotrophic factor is a naturally occurring human protein. During 1995 and 1996, Amgen conducted, on behalf of Amgen-Regeneron Partners, a Phase III BDNF clinical trial to treat ALS. This study involved 1,135 patients, with each patient scheduled to receive subcutaneous treatment for nine months. ALS is a disease that attacks motor neurons, those nerve cells that cause muscles to contract. Degeneration of these neurons causes muscle weakness, leading to death due to respiratory insufficiency. ALS afflicts adults primarily between the ages of 40 and 70 years old; average survival is three to five years following diagno-</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609" w:right="1440" w:bottom="1440" w:gutter="0" w:footer="0" w:header="0"/>
        </w:sectPr>
      </w:pPr>
    </w:p>
    <w:bookmarkStart w:id="27" w:name="page28"/>
    <w:bookmarkEnd w:id="27"/>
    <w:p>
      <w:pPr>
        <w:ind w:right="3459"/>
        <w:spacing w:after="0" w:line="247" w:lineRule="auto"/>
        <w:rPr>
          <w:sz w:val="20"/>
          <w:szCs w:val="20"/>
          <w:color w:val="auto"/>
        </w:rPr>
      </w:pPr>
      <w:r>
        <w:rPr>
          <w:rFonts w:ascii="Courier New" w:cs="Courier New" w:eastAsia="Courier New" w:hAnsi="Courier New"/>
          <w:sz w:val="14"/>
          <w:szCs w:val="14"/>
          <w:color w:val="auto"/>
        </w:rPr>
        <w:t>sis. It is estimated that approximately 25,000 people in the United States have ALS. In January 1997, we and Amgen announced that the Phase III study failed to demonstrate clinical efficacy. As described earlier, additional clinical development of BDNF for ALS was suggested based on, among other things, retrospective analyses of the data from that study.</w:t>
      </w:r>
    </w:p>
    <w:p>
      <w:pPr>
        <w:spacing w:after="0" w:line="162"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BDNF is being tested in humans by Amgen-Regeneron Partners for potential use in treating ALS through two routes of administration: intrathecal (infusion into the spinal fluid through an implanted pump) and subcutaneous (injection under the skin). In the fourth quarter of 1998, Amgen, on behalf of the partnership, began an intrathecal study in more than 200 patients with ALS. Subcutaneous studies conducted by us on behalf of the partnership began in the first quarter of 1998. The subcutaneous studies are based on an analysis of the Amgen-Regeneron Partners Phase III trial of BDNF for ALS that was completed in 1996. That trial failed to achieve its predetermined end points, but subsequent analyses indicated that a retrospectively-defined subset of ALS patients in the trial may have received a survival benefit from BDNF treatment. A double-blind, placebo-controlled, multi-center study of more than 300 ALS patients who will receive BDNF subcutaneously began in August 1999.</w:t>
      </w:r>
    </w:p>
    <w:p>
      <w:pPr>
        <w:spacing w:after="0" w:line="170"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NT-3. Neurotrophin-3 is a naturally occurring human protein. Amgen-Regeneron Partners' clinical development of NT-3 is currently focused on constipation associated with conditions such as spinal cord injury, use of narcotic analgesics and severe idiopathic constipation. We and Amgen are developing NT-3 in the United States under a license from Takeda Chemical Industries, Ltd.</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Angiogenesis and Hemopoiesis. A plentiful blood supply is required to nourish every tissue and organ of the body. Diseases such as diabetes and atherosclerosis wreak their havoc, 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pacing w:after="0" w:line="169"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Depending on the clinical situation, positively or negatively regulating blood vessel growth could have important therapeutic benefits, as could the repair of damaged and leaky vessels. Thus, building new vessels, by a process known as angiogenesis, can improve circulation to ischemic limbs and heart, aid in healing of skin ulcers or other chronic wounds and in establishing tissue grafts. Reciprocally, blocking tumor-induced angiogenesis can blunt tumor growth. In addition, repairing leaky vessels can reverse swelling and edema.</w:t>
      </w:r>
    </w:p>
    <w:p>
      <w:pPr>
        <w:spacing w:after="0" w:line="162" w:lineRule="exact"/>
        <w:rPr>
          <w:sz w:val="20"/>
          <w:szCs w:val="20"/>
          <w:color w:val="auto"/>
        </w:rPr>
      </w:pPr>
    </w:p>
    <w:p>
      <w:pPr>
        <w:ind w:right="3539" w:firstLine="763"/>
        <w:spacing w:after="0" w:line="246" w:lineRule="auto"/>
        <w:rPr>
          <w:sz w:val="20"/>
          <w:szCs w:val="20"/>
          <w:color w:val="auto"/>
        </w:rPr>
      </w:pPr>
      <w:r>
        <w:rPr>
          <w:rFonts w:ascii="Courier New" w:cs="Courier New" w:eastAsia="Courier New" w:hAnsi="Courier New"/>
          <w:sz w:val="14"/>
          <w:szCs w:val="14"/>
          <w:color w:val="auto"/>
        </w:rPr>
        <w:t>Vascular endothelial growth factor (VEGF) was the first growth factor shown to be specific for blood vessels, by virtue of having its receptor specifically expressed on blood vessel cells. Our scientists have used their Targeted Genomics and Functionomics technology platforms to discover a second family of angiogenic growth factors, termed the Angiopoietins, and received patents for the members of this family. The Angiopoietins include naturally occurring positive and negative regulators of angiogenesis, as described in numerous scientific manuscripts published by our scientists and their collaborators.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To discover the Angiopoietins, our scientists exploited their platform technologies. They first used Targeted Genomics approaches to identify a new family of growth factor receptor proteins expressed on blood vessels. These proteins were termed orphan receptors because their putative ligands had not yet been identified. Our scientists then used functional expression cloning technologies (Functionomics) to discover the growth factors for these orphan receptors, which they termed the Angiopoietins. Finally, they and their collaborators performed an assortment of functional studies to define the biologic roles of the Angiopoietins and their potential applications in disease processes.</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772" w:right="1440" w:bottom="1440" w:gutter="0" w:footer="0" w:header="0"/>
        </w:sectPr>
      </w:pPr>
    </w:p>
    <w:bookmarkStart w:id="28" w:name="page29"/>
    <w:bookmarkEnd w:id="28"/>
    <w:p>
      <w:pPr>
        <w:ind w:right="3459" w:firstLine="763"/>
        <w:spacing w:after="0" w:line="246" w:lineRule="auto"/>
        <w:rPr>
          <w:sz w:val="20"/>
          <w:szCs w:val="20"/>
          <w:color w:val="auto"/>
        </w:rPr>
      </w:pPr>
      <w:r>
        <w:rPr>
          <w:rFonts w:ascii="Courier New" w:cs="Courier New" w:eastAsia="Courier New" w:hAnsi="Courier New"/>
          <w:sz w:val="14"/>
          <w:szCs w:val="14"/>
          <w:color w:val="auto"/>
        </w:rPr>
        <w:t>These studies have revealed that VEGF and the Angiopoietins normally function in a coordinated and collaborative manner during blood vessel growth. Thus, the growth of new blood vessels to nourish ischemic tissue seemingly requires use of both these agents. Second, Angiopoietin-1 seems to play a critical role in stabilizing the vessel wall, and the use of this growth factor has the ability to prevent or repair leaky vessels. In terms of blocking vessel growth, both VEGF and Angiopoietin manipulation seem to be of value. Currently, Regeneron has a highly potent VEGF antagonist, termed the VEGF-Trap, in preclinical development as an anti-angiogenic agent for cancer. In addition, Regeneron has Angiopoietin-1 and engineered designer versions in preclinical studies aimed at evaluating its utility for blocking blood vessel leak, and for growing blood vessels in ischemia. Finally, as part of its collaboration with Procter &amp; Gamble, the Company is developing animal models and high-throughput screens and conducting medicinal chemistry efforts to develop small molecule regulators of angiogenesis.</w:t>
      </w:r>
    </w:p>
    <w:p>
      <w:pPr>
        <w:spacing w:after="0" w:line="171"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Hemopoietic stem cells and blood vessel cells share a common precursor, termed the hemangioblast. The receptors for the Angiopoietins are thus also expressed on hemopoietic lineage cells. The Angiopoietins are in preclinical studies for their abilities to promote growth and mobilization of hemopoietic stem cells and megakaryocytes.</w:t>
      </w:r>
    </w:p>
    <w:p>
      <w:pPr>
        <w:spacing w:after="0" w:line="162" w:lineRule="exact"/>
        <w:rPr>
          <w:sz w:val="20"/>
          <w:szCs w:val="20"/>
          <w:color w:val="auto"/>
        </w:rPr>
      </w:pPr>
    </w:p>
    <w:p>
      <w:pPr>
        <w:ind w:right="3699" w:firstLine="763"/>
        <w:spacing w:after="0" w:line="247" w:lineRule="auto"/>
        <w:rPr>
          <w:sz w:val="20"/>
          <w:szCs w:val="20"/>
          <w:color w:val="auto"/>
        </w:rPr>
      </w:pPr>
      <w:r>
        <w:rPr>
          <w:rFonts w:ascii="Courier New" w:cs="Courier New" w:eastAsia="Courier New" w:hAnsi="Courier New"/>
          <w:sz w:val="14"/>
          <w:szCs w:val="14"/>
          <w:color w:val="auto"/>
        </w:rPr>
        <w:t>We and others have identified a family of growth factors termed the Ephrins and their receptors termed the Ephs. Members of this family have specific roles in angiogenesis and hemopoiesis, which are being pursued in preclinical studies.</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Muscle Atrophy and Related Disorders. Muscle atrophy occurs in many neuromuscular diseases and also when muscle is unused, as often occurs during 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The muscle program is currently focused on conducting in vivo and in vitro experiments with the objective of demonstrating and further understanding the molecular mechanisms involved in muscle atrophy. This work is being conducted in collaboration with scientists at Procter &amp; Gamble as part of the P&amp;G Agreement.</w:t>
      </w:r>
    </w:p>
    <w:p>
      <w:pPr>
        <w:spacing w:after="0" w:line="169"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Other Early Stage Programs: Cartilage Growth Factor Receptor System and Osteoarthritis, Collagen Receptors and Fibrosis, and G-Protein Coupled Receptors. Osteoarthritis results from the wearing down of the articular cartilage surfaces that cover joints. Thus, growth factors that specifically act on cartilage cells could have utility in osteoarthritis. Using our platform technologies that utilize Targeted Genomics to discover orphan receptors, together with our functional biology capabilities, our scientists have discovered a growth factor receptor system selectively expressed by cartilage cells, termed Regeneron Orphan Receptor 2 (ROR2). Furthermore, our scientists have demonstrated that this growth factor receptor system is required for normal cartilage development in mice as revealed by gene knockout technology. In addition, together with collaborators, our scientists have proven that mutations in this growth factor receptor system cause inherited defects in cartilage development in humans. Thus, this growth factor receptor system is an exciting new target for cartilage diseases such as osteoarthritis.</w:t>
      </w:r>
    </w:p>
    <w:p>
      <w:pPr>
        <w:spacing w:after="0" w:line="171"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We also have an intensive program to discover and characterize G-Protein Coupled Receptors, which have historically been among the most useful targets for pharmaceuticals.</w:t>
      </w:r>
    </w:p>
    <w:p>
      <w:pPr>
        <w:spacing w:after="0" w:line="163"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Fibrotic diseases, such as cirrhosis, result from the excess production of fibrous extracellular matrix by certain cell types that are inappropriately activated in these diseases. We and our collaborators identified orphan receptors, termed Discoidin Domain Receptors 1 and 2 (DDR1 and DDR2) that are expressed by the activated cell types in fibrotic disease. We have further shown that these receptors bind and</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772" w:right="1440" w:bottom="1440" w:gutter="0" w:footer="0" w:header="0"/>
        </w:sectPr>
      </w:pPr>
    </w:p>
    <w:bookmarkStart w:id="29" w:name="page30"/>
    <w:bookmarkEnd w:id="29"/>
    <w:p>
      <w:pPr>
        <w:ind w:right="3799"/>
        <w:spacing w:after="0" w:line="248" w:lineRule="auto"/>
        <w:rPr>
          <w:sz w:val="20"/>
          <w:szCs w:val="20"/>
          <w:color w:val="auto"/>
        </w:rPr>
      </w:pPr>
      <w:r>
        <w:rPr>
          <w:rFonts w:ascii="Courier New" w:cs="Courier New" w:eastAsia="Courier New" w:hAnsi="Courier New"/>
          <w:sz w:val="14"/>
          <w:szCs w:val="14"/>
          <w:color w:val="auto"/>
        </w:rPr>
        <w:t>are activated by the fibrous matrix they produce. Thus, these receptors are important new targets in fibrotic disease.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Collaborative Relationships</w:t>
      </w:r>
    </w:p>
    <w:p>
      <w:pPr>
        <w:spacing w:after="0" w:line="168" w:lineRule="exact"/>
        <w:rPr>
          <w:sz w:val="20"/>
          <w:szCs w:val="20"/>
          <w:color w:val="auto"/>
        </w:rPr>
      </w:pPr>
    </w:p>
    <w:p>
      <w:pPr>
        <w:ind w:right="3959" w:firstLine="763"/>
        <w:spacing w:after="0" w:line="247" w:lineRule="auto"/>
        <w:rPr>
          <w:sz w:val="20"/>
          <w:szCs w:val="20"/>
          <w:color w:val="auto"/>
        </w:rPr>
      </w:pPr>
      <w:r>
        <w:rPr>
          <w:rFonts w:ascii="Courier New" w:cs="Courier New" w:eastAsia="Courier New" w:hAnsi="Courier New"/>
          <w:sz w:val="14"/>
          <w:szCs w:val="14"/>
          <w:color w:val="auto"/>
        </w:rPr>
        <w:t>We currently conduct programs in collaboration with academic and corporate partners and independently. We have entered into research collaboration and licensing agreements with various corporate partners, including Procter &amp; Gamble, Amgen and Sumitomo Pharmaceuticals.</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Procter &amp; Gamble. The majority of our scientific resources are devoted to our collaborative activities with Procter &amp; Gamble in the fields of angiogenesis, cancer, bone growth and related areas, muscle injury and atrophy and small molecule (orally active) drugs.</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 May 1997, we entered into a ten-year collaboration agreement with Procter &amp; Gamble to discover, develop and commercialize pharmaceutical products. Procter &amp; Gamble agreed over the first five years of the various agreements to purchase up to $60.0 million in our equity, of which, as of December 31, 1999, it had purchased $42.9 million. In addition, Procter &amp; Gamble purchased $10.0 million of our common stock in 1997. Procter &amp; Gamble agreed over the first five years of the various agreements to provide up to $94.7 million in support of our research efforts related to the collaboration, of which we had received $24.0 million as of December 31, 1999.</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 September 1997, our ten-year agreement with Procter &amp; Gamble was expanded to include AXOKINE and related molecules, and we agreed to develop AXOKINE initially to treat obesity associated with Type II diabetes. In the first quarter of 1999, we and Procter &amp; Gamble commenced a Phase I clinical study to determine the safety of AXOKINE administered subcutaneously for a short duration to mildly to moderately obese healthy volunteers. After examining the interim data from the Phase I study (including the possibility that the market for AXOKINE might be limited to herpes simplex virus (commonly called HSV)-negative patients) as part of an internal review of drug development programs and budgets, Procter &amp; Gamble decided to return to us the product rights to AXOKINE. We and Procter &amp; Gamble completed the Phase I study in HSV-negative patients. Based on the final results of the Phase I study, we expect to start in March 2000 a double-blind, placebo-controlled Phase II dose-ranging trial to study the safety and efficacy of AXOKINE in severely obese patients. Under certain circumstances, Procter &amp; Gamble will continue to be entitled to receive a small royalty on any sales of AXOKINE. Procter &amp; Gamble's decision to return to us product rights to AXOKINE has no impact on our broader relationship with Procter &amp; Gamble.</w:t>
      </w:r>
    </w:p>
    <w:p>
      <w:pPr>
        <w:spacing w:after="0" w:line="17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Amgen. We and Amgen are conducting clinical trials of BDNF and NT-3 on behalf of Amgen-Regeneron Partners, a general partnership owned equally by us and Amgen. We are required to fund 50 percent of the development costs of Amgen-Regeneron Partners to maintain 50 percent of the commercialization rights. BDNF is currently being developed by Amgen-Regeneron Partners for potential use in treating ALS through two routes of administration: intrathecal (infusion into the spinal fluid through an implanted pump, supplied by Medtronic, Inc.) and subcutaneous (injection under the skin). The Amgen-Regeneron Partners Phase III trial of BDNF for ALS, completed in 1996, failed to achieve its predetermined end points, but subsequent analyses indicated that a retrospectively defined subset of ALS patients in the trial may have received a survival benefit from BDNF treatment.</w:t>
      </w:r>
    </w:p>
    <w:p>
      <w:pPr>
        <w:spacing w:after="0" w:line="169"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Sumitomo Pharmaceuticals. We and Sumitomo Pharmaceuticals are collaborating in the development of BDNF in Japan, initially for the treatment of ALS. Pursuant to our license agreement with Sumitomo Pharmaceuticals, Sumitomo Pharmaceuticals made a $5.0 million research progress payment (reduced by $0.5 million of Japanese withholding tax) to our company in 1998 and will be required to make additional payments upon the achievement of specified milestones. Sumitomo Pharmaceuticals will also pay a royalty on sales of BDNF in Japan.</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772" w:right="1440" w:bottom="1440" w:gutter="0" w:footer="0" w:header="0"/>
        </w:sectPr>
      </w:pPr>
    </w:p>
    <w:bookmarkStart w:id="30" w:name="page31"/>
    <w:bookmarkEnd w:id="30"/>
    <w:p>
      <w:pPr>
        <w:ind w:right="3459" w:firstLine="763"/>
        <w:spacing w:after="0" w:line="246" w:lineRule="auto"/>
        <w:rPr>
          <w:sz w:val="20"/>
          <w:szCs w:val="20"/>
          <w:color w:val="auto"/>
        </w:rPr>
      </w:pPr>
      <w:r>
        <w:rPr>
          <w:rFonts w:ascii="Courier New" w:cs="Courier New" w:eastAsia="Courier New" w:hAnsi="Courier New"/>
          <w:sz w:val="14"/>
          <w:szCs w:val="14"/>
          <w:color w:val="auto"/>
        </w:rPr>
        <w:t>Other Agreements. We have agreements with individual researchers and universities to conduct sponsored research and development programs. The goal of these agreements is to extend our capabilities and to acquire proprietary rights to the results of sponsored research. We are a party to a number of sponsored research agreements which include grants to us of exclusive licenses to certain discoveries and technologies developed at, among other places, the Max Planck Institute and the University of California at San Francisco. We have also collaborated with Glaxo Wellcome plc to discover and develop small molecule-based treatments for neurodegenerative diseases. In addition to these sponsored research agreements, we (individually or in partnership with our collaborators) provide resource material and information that relate to its product candidates and research programs to over 400 investigators at private and public institutions throughout the world. We supply supplies, materials and know-how to these investigators on a confidential basis in exchange for access to additional research and ownership of certain proprietary rights resulting from the work of the investigators.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We maintain a manufacturing facility in Tarrytown, New York. This facility, which was designed to comply with FDA current good manufacturing practices (called GMP), is intended to produce preclinical and clinical supplies of compounds. Depending on the dosage of its drugs, the facility could also produce either bulk compounds or the final dosage form of certain product candidates.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1993, we purchased our Rensselaer, New York manufacturing facility, which is being used to produce BDNF for use by Sumitomo Pharmaceuticals and a vaccine intermediate for Merck. We may use the facility to produce other product candidates and materials in the future.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Patents, Trademarks and Trade Secrets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are considered important to the development of our business. We have been granted a number of U.S. patents and we are the exclusive or nonexclusive licensee of a number of additional U.S. patents and patent applications. We also rely upon trade secrets, know-how and continuing technological innovation to develop and maintain its competitive position. We or our licensors or collaborators have filed patent applications on products and processes relating to neurotrophic factors and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As of December 31, 1999, we had 437 full-time employees, 82 of whom hold a Ph.D. and/or M.D. degree. We believe that we have been highly successful in attracting skilled and experienced personnel; however, competition for such personnel is intense.</w:t>
      </w:r>
    </w:p>
    <w:p>
      <w:pPr>
        <w:spacing w:after="0" w:line="32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772" w:right="1440" w:bottom="1440" w:gutter="0" w:footer="0" w:header="0"/>
        </w:sectPr>
      </w:pPr>
    </w:p>
    <w:bookmarkStart w:id="31" w:name="page32"/>
    <w:bookmarkEnd w:id="31"/>
    <w:p>
      <w:pPr>
        <w:ind w:left="2980"/>
        <w:spacing w:after="0"/>
        <w:rPr>
          <w:sz w:val="20"/>
          <w:szCs w:val="20"/>
          <w:color w:val="auto"/>
        </w:rPr>
      </w:pPr>
      <w:r>
        <w:rPr>
          <w:rFonts w:ascii="Courier New" w:cs="Courier New" w:eastAsia="Courier New" w:hAnsi="Courier New"/>
          <w:sz w:val="14"/>
          <w:szCs w:val="14"/>
          <w:color w:val="auto"/>
        </w:rPr>
        <w:t>MANAGEMENT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459" w:firstLine="763"/>
        <w:spacing w:after="0" w:line="248" w:lineRule="auto"/>
        <w:rPr>
          <w:sz w:val="20"/>
          <w:szCs w:val="20"/>
          <w:color w:val="auto"/>
        </w:rPr>
      </w:pPr>
      <w:r>
        <w:rPr>
          <w:rFonts w:ascii="Courier New" w:cs="Courier New" w:eastAsia="Courier New" w:hAnsi="Courier New"/>
          <w:sz w:val="14"/>
          <w:szCs w:val="14"/>
          <w:color w:val="auto"/>
        </w:rPr>
        <w:t>The following table provides information with respect to our directors and executive officers as of February 29, 2000: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80" w:type="dxa"/>
            <w:vAlign w:val="bottom"/>
          </w:tcPr>
          <w:p>
            <w:pPr>
              <w:spacing w:after="0"/>
              <w:rPr>
                <w:sz w:val="20"/>
                <w:szCs w:val="20"/>
                <w:color w:val="auto"/>
              </w:rPr>
            </w:pPr>
            <w:r>
              <w:rPr>
                <w:rFonts w:ascii="Courier New" w:cs="Courier New" w:eastAsia="Courier New" w:hAnsi="Courier New"/>
                <w:sz w:val="14"/>
                <w:szCs w:val="14"/>
                <w:color w:val="auto"/>
              </w:rPr>
              <w:t>P. Roy Vagelos, M.D.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70</w:t>
            </w:r>
          </w:p>
        </w:tc>
        <w:tc>
          <w:tcPr>
            <w:tcW w:w="1620" w:type="dxa"/>
            <w:vAlign w:val="bottom"/>
          </w:tcPr>
          <w:p>
            <w:pPr>
              <w:ind w:left="300"/>
              <w:spacing w:after="0"/>
              <w:rPr>
                <w:sz w:val="20"/>
                <w:szCs w:val="20"/>
                <w:color w:val="auto"/>
              </w:rPr>
            </w:pPr>
            <w:r>
              <w:rPr>
                <w:rFonts w:ascii="Courier New" w:cs="Courier New" w:eastAsia="Courier New" w:hAnsi="Courier New"/>
                <w:sz w:val="14"/>
                <w:szCs w:val="14"/>
                <w:color w:val="auto"/>
              </w:rPr>
              <w:t>Chairman of the</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Board of Directors (Class II)</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Leonard S. Schleifer, M.D., Ph.D.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47</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Director (Class I) President, Chief Executive Officer and</w:t>
            </w:r>
          </w:p>
        </w:tc>
      </w:tr>
      <w:tr>
        <w:trPr>
          <w:trHeight w:val="163"/>
        </w:trPr>
        <w:tc>
          <w:tcPr>
            <w:tcW w:w="3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4"/>
                <w:szCs w:val="14"/>
                <w:color w:val="auto"/>
              </w:rPr>
              <w:t>Founder</w:t>
            </w:r>
          </w:p>
        </w:tc>
        <w:tc>
          <w:tcPr>
            <w:tcW w:w="3760" w:type="dxa"/>
            <w:vAlign w:val="bottom"/>
          </w:tcPr>
          <w:p>
            <w:pPr>
              <w:spacing w:after="0"/>
              <w:rPr>
                <w:sz w:val="14"/>
                <w:szCs w:val="14"/>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Charles A. Baker</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67</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Director(Class III)</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Michael S. Brown, M.D.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59</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Director (Class III) and Member of Scientific Advisory Board</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Alfred G. Gilman, M.D., Ph.D.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58</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Director (Class II) Member of Scientific Advisory Board and</w:t>
            </w:r>
          </w:p>
        </w:tc>
      </w:tr>
      <w:tr>
        <w:trPr>
          <w:trHeight w:val="163"/>
        </w:trPr>
        <w:tc>
          <w:tcPr>
            <w:tcW w:w="3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4"/>
                <w:szCs w:val="14"/>
                <w:color w:val="auto"/>
              </w:rPr>
              <w:t>Co-Founder</w:t>
            </w:r>
          </w:p>
        </w:tc>
        <w:tc>
          <w:tcPr>
            <w:tcW w:w="3760" w:type="dxa"/>
            <w:vAlign w:val="bottom"/>
          </w:tcPr>
          <w:p>
            <w:pPr>
              <w:spacing w:after="0"/>
              <w:rPr>
                <w:sz w:val="14"/>
                <w:szCs w:val="14"/>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Joseph L. Goldstein, M.D.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60</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Director (Class II) and Member of Scientific Advisory Board</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Fred A. Middleton</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50</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Director (Class I)</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Eric M. Shooter, Ph.D.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76</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Director (Class I) and Chairman of Scientific Advisory Board</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George L. Sing</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51</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Director (Class III)</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George D. Yancopoulos, M.D., Ph.D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40</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Senior Vice President, Research and Chief Scientific Officer</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Jesse M. Cedarbaum, M.D.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48</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Vice President, Clinical Affairs</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Murray A. Goldberg</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55</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Vice President, Finance &amp; Administration, Chief</w:t>
            </w:r>
          </w:p>
        </w:tc>
      </w:tr>
      <w:tr>
        <w:trPr>
          <w:trHeight w:val="163"/>
        </w:trPr>
        <w:tc>
          <w:tcPr>
            <w:tcW w:w="3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Financial Officer, Treasurer and Assistant Secretary</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Hans-Peter Guler, M.D.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51</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Vice President, Clinical Sciences</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Stephen L. Holst</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58</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Vice President, Quality Assurance and Regulatory</w:t>
            </w:r>
          </w:p>
        </w:tc>
      </w:tr>
      <w:tr>
        <w:trPr>
          <w:trHeight w:val="163"/>
        </w:trPr>
        <w:tc>
          <w:tcPr>
            <w:tcW w:w="3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4"/>
                <w:szCs w:val="14"/>
                <w:color w:val="auto"/>
              </w:rPr>
              <w:t>Affairs</w:t>
            </w:r>
          </w:p>
        </w:tc>
        <w:tc>
          <w:tcPr>
            <w:tcW w:w="3760" w:type="dxa"/>
            <w:vAlign w:val="bottom"/>
          </w:tcPr>
          <w:p>
            <w:pPr>
              <w:spacing w:after="0"/>
              <w:rPr>
                <w:sz w:val="14"/>
                <w:szCs w:val="14"/>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Richard X. Horne</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49</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Staff Vice President, Human Resources</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William G. Roberts, M.D.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42</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Vice President, Regulatory Development</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Randall G. Rupp, Ph.D.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53</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Vice President, Manufacturing and Process Science</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Joseph M. Sorrentino, Ph.D.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48</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Vice President, Intellectual Property</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Neil Stahl, Ph.D.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43</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Vice President, Preclinical Development and</w:t>
            </w:r>
          </w:p>
        </w:tc>
      </w:tr>
      <w:tr>
        <w:trPr>
          <w:trHeight w:val="163"/>
        </w:trPr>
        <w:tc>
          <w:tcPr>
            <w:tcW w:w="3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Biomolecular Science</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David M. Valenzuela, Ph.D.</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49</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Vice President, Genomics and Bioinformatics</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Douglas S. McCorkle</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43</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Controller and Assistant Treasurer</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Beverly C. Dubs</w:t>
            </w:r>
          </w:p>
        </w:tc>
        <w:tc>
          <w:tcPr>
            <w:tcW w:w="9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45</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Administrative Controller and 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Board of Directors is divided into three classes, denominated Class I, Class II and Class III, with members of each class holding office for staggered three-year terms. Our Scientific Advisory Board consists of individuals with recognized expertise in neurobiology, clinical neurology, molecular biology and related fields who advise us about present and long-term scientific planning, research and development.</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P. Roy Vagelos, M.D., 70, has been chairman of the board of our company and a member of the Scientific Advisory Board since January 1995. He became a part-time employee of Regeneron in January 1999.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 He is also currently a member of the Board of Directors of PepsiCo, Inc., The Prudential Insurance Company of America and Estee Lauder Companies.</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772" w:right="1440" w:bottom="1440" w:gutter="0" w:footer="0" w:header="0"/>
        </w:sectPr>
      </w:pPr>
    </w:p>
    <w:bookmarkStart w:id="32" w:name="page33"/>
    <w:bookmarkEnd w:id="32"/>
    <w:p>
      <w:pPr>
        <w:ind w:right="3359" w:firstLine="763"/>
        <w:spacing w:after="0" w:line="246" w:lineRule="auto"/>
        <w:rPr>
          <w:sz w:val="20"/>
          <w:szCs w:val="20"/>
          <w:color w:val="auto"/>
        </w:rPr>
      </w:pPr>
      <w:r>
        <w:rPr>
          <w:rFonts w:ascii="Courier New" w:cs="Courier New" w:eastAsia="Courier New" w:hAnsi="Courier New"/>
          <w:sz w:val="14"/>
          <w:szCs w:val="14"/>
          <w:color w:val="auto"/>
        </w:rPr>
        <w:t>Leonard S. Schleifer, M.D., Ph.D., 47, founded our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Charles A. Baker, 67, has been a director of our company since February 1989. Since December 1989, he has been the Chairman, President and Chief Executive Officer of The Liposome Company, Inc., a publicly held company. During his career, Mr. Baker served in senior management capacities in various pharmaceutical companies, including the positions of Group Vice President, Squibb Corporation (now Bristol-Myers Squibb) and President, Squibb International. He also held various senior executive positions at Abbott Laboratories and Pfizer, Inc. Mr. Baker is a special limited partner in Sanderling Ventures, which is a shareholder of the Company.</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Michael S. Brown, M.D., 59, has been a director of our company since June 1991 and a member of our Scientific Advisory Board since January 1988. Dr. Brown is Professor of Medicine and Genetics and the Director of the Center for Genetic Diseases at The University of Texas Southwestern Medical Center at Dallas. He is a member of the National Academy of Sciences. He is a Director of Pfizer, Inc. His scientific contributions in cholesterol and lipid metabolism were made in collaboration with Dr. Joseph L. Goldstein. Dr. Brown and Dr. Goldstein jointly received the Nobel Prize for Physiology or Medicine in 1985.</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Alfred G. Gilman, M.D., Ph.D., 58, a co-founder of our company, has been a director of our company since July 1990 and a member of our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 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169"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Joseph L. Goldstein, M.D., 60, has been a director of our company since June 1991 and a member of our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 Goldstein and Dr. Brown jointly received the Nobel Prize for Physiology or Medicine in 1985.</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Fred A. Middleton, 50, has been a director of our company since July 1990. Mr. Middleton is a General Partner of Sanderling Ventures, a venture capital firm he co-founded with Dr. Robert McNeil in December 1987 specializing in early stage biomedical companies. Sanderling Ventures is a shareholder of the Company. Between 1984 and 1987, he was Managing General Partner of Morgan Stanley Ventures and, from 1978 through 1984, was Vice President and Chief Financial Officer of Genentech, Inc. and President, Genentech Development Corporation.</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Eric M. Shooter, Ph.D., 76, a co-founder of our company, has been a director of our company and chairman of the Scientific Advisory Board since 1988. Dr. Shooter has been a Professor at Stanford University School of Medicine since 1968. He was the founding Chairman of the Department of Neurobiology at Stanford University School of Medicine in 1975 and served as its Chairman until 1987. He is a Fellow of the Royal Society of</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772" w:right="1440" w:bottom="1440" w:gutter="0" w:footer="0" w:header="0"/>
        </w:sectPr>
      </w:pPr>
    </w:p>
    <w:bookmarkStart w:id="33" w:name="page34"/>
    <w:bookmarkEnd w:id="33"/>
    <w:p>
      <w:pPr>
        <w:ind w:right="3699"/>
        <w:spacing w:after="0" w:line="248" w:lineRule="auto"/>
        <w:rPr>
          <w:sz w:val="20"/>
          <w:szCs w:val="20"/>
          <w:color w:val="auto"/>
        </w:rPr>
      </w:pPr>
      <w:r>
        <w:rPr>
          <w:rFonts w:ascii="Courier New" w:cs="Courier New" w:eastAsia="Courier New" w:hAnsi="Courier New"/>
          <w:sz w:val="14"/>
          <w:szCs w:val="14"/>
          <w:color w:val="auto"/>
        </w:rPr>
        <w:t>England, a Fellow of the American Academy of Arts and Sciences and a Foreign Associate of the Institute of Medicine of the National Academy of Sciences.</w:t>
      </w:r>
    </w:p>
    <w:p>
      <w:pPr>
        <w:spacing w:after="0" w:line="161"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George L. Sing, 51, has been a director of our company since January 1988. From February 1990 until February 14, 1991, Mr. Sing served as a consultant to Merrill Lynch Venture Capital Inc. with respect to the Company. From 1982 to February 1990, Mr. Sing was a Vice President and member of the Board of Directors of Merrill Lynch Venture Capital Inc., a venture capital firm. Since 1993, Mr. Sing has been a general partner of Zitan Partners, an investment and advisory firm.</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George D. Yancopoulos, M.D., Ph.D., 40, has been senior vice president, Research since June 1997 and chief scientific officer since January 1998. Dr. Yancopoulos was Vice President, Discovery from January 1992 until June 1997 and was employed by us since March 1989 as Senior Staff Scientist and Head of Discovery from January 1991 to January 1992. He received his Ph.D. in Biochemistry and Molecular Biophysics and his M.D. from Columbia University. According to a 1997 survey by the Institute for Scientific Information, our Chief Scientific Officer was among the top 11 most highly cited scientists and the only non-academic scientist in that group.</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Jesse M. Cedarbaum, MD., 48, has been our vice president, Clinical Affairs since January 1993 and was Program Director of Clinical Affairs of the Company from July 1990 until December 1992. He was Associate Professor of Neurology and Neuroscience at Cornell University Medical College and director of the Parkinson and Movement Disorders Clinics, New York Hospital and The Burke Rehabilitation Center from 1983 to 1990 and is currently Clinical Associate Professor of Neurology at Mt. Sinai Medical School in New York. Dr. Cedarbaum is a board certified neurologist. Dr. Cedarbaum received his M.D. from the Yale University School of Medicine.</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Murray A. Goldberg, 55, has been our vice president, Finance and Administration, Treasurer and Chief Financial Officer since March 1995 and Assistant Secretary since January 2000. Prior to joining us,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Hans-Peter Guler, M.D., 51, has been our vice president, Clinical Affairs since April 1998. From 1994 until joining the Company, Dr. Guler was employed by Chiron Corporation, most recently as Senior Director of Clinical Development. From 1989 to 1994, he was Associate Director of Drug Development in the Pharmaceuticals Divisions of CIBA-GEIGY Corporation. Dr. Guler received his M.D. from the University of Zurich.</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Steven L. Holst, 58, has been our vice president, Quality Assurance and Regulatory Affairs since October 1997. From 1993 until October 1997, Mr. Holst was employed by Novo Nordisk A/S, most recently as Senior Regulatory Officer and Responsible Head of its worldwide Health Care group. From 1990 to 1993, he was Director of our Regulatory Affairs and Quality Assurance Groups.</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Richard X. Horne, 49, has been our Staff Vice President, Human Resources since August 1998. Immediately prior to joining Regeneron, he was Vice President, Human Resources at Braintree Hospital in Braintree, MA, serving in that capacity since 1990. Mr. Horne also was a member of the Board of Directors of The Rehabilitation Hospital of Rhode Island from October 1997 until April 1998.</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William Roberts, M.D., 42, has been our vice president, Regulatory Development since May 1999. From 1993 until joining us, Dr. Roberts was employed by Merck &amp; Co., Inc., as Associate Director, Gastroenterology Clinical Research and subsequently, Director, Regulatory Affairs. He received his M.D. from the Columbia University College of Physicians &amp; Surgeons.</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772" w:right="1440" w:bottom="1440" w:gutter="0" w:footer="0" w:header="0"/>
        </w:sectPr>
      </w:pPr>
    </w:p>
    <w:bookmarkStart w:id="34" w:name="page35"/>
    <w:bookmarkEnd w:id="34"/>
    <w:p>
      <w:pPr>
        <w:ind w:right="3359" w:firstLine="763"/>
        <w:spacing w:after="0" w:line="247" w:lineRule="auto"/>
        <w:rPr>
          <w:sz w:val="20"/>
          <w:szCs w:val="20"/>
          <w:color w:val="auto"/>
        </w:rPr>
      </w:pPr>
      <w:r>
        <w:rPr>
          <w:rFonts w:ascii="Courier New" w:cs="Courier New" w:eastAsia="Courier New" w:hAnsi="Courier New"/>
          <w:sz w:val="14"/>
          <w:szCs w:val="14"/>
          <w:color w:val="auto"/>
        </w:rPr>
        <w:t>Randall G. Rupp, Ph.D., 53, has been our vice president, Manufacturing and Process Science since January 1992 and was our director of manufacturing from July 1991 until December 1992. He received his Ph.D. in Biomedical Sciences from the University of Texas, M.D. Anderson Hospital and Tumor Institution, Houston.</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Joseph M. Sorrentino, Ph.D., 48, has been our vice president, Intellectual Property since September 1999. Immediately before joining us, he was Vice President and Counsel (Biotechnology Patents) at Bristol-Myers Squibb Co., which he joined in 1990. Dr. Sorrentino received his Ph.D. in Biochemistry from the University of Texas and his J.D. from the University of Arizona.</w:t>
      </w:r>
    </w:p>
    <w:p>
      <w:pPr>
        <w:spacing w:after="0" w:line="162"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Neil Stahl, Ph.D., 43, has been our vice president, Preclinical Development and Biomolecular Sciences since January 2000. He joined us in 1991. Before becoming Vice President, Biomolecular Sciences in July 1997, Dr. Stahl was Director, Cytokines and Signal Transduction. Dr. Stahl received his Ph.D. in Biochemistry from Brandeis University.</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David Valenzuela, Ph.D., 49, has been our vice president, Genomics and Bioinformatics since January 1998. Dr. Valenzuela joined us in 1990. He received his Ph.D. in Molecular Biology from the Albert Einstein College of Medicine, Yeshiva University.</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Douglas S. McCorkle, 43, has been our controller since May 1998 and Assistant Treasurer since June 1998. Before joining us, Mr. McCorkle was the Controller at Intergen Company from January 1997. He was a manager from 1995 to 1996, Senior Associate from 1992 to 1995 and Associate from 1990 to 1991, with PricewaterhouseCoopers LLP.</w:t>
      </w:r>
    </w:p>
    <w:p>
      <w:pPr>
        <w:spacing w:after="0" w:line="162" w:lineRule="exact"/>
        <w:rPr>
          <w:sz w:val="20"/>
          <w:szCs w:val="20"/>
          <w:color w:val="auto"/>
        </w:rPr>
      </w:pPr>
    </w:p>
    <w:p>
      <w:pPr>
        <w:jc w:val="both"/>
        <w:ind w:right="3539" w:firstLine="763"/>
        <w:spacing w:after="0" w:line="247" w:lineRule="auto"/>
        <w:rPr>
          <w:sz w:val="20"/>
          <w:szCs w:val="20"/>
          <w:color w:val="auto"/>
        </w:rPr>
      </w:pPr>
      <w:r>
        <w:rPr>
          <w:rFonts w:ascii="Courier New" w:cs="Courier New" w:eastAsia="Courier New" w:hAnsi="Courier New"/>
          <w:sz w:val="14"/>
          <w:szCs w:val="14"/>
          <w:color w:val="auto"/>
        </w:rPr>
        <w:t>Beverly C. Dubs, 45, has been our administrative controller since May 1998 and Assistant Treasurer since August 1990. Ms. Dubs has served in various finance and administration capacities at Regeneron since 1989.</w:t>
      </w:r>
    </w:p>
    <w:p>
      <w:pPr>
        <w:spacing w:after="0" w:line="32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772" w:right="1440" w:bottom="1440" w:gutter="0" w:footer="0" w:header="0"/>
        </w:sectPr>
      </w:pPr>
    </w:p>
    <w:bookmarkStart w:id="35" w:name="page36"/>
    <w:bookmarkEnd w:id="35"/>
    <w:p>
      <w:pPr>
        <w:ind w:left="1880"/>
        <w:spacing w:after="0"/>
        <w:rPr>
          <w:sz w:val="20"/>
          <w:szCs w:val="20"/>
          <w:color w:val="auto"/>
        </w:rPr>
      </w:pPr>
      <w:r>
        <w:rPr>
          <w:rFonts w:ascii="Courier New" w:cs="Courier New" w:eastAsia="Courier New" w:hAnsi="Courier New"/>
          <w:sz w:val="14"/>
          <w:szCs w:val="14"/>
          <w:color w:val="auto"/>
        </w:rPr>
        <w:t>INVESTMENT COMPANY ACT CONSIDERATIONS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Investment Company Act of 1940, as amended,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will seek temporarily to invest the proceeds of this offering, pending their use as described under the caption "Use of Proceeds."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Investment Company Act of 1940 and other matters. Application of the provisions of this Act would have a material adverse effect on our business.</w:t>
      </w:r>
    </w:p>
    <w:p>
      <w:pPr>
        <w:spacing w:after="0" w:line="336"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DESCRIPTION OF CAPITAL STOCK</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Our authorized capital stock consists of 60,000,000 shares of common stock, par value $.001 per share, 40,000,000 shares of Class A stock, par value $.001 per share and 30,000,000 shares of Preferred Stock, par value $.01 per share. As of February 28, 2000, 28,160,357 shares of our common stock were outstanding and held by 737 shareholders of record and 3,579,277 shares of our Class A stock were outstanding and held by 74 shareholders of record. The following is a summary description of our capital stock. For more information, see our Restated Certificate of Incorporation. A copy of this certificate is incorporated by reference to the registration statement of which this prospectus forms a part.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and Class A Stock</w:t>
      </w:r>
    </w:p>
    <w:p>
      <w:pPr>
        <w:spacing w:after="0" w:line="168" w:lineRule="exact"/>
        <w:rPr>
          <w:sz w:val="20"/>
          <w:szCs w:val="20"/>
          <w:color w:val="auto"/>
        </w:rPr>
      </w:pPr>
    </w:p>
    <w:p>
      <w:pPr>
        <w:jc w:val="both"/>
        <w:ind w:right="3459" w:firstLine="763"/>
        <w:spacing w:after="0" w:line="247" w:lineRule="auto"/>
        <w:rPr>
          <w:sz w:val="20"/>
          <w:szCs w:val="20"/>
          <w:color w:val="auto"/>
        </w:rPr>
      </w:pPr>
      <w:r>
        <w:rPr>
          <w:rFonts w:ascii="Courier New" w:cs="Courier New" w:eastAsia="Courier New" w:hAnsi="Courier New"/>
          <w:sz w:val="14"/>
          <w:szCs w:val="14"/>
          <w:color w:val="auto"/>
        </w:rPr>
        <w:t>General. The rights of holders of common stock and holders of Class A stock are identical except for voting and conversion rights and restrictions on transferability.</w:t>
      </w:r>
    </w:p>
    <w:p>
      <w:pPr>
        <w:spacing w:after="0" w:line="163"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Voting Rights. The holders of Class A stock are entitled to ten votes per share and the holders of Common Stock are entitled to one vote per share. Except as otherwise required by law or as described below, holders of Class A common stock will vote together as a single class on all matters presented to the shareholders for their vote or approval, including the election of directors. Shareholders are not entitled to vote cumulatively for the election of directors and no class of outstanding common stock acting alone is entitled to elect any directors.</w:t>
      </w:r>
    </w:p>
    <w:p>
      <w:pPr>
        <w:spacing w:after="0" w:line="162" w:lineRule="exact"/>
        <w:rPr>
          <w:sz w:val="20"/>
          <w:szCs w:val="20"/>
          <w:color w:val="auto"/>
        </w:rPr>
      </w:pPr>
    </w:p>
    <w:p>
      <w:pPr>
        <w:ind w:right="3459" w:firstLine="763"/>
        <w:spacing w:after="0" w:line="248" w:lineRule="auto"/>
        <w:rPr>
          <w:sz w:val="20"/>
          <w:szCs w:val="20"/>
          <w:color w:val="auto"/>
        </w:rPr>
      </w:pPr>
      <w:r>
        <w:rPr>
          <w:rFonts w:ascii="Courier New" w:cs="Courier New" w:eastAsia="Courier New" w:hAnsi="Courier New"/>
          <w:sz w:val="14"/>
          <w:szCs w:val="14"/>
          <w:color w:val="auto"/>
        </w:rPr>
        <w:t>Transfer Restrictions. Class A stock is subject to certain limitations on transfer that do not apply to the common stock.</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772" w:right="1440" w:bottom="1440" w:gutter="0" w:footer="0" w:header="0"/>
        </w:sectPr>
      </w:pPr>
    </w:p>
    <w:bookmarkStart w:id="36" w:name="page37"/>
    <w:bookmarkEnd w:id="36"/>
    <w:p>
      <w:pPr>
        <w:ind w:right="3359" w:firstLine="763"/>
        <w:spacing w:after="0" w:line="246" w:lineRule="auto"/>
        <w:rPr>
          <w:sz w:val="20"/>
          <w:szCs w:val="20"/>
          <w:color w:val="auto"/>
        </w:rPr>
      </w:pPr>
      <w:r>
        <w:rPr>
          <w:rFonts w:ascii="Courier New" w:cs="Courier New" w:eastAsia="Courier New" w:hAnsi="Courier New"/>
          <w:sz w:val="14"/>
          <w:szCs w:val="14"/>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170" w:lineRule="exact"/>
        <w:rPr>
          <w:sz w:val="20"/>
          <w:szCs w:val="20"/>
          <w:color w:val="auto"/>
        </w:rPr>
      </w:pPr>
    </w:p>
    <w:p>
      <w:pPr>
        <w:ind w:right="3699" w:firstLine="763"/>
        <w:spacing w:after="0" w:line="247" w:lineRule="auto"/>
        <w:rPr>
          <w:sz w:val="20"/>
          <w:szCs w:val="20"/>
          <w:color w:val="auto"/>
        </w:rPr>
      </w:pPr>
      <w:r>
        <w:rPr>
          <w:rFonts w:ascii="Courier New" w:cs="Courier New" w:eastAsia="Courier New" w:hAnsi="Courier New"/>
          <w:sz w:val="14"/>
          <w:szCs w:val="14"/>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162" w:lineRule="exact"/>
        <w:rPr>
          <w:sz w:val="20"/>
          <w:szCs w:val="20"/>
          <w:color w:val="auto"/>
        </w:rPr>
      </w:pPr>
    </w:p>
    <w:p>
      <w:pPr>
        <w:ind w:right="3359" w:firstLine="763"/>
        <w:spacing w:after="0" w:line="248" w:lineRule="auto"/>
        <w:rPr>
          <w:sz w:val="20"/>
          <w:szCs w:val="20"/>
          <w:color w:val="auto"/>
        </w:rPr>
      </w:pPr>
      <w:r>
        <w:rPr>
          <w:rFonts w:ascii="Courier New" w:cs="Courier New" w:eastAsia="Courier New" w:hAnsi="Courier New"/>
          <w:sz w:val="14"/>
          <w:szCs w:val="14"/>
          <w:color w:val="auto"/>
        </w:rPr>
        <w:t>The shares of common stock are not convertible into or exchangeable for shares of Class A stock or any other of our shares or securities.</w:t>
      </w:r>
    </w:p>
    <w:p>
      <w:pPr>
        <w:spacing w:after="0" w:line="161"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 policies. We do not intend to issue any additional shares of any stock that would make it ineligible for 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171" w:lineRule="exact"/>
        <w:rPr>
          <w:sz w:val="20"/>
          <w:szCs w:val="20"/>
          <w:color w:val="auto"/>
        </w:rPr>
      </w:pPr>
    </w:p>
    <w:p>
      <w:pPr>
        <w:ind w:right="3539" w:firstLine="763"/>
        <w:spacing w:after="0" w:line="248" w:lineRule="auto"/>
        <w:rPr>
          <w:sz w:val="20"/>
          <w:szCs w:val="20"/>
          <w:color w:val="auto"/>
        </w:rPr>
      </w:pPr>
      <w:r>
        <w:rPr>
          <w:rFonts w:ascii="Courier New" w:cs="Courier New" w:eastAsia="Courier New" w:hAnsi="Courier New"/>
          <w:sz w:val="14"/>
          <w:szCs w:val="14"/>
          <w:color w:val="auto"/>
        </w:rPr>
        <w:t>Transfer Agent and Registrar. The Transfer Agent and Registrar to the common stock is American Stock Transfer &amp; Trust Company.</w:t>
      </w:r>
    </w:p>
    <w:p>
      <w:pPr>
        <w:spacing w:after="0" w:line="200" w:lineRule="exact"/>
        <w:rPr>
          <w:sz w:val="20"/>
          <w:szCs w:val="20"/>
          <w:color w:val="auto"/>
        </w:rPr>
      </w:pPr>
    </w:p>
    <w:p>
      <w:pPr>
        <w:spacing w:after="0" w:line="28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9"/>
          </w:cols>
          <w:pgMar w:left="300" w:top="77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Preferred Stock</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 of Certain Holders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 In connection with this offering, we have notified each of the holders who have registration rights and each holder other than the selling shareholder has waived or intends to waive its rights to exercise its respective registration rights.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Plan</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September 1996, we adopted a Shareholder Rights Plan. As with most shareholder rights agreements, the terms of our rights agreement are complex and not easily summarized. This summary may not contain all of the information that is important to you. Accordingly, you should carefully read our rights agreement, which has been filed with the SEC.</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Our rights agreement provides that each share of our common stock will have one right to purchase a unit consisting of one-hundredth of a preferred share at a purchase price of $120 per unit.</w:t>
      </w:r>
    </w:p>
    <w:p>
      <w:pPr>
        <w:spacing w:after="0" w:line="163"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Initially, the rights under our rights agreement are attached to outstanding certificates representing our common stock and no separate certificates representing the rights will be distributed. The rights will separate from our common stock and be represented by separate certificates approximately 10 days after someone acquires or commences a tender offer for 20% of our outstanding common stock.</w:t>
      </w:r>
    </w:p>
    <w:p>
      <w:pPr>
        <w:spacing w:after="0" w:line="162"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After the rights separate from our common stock, certificates representing the rights will be mailed to record holders of our common stock. Once distributed, the rights certificates alone will represent the rights.</w:t>
      </w:r>
    </w:p>
    <w:p>
      <w:pPr>
        <w:spacing w:after="0" w:line="163"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All shares of our common stock issued prior to the date the rights separate from the common stock will be issued with the rights attached. The rights are not exercisable until the date the rights separate from the common stock. The rights will expire on October 18, 2006 earlier redeemed or exchanged by us.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If an acquiror obtains or has the right to obtain 20% or more of our common stock, then each right will entitle the holder to purchase a number of shares of our common stock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certain circumstances, a right will entitle the holder to purchase a number of shares of common stock of the acquiror having a then current market value of twice the right's purchase price.</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159"/>
          </w:cols>
          <w:pgMar w:left="300" w:top="772" w:right="1440" w:bottom="1440" w:gutter="0" w:footer="0" w:header="0"/>
        </w:sectPr>
      </w:pPr>
    </w:p>
    <w:bookmarkStart w:id="38" w:name="page39"/>
    <w:bookmarkEnd w:id="38"/>
    <w:p>
      <w:pPr>
        <w:ind w:right="3359" w:firstLine="763"/>
        <w:spacing w:after="0" w:line="248" w:lineRule="auto"/>
        <w:rPr>
          <w:sz w:val="20"/>
          <w:szCs w:val="20"/>
          <w:color w:val="auto"/>
        </w:rPr>
      </w:pPr>
      <w:r>
        <w:rPr>
          <w:rFonts w:ascii="Courier New" w:cs="Courier New" w:eastAsia="Courier New" w:hAnsi="Courier New"/>
          <w:sz w:val="14"/>
          <w:szCs w:val="14"/>
          <w:color w:val="auto"/>
        </w:rPr>
        <w:t>Holders of rights will have no rights as our stockholders including the right to vote or receive dividends, simply by virtue of holding the rights.</w:t>
      </w:r>
    </w:p>
    <w:p>
      <w:pPr>
        <w:spacing w:after="0" w:line="161"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772" w:right="1440" w:bottom="1440" w:gutter="0" w:footer="0" w:header="0"/>
        </w:sectPr>
      </w:pPr>
    </w:p>
    <w:bookmarkStart w:id="39" w:name="page40"/>
    <w:bookmarkEnd w:id="39"/>
    <w:p>
      <w:pPr>
        <w:ind w:left="2640"/>
        <w:spacing w:after="0"/>
        <w:rPr>
          <w:sz w:val="20"/>
          <w:szCs w:val="20"/>
          <w:color w:val="auto"/>
        </w:rPr>
      </w:pPr>
      <w:r>
        <w:rPr>
          <w:rFonts w:ascii="Courier New" w:cs="Courier New" w:eastAsia="Courier New" w:hAnsi="Courier New"/>
          <w:sz w:val="14"/>
          <w:szCs w:val="14"/>
          <w:color w:val="auto"/>
        </w:rPr>
        <w:t>SELLING SHAREHOLDER</w:t>
      </w:r>
    </w:p>
    <w:p>
      <w:pPr>
        <w:spacing w:after="0" w:line="168" w:lineRule="exact"/>
        <w:rPr>
          <w:sz w:val="20"/>
          <w:szCs w:val="20"/>
          <w:color w:val="auto"/>
        </w:rPr>
      </w:pPr>
    </w:p>
    <w:p>
      <w:pPr>
        <w:ind w:right="4000" w:firstLine="763"/>
        <w:spacing w:after="0" w:line="246" w:lineRule="auto"/>
        <w:rPr>
          <w:sz w:val="20"/>
          <w:szCs w:val="20"/>
          <w:color w:val="auto"/>
        </w:rPr>
      </w:pPr>
      <w:r>
        <w:rPr>
          <w:rFonts w:ascii="Courier New" w:cs="Courier New" w:eastAsia="Courier New" w:hAnsi="Courier New"/>
          <w:sz w:val="14"/>
          <w:szCs w:val="14"/>
          <w:color w:val="auto"/>
        </w:rPr>
        <w:t>The following table sets forth certain information with respect to the beneficial ownership of our common stock (before and after giving effect to the</w:t>
      </w:r>
    </w:p>
    <w:p>
      <w:pPr>
        <w:spacing w:after="0" w:line="1" w:lineRule="exact"/>
        <w:rPr>
          <w:sz w:val="20"/>
          <w:szCs w:val="20"/>
          <w:color w:val="auto"/>
        </w:rPr>
      </w:pPr>
    </w:p>
    <w:p>
      <w:pPr>
        <w:ind w:right="4080"/>
        <w:spacing w:after="0" w:line="248" w:lineRule="auto"/>
        <w:rPr>
          <w:sz w:val="20"/>
          <w:szCs w:val="20"/>
          <w:color w:val="auto"/>
        </w:rPr>
      </w:pPr>
      <w:r>
        <w:rPr>
          <w:rFonts w:ascii="Courier New" w:cs="Courier New" w:eastAsia="Courier New" w:hAnsi="Courier New"/>
          <w:sz w:val="14"/>
          <w:szCs w:val="14"/>
          <w:color w:val="auto"/>
        </w:rPr>
        <w:t>issuance and sale of shares pursuant to this prospectus) as of , 2000 of the selling shareholder.</w:t>
      </w:r>
    </w:p>
    <w:p>
      <w:pPr>
        <w:sectPr>
          <w:pgSz w:w="11900" w:h="16838" w:orient="portrait"/>
          <w:cols w:equalWidth="0" w:num="1">
            <w:col w:w="10700"/>
          </w:cols>
          <w:pgMar w:left="300" w:top="77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Shares Beneficially Owned</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4"/>
          <w:szCs w:val="14"/>
          <w:color w:val="auto"/>
        </w:rPr>
        <w:t>Prior to the Offering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80"/>
        <w:spacing w:after="0"/>
        <w:tabs>
          <w:tab w:leader="none" w:pos="1500" w:val="left"/>
        </w:tabs>
        <w:rPr>
          <w:sz w:val="20"/>
          <w:szCs w:val="20"/>
          <w:color w:val="auto"/>
        </w:rPr>
      </w:pPr>
      <w:r>
        <w:rPr>
          <w:rFonts w:ascii="Courier New" w:cs="Courier New" w:eastAsia="Courier New" w:hAnsi="Courier New"/>
          <w:sz w:val="14"/>
          <w:szCs w:val="14"/>
          <w:color w:val="auto"/>
        </w:rPr>
        <w:t>Number (1)</w:t>
      </w:r>
      <w:r>
        <w:rPr>
          <w:sz w:val="20"/>
          <w:szCs w:val="20"/>
          <w:color w:val="auto"/>
        </w:rPr>
        <w:tab/>
      </w:r>
      <w:r>
        <w:rPr>
          <w:rFonts w:ascii="Courier New" w:cs="Courier New" w:eastAsia="Courier New" w:hAnsi="Courier New"/>
          <w:sz w:val="13"/>
          <w:szCs w:val="13"/>
          <w:color w:val="auto"/>
        </w:rPr>
        <w:t>Percent (2)</w:t>
      </w:r>
    </w:p>
    <w:p>
      <w:pPr>
        <w:spacing w:after="0" w:line="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Being Offered if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Underwriters Over-</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Allotment Option is</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Exercised in Full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Shares Beneficially Owned</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After the Offering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100"/>
        <w:spacing w:after="0"/>
        <w:tabs>
          <w:tab w:leader="none" w:pos="1420" w:val="left"/>
        </w:tabs>
        <w:rPr>
          <w:sz w:val="20"/>
          <w:szCs w:val="20"/>
          <w:color w:val="auto"/>
        </w:rPr>
      </w:pPr>
      <w:r>
        <w:rPr>
          <w:rFonts w:ascii="Courier New" w:cs="Courier New" w:eastAsia="Courier New" w:hAnsi="Courier New"/>
          <w:sz w:val="14"/>
          <w:szCs w:val="14"/>
          <w:color w:val="auto"/>
        </w:rPr>
        <w:t>Number (1)</w:t>
      </w:r>
      <w:r>
        <w:rPr>
          <w:sz w:val="20"/>
          <w:szCs w:val="20"/>
          <w:color w:val="auto"/>
        </w:rPr>
        <w:tab/>
      </w:r>
      <w:r>
        <w:rPr>
          <w:rFonts w:ascii="Courier New" w:cs="Courier New" w:eastAsia="Courier New" w:hAnsi="Courier New"/>
          <w:sz w:val="14"/>
          <w:szCs w:val="14"/>
          <w:color w:val="auto"/>
        </w:rPr>
        <w:t>Percent (3)</w:t>
      </w:r>
    </w:p>
    <w:p>
      <w:pPr>
        <w:spacing w:after="0" w:line="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4"/>
          <w:szCs w:val="14"/>
          <w:color w:val="auto"/>
        </w:rPr>
        <w:t>-------------</w:t>
        <w:tab/>
        <w:t>--------------</w:t>
      </w:r>
    </w:p>
    <w:p>
      <w:pPr>
        <w:spacing w:after="0" w:line="168" w:lineRule="exact"/>
        <w:rPr>
          <w:sz w:val="20"/>
          <w:szCs w:val="20"/>
          <w:color w:val="auto"/>
        </w:rPr>
      </w:pPr>
    </w:p>
    <w:p>
      <w:pPr>
        <w:sectPr>
          <w:pgSz w:w="11900" w:h="16838" w:orient="portrait"/>
          <w:cols w:equalWidth="0" w:num="4">
            <w:col w:w="2180" w:space="720"/>
            <w:col w:w="2540" w:space="340"/>
            <w:col w:w="1940" w:space="420"/>
            <w:col w:w="2560"/>
          </w:cols>
          <w:pgMar w:left="300" w:top="772"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Amgen,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Amgen 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1840 Dehavilland Drive</w:t>
      </w:r>
    </w:p>
    <w:p>
      <w:pPr>
        <w:spacing w:after="0" w:line="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4"/>
          <w:szCs w:val="14"/>
          <w:color w:val="auto"/>
        </w:rPr>
        <w:t>Thousand Oaks, CA</w:t>
        <w:tab/>
        <w:t>91320</w:t>
      </w:r>
    </w:p>
    <w:p>
      <w:pPr>
        <w:sectPr>
          <w:pgSz w:w="11900" w:h="16838" w:orient="portrait"/>
          <w:cols w:equalWidth="0" w:num="1">
            <w:col w:w="10700"/>
          </w:cols>
          <w:pgMar w:left="300" w:top="772" w:right="899" w:bottom="1440" w:gutter="0" w:footer="0" w:header="0"/>
          <w:type w:val="continuous"/>
        </w:sectPr>
      </w:pPr>
    </w:p>
    <w:bookmarkStart w:id="40" w:name="page41"/>
    <w:bookmarkEnd w:id="40"/>
    <w:p>
      <w:pPr>
        <w:ind w:left="2900"/>
        <w:spacing w:after="0"/>
        <w:rPr>
          <w:sz w:val="20"/>
          <w:szCs w:val="20"/>
          <w:color w:val="auto"/>
        </w:rPr>
      </w:pPr>
      <w:r>
        <w:rPr>
          <w:rFonts w:ascii="Courier New" w:cs="Courier New" w:eastAsia="Courier New" w:hAnsi="Courier New"/>
          <w:sz w:val="14"/>
          <w:szCs w:val="14"/>
          <w:color w:val="auto"/>
        </w:rPr>
        <w:t>UNDERWRITING</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Merrill Lynch, Pierce, Fenner &amp; Smith Incorporated, Lehman Brothers Inc., J.P. Morgan Securities Inc. and FleetBoston Robertson Stephens Inc. are acting as representatives of each of the underwriters named below. Subject to the terms and conditions described in a purchase agreement among us, the selling shareholder and the underwriters, we have agreed to sell to the underwriters and the underwriters severally have agreed to purchase from us the number of shares of common stock listed opposite their names below.</w:t>
      </w:r>
    </w:p>
    <w:p>
      <w:pPr>
        <w:sectPr>
          <w:pgSz w:w="11900" w:h="16838" w:orient="portrait"/>
          <w:cols w:equalWidth="0" w:num="1">
            <w:col w:w="10159"/>
          </w:cols>
          <w:pgMar w:left="300" w:top="772" w:right="1440" w:bottom="1440" w:gutter="0" w:footer="0" w:header="0"/>
        </w:sectPr>
      </w:pPr>
    </w:p>
    <w:p>
      <w:pPr>
        <w:spacing w:after="0" w:line="325"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Underwriter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4720" w:space="720"/>
            <w:col w:w="4719"/>
          </w:cols>
          <w:pgMar w:left="300" w:top="772"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Merrill Lynch, Pierce, Fenner &amp; Smith</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Incorporated................................</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Lehman Brothers Inc.....................................</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J.P. Morgan Securities Inc..............................</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FleetBoston Robertson Stephens Inc......................</w:t>
      </w:r>
    </w:p>
    <w:p>
      <w:pPr>
        <w:sectPr>
          <w:pgSz w:w="11900" w:h="16838" w:orient="portrait"/>
          <w:cols w:equalWidth="0" w:num="1">
            <w:col w:w="10159"/>
          </w:cols>
          <w:pgMar w:left="300" w:top="772" w:right="1440" w:bottom="1440" w:gutter="0" w:footer="0" w:header="0"/>
          <w:type w:val="continuous"/>
        </w:sectPr>
      </w:pPr>
    </w:p>
    <w:p>
      <w:pPr>
        <w:spacing w:after="0" w:line="168"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4460" w:space="720"/>
            <w:col w:w="4979"/>
          </w:cols>
          <w:pgMar w:left="300" w:top="772" w:right="1440" w:bottom="1440" w:gutter="0" w:footer="0" w:header="0"/>
          <w:type w:val="continuous"/>
        </w:sect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We and the selling shareholder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agreements, such as the receipt by the underwriters of officer's certificates and legal opinions. The underwriters reserve the right to withdraw, cancel or modify offers to the public and to reject orders in whole or in part.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Commissions and Discounts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underwriters have advised us that the underwriters propose initially to offer the shares to the public at the initial public offering price on the cover page of this prospectus and to dealers at the price less a concession not in excess of $___ per share. The underwriters may allow and the dealers may reallow, a discount not in</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772" w:right="1440" w:bottom="1440" w:gutter="0" w:footer="0" w:header="0"/>
          <w:type w:val="continuous"/>
        </w:sectPr>
      </w:pPr>
    </w:p>
    <w:bookmarkStart w:id="41" w:name="page42"/>
    <w:bookmarkEnd w:id="41"/>
    <w:p>
      <w:pPr>
        <w:ind w:right="3619"/>
        <w:spacing w:after="0" w:line="248" w:lineRule="auto"/>
        <w:rPr>
          <w:sz w:val="20"/>
          <w:szCs w:val="20"/>
          <w:color w:val="auto"/>
        </w:rPr>
      </w:pPr>
      <w:r>
        <w:rPr>
          <w:rFonts w:ascii="Courier New" w:cs="Courier New" w:eastAsia="Courier New" w:hAnsi="Courier New"/>
          <w:sz w:val="14"/>
          <w:szCs w:val="14"/>
          <w:color w:val="auto"/>
        </w:rPr>
        <w:t>excess of $___ per share to other dealers. After the initial public offering, the public offering price, concession and discount may be changed.</w:t>
      </w:r>
    </w:p>
    <w:p>
      <w:pPr>
        <w:spacing w:after="0" w:line="161"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following table shows the public offering price, underwriting discount and proceeds before expenses to our company. The information assumes either no exercise or full exercise by the underwriters of their over-allotment options.</w:t>
      </w:r>
    </w:p>
    <w:p>
      <w:pPr>
        <w:spacing w:after="0" w:line="200" w:lineRule="exact"/>
        <w:rPr>
          <w:sz w:val="20"/>
          <w:szCs w:val="20"/>
          <w:color w:val="auto"/>
        </w:rPr>
      </w:pPr>
    </w:p>
    <w:p>
      <w:pPr>
        <w:spacing w:after="0" w:line="289"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4140" w:type="dxa"/>
            <w:vAlign w:val="bottom"/>
          </w:tcPr>
          <w:p>
            <w:pPr>
              <w:spacing w:after="0"/>
              <w:rPr>
                <w:sz w:val="13"/>
                <w:szCs w:val="13"/>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Per Share</w:t>
            </w:r>
          </w:p>
        </w:tc>
        <w:tc>
          <w:tcPr>
            <w:tcW w:w="17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Without Option</w:t>
            </w:r>
          </w:p>
        </w:tc>
        <w:tc>
          <w:tcPr>
            <w:tcW w:w="1140" w:type="dxa"/>
            <w:vAlign w:val="bottom"/>
          </w:tcPr>
          <w:p>
            <w:pPr>
              <w:ind w:left="200"/>
              <w:spacing w:after="0"/>
              <w:rPr>
                <w:sz w:val="20"/>
                <w:szCs w:val="20"/>
                <w:color w:val="auto"/>
              </w:rPr>
            </w:pPr>
            <w:r>
              <w:rPr>
                <w:rFonts w:ascii="Courier New" w:cs="Courier New" w:eastAsia="Courier New" w:hAnsi="Courier New"/>
                <w:sz w:val="14"/>
                <w:szCs w:val="14"/>
                <w:color w:val="auto"/>
                <w:w w:val="99"/>
              </w:rPr>
              <w:t>With Option</w:t>
            </w:r>
          </w:p>
        </w:tc>
      </w:tr>
      <w:tr>
        <w:trPr>
          <w:trHeight w:val="163"/>
        </w:trPr>
        <w:tc>
          <w:tcPr>
            <w:tcW w:w="4140" w:type="dxa"/>
            <w:vAlign w:val="bottom"/>
          </w:tcPr>
          <w:p>
            <w:pPr>
              <w:spacing w:after="0"/>
              <w:rPr>
                <w:sz w:val="14"/>
                <w:szCs w:val="14"/>
                <w:color w:val="auto"/>
              </w:rPr>
            </w:pP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ind w:left="129"/>
              <w:spacing w:after="0"/>
              <w:rPr>
                <w:sz w:val="20"/>
                <w:szCs w:val="20"/>
                <w:color w:val="auto"/>
              </w:rPr>
            </w:pPr>
            <w:r>
              <w:rPr>
                <w:rFonts w:ascii="Courier New" w:cs="Courier New" w:eastAsia="Courier New" w:hAnsi="Courier New"/>
                <w:sz w:val="14"/>
                <w:szCs w:val="14"/>
                <w:color w:val="auto"/>
              </w:rPr>
              <w:t>-----------</w:t>
            </w:r>
          </w:p>
        </w:tc>
      </w:tr>
      <w:tr>
        <w:trPr>
          <w:trHeight w:val="32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Public offering price..........................</w:t>
            </w: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4"/>
              </w:rPr>
              <w:t>$</w:t>
            </w:r>
          </w:p>
        </w:tc>
        <w:tc>
          <w:tcPr>
            <w:tcW w:w="170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ind w:left="129"/>
              <w:spacing w:after="0"/>
              <w:rPr>
                <w:sz w:val="20"/>
                <w:szCs w:val="20"/>
                <w:color w:val="auto"/>
              </w:rPr>
            </w:pPr>
            <w:r>
              <w:rPr>
                <w:rFonts w:ascii="Courier New" w:cs="Courier New" w:eastAsia="Courier New" w:hAnsi="Courier New"/>
                <w:sz w:val="14"/>
                <w:szCs w:val="14"/>
                <w:color w:val="auto"/>
              </w:rPr>
              <w:t>$</w:t>
            </w:r>
          </w:p>
        </w:tc>
      </w:tr>
      <w:tr>
        <w:trPr>
          <w:trHeight w:val="163"/>
        </w:trPr>
        <w:tc>
          <w:tcPr>
            <w:tcW w:w="4140" w:type="dxa"/>
            <w:vAlign w:val="bottom"/>
          </w:tcPr>
          <w:p>
            <w:pPr>
              <w:spacing w:after="0"/>
              <w:rPr>
                <w:sz w:val="20"/>
                <w:szCs w:val="20"/>
                <w:color w:val="auto"/>
              </w:rPr>
            </w:pPr>
            <w:r>
              <w:rPr>
                <w:rFonts w:ascii="Courier New" w:cs="Courier New" w:eastAsia="Courier New" w:hAnsi="Courier New"/>
                <w:sz w:val="14"/>
                <w:szCs w:val="14"/>
                <w:color w:val="auto"/>
              </w:rPr>
              <w:t>Underwriting discount..........................</w:t>
            </w: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4"/>
              </w:rPr>
              <w:t>$</w:t>
            </w:r>
          </w:p>
        </w:tc>
        <w:tc>
          <w:tcPr>
            <w:tcW w:w="170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ind w:left="129"/>
              <w:spacing w:after="0"/>
              <w:rPr>
                <w:sz w:val="20"/>
                <w:szCs w:val="20"/>
                <w:color w:val="auto"/>
              </w:rPr>
            </w:pPr>
            <w:r>
              <w:rPr>
                <w:rFonts w:ascii="Courier New" w:cs="Courier New" w:eastAsia="Courier New" w:hAnsi="Courier New"/>
                <w:sz w:val="14"/>
                <w:szCs w:val="14"/>
                <w:color w:val="auto"/>
              </w:rPr>
              <w:t>$</w:t>
            </w:r>
          </w:p>
        </w:tc>
      </w:tr>
      <w:tr>
        <w:trPr>
          <w:trHeight w:val="163"/>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Proceeds, before expenses, to Regeneron........</w:t>
            </w: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4"/>
              </w:rPr>
              <w:t>$</w:t>
            </w:r>
          </w:p>
        </w:tc>
        <w:tc>
          <w:tcPr>
            <w:tcW w:w="170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ind w:left="129"/>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59" w:firstLine="763"/>
        <w:spacing w:after="0" w:line="248" w:lineRule="auto"/>
        <w:rPr>
          <w:sz w:val="20"/>
          <w:szCs w:val="20"/>
          <w:color w:val="auto"/>
        </w:rPr>
      </w:pPr>
      <w:r>
        <w:rPr>
          <w:rFonts w:ascii="Courier New" w:cs="Courier New" w:eastAsia="Courier New" w:hAnsi="Courier New"/>
          <w:sz w:val="14"/>
          <w:szCs w:val="14"/>
          <w:color w:val="auto"/>
        </w:rPr>
        <w:t>The expenses of the offering, not including the underwriting discount, are estimated at $550,000 and are payable by our company.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Over-allotment Option</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selling shareholder has granted options to the underwriters to purchase up to 600,000 additional shares at the public offering price less the underwriting discount. The underwriters may exercise these options for 30 days from the date of this prospectus solely to cover any over-allotments. If the underwriters exercise these options, each will be obligated, subject to conditions contained in the purchase agreements, to purchase a number of additional shares proportionate to that underwriters's initial amount reflected in the above table.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Sales of Similar Securities</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We and our executive officers and directors and certain existing shareholders have agreed, with exceptions, not to sell or transfer any common stock for 90 days after the date of this prospectus without first obtaining the written consent of Merrill Lynch. Specifically, we and these other individuals or entities have agreed not to directly or indirectly:</w:t>
      </w:r>
    </w:p>
    <w:p>
      <w:pPr>
        <w:spacing w:after="0" w:line="162" w:lineRule="exact"/>
        <w:rPr>
          <w:sz w:val="20"/>
          <w:szCs w:val="20"/>
          <w:color w:val="auto"/>
        </w:rPr>
      </w:pPr>
    </w:p>
    <w:p>
      <w:pPr>
        <w:ind w:left="1200" w:hanging="515"/>
        <w:spacing w:after="0"/>
        <w:tabs>
          <w:tab w:leader="none" w:pos="12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pledge, sell or contract to sell any common stock,</w:t>
      </w:r>
    </w:p>
    <w:p>
      <w:pPr>
        <w:spacing w:after="0" w:line="167" w:lineRule="exact"/>
        <w:rPr>
          <w:rFonts w:ascii="Courier New" w:cs="Courier New" w:eastAsia="Courier New" w:hAnsi="Courier New"/>
          <w:sz w:val="14"/>
          <w:szCs w:val="14"/>
          <w:color w:val="auto"/>
        </w:rPr>
      </w:pPr>
    </w:p>
    <w:p>
      <w:pPr>
        <w:ind w:left="1200" w:hanging="515"/>
        <w:spacing w:after="0"/>
        <w:tabs>
          <w:tab w:leader="none" w:pos="12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any option or contract to purchase any common stock,</w:t>
      </w:r>
    </w:p>
    <w:p>
      <w:pPr>
        <w:spacing w:after="0" w:line="167" w:lineRule="exact"/>
        <w:rPr>
          <w:rFonts w:ascii="Courier New" w:cs="Courier New" w:eastAsia="Courier New" w:hAnsi="Courier New"/>
          <w:sz w:val="14"/>
          <w:szCs w:val="14"/>
          <w:color w:val="auto"/>
        </w:rPr>
      </w:pPr>
    </w:p>
    <w:p>
      <w:pPr>
        <w:ind w:left="1200" w:hanging="515"/>
        <w:spacing w:after="0"/>
        <w:tabs>
          <w:tab w:leader="none" w:pos="12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any option or contract to sell any common stock,</w:t>
      </w:r>
    </w:p>
    <w:p>
      <w:pPr>
        <w:spacing w:after="0" w:line="167" w:lineRule="exact"/>
        <w:rPr>
          <w:rFonts w:ascii="Courier New" w:cs="Courier New" w:eastAsia="Courier New" w:hAnsi="Courier New"/>
          <w:sz w:val="14"/>
          <w:szCs w:val="14"/>
          <w:color w:val="auto"/>
        </w:rPr>
      </w:pPr>
    </w:p>
    <w:p>
      <w:pPr>
        <w:ind w:left="1200" w:right="3799" w:hanging="515"/>
        <w:spacing w:after="0" w:line="248" w:lineRule="auto"/>
        <w:tabs>
          <w:tab w:leader="none" w:pos="12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any option, right or warrant for the sale of any common stock,</w:t>
      </w:r>
    </w:p>
    <w:p>
      <w:pPr>
        <w:spacing w:after="0" w:line="161" w:lineRule="exact"/>
        <w:rPr>
          <w:rFonts w:ascii="Courier New" w:cs="Courier New" w:eastAsia="Courier New" w:hAnsi="Courier New"/>
          <w:sz w:val="14"/>
          <w:szCs w:val="14"/>
          <w:color w:val="auto"/>
        </w:rPr>
      </w:pPr>
    </w:p>
    <w:p>
      <w:pPr>
        <w:ind w:left="1200" w:hanging="515"/>
        <w:spacing w:after="0"/>
        <w:tabs>
          <w:tab w:leader="none" w:pos="12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lend or otherwise dispose of or transfer any common stock,</w:t>
      </w:r>
    </w:p>
    <w:p>
      <w:pPr>
        <w:spacing w:after="0" w:line="167" w:lineRule="exact"/>
        <w:rPr>
          <w:rFonts w:ascii="Courier New" w:cs="Courier New" w:eastAsia="Courier New" w:hAnsi="Courier New"/>
          <w:sz w:val="14"/>
          <w:szCs w:val="14"/>
          <w:color w:val="auto"/>
        </w:rPr>
      </w:pPr>
    </w:p>
    <w:p>
      <w:pPr>
        <w:ind w:left="1200" w:right="3359" w:hanging="515"/>
        <w:spacing w:after="0" w:line="247" w:lineRule="auto"/>
        <w:tabs>
          <w:tab w:leader="none" w:pos="12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159"/>
          </w:cols>
          <w:pgMar w:left="300" w:top="772" w:right="1440" w:bottom="1440" w:gutter="0" w:footer="0" w:header="0"/>
        </w:sectPr>
      </w:pPr>
    </w:p>
    <w:bookmarkStart w:id="42" w:name="page43"/>
    <w:bookmarkEnd w:id="42"/>
    <w:p>
      <w:pPr>
        <w:ind w:right="3359" w:firstLine="763"/>
        <w:spacing w:after="0" w:line="247" w:lineRule="auto"/>
        <w:rPr>
          <w:sz w:val="20"/>
          <w:szCs w:val="20"/>
          <w:color w:val="auto"/>
        </w:rPr>
      </w:pPr>
      <w:r>
        <w:rPr>
          <w:rFonts w:ascii="Courier New" w:cs="Courier New" w:eastAsia="Courier New" w:hAnsi="Courier New"/>
          <w:sz w:val="14"/>
          <w:szCs w:val="14"/>
          <w:color w:val="auto"/>
        </w:rPr>
        <w:t>Procter &amp; Gamble has agreed to a lockup provision for a period not to exceed the earlier of (1) 90 days after the date of this prospectus and (2) June 30, 2000.</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shares are quoted on the Nasdaq National Market under the symbol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Stabilization, Short Positions</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If the underwriters create a short position in the common stock in connection with the offering, i.e., if they sell more shares than are listed on the cover of this prospectus, the underwriters may reduce that short position by purchasing shares in the open market. The underwriters may also elect to reduce any short position by exercising all or part of the over-allotment option described above. Purchases of the common stock to stabilize its price or to reduce a short position may cause the price of the common stock to be higher than it might be in the absence of such purchases.</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underwriters or the lead manager will engage in these transactions or that these transactions, once commenced, will not be discontinued without notice.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Passive Market Making</w:t>
      </w:r>
    </w:p>
    <w:p>
      <w:pPr>
        <w:spacing w:after="0" w:line="168"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In connection with this offering, underwriters and selling group members may engage in passive market making transactions in the common stock on the Nasdaq National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Relationships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32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159"/>
          </w:cols>
          <w:pgMar w:left="300" w:top="772" w:right="1440" w:bottom="1440" w:gutter="0" w:footer="0" w:header="0"/>
        </w:sectPr>
      </w:pPr>
    </w:p>
    <w:bookmarkStart w:id="43" w:name="page44"/>
    <w:bookmarkEnd w:id="43"/>
    <w:p>
      <w:pPr>
        <w:ind w:left="2900"/>
        <w:spacing w:after="0"/>
        <w:rPr>
          <w:sz w:val="20"/>
          <w:szCs w:val="20"/>
          <w:color w:val="auto"/>
        </w:rPr>
      </w:pPr>
      <w:r>
        <w:rPr>
          <w:rFonts w:ascii="Courier New" w:cs="Courier New" w:eastAsia="Courier New" w:hAnsi="Courier New"/>
          <w:sz w:val="14"/>
          <w:szCs w:val="14"/>
          <w:color w:val="auto"/>
        </w:rPr>
        <w:t>LEGAL MATTERS</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Skadden, Arps, Slate, Meagher &amp; Flom LLP, New York, New York will pass upon the validity of our common stock offered by this prospectus for us. Shearman &amp; Sterling, New York, New York will pass upon certain legal matters in connection with this offering for the underwriter.</w:t>
      </w:r>
    </w:p>
    <w:p>
      <w:pPr>
        <w:spacing w:after="0" w:line="32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EXPERTS</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The financial statements of Regeneron Pharmaceuticals, Inc. which are incorporated in this Prospectus by reference to the Annual Report on Form 10-K of Regeneron Pharmaceuticals, Inc. for the year ended December 31, 1999, have been so incorporated in reliance on the report of PricewaterhouseCoopers LLP, independent accountants given on the authority of said firm as experts in auditing and accounting.</w:t>
      </w:r>
    </w:p>
    <w:p>
      <w:pPr>
        <w:spacing w:after="0" w:line="162"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The financial statements of Amgen-Regeneron Partners appearing in the Regeneron Pharmaceuticals, Inc.'s 1999 Form 10-K have been audited by Ernst &amp; Young LLP, independent auditors,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325"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68" w:lineRule="exact"/>
        <w:rPr>
          <w:sz w:val="20"/>
          <w:szCs w:val="20"/>
          <w:color w:val="auto"/>
        </w:rPr>
      </w:pPr>
    </w:p>
    <w:p>
      <w:pPr>
        <w:ind w:right="3539" w:firstLine="763"/>
        <w:spacing w:after="0" w:line="246" w:lineRule="auto"/>
        <w:rPr>
          <w:sz w:val="20"/>
          <w:szCs w:val="20"/>
          <w:color w:val="auto"/>
        </w:rPr>
      </w:pPr>
      <w:r>
        <w:rPr>
          <w:rFonts w:ascii="Courier New" w:cs="Courier New" w:eastAsia="Courier New" w:hAnsi="Courier New"/>
          <w:sz w:val="14"/>
          <w:szCs w:val="14"/>
          <w:color w:val="auto"/>
        </w:rPr>
        <w:t>We file annual, quarterly and special reports, proxy statements and other information with the SEC. You may read and copy any documents we file at the SEC's Public Reference Room at 450 Fifth Street, N.W., Washington, D.C. 20549 and at the Regional Offices of the SEC at 7 World Trade Center, 13th Floor, New York, New York 10048 and Citicorp Center, 500 West Madison Street, Suite 1400, Chicago, Illinois 60601. Please call the SEC at 1-800-SEC-0330 for further information on the public reference rooms. The SEC maintains a site on the World Wide Web at http://www.sec.gov that contains our SEC filings and reports, proxy and information statements and other information regarding registrants.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168" w:lineRule="exact"/>
        <w:rPr>
          <w:sz w:val="20"/>
          <w:szCs w:val="20"/>
          <w:color w:val="auto"/>
        </w:rPr>
      </w:pPr>
    </w:p>
    <w:p>
      <w:pPr>
        <w:ind w:left="1440" w:right="3799" w:hanging="585"/>
        <w:spacing w:after="0" w:line="248" w:lineRule="auto"/>
        <w:tabs>
          <w:tab w:leader="none" w:pos="1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10-K for the year ended December 31, 1999; and</w:t>
      </w:r>
    </w:p>
    <w:p>
      <w:pPr>
        <w:spacing w:after="0" w:line="161" w:lineRule="exact"/>
        <w:rPr>
          <w:rFonts w:ascii="Courier New" w:cs="Courier New" w:eastAsia="Courier New" w:hAnsi="Courier New"/>
          <w:sz w:val="14"/>
          <w:szCs w:val="14"/>
          <w:color w:val="auto"/>
        </w:rPr>
      </w:pPr>
    </w:p>
    <w:p>
      <w:pPr>
        <w:ind w:left="1440" w:right="4039" w:hanging="585"/>
        <w:spacing w:after="0" w:line="247" w:lineRule="auto"/>
        <w:tabs>
          <w:tab w:leader="none" w:pos="1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common stock contained in Item 1 of our Registration Statement on Form 8-A filed on February 20, 1991, as amended by a Form 8 filed on March 27, 1991.</w:t>
      </w:r>
    </w:p>
    <w:p>
      <w:pPr>
        <w:spacing w:after="0" w:line="162"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You may request a copy of these filings, at no cost, by writing or telephoning us at the following address:</w:t>
      </w:r>
    </w:p>
    <w:p>
      <w:pPr>
        <w:spacing w:after="0" w:line="1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Regeneron Pharmaceuticals, Inc.</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777 Old Saw Mill River Road,</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Tarrytown, New York 10591-6707</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(914) 347-7000</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Murray A. Goldberg</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Chief Financial Officer</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159"/>
          </w:cols>
          <w:pgMar w:left="300" w:top="772" w:right="1440" w:bottom="1440" w:gutter="0" w:footer="0" w:header="0"/>
        </w:sectPr>
      </w:pPr>
    </w:p>
    <w:bookmarkStart w:id="44" w:name="page45"/>
    <w:bookmarkEnd w:id="44"/>
    <w:p>
      <w:pPr>
        <w:ind w:left="1580"/>
        <w:spacing w:after="0"/>
        <w:rPr>
          <w:sz w:val="20"/>
          <w:szCs w:val="20"/>
          <w:color w:val="auto"/>
        </w:rPr>
      </w:pPr>
      <w:r>
        <w:rPr>
          <w:rFonts w:ascii="Courier New" w:cs="Courier New" w:eastAsia="Courier New" w:hAnsi="Courier New"/>
          <w:sz w:val="14"/>
          <w:szCs w:val="14"/>
          <w:color w:val="auto"/>
        </w:rPr>
        <w:t>4,000,000 Shares</w:t>
      </w:r>
    </w:p>
    <w:p>
      <w:pPr>
        <w:spacing w:after="0" w:line="16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REGENERON PHARMACEUTICALS, INC.</w:t>
      </w:r>
    </w:p>
    <w:p>
      <w:pPr>
        <w:spacing w:after="0" w:line="16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Common Stock</w:t>
      </w:r>
    </w:p>
    <w:p>
      <w:pPr>
        <w:spacing w:after="0" w:line="168" w:lineRule="exact"/>
        <w:rPr>
          <w:sz w:val="20"/>
          <w:szCs w:val="20"/>
          <w:color w:val="auto"/>
        </w:rPr>
      </w:pPr>
    </w:p>
    <w:p>
      <w:pPr>
        <w:ind w:left="4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PROSPECTUS</w:t>
      </w:r>
    </w:p>
    <w:p>
      <w:pPr>
        <w:spacing w:after="0" w:line="168" w:lineRule="exact"/>
        <w:rPr>
          <w:sz w:val="20"/>
          <w:szCs w:val="20"/>
          <w:color w:val="auto"/>
        </w:rPr>
      </w:pPr>
    </w:p>
    <w:p>
      <w:pPr>
        <w:ind w:left="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Merrill Lynch &amp; Co.</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Lehman Brothers</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J.P. Morgan &amp; Co.</w:t>
      </w:r>
    </w:p>
    <w:p>
      <w:pPr>
        <w:spacing w:after="0" w:line="4"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Robertson Stephens</w:t>
      </w:r>
    </w:p>
    <w:p>
      <w:pPr>
        <w:spacing w:after="0" w:line="16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March ___, 2000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9019"/>
          </w:cols>
          <w:pgMar w:left="1440" w:top="772" w:right="1440" w:bottom="1440" w:gutter="0" w:footer="0" w:header="0"/>
        </w:sectPr>
      </w:pPr>
    </w:p>
    <w:bookmarkStart w:id="45" w:name="page46"/>
    <w:bookmarkEnd w:id="45"/>
    <w:p>
      <w:pPr>
        <w:jc w:val="center"/>
        <w:ind w:right="3259"/>
        <w:spacing w:after="0"/>
        <w:rPr>
          <w:sz w:val="20"/>
          <w:szCs w:val="20"/>
          <w:color w:val="auto"/>
        </w:rPr>
      </w:pPr>
      <w:r>
        <w:rPr>
          <w:rFonts w:ascii="Courier New" w:cs="Courier New" w:eastAsia="Courier New" w:hAnsi="Courier New"/>
          <w:sz w:val="14"/>
          <w:szCs w:val="14"/>
          <w:color w:val="auto"/>
        </w:rPr>
        <w:t>PART II</w:t>
      </w:r>
    </w:p>
    <w:p>
      <w:pPr>
        <w:spacing w:after="0" w:line="168"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33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68"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The following tables sets forth all fees and expenses payable by the Registrant in connection with the issuance and distribution of the securities being registered hereby (other than underwriting discounts and commissions). All of such expenses, except the Commission registration fee, the National Association of Securities Dealers, Inc. filing fee and the NASDAQ listing fee are estimated.</w:t>
      </w:r>
    </w:p>
    <w:p>
      <w:pPr>
        <w:spacing w:after="0" w:line="162"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1200" w:type="dxa"/>
            <w:vAlign w:val="bottom"/>
          </w:tcPr>
          <w:p>
            <w:pPr>
              <w:spacing w:after="0"/>
              <w:rPr>
                <w:sz w:val="20"/>
                <w:szCs w:val="20"/>
                <w:color w:val="auto"/>
              </w:rPr>
            </w:pPr>
            <w:r>
              <w:rPr>
                <w:rFonts w:ascii="Courier New" w:cs="Courier New" w:eastAsia="Courier New" w:hAnsi="Courier New"/>
                <w:sz w:val="14"/>
                <w:szCs w:val="14"/>
                <w:color w:val="auto"/>
              </w:rPr>
              <w:t>Securities and</w:t>
            </w:r>
          </w:p>
        </w:tc>
        <w:tc>
          <w:tcPr>
            <w:tcW w:w="3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Exchange Commission registration fee</w:t>
            </w: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w w:val="99"/>
              </w:rPr>
              <w:t>$  60,909.75</w:t>
            </w:r>
          </w:p>
        </w:tc>
      </w:tr>
      <w:tr>
        <w:trPr>
          <w:trHeight w:val="326"/>
        </w:trPr>
        <w:tc>
          <w:tcPr>
            <w:tcW w:w="1200" w:type="dxa"/>
            <w:vAlign w:val="bottom"/>
          </w:tcPr>
          <w:p>
            <w:pPr>
              <w:spacing w:after="0"/>
              <w:rPr>
                <w:sz w:val="20"/>
                <w:szCs w:val="20"/>
                <w:color w:val="auto"/>
              </w:rPr>
            </w:pPr>
            <w:r>
              <w:rPr>
                <w:rFonts w:ascii="Courier New" w:cs="Courier New" w:eastAsia="Courier New" w:hAnsi="Courier New"/>
                <w:sz w:val="14"/>
                <w:szCs w:val="14"/>
                <w:color w:val="auto"/>
              </w:rPr>
              <w:t>NASDAQ listing</w:t>
            </w:r>
          </w:p>
        </w:tc>
        <w:tc>
          <w:tcPr>
            <w:tcW w:w="3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fee ................................</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17,500.00</w:t>
            </w:r>
          </w:p>
        </w:tc>
      </w:tr>
      <w:tr>
        <w:trPr>
          <w:trHeight w:val="326"/>
        </w:trPr>
        <w:tc>
          <w:tcPr>
            <w:tcW w:w="1200" w:type="dxa"/>
            <w:vAlign w:val="bottom"/>
          </w:tcPr>
          <w:p>
            <w:pPr>
              <w:spacing w:after="0"/>
              <w:rPr>
                <w:sz w:val="20"/>
                <w:szCs w:val="20"/>
                <w:color w:val="auto"/>
              </w:rPr>
            </w:pPr>
            <w:r>
              <w:rPr>
                <w:rFonts w:ascii="Courier New" w:cs="Courier New" w:eastAsia="Courier New" w:hAnsi="Courier New"/>
                <w:sz w:val="14"/>
                <w:szCs w:val="14"/>
                <w:color w:val="auto"/>
              </w:rPr>
              <w:t>Legal fees and</w:t>
            </w:r>
          </w:p>
        </w:tc>
        <w:tc>
          <w:tcPr>
            <w:tcW w:w="3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expenses ...........................</w:t>
            </w: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26"/>
        </w:trPr>
        <w:tc>
          <w:tcPr>
            <w:tcW w:w="1200" w:type="dxa"/>
            <w:vAlign w:val="bottom"/>
          </w:tcPr>
          <w:p>
            <w:pPr>
              <w:spacing w:after="0"/>
              <w:rPr>
                <w:sz w:val="20"/>
                <w:szCs w:val="20"/>
                <w:color w:val="auto"/>
              </w:rPr>
            </w:pPr>
            <w:r>
              <w:rPr>
                <w:rFonts w:ascii="Courier New" w:cs="Courier New" w:eastAsia="Courier New" w:hAnsi="Courier New"/>
                <w:sz w:val="14"/>
                <w:szCs w:val="14"/>
                <w:color w:val="auto"/>
              </w:rPr>
              <w:t>Transfer Agent</w:t>
            </w:r>
          </w:p>
        </w:tc>
        <w:tc>
          <w:tcPr>
            <w:tcW w:w="3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and Registrar fees and expenses ....</w:t>
            </w: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26"/>
        </w:trPr>
        <w:tc>
          <w:tcPr>
            <w:tcW w:w="4460" w:type="dxa"/>
            <w:vAlign w:val="bottom"/>
            <w:gridSpan w:val="2"/>
          </w:tcPr>
          <w:p>
            <w:pPr>
              <w:spacing w:after="0"/>
              <w:rPr>
                <w:sz w:val="20"/>
                <w:szCs w:val="20"/>
                <w:color w:val="auto"/>
              </w:rPr>
            </w:pPr>
            <w:r>
              <w:rPr>
                <w:rFonts w:ascii="Courier New" w:cs="Courier New" w:eastAsia="Courier New" w:hAnsi="Courier New"/>
                <w:sz w:val="14"/>
                <w:szCs w:val="14"/>
                <w:color w:val="auto"/>
              </w:rPr>
              <w:t>Accounting fees and expenses ......................</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125,000.00</w:t>
            </w:r>
          </w:p>
        </w:tc>
      </w:tr>
      <w:tr>
        <w:trPr>
          <w:trHeight w:val="326"/>
        </w:trPr>
        <w:tc>
          <w:tcPr>
            <w:tcW w:w="4460" w:type="dxa"/>
            <w:vAlign w:val="bottom"/>
            <w:gridSpan w:val="2"/>
          </w:tcPr>
          <w:p>
            <w:pPr>
              <w:spacing w:after="0"/>
              <w:rPr>
                <w:sz w:val="20"/>
                <w:szCs w:val="20"/>
                <w:color w:val="auto"/>
              </w:rPr>
            </w:pPr>
            <w:r>
              <w:rPr>
                <w:rFonts w:ascii="Courier New" w:cs="Courier New" w:eastAsia="Courier New" w:hAnsi="Courier New"/>
                <w:sz w:val="14"/>
                <w:szCs w:val="14"/>
                <w:color w:val="auto"/>
              </w:rPr>
              <w:t>Blue sky fees and expenses (including counsel fees)</w:t>
            </w: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26"/>
        </w:trPr>
        <w:tc>
          <w:tcPr>
            <w:tcW w:w="4460" w:type="dxa"/>
            <w:vAlign w:val="bottom"/>
            <w:gridSpan w:val="2"/>
          </w:tcPr>
          <w:p>
            <w:pPr>
              <w:spacing w:after="0"/>
              <w:rPr>
                <w:sz w:val="20"/>
                <w:szCs w:val="20"/>
                <w:color w:val="auto"/>
              </w:rPr>
            </w:pPr>
            <w:r>
              <w:rPr>
                <w:rFonts w:ascii="Courier New" w:cs="Courier New" w:eastAsia="Courier New" w:hAnsi="Courier New"/>
                <w:sz w:val="14"/>
                <w:szCs w:val="14"/>
                <w:color w:val="auto"/>
              </w:rPr>
              <w:t>Printing expenses .................................</w:t>
            </w: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26"/>
        </w:trPr>
        <w:tc>
          <w:tcPr>
            <w:tcW w:w="1200" w:type="dxa"/>
            <w:vAlign w:val="bottom"/>
          </w:tcPr>
          <w:p>
            <w:pPr>
              <w:spacing w:after="0"/>
              <w:rPr>
                <w:sz w:val="20"/>
                <w:szCs w:val="20"/>
                <w:color w:val="auto"/>
              </w:rPr>
            </w:pPr>
            <w:r>
              <w:rPr>
                <w:rFonts w:ascii="Courier New" w:cs="Courier New" w:eastAsia="Courier New" w:hAnsi="Courier New"/>
                <w:sz w:val="14"/>
                <w:szCs w:val="14"/>
                <w:color w:val="auto"/>
              </w:rPr>
              <w:t>Miscellaneous</w:t>
            </w:r>
          </w:p>
        </w:tc>
        <w:tc>
          <w:tcPr>
            <w:tcW w:w="326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163"/>
        </w:trPr>
        <w:tc>
          <w:tcPr>
            <w:tcW w:w="12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1200" w:type="dxa"/>
            <w:vAlign w:val="bottom"/>
          </w:tcPr>
          <w:p>
            <w:pPr>
              <w:ind w:left="760"/>
              <w:spacing w:after="0"/>
              <w:rPr>
                <w:sz w:val="20"/>
                <w:szCs w:val="20"/>
                <w:color w:val="auto"/>
              </w:rPr>
            </w:pPr>
            <w:r>
              <w:rPr>
                <w:rFonts w:ascii="Courier New" w:cs="Courier New" w:eastAsia="Courier New" w:hAnsi="Courier New"/>
                <w:sz w:val="14"/>
                <w:szCs w:val="14"/>
                <w:color w:val="auto"/>
                <w:w w:val="99"/>
              </w:rPr>
              <w:t>Total</w:t>
            </w:r>
          </w:p>
        </w:tc>
        <w:tc>
          <w:tcPr>
            <w:tcW w:w="3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163"/>
        </w:trPr>
        <w:tc>
          <w:tcPr>
            <w:tcW w:w="12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w w:val="99"/>
              </w:rPr>
              <w:t>============</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780" w:hanging="773"/>
        <w:spacing w:after="0"/>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w:t>
      </w:r>
    </w:p>
    <w:p>
      <w:pPr>
        <w:spacing w:after="0" w:line="33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Article Seven of Restated Certificate of Incorporation requires indemnification of the Registrant's officers and directs that such indemnification be made to the fullest extent permitted by the New York Business Corporation Law.</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Section 722 of the New York Business Corporation Law permits a corporation to provide in its Certificate of Incorporation to indemnify members of its board of directors and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and in a manner that they reasonably believed was in the Company's best interest.</w:t>
      </w:r>
    </w:p>
    <w:p>
      <w:pPr>
        <w:spacing w:after="0" w:line="162"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Each of the directors has entered into an agreement with the Company that provides that the Company will indemnify such director to the fullest extent permitted by the New York Business Corporation Law. The</w:t>
      </w:r>
    </w:p>
    <w:p>
      <w:pPr>
        <w:spacing w:after="0" w:line="32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159"/>
          </w:cols>
          <w:pgMar w:left="300" w:top="772" w:right="1440" w:bottom="1440" w:gutter="0" w:footer="0" w:header="0"/>
        </w:sectPr>
      </w:pPr>
    </w:p>
    <w:bookmarkStart w:id="46" w:name="page47"/>
    <w:bookmarkEnd w:id="46"/>
    <w:p>
      <w:pPr>
        <w:ind w:right="3459"/>
        <w:spacing w:after="0" w:line="247" w:lineRule="auto"/>
        <w:rPr>
          <w:sz w:val="20"/>
          <w:szCs w:val="20"/>
          <w:color w:val="auto"/>
        </w:rPr>
      </w:pPr>
      <w:r>
        <w:rPr>
          <w:rFonts w:ascii="Courier New" w:cs="Courier New" w:eastAsia="Courier New" w:hAnsi="Courier New"/>
          <w:sz w:val="14"/>
          <w:szCs w:val="14"/>
          <w:color w:val="auto"/>
        </w:rPr>
        <w:t>Company maintains directors and officers liability insurance which insures against liabilities that directors or officers of the Company may incur in such capacities.</w:t>
      </w:r>
    </w:p>
    <w:p>
      <w:pPr>
        <w:spacing w:after="0" w:line="163"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Reference is made to the proposed Underwriting Agreement filed as Exhibit 1 to this Registration Statement for certain provisions relating to the indemnification of directors and officers of the Company against certain liabilities under the Securities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40" w:type="dxa"/>
            <w:vAlign w:val="bottom"/>
          </w:tcPr>
          <w:p>
            <w:pPr>
              <w:spacing w:after="0"/>
              <w:rPr>
                <w:sz w:val="20"/>
                <w:szCs w:val="20"/>
                <w:color w:val="auto"/>
              </w:rPr>
            </w:pPr>
            <w:r>
              <w:rPr>
                <w:rFonts w:ascii="Courier New" w:cs="Courier New" w:eastAsia="Courier New" w:hAnsi="Courier New"/>
                <w:sz w:val="14"/>
                <w:szCs w:val="14"/>
                <w:color w:val="auto"/>
              </w:rPr>
              <w:t>Item 16.</w:t>
            </w:r>
          </w:p>
        </w:tc>
        <w:tc>
          <w:tcPr>
            <w:tcW w:w="6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Exhibits</w:t>
            </w:r>
          </w:p>
        </w:tc>
        <w:tc>
          <w:tcPr>
            <w:tcW w:w="2000" w:type="dxa"/>
            <w:vAlign w:val="bottom"/>
          </w:tcPr>
          <w:p>
            <w:pPr>
              <w:spacing w:after="0"/>
              <w:rPr>
                <w:sz w:val="13"/>
                <w:szCs w:val="13"/>
                <w:color w:val="auto"/>
              </w:rPr>
            </w:pPr>
          </w:p>
        </w:tc>
      </w:tr>
      <w:tr>
        <w:trPr>
          <w:trHeight w:val="652"/>
        </w:trPr>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Exhibit</w:t>
            </w:r>
          </w:p>
        </w:tc>
        <w:tc>
          <w:tcPr>
            <w:tcW w:w="5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3"/>
        </w:trPr>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Number</w:t>
            </w: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Description</w:t>
            </w:r>
          </w:p>
        </w:tc>
        <w:tc>
          <w:tcPr>
            <w:tcW w:w="2000" w:type="dxa"/>
            <w:vAlign w:val="bottom"/>
          </w:tcPr>
          <w:p>
            <w:pPr>
              <w:spacing w:after="0"/>
              <w:rPr>
                <w:sz w:val="14"/>
                <w:szCs w:val="14"/>
                <w:color w:val="auto"/>
              </w:rPr>
            </w:pPr>
          </w:p>
        </w:tc>
      </w:tr>
      <w:tr>
        <w:trPr>
          <w:trHeight w:val="163"/>
        </w:trPr>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spacing w:after="0"/>
              <w:rPr>
                <w:sz w:val="14"/>
                <w:szCs w:val="14"/>
                <w:color w:val="auto"/>
              </w:rPr>
            </w:pPr>
          </w:p>
        </w:tc>
      </w:tr>
      <w:tr>
        <w:trPr>
          <w:trHeight w:val="326"/>
        </w:trPr>
        <w:tc>
          <w:tcPr>
            <w:tcW w:w="12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Form of Underwriting Agreement.</w:t>
            </w:r>
          </w:p>
        </w:tc>
        <w:tc>
          <w:tcPr>
            <w:tcW w:w="2000" w:type="dxa"/>
            <w:vAlign w:val="bottom"/>
          </w:tcPr>
          <w:p>
            <w:pPr>
              <w:spacing w:after="0"/>
              <w:rPr>
                <w:sz w:val="24"/>
                <w:szCs w:val="24"/>
                <w:color w:val="auto"/>
              </w:rPr>
            </w:pPr>
          </w:p>
        </w:tc>
      </w:tr>
      <w:tr>
        <w:trPr>
          <w:trHeight w:val="326"/>
        </w:trPr>
        <w:tc>
          <w:tcPr>
            <w:tcW w:w="124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Purchase Agreement dated January 13, 1988, by and between the Company,</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Leonard S. Schleifer and ML Venture Partners II, L.P. (the "Stock Purchase Agreement").</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Incorporated by reference to Exhibit 10.1 to Regeneron's Registration Statement on Form</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S-1 (File No. 33-39043)(the "Regeneron S-1").</w:t>
            </w:r>
          </w:p>
        </w:tc>
        <w:tc>
          <w:tcPr>
            <w:tcW w:w="2000" w:type="dxa"/>
            <w:vAlign w:val="bottom"/>
          </w:tcPr>
          <w:p>
            <w:pPr>
              <w:spacing w:after="0"/>
              <w:rPr>
                <w:sz w:val="14"/>
                <w:szCs w:val="14"/>
                <w:color w:val="auto"/>
              </w:rPr>
            </w:pPr>
          </w:p>
        </w:tc>
      </w:tr>
      <w:tr>
        <w:trPr>
          <w:trHeight w:val="326"/>
        </w:trPr>
        <w:tc>
          <w:tcPr>
            <w:tcW w:w="124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540" w:type="dxa"/>
            <w:vAlign w:val="bottom"/>
          </w:tcPr>
          <w:p>
            <w:pPr>
              <w:spacing w:after="0"/>
              <w:rPr>
                <w:sz w:val="24"/>
                <w:szCs w:val="2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Amendment to the Stock Purchase Agreement dated March 3, 1989.</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Incorporated by</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reference to Exhibit 10.2 to the Regeneron S-1.</w:t>
            </w:r>
          </w:p>
        </w:tc>
        <w:tc>
          <w:tcPr>
            <w:tcW w:w="2000" w:type="dxa"/>
            <w:vAlign w:val="bottom"/>
          </w:tcPr>
          <w:p>
            <w:pPr>
              <w:spacing w:after="0"/>
              <w:rPr>
                <w:sz w:val="14"/>
                <w:szCs w:val="14"/>
                <w:color w:val="auto"/>
              </w:rPr>
            </w:pPr>
          </w:p>
        </w:tc>
      </w:tr>
      <w:tr>
        <w:trPr>
          <w:trHeight w:val="326"/>
        </w:trPr>
        <w:tc>
          <w:tcPr>
            <w:tcW w:w="124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Letter Agreement dated November 27, 1989, amending the</w:t>
            </w:r>
          </w:p>
        </w:tc>
        <w:tc>
          <w:tcPr>
            <w:tcW w:w="2000" w:type="dxa"/>
            <w:vAlign w:val="bottom"/>
          </w:tcPr>
          <w:p>
            <w:pPr>
              <w:spacing w:after="0"/>
              <w:rPr>
                <w:sz w:val="24"/>
                <w:szCs w:val="24"/>
                <w:color w:val="auto"/>
              </w:rPr>
            </w:pP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Stock Purchase Agreement. Incorporated by reference to</w:t>
            </w:r>
          </w:p>
        </w:tc>
        <w:tc>
          <w:tcPr>
            <w:tcW w:w="2000" w:type="dxa"/>
            <w:vAlign w:val="bottom"/>
          </w:tcPr>
          <w:p>
            <w:pPr>
              <w:spacing w:after="0"/>
              <w:rPr>
                <w:sz w:val="14"/>
                <w:szCs w:val="14"/>
                <w:color w:val="auto"/>
              </w:rPr>
            </w:pP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Exhibit 10.13 to the Regeneron S-1.</w:t>
            </w:r>
          </w:p>
        </w:tc>
        <w:tc>
          <w:tcPr>
            <w:tcW w:w="2000" w:type="dxa"/>
            <w:vAlign w:val="bottom"/>
          </w:tcPr>
          <w:p>
            <w:pPr>
              <w:spacing w:after="0"/>
              <w:rPr>
                <w:sz w:val="14"/>
                <w:szCs w:val="14"/>
                <w:color w:val="auto"/>
              </w:rPr>
            </w:pPr>
          </w:p>
        </w:tc>
      </w:tr>
      <w:tr>
        <w:trPr>
          <w:trHeight w:val="326"/>
        </w:trPr>
        <w:tc>
          <w:tcPr>
            <w:tcW w:w="124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Class B Convertible Preferred Stock Purchase Agreement dated November 22, 1988 by</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between the Company and each purchaser set forth on Exhibit A thereto.</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Incorporated by reference to Exhibit 10.3 to the Regeneron S-1.</w:t>
            </w:r>
          </w:p>
        </w:tc>
        <w:tc>
          <w:tcPr>
            <w:tcW w:w="2000" w:type="dxa"/>
            <w:vAlign w:val="bottom"/>
          </w:tcPr>
          <w:p>
            <w:pPr>
              <w:spacing w:after="0"/>
              <w:rPr>
                <w:sz w:val="14"/>
                <w:szCs w:val="14"/>
                <w:color w:val="auto"/>
              </w:rPr>
            </w:pPr>
          </w:p>
        </w:tc>
      </w:tr>
      <w:tr>
        <w:trPr>
          <w:trHeight w:val="326"/>
        </w:trPr>
        <w:tc>
          <w:tcPr>
            <w:tcW w:w="1240" w:type="dxa"/>
            <w:vAlign w:val="bottom"/>
          </w:tcPr>
          <w:p>
            <w:pPr>
              <w:spacing w:after="0"/>
              <w:rPr>
                <w:sz w:val="20"/>
                <w:szCs w:val="20"/>
                <w:color w:val="auto"/>
              </w:rPr>
            </w:pPr>
            <w:r>
              <w:rPr>
                <w:rFonts w:ascii="Courier New" w:cs="Courier New" w:eastAsia="Courier New" w:hAnsi="Courier New"/>
                <w:sz w:val="14"/>
                <w:szCs w:val="14"/>
                <w:color w:val="auto"/>
              </w:rPr>
              <w:t>4.5</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Class C Convertible Preferred Stock Purchase Agreement dated March 20, 1989, by and</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between the Company and Sumitomo Chemical Company, Limited.  Incorporated by</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reference to Exhibit 10.4 to the Regeneron S-1.</w:t>
            </w:r>
          </w:p>
        </w:tc>
        <w:tc>
          <w:tcPr>
            <w:tcW w:w="2000" w:type="dxa"/>
            <w:vAlign w:val="bottom"/>
          </w:tcPr>
          <w:p>
            <w:pPr>
              <w:spacing w:after="0"/>
              <w:rPr>
                <w:sz w:val="14"/>
                <w:szCs w:val="14"/>
                <w:color w:val="auto"/>
              </w:rPr>
            </w:pPr>
          </w:p>
        </w:tc>
      </w:tr>
      <w:tr>
        <w:trPr>
          <w:trHeight w:val="326"/>
        </w:trPr>
        <w:tc>
          <w:tcPr>
            <w:tcW w:w="1240" w:type="dxa"/>
            <w:vAlign w:val="bottom"/>
          </w:tcPr>
          <w:p>
            <w:pPr>
              <w:spacing w:after="0"/>
              <w:rPr>
                <w:sz w:val="20"/>
                <w:szCs w:val="20"/>
                <w:color w:val="auto"/>
              </w:rPr>
            </w:pPr>
            <w:r>
              <w:rPr>
                <w:rFonts w:ascii="Courier New" w:cs="Courier New" w:eastAsia="Courier New" w:hAnsi="Courier New"/>
                <w:sz w:val="14"/>
                <w:szCs w:val="14"/>
                <w:color w:val="auto"/>
              </w:rPr>
              <w:t>4.6</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Class D Convertible Preferred Stock Purchase Agreement dated August 31, 1990, by and</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between the Company and Amgen Inc.  Incorporated by reference to Exhibit 10.9 to the</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Regeneron S-1.</w:t>
            </w:r>
          </w:p>
        </w:tc>
        <w:tc>
          <w:tcPr>
            <w:tcW w:w="2000" w:type="dxa"/>
            <w:vAlign w:val="bottom"/>
          </w:tcPr>
          <w:p>
            <w:pPr>
              <w:spacing w:after="0"/>
              <w:rPr>
                <w:sz w:val="14"/>
                <w:szCs w:val="14"/>
                <w:color w:val="auto"/>
              </w:rPr>
            </w:pPr>
          </w:p>
        </w:tc>
      </w:tr>
      <w:tr>
        <w:trPr>
          <w:trHeight w:val="326"/>
        </w:trPr>
        <w:tc>
          <w:tcPr>
            <w:tcW w:w="1240" w:type="dxa"/>
            <w:vAlign w:val="bottom"/>
          </w:tcPr>
          <w:p>
            <w:pPr>
              <w:spacing w:after="0"/>
              <w:rPr>
                <w:sz w:val="20"/>
                <w:szCs w:val="20"/>
                <w:color w:val="auto"/>
              </w:rPr>
            </w:pPr>
            <w:r>
              <w:rPr>
                <w:rFonts w:ascii="Courier New" w:cs="Courier New" w:eastAsia="Courier New" w:hAnsi="Courier New"/>
                <w:sz w:val="14"/>
                <w:szCs w:val="14"/>
                <w:color w:val="auto"/>
              </w:rPr>
              <w:t>4.7</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Registration Rights Agreement, dated as of July 22, 1993, by and between the Company</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Glaxo Group Limited.  Incorporated by reference to Exhibit 4.7 to Regeneron's</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Registration Statement on Form S-3 (33-66788).</w:t>
            </w:r>
          </w:p>
        </w:tc>
        <w:tc>
          <w:tcPr>
            <w:tcW w:w="2000" w:type="dxa"/>
            <w:vAlign w:val="bottom"/>
          </w:tcPr>
          <w:p>
            <w:pPr>
              <w:spacing w:after="0"/>
              <w:rPr>
                <w:sz w:val="14"/>
                <w:szCs w:val="14"/>
                <w:color w:val="auto"/>
              </w:rPr>
            </w:pPr>
          </w:p>
        </w:tc>
      </w:tr>
      <w:tr>
        <w:trPr>
          <w:trHeight w:val="326"/>
        </w:trPr>
        <w:tc>
          <w:tcPr>
            <w:tcW w:w="1240" w:type="dxa"/>
            <w:vAlign w:val="bottom"/>
          </w:tcPr>
          <w:p>
            <w:pPr>
              <w:spacing w:after="0"/>
              <w:rPr>
                <w:sz w:val="20"/>
                <w:szCs w:val="20"/>
                <w:color w:val="auto"/>
              </w:rPr>
            </w:pPr>
            <w:r>
              <w:rPr>
                <w:rFonts w:ascii="Courier New" w:cs="Courier New" w:eastAsia="Courier New" w:hAnsi="Courier New"/>
                <w:sz w:val="14"/>
                <w:szCs w:val="14"/>
                <w:color w:val="auto"/>
              </w:rPr>
              <w:t>4.8</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Registration Rights Agreement, dated as of April 15, 1996, by and between the Company</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Amgen Inc.  Incorporated by reference to Exhibit 10.3  to Regeneron's Form 10Q for</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the quarter ended June 30, 1996, filed August 14, 1996.</w:t>
            </w:r>
          </w:p>
        </w:tc>
        <w:tc>
          <w:tcPr>
            <w:tcW w:w="2000" w:type="dxa"/>
            <w:vAlign w:val="bottom"/>
          </w:tcPr>
          <w:p>
            <w:pPr>
              <w:spacing w:after="0"/>
              <w:rPr>
                <w:sz w:val="14"/>
                <w:szCs w:val="14"/>
                <w:color w:val="auto"/>
              </w:rPr>
            </w:pPr>
          </w:p>
        </w:tc>
      </w:tr>
      <w:tr>
        <w:trPr>
          <w:trHeight w:val="326"/>
        </w:trPr>
        <w:tc>
          <w:tcPr>
            <w:tcW w:w="1240" w:type="dxa"/>
            <w:vAlign w:val="bottom"/>
          </w:tcPr>
          <w:p>
            <w:pPr>
              <w:spacing w:after="0"/>
              <w:rPr>
                <w:sz w:val="20"/>
                <w:szCs w:val="20"/>
                <w:color w:val="auto"/>
              </w:rPr>
            </w:pPr>
            <w:r>
              <w:rPr>
                <w:rFonts w:ascii="Courier New" w:cs="Courier New" w:eastAsia="Courier New" w:hAnsi="Courier New"/>
                <w:sz w:val="14"/>
                <w:szCs w:val="14"/>
                <w:color w:val="auto"/>
              </w:rPr>
              <w:t>4.9</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Registration Rights Agreement, dated as of  June 27, 1996, by and between the Company</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and Medtronic, Inc.  Incorporated by reference to Exhibit 10.6</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to Regeneron's Form 10Q</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for the quarter ended June 30, 1996, filed August 14, 1996.</w:t>
            </w:r>
          </w:p>
        </w:tc>
        <w:tc>
          <w:tcPr>
            <w:tcW w:w="2000" w:type="dxa"/>
            <w:vAlign w:val="bottom"/>
          </w:tcPr>
          <w:p>
            <w:pPr>
              <w:spacing w:after="0"/>
              <w:rPr>
                <w:sz w:val="14"/>
                <w:szCs w:val="14"/>
                <w:color w:val="auto"/>
              </w:rPr>
            </w:pPr>
          </w:p>
        </w:tc>
      </w:tr>
      <w:tr>
        <w:trPr>
          <w:trHeight w:val="326"/>
        </w:trPr>
        <w:tc>
          <w:tcPr>
            <w:tcW w:w="1240" w:type="dxa"/>
            <w:vAlign w:val="bottom"/>
          </w:tcPr>
          <w:p>
            <w:pPr>
              <w:spacing w:after="0"/>
              <w:rPr>
                <w:sz w:val="20"/>
                <w:szCs w:val="20"/>
                <w:color w:val="auto"/>
              </w:rPr>
            </w:pPr>
            <w:r>
              <w:rPr>
                <w:rFonts w:ascii="Courier New" w:cs="Courier New" w:eastAsia="Courier New" w:hAnsi="Courier New"/>
                <w:sz w:val="14"/>
                <w:szCs w:val="14"/>
                <w:color w:val="auto"/>
              </w:rPr>
              <w:t>4.10</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Registration Rights Agreement, dated as of December 11, 1996, by and between the</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Company and Procter &amp; Gamble Pharmaceuticals.  Incorporated by reference to Exhibit</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10.30 to Regeneron's Form 10K for the fiscal year ended December 1996, filed March 26,</w:t>
            </w:r>
          </w:p>
        </w:tc>
      </w:tr>
      <w:tr>
        <w:trPr>
          <w:trHeight w:val="163"/>
        </w:trPr>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2000" w:type="dxa"/>
            <w:vAlign w:val="bottom"/>
          </w:tcPr>
          <w:p>
            <w:pPr>
              <w:spacing w:after="0"/>
              <w:rPr>
                <w:sz w:val="14"/>
                <w:szCs w:val="14"/>
                <w:color w:val="auto"/>
              </w:rPr>
            </w:pPr>
          </w:p>
        </w:tc>
      </w:tr>
    </w:tbl>
    <w:p>
      <w:pPr>
        <w:spacing w:after="0" w:line="200" w:lineRule="exact"/>
        <w:rPr>
          <w:sz w:val="20"/>
          <w:szCs w:val="20"/>
          <w:color w:val="auto"/>
        </w:rPr>
      </w:pPr>
    </w:p>
    <w:p>
      <w:pPr>
        <w:spacing w:after="0" w:line="29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159"/>
          </w:cols>
          <w:pgMar w:left="300" w:top="772"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0"/>
        </w:trPr>
        <w:tc>
          <w:tcPr>
            <w:tcW w:w="900" w:type="dxa"/>
            <w:vAlign w:val="bottom"/>
          </w:tcPr>
          <w:p>
            <w:pPr>
              <w:spacing w:after="0"/>
              <w:rPr>
                <w:sz w:val="20"/>
                <w:szCs w:val="20"/>
                <w:color w:val="auto"/>
              </w:rPr>
            </w:pPr>
            <w:r>
              <w:rPr>
                <w:rFonts w:ascii="Courier New" w:cs="Courier New" w:eastAsia="Courier New" w:hAnsi="Courier New"/>
                <w:sz w:val="14"/>
                <w:szCs w:val="14"/>
                <w:color w:val="auto"/>
              </w:rPr>
              <w:t>4.11</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Registration Rights</w:t>
            </w:r>
          </w:p>
        </w:tc>
        <w:tc>
          <w:tcPr>
            <w:tcW w:w="3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Agreement, dated as of May 13, 1997, by and</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between the Company</w:t>
            </w:r>
          </w:p>
        </w:tc>
      </w:tr>
      <w:tr>
        <w:trPr>
          <w:trHeight w:val="163"/>
        </w:trPr>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and Procter &amp; Gamble Pharmaceuticals.  Incorporated</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by reference to Exhibit 10.3 to</w:t>
            </w:r>
          </w:p>
        </w:tc>
      </w:tr>
      <w:tr>
        <w:trPr>
          <w:trHeight w:val="163"/>
        </w:trPr>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Regeneron's Form 10Q for the quarter ended June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1997, filed</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August 12, 1997.</w:t>
            </w:r>
          </w:p>
        </w:tc>
      </w:tr>
      <w:tr>
        <w:trPr>
          <w:trHeight w:val="326"/>
        </w:trPr>
        <w:tc>
          <w:tcPr>
            <w:tcW w:w="900" w:type="dxa"/>
            <w:vAlign w:val="bottom"/>
          </w:tcPr>
          <w:p>
            <w:pPr>
              <w:spacing w:after="0"/>
              <w:rPr>
                <w:sz w:val="20"/>
                <w:szCs w:val="20"/>
                <w:color w:val="auto"/>
              </w:rPr>
            </w:pPr>
            <w:r>
              <w:rPr>
                <w:rFonts w:ascii="Courier New" w:cs="Courier New" w:eastAsia="Courier New" w:hAnsi="Courier New"/>
                <w:sz w:val="14"/>
                <w:szCs w:val="14"/>
                <w:color w:val="auto"/>
              </w:rPr>
              <w:t>4.12</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Form of Certificate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of shares of common stock.</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Incorporated by</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 (a)</w:t>
            </w:r>
          </w:p>
        </w:tc>
      </w:tr>
      <w:tr>
        <w:trPr>
          <w:trHeight w:val="163"/>
        </w:trPr>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to the Company's Form 8-A filed with the Commission</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on February</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20, 1991.</w:t>
            </w:r>
          </w:p>
        </w:tc>
      </w:tr>
      <w:tr>
        <w:trPr>
          <w:trHeight w:val="326"/>
        </w:trPr>
        <w:tc>
          <w:tcPr>
            <w:tcW w:w="90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Opinion of Skadden,</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Arps, Slate, Meagher &amp; Flom</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LLP.</w:t>
            </w:r>
          </w:p>
        </w:tc>
        <w:tc>
          <w:tcPr>
            <w:tcW w:w="9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6"/>
        </w:trPr>
        <w:tc>
          <w:tcPr>
            <w:tcW w:w="90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Consent of PricewaterhouseCoopers LLP.</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6"/>
        </w:trPr>
        <w:tc>
          <w:tcPr>
            <w:tcW w:w="90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5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Consent of Ernst &amp; Young LLP, Independent Auditors.</w:t>
            </w:r>
          </w:p>
        </w:tc>
        <w:tc>
          <w:tcPr>
            <w:tcW w:w="98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166" w:lineRule="exact"/>
        <w:rPr>
          <w:sz w:val="20"/>
          <w:szCs w:val="20"/>
          <w:color w:val="auto"/>
        </w:rPr>
      </w:pPr>
    </w:p>
    <w:p>
      <w:pPr>
        <w:ind w:left="1440" w:hanging="1433"/>
        <w:spacing w:after="0"/>
        <w:tabs>
          <w:tab w:leader="none" w:pos="1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Skadden, Arps, Slate, Meagher &amp; Flom LLP.  Included in Exhibit 5.</w:t>
      </w:r>
    </w:p>
    <w:p>
      <w:pPr>
        <w:spacing w:after="0" w:line="168" w:lineRule="exact"/>
        <w:rPr>
          <w:sz w:val="20"/>
          <w:szCs w:val="20"/>
          <w:color w:val="auto"/>
        </w:rPr>
      </w:pPr>
    </w:p>
    <w:p>
      <w:pPr>
        <w:spacing w:after="0"/>
        <w:tabs>
          <w:tab w:leader="none" w:pos="1420" w:val="left"/>
          <w:tab w:leader="none" w:pos="1940" w:val="left"/>
          <w:tab w:leader="none" w:pos="372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Powers of Attorney.</w:t>
        <w:tab/>
        <w:t>Included in the signature page of this Registration Statement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To be filed by amendment.</w:t>
      </w:r>
    </w:p>
    <w:p>
      <w:pPr>
        <w:spacing w:after="0" w:line="33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68"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undersigned Registrant hereby undertakes that:</w:t>
      </w:r>
    </w:p>
    <w:p>
      <w:pPr>
        <w:spacing w:after="0" w:line="168" w:lineRule="exact"/>
        <w:rPr>
          <w:sz w:val="20"/>
          <w:szCs w:val="20"/>
          <w:color w:val="auto"/>
        </w:rPr>
      </w:pPr>
    </w:p>
    <w:p>
      <w:pPr>
        <w:ind w:left="780" w:right="3359" w:firstLine="753"/>
        <w:spacing w:after="0" w:line="247" w:lineRule="auto"/>
        <w:tabs>
          <w:tab w:leader="none" w:pos="188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de deemed to be part of this registration statement as of the time it was declared effective.</w:t>
      </w:r>
    </w:p>
    <w:p>
      <w:pPr>
        <w:spacing w:after="0" w:line="162" w:lineRule="exact"/>
        <w:rPr>
          <w:rFonts w:ascii="Courier New" w:cs="Courier New" w:eastAsia="Courier New" w:hAnsi="Courier New"/>
          <w:sz w:val="14"/>
          <w:szCs w:val="14"/>
          <w:color w:val="auto"/>
        </w:rPr>
      </w:pPr>
    </w:p>
    <w:p>
      <w:pPr>
        <w:ind w:left="780" w:right="3459" w:firstLine="753"/>
        <w:spacing w:after="0" w:line="247" w:lineRule="auto"/>
        <w:tabs>
          <w:tab w:leader="none" w:pos="188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2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159"/>
          </w:cols>
          <w:pgMar w:left="300" w:top="1098" w:right="1440" w:bottom="1440" w:gutter="0" w:footer="0" w:header="0"/>
        </w:sectPr>
      </w:pPr>
    </w:p>
    <w:bookmarkStart w:id="48" w:name="page49"/>
    <w:bookmarkEnd w:id="48"/>
    <w:p>
      <w:pPr>
        <w:jc w:val="center"/>
        <w:ind w:right="4240"/>
        <w:spacing w:after="0"/>
        <w:rPr>
          <w:sz w:val="20"/>
          <w:szCs w:val="20"/>
          <w:color w:val="auto"/>
        </w:rPr>
      </w:pPr>
      <w:r>
        <w:rPr>
          <w:rFonts w:ascii="Courier New" w:cs="Courier New" w:eastAsia="Courier New" w:hAnsi="Courier New"/>
          <w:sz w:val="14"/>
          <w:szCs w:val="14"/>
          <w:color w:val="auto"/>
        </w:rPr>
        <w:t>SIGNATURES</w:t>
      </w:r>
    </w:p>
    <w:p>
      <w:pPr>
        <w:spacing w:after="0" w:line="168" w:lineRule="exact"/>
        <w:rPr>
          <w:sz w:val="20"/>
          <w:szCs w:val="20"/>
          <w:color w:val="auto"/>
        </w:rPr>
      </w:pPr>
    </w:p>
    <w:p>
      <w:pPr>
        <w:ind w:right="4240" w:firstLine="763"/>
        <w:spacing w:after="0" w:line="247"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Tarrytown, State of New York on March 3, 2000.</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REGENERON PHARMACEUTICALS, INC.</w:t>
      </w:r>
    </w:p>
    <w:p>
      <w:pPr>
        <w:spacing w:after="0" w:line="331" w:lineRule="exact"/>
        <w:rPr>
          <w:sz w:val="20"/>
          <w:szCs w:val="20"/>
          <w:color w:val="auto"/>
        </w:rPr>
      </w:pPr>
    </w:p>
    <w:p>
      <w:pPr>
        <w:ind w:left="3140"/>
        <w:spacing w:after="0"/>
        <w:tabs>
          <w:tab w:leader="none" w:pos="3540" w:val="left"/>
        </w:tabs>
        <w:rPr>
          <w:sz w:val="20"/>
          <w:szCs w:val="20"/>
          <w:color w:val="auto"/>
        </w:rPr>
      </w:pPr>
      <w:r>
        <w:rPr>
          <w:rFonts w:ascii="Courier New" w:cs="Courier New" w:eastAsia="Courier New" w:hAnsi="Courier New"/>
          <w:sz w:val="14"/>
          <w:szCs w:val="14"/>
          <w:color w:val="auto"/>
        </w:rPr>
        <w:t>By:</w:t>
        <w:tab/>
        <w:t>/s/ Leonard S. Schleifer, M.D., Ph.D.</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Leonard S. Schleifer, M.D., Ph.D.</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31" w:lineRule="exact"/>
        <w:rPr>
          <w:sz w:val="20"/>
          <w:szCs w:val="20"/>
          <w:color w:val="auto"/>
        </w:rPr>
      </w:pPr>
    </w:p>
    <w:p>
      <w:pPr>
        <w:ind w:right="4240" w:firstLine="763"/>
        <w:spacing w:after="0" w:line="246"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indicated on March 3, 2000. Each person whose signature appears below hereby authorizes Leonard S. Schleifer and Murray A.Goldberg, jointly and severally, with full power to each, to execute in the name and on behalf of such person any amendment (including any post-effective amendments) to this Registration Statement (or any other registration statement for the same offering that is to be effective upon filing pursuant to Rule 462(b) under the Securities Act) and to file the same, with exhibits thereto and other documents in connection therewith, making such changes in this Registration Statement as the person(s) so acting deems appropriate and appoints each of such persons, each with full power of substitution, attorney-in-fact to sign any amendment (including any post-effective amendment) to this Registration Statement (or any other registration statement for the same offering that is to be effective upon filing pursuant to Rule 462(b) under the Securities Act) and to file the same, with exhibits thereto and other documents in connection therein.</w:t>
      </w:r>
    </w:p>
    <w:p>
      <w:pPr>
        <w:sectPr>
          <w:pgSz w:w="11900" w:h="16838" w:orient="portrait"/>
          <w:cols w:equalWidth="0" w:num="1">
            <w:col w:w="11040"/>
          </w:cols>
          <w:pgMar w:left="300" w:top="772"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5400" w:space="720"/>
            <w:col w:w="4920"/>
          </w:cols>
          <w:pgMar w:left="300" w:top="772" w:right="559" w:bottom="1440" w:gutter="0" w:footer="0" w:header="0"/>
          <w:type w:val="continuous"/>
        </w:sectPr>
      </w:pPr>
    </w:p>
    <w:p>
      <w:pPr>
        <w:spacing w:after="0" w:line="13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P. Roy Vagelos, 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 Roy Vagelos, M.D.</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363" w:lineRule="exact"/>
        <w:rPr>
          <w:sz w:val="20"/>
          <w:szCs w:val="20"/>
          <w:color w:val="auto"/>
        </w:rPr>
      </w:pPr>
    </w:p>
    <w:p>
      <w:pPr>
        <w:sectPr>
          <w:pgSz w:w="11900" w:h="16838" w:orient="portrait"/>
          <w:cols w:equalWidth="0" w:num="2">
            <w:col w:w="5560" w:space="720"/>
            <w:col w:w="4760"/>
          </w:cols>
          <w:pgMar w:left="300" w:top="772" w:right="559" w:bottom="1440" w:gutter="0" w:footer="0" w:header="0"/>
          <w:type w:val="continuous"/>
        </w:sectPr>
      </w:pPr>
    </w:p>
    <w:p>
      <w:pPr>
        <w:spacing w:after="0" w:line="13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Leonard S. Schleifer, M.D., Ph.D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Leonard S. Schleifer, M.D., Ph.D.</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right="780" w:firstLine="170"/>
        <w:spacing w:after="0" w:line="248" w:lineRule="auto"/>
        <w:rPr>
          <w:sz w:val="20"/>
          <w:szCs w:val="20"/>
          <w:color w:val="auto"/>
        </w:rPr>
      </w:pPr>
      <w:r>
        <w:rPr>
          <w:rFonts w:ascii="Courier New" w:cs="Courier New" w:eastAsia="Courier New" w:hAnsi="Courier New"/>
          <w:sz w:val="14"/>
          <w:szCs w:val="14"/>
          <w:color w:val="auto"/>
        </w:rPr>
        <w:t>President, Chief Executive Officer and Director (Principal Executive Officer)</w:t>
      </w:r>
    </w:p>
    <w:p>
      <w:pPr>
        <w:spacing w:after="0" w:line="200" w:lineRule="exact"/>
        <w:rPr>
          <w:sz w:val="20"/>
          <w:szCs w:val="20"/>
          <w:color w:val="auto"/>
        </w:rPr>
      </w:pPr>
    </w:p>
    <w:p>
      <w:pPr>
        <w:sectPr>
          <w:pgSz w:w="11900" w:h="16838" w:orient="portrait"/>
          <w:cols w:equalWidth="0" w:num="2">
            <w:col w:w="5440" w:space="680"/>
            <w:col w:w="4920"/>
          </w:cols>
          <w:pgMar w:left="300" w:top="772" w:right="559" w:bottom="1440" w:gutter="0" w:footer="0" w:header="0"/>
          <w:type w:val="continuous"/>
        </w:sectPr>
      </w:pPr>
    </w:p>
    <w:p>
      <w:pPr>
        <w:spacing w:after="0" w:line="12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Murray A. Goldberg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Murray A. Goldberg</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Vice President, Finance &amp; Administration,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Treasurer and Assistant Secretary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ectPr>
          <w:pgSz w:w="11900" w:h="16838" w:orient="portrait"/>
          <w:cols w:equalWidth="0" w:num="2">
            <w:col w:w="5440" w:space="680"/>
            <w:col w:w="4920"/>
          </w:cols>
          <w:pgMar w:left="300" w:top="772" w:right="559" w:bottom="1440" w:gutter="0" w:footer="0" w:header="0"/>
          <w:type w:val="continuous"/>
        </w:sectPr>
      </w:pPr>
    </w:p>
    <w:p>
      <w:pPr>
        <w:spacing w:after="0" w:line="13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Douglas S. McCorkle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Douglas S. McCorkle</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Controller and Assistant Treasurer</w:t>
      </w:r>
    </w:p>
    <w:p>
      <w:pPr>
        <w:spacing w:after="0" w:line="363" w:lineRule="exact"/>
        <w:rPr>
          <w:sz w:val="20"/>
          <w:szCs w:val="20"/>
          <w:color w:val="auto"/>
        </w:rPr>
      </w:pPr>
    </w:p>
    <w:p>
      <w:pPr>
        <w:sectPr>
          <w:pgSz w:w="11900" w:h="16838" w:orient="portrait"/>
          <w:cols w:equalWidth="0" w:num="2">
            <w:col w:w="5560" w:space="720"/>
            <w:col w:w="4760"/>
          </w:cols>
          <w:pgMar w:left="300" w:top="772" w:right="559" w:bottom="1440" w:gutter="0" w:footer="0" w:header="0"/>
          <w:type w:val="continuous"/>
        </w:sectPr>
      </w:pPr>
    </w:p>
    <w:p>
      <w:pPr>
        <w:spacing w:after="0" w:line="13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Charles A. Baker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A. Baker</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63" w:lineRule="exact"/>
        <w:rPr>
          <w:sz w:val="20"/>
          <w:szCs w:val="20"/>
          <w:color w:val="auto"/>
        </w:rPr>
      </w:pPr>
    </w:p>
    <w:p>
      <w:pPr>
        <w:sectPr>
          <w:pgSz w:w="11900" w:h="16838" w:orient="portrait"/>
          <w:cols w:equalWidth="0" w:num="2">
            <w:col w:w="5560" w:space="720"/>
            <w:col w:w="4760"/>
          </w:cols>
          <w:pgMar w:left="300" w:top="772" w:right="559" w:bottom="1440" w:gutter="0" w:footer="0" w:header="0"/>
          <w:type w:val="continuous"/>
        </w:sectPr>
      </w:pPr>
    </w:p>
    <w:p>
      <w:pPr>
        <w:spacing w:after="0" w:line="13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Michael S. Brown, 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S. Brown, M.D.</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63" w:lineRule="exact"/>
        <w:rPr>
          <w:sz w:val="20"/>
          <w:szCs w:val="20"/>
          <w:color w:val="auto"/>
        </w:rPr>
      </w:pPr>
    </w:p>
    <w:p>
      <w:pPr>
        <w:sectPr>
          <w:pgSz w:w="11900" w:h="16838" w:orient="portrait"/>
          <w:cols w:equalWidth="0" w:num="2">
            <w:col w:w="5560" w:space="720"/>
            <w:col w:w="4760"/>
          </w:cols>
          <w:pgMar w:left="300" w:top="772" w:right="55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1040"/>
          </w:cols>
          <w:pgMar w:left="300" w:top="772" w:right="559" w:bottom="1440" w:gutter="0" w:footer="0" w:header="0"/>
          <w:type w:val="continuous"/>
        </w:sectPr>
      </w:pPr>
    </w:p>
    <w:bookmarkStart w:id="49" w:name="page50"/>
    <w:bookmarkEnd w:id="49"/>
    <w:p>
      <w:pPr>
        <w:ind w:left="100"/>
        <w:spacing w:after="0"/>
        <w:rPr>
          <w:sz w:val="20"/>
          <w:szCs w:val="20"/>
          <w:color w:val="auto"/>
        </w:rPr>
      </w:pPr>
      <w:r>
        <w:rPr>
          <w:rFonts w:ascii="Courier New" w:cs="Courier New" w:eastAsia="Courier New" w:hAnsi="Courier New"/>
          <w:sz w:val="14"/>
          <w:szCs w:val="14"/>
          <w:color w:val="auto"/>
        </w:rPr>
        <w:t>/s/ Alfred G. Gilman, M.D., Ph.D.</w:t>
      </w:r>
    </w:p>
    <w:p>
      <w:pPr>
        <w:spacing w:after="0" w:line="4"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Alfred G. Gilman, M.D., Ph.D.</w:t>
      </w:r>
    </w:p>
    <w:p>
      <w:pPr>
        <w:spacing w:after="0" w:line="33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Joseph L. Goldstein, M.D.</w:t>
      </w:r>
    </w:p>
    <w:p>
      <w:pPr>
        <w:spacing w:after="0" w:line="4"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L. Goldstein, M.D.</w:t>
      </w:r>
    </w:p>
    <w:p>
      <w:pPr>
        <w:spacing w:after="0" w:line="200" w:lineRule="exact"/>
        <w:rPr>
          <w:sz w:val="20"/>
          <w:szCs w:val="20"/>
          <w:color w:val="auto"/>
        </w:rPr>
      </w:pPr>
    </w:p>
    <w:p>
      <w:pPr>
        <w:spacing w:after="0" w:line="294"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Eric M. Shooter, Ph.D.</w:t>
      </w:r>
    </w:p>
    <w:p>
      <w:pPr>
        <w:spacing w:after="0" w:line="33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George L. Sing</w:t>
      </w:r>
    </w:p>
    <w:p>
      <w:pPr>
        <w:spacing w:after="0" w:line="4"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L. Sing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159"/>
          </w:cols>
          <w:pgMar w:left="300" w:top="1261" w:right="1440" w:bottom="1440" w:gutter="0" w:footer="0" w:header="0"/>
        </w:sectPr>
      </w:pPr>
    </w:p>
    <w:bookmarkStart w:id="50" w:name="page51"/>
    <w:bookmarkEnd w:id="50"/>
    <w:p>
      <w:pPr>
        <w:jc w:val="right"/>
        <w:ind w:right="3359"/>
        <w:spacing w:after="0"/>
        <w:rPr>
          <w:sz w:val="20"/>
          <w:szCs w:val="20"/>
          <w:color w:val="auto"/>
        </w:rPr>
      </w:pPr>
      <w:r>
        <w:rPr>
          <w:rFonts w:ascii="Courier New" w:cs="Courier New" w:eastAsia="Courier New" w:hAnsi="Courier New"/>
          <w:sz w:val="14"/>
          <w:szCs w:val="14"/>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We hereby consent to the incorporation by reference in this Registration Statement on Form S-3 of our report, which is based in part on the report of other auditors, dated February 8, 2000 relating to the financial statements, which appears in Regeneron Pharmaceuticals, Inc.'s Annual Report on Form 10-K for the year ended December 31, 1999.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PricewaterhouseCoopers LLP</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 2000</w:t>
      </w:r>
    </w:p>
    <w:p>
      <w:pPr>
        <w:sectPr>
          <w:pgSz w:w="11900" w:h="16838" w:orient="portrait"/>
          <w:cols w:equalWidth="0" w:num="1">
            <w:col w:w="10159"/>
          </w:cols>
          <w:pgMar w:left="300" w:top="304" w:right="1440" w:bottom="1440" w:gutter="0" w:footer="0" w:header="0"/>
        </w:sectPr>
      </w:pPr>
    </w:p>
    <w:bookmarkStart w:id="51" w:name="page52"/>
    <w:bookmarkEnd w:id="51"/>
    <w:p>
      <w:pPr>
        <w:ind w:left="5680"/>
        <w:spacing w:after="0"/>
        <w:rPr>
          <w:sz w:val="20"/>
          <w:szCs w:val="20"/>
          <w:color w:val="auto"/>
        </w:rPr>
      </w:pPr>
      <w:r>
        <w:rPr>
          <w:rFonts w:ascii="Courier New" w:cs="Courier New" w:eastAsia="Courier New" w:hAnsi="Courier New"/>
          <w:sz w:val="14"/>
          <w:szCs w:val="14"/>
          <w:color w:val="auto"/>
        </w:rPr>
        <w:t>Exhibit 23.2</w:t>
      </w:r>
    </w:p>
    <w:p>
      <w:pPr>
        <w:spacing w:after="0" w:line="331"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S-3) and related Prospectus of Regeneron Pharmaceuticals, Inc. for the registration of 4,000,000 shares of its common stock and to the incorporation by reference therein of our report dated February 8, 2000, with respect to the financial statements of Amgen Regeneron Partners included in Regeneron Pharmaceuticals, Inc.'s Annual Report (Form 10-K) for the year ended December 31, 1999, filed with the Securities and Exchange Commission.</w:t>
      </w:r>
    </w:p>
    <w:p>
      <w:pPr>
        <w:spacing w:after="0" w:line="325"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ERNST &amp; YOUNG LLP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 2000</w:t>
      </w:r>
    </w:p>
    <w:sectPr>
      <w:pgSz w:w="11900" w:h="16838" w:orient="portrait"/>
      <w:cols w:equalWidth="0" w:num="1">
        <w:col w:w="10159"/>
      </w:cols>
      <w:pgMar w:left="300" w:top="6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212"/>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o"/>
      <w:numFmt w:val="bullet"/>
      <w:start w:val="1"/>
    </w:lvl>
  </w:abstractNum>
  <w:abstractNum w:abstractNumId="4">
    <w:nsid w:val="66EF438D"/>
    <w:multiLevelType w:val="hybridMultilevel"/>
    <w:lvl w:ilvl="0">
      <w:lvlJc w:val="left"/>
      <w:lvlText w:val="o"/>
      <w:numFmt w:val="bullet"/>
      <w:start w:val="1"/>
    </w:lvl>
  </w:abstractNum>
  <w:abstractNum w:abstractNumId="5">
    <w:nsid w:val="140E0F76"/>
    <w:multiLevelType w:val="hybridMultilevel"/>
    <w:lvl w:ilvl="0">
      <w:lvlJc w:val="left"/>
      <w:lvlText w:val="%1"/>
      <w:numFmt w:val="upperLetter"/>
      <w:start w:val="61"/>
    </w:lvl>
  </w:abstractNum>
  <w:abstractNum w:abstractNumId="6">
    <w:nsid w:val="3352255A"/>
    <w:multiLevelType w:val="hybridMultilevel"/>
    <w:lvl w:ilvl="0">
      <w:lvlJc w:val="left"/>
      <w:lvlText w:val="o"/>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o"/>
      <w:numFmt w:val="bullet"/>
      <w:start w:val="1"/>
    </w:lvl>
  </w:abstractNum>
  <w:abstractNum w:abstractNumId="9">
    <w:nsid w:val="7FDCC233"/>
    <w:multiLevelType w:val="hybridMultilevel"/>
    <w:lvl w:ilvl="0">
      <w:lvlJc w:val="left"/>
      <w:lvlText w:val="o"/>
      <w:numFmt w:val="bullet"/>
      <w:start w:val="1"/>
    </w:lvl>
  </w:abstractNum>
  <w:abstractNum w:abstractNumId="10">
    <w:nsid w:val="1BEFD79F"/>
    <w:multiLevelType w:val="hybridMultilevel"/>
    <w:lvl w:ilvl="0">
      <w:lvlJc w:val="left"/>
      <w:lvlText w:val="o"/>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o"/>
      <w:numFmt w:val="bullet"/>
      <w:start w:val="1"/>
    </w:lvl>
  </w:abstractNum>
  <w:abstractNum w:abstractNumId="13">
    <w:nsid w:val="4E6AFB66"/>
    <w:multiLevelType w:val="hybridMultilevel"/>
    <w:lvl w:ilvl="0">
      <w:lvlJc w:val="left"/>
      <w:lvlText w:val="o"/>
      <w:numFmt w:val="bullet"/>
      <w:start w:val="1"/>
    </w:lvl>
  </w:abstractNum>
  <w:abstractNum w:abstractNumId="14">
    <w:nsid w:val="25E45D32"/>
    <w:multiLevelType w:val="hybridMultilevel"/>
    <w:lvl w:ilvl="0">
      <w:lvlJc w:val="left"/>
      <w:lvlText w:val="o"/>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23"/>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2020-10-06T16:17:30Z</dcterms:created>
  <dcterms:modified xsi:type="dcterms:W3CDTF">2020-10-06T16:17:30Z</dcterms:modified>
</cp:coreProperties>
</file>