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Filed Pursuant to Rule 424(b)(3)</w:t>
            </w: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6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Registration No. 333-228352</w:t>
            </w:r>
          </w:p>
        </w:tc>
      </w:tr>
      <w:tr>
        <w:trPr>
          <w:trHeight w:val="43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20" w:type="dxa"/>
            <w:vAlign w:val="bottom"/>
            <w:gridSpan w:val="2"/>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9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2100" w:type="dxa"/>
            <w:vAlign w:val="bottom"/>
            <w:tcBorders>
              <w:top w:val="single" w:sz="8" w:color="auto"/>
            </w:tcBorders>
          </w:tcPr>
          <w:p>
            <w:pPr>
              <w:jc w:val="center"/>
              <w:ind w:right="227"/>
              <w:spacing w:after="0" w:line="116" w:lineRule="exact"/>
              <w:rPr>
                <w:sz w:val="20"/>
                <w:szCs w:val="20"/>
                <w:color w:val="auto"/>
              </w:rPr>
            </w:pPr>
            <w:r>
              <w:rPr>
                <w:rFonts w:ascii="Arial" w:cs="Arial" w:eastAsia="Arial" w:hAnsi="Arial"/>
                <w:sz w:val="13"/>
                <w:szCs w:val="13"/>
                <w:b w:val="1"/>
                <w:bCs w:val="1"/>
                <w:color w:val="auto"/>
                <w:w w:val="99"/>
              </w:rPr>
              <w:t>Maximum</w:t>
            </w:r>
          </w:p>
        </w:tc>
        <w:tc>
          <w:tcPr>
            <w:tcW w:w="142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9"/>
              </w:rPr>
              <w:t>Maximum</w:t>
            </w:r>
          </w:p>
        </w:tc>
        <w:tc>
          <w:tcPr>
            <w:tcW w:w="1940" w:type="dxa"/>
            <w:vAlign w:val="bottom"/>
            <w:tcBorders>
              <w:top w:val="single" w:sz="8" w:color="auto"/>
            </w:tcBorders>
          </w:tcPr>
          <w:p>
            <w:pPr>
              <w:ind w:left="900"/>
              <w:spacing w:after="0" w:line="116" w:lineRule="exact"/>
              <w:rPr>
                <w:sz w:val="20"/>
                <w:szCs w:val="20"/>
                <w:color w:val="auto"/>
              </w:rPr>
            </w:pPr>
            <w:r>
              <w:rPr>
                <w:rFonts w:ascii="Arial" w:cs="Arial" w:eastAsia="Arial" w:hAnsi="Arial"/>
                <w:sz w:val="13"/>
                <w:szCs w:val="13"/>
                <w:b w:val="1"/>
                <w:bCs w:val="1"/>
                <w:color w:val="auto"/>
              </w:rPr>
              <w:t>Amount of</w:t>
            </w:r>
          </w:p>
        </w:tc>
        <w:tc>
          <w:tcPr>
            <w:tcW w:w="5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w w:val="89"/>
              </w:rPr>
              <w:t>Title of each class of securities</w:t>
            </w:r>
          </w:p>
        </w:tc>
        <w:tc>
          <w:tcPr>
            <w:tcW w:w="1720" w:type="dxa"/>
            <w:vAlign w:val="bottom"/>
          </w:tcPr>
          <w:p>
            <w:pPr>
              <w:ind w:left="540"/>
              <w:spacing w:after="0"/>
              <w:rPr>
                <w:sz w:val="20"/>
                <w:szCs w:val="20"/>
                <w:color w:val="auto"/>
              </w:rPr>
            </w:pPr>
            <w:r>
              <w:rPr>
                <w:rFonts w:ascii="Arial" w:cs="Arial" w:eastAsia="Arial" w:hAnsi="Arial"/>
                <w:sz w:val="13"/>
                <w:szCs w:val="13"/>
                <w:b w:val="1"/>
                <w:bCs w:val="1"/>
                <w:color w:val="auto"/>
              </w:rPr>
              <w:t>Amount to be</w:t>
            </w:r>
          </w:p>
        </w:tc>
        <w:tc>
          <w:tcPr>
            <w:tcW w:w="2100" w:type="dxa"/>
            <w:vAlign w:val="bottom"/>
          </w:tcPr>
          <w:p>
            <w:pPr>
              <w:jc w:val="center"/>
              <w:ind w:right="247"/>
              <w:spacing w:after="0"/>
              <w:rPr>
                <w:sz w:val="20"/>
                <w:szCs w:val="20"/>
                <w:color w:val="auto"/>
              </w:rPr>
            </w:pPr>
            <w:r>
              <w:rPr>
                <w:rFonts w:ascii="Arial" w:cs="Arial" w:eastAsia="Arial" w:hAnsi="Arial"/>
                <w:sz w:val="13"/>
                <w:szCs w:val="13"/>
                <w:b w:val="1"/>
                <w:bCs w:val="1"/>
                <w:color w:val="auto"/>
                <w:w w:val="95"/>
              </w:rPr>
              <w:t>offering price per</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2"/>
              </w:rPr>
              <w:t>aggregate offering</w:t>
            </w:r>
          </w:p>
        </w:tc>
        <w:tc>
          <w:tcPr>
            <w:tcW w:w="2460" w:type="dxa"/>
            <w:vAlign w:val="bottom"/>
            <w:gridSpan w:val="2"/>
          </w:tcPr>
          <w:p>
            <w:pPr>
              <w:ind w:left="860"/>
              <w:spacing w:after="0"/>
              <w:rPr>
                <w:sz w:val="20"/>
                <w:szCs w:val="20"/>
                <w:color w:val="auto"/>
              </w:rPr>
            </w:pPr>
            <w:r>
              <w:rPr>
                <w:rFonts w:ascii="Arial" w:cs="Arial" w:eastAsia="Arial" w:hAnsi="Arial"/>
                <w:sz w:val="13"/>
                <w:szCs w:val="13"/>
                <w:b w:val="1"/>
                <w:bCs w:val="1"/>
                <w:color w:val="auto"/>
              </w:rPr>
              <w:t>registration</w:t>
            </w:r>
          </w:p>
        </w:tc>
      </w:tr>
      <w:tr>
        <w:trPr>
          <w:trHeight w:val="182"/>
        </w:trPr>
        <w:tc>
          <w:tcPr>
            <w:tcW w:w="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w w:val="90"/>
              </w:rPr>
              <w:t>to be registered</w:t>
            </w:r>
          </w:p>
        </w:tc>
        <w:tc>
          <w:tcPr>
            <w:tcW w:w="1720" w:type="dxa"/>
            <w:vAlign w:val="bottom"/>
          </w:tcPr>
          <w:p>
            <w:pPr>
              <w:jc w:val="center"/>
              <w:ind w:left="82"/>
              <w:spacing w:after="0"/>
              <w:rPr>
                <w:sz w:val="20"/>
                <w:szCs w:val="20"/>
                <w:color w:val="auto"/>
              </w:rPr>
            </w:pPr>
            <w:r>
              <w:rPr>
                <w:rFonts w:ascii="Arial" w:cs="Arial" w:eastAsia="Arial" w:hAnsi="Arial"/>
                <w:sz w:val="13"/>
                <w:szCs w:val="13"/>
                <w:b w:val="1"/>
                <w:bCs w:val="1"/>
                <w:color w:val="auto"/>
                <w:w w:val="91"/>
              </w:rPr>
              <w:t>registered(1)</w:t>
            </w:r>
          </w:p>
        </w:tc>
        <w:tc>
          <w:tcPr>
            <w:tcW w:w="2100" w:type="dxa"/>
            <w:vAlign w:val="bottom"/>
          </w:tcPr>
          <w:p>
            <w:pPr>
              <w:jc w:val="center"/>
              <w:ind w:right="247"/>
              <w:spacing w:after="0"/>
              <w:rPr>
                <w:sz w:val="20"/>
                <w:szCs w:val="20"/>
                <w:color w:val="auto"/>
              </w:rPr>
            </w:pPr>
            <w:r>
              <w:rPr>
                <w:rFonts w:ascii="Arial" w:cs="Arial" w:eastAsia="Arial" w:hAnsi="Arial"/>
                <w:sz w:val="13"/>
                <w:szCs w:val="13"/>
                <w:b w:val="1"/>
                <w:bCs w:val="1"/>
                <w:color w:val="auto"/>
                <w:w w:val="92"/>
              </w:rPr>
              <w:t>unit</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Price(1)</w:t>
            </w:r>
          </w:p>
        </w:tc>
        <w:tc>
          <w:tcPr>
            <w:tcW w:w="24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fee(2)</w:t>
            </w:r>
          </w:p>
        </w:tc>
      </w:tr>
      <w:tr>
        <w:trPr>
          <w:trHeight w:val="208"/>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Common Stock, par value $0.001 per</w:t>
            </w:r>
          </w:p>
        </w:tc>
        <w:tc>
          <w:tcPr>
            <w:tcW w:w="17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share</w:t>
            </w:r>
          </w:p>
        </w:tc>
        <w:tc>
          <w:tcPr>
            <w:tcW w:w="1720" w:type="dxa"/>
            <w:vAlign w:val="bottom"/>
          </w:tcPr>
          <w:p>
            <w:pPr>
              <w:jc w:val="right"/>
              <w:ind w:right="302"/>
              <w:spacing w:after="0"/>
              <w:rPr>
                <w:sz w:val="20"/>
                <w:szCs w:val="20"/>
                <w:color w:val="auto"/>
              </w:rPr>
            </w:pPr>
            <w:r>
              <w:rPr>
                <w:rFonts w:ascii="Arial" w:cs="Arial" w:eastAsia="Arial" w:hAnsi="Arial"/>
                <w:sz w:val="18"/>
                <w:szCs w:val="18"/>
                <w:color w:val="auto"/>
              </w:rPr>
              <w:t>13,014,646</w:t>
            </w:r>
          </w:p>
        </w:tc>
        <w:tc>
          <w:tcPr>
            <w:tcW w:w="2100" w:type="dxa"/>
            <w:vAlign w:val="bottom"/>
          </w:tcPr>
          <w:p>
            <w:pPr>
              <w:jc w:val="center"/>
              <w:ind w:right="247"/>
              <w:spacing w:after="0"/>
              <w:rPr>
                <w:sz w:val="20"/>
                <w:szCs w:val="20"/>
                <w:color w:val="auto"/>
              </w:rPr>
            </w:pPr>
            <w:r>
              <w:rPr>
                <w:rFonts w:ascii="Arial" w:cs="Arial" w:eastAsia="Arial" w:hAnsi="Arial"/>
                <w:sz w:val="18"/>
                <w:szCs w:val="18"/>
                <w:color w:val="auto"/>
                <w:w w:val="89"/>
              </w:rPr>
              <w:t>$515.00</w:t>
            </w: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$6,702,542,690.00</w:t>
            </w:r>
          </w:p>
        </w:tc>
        <w:tc>
          <w:tcPr>
            <w:tcW w:w="1940" w:type="dxa"/>
            <w:vAlign w:val="bottom"/>
          </w:tcPr>
          <w:p>
            <w:pPr>
              <w:jc w:val="right"/>
              <w:ind w:right="222"/>
              <w:spacing w:after="0"/>
              <w:rPr>
                <w:sz w:val="20"/>
                <w:szCs w:val="20"/>
                <w:color w:val="auto"/>
              </w:rPr>
            </w:pPr>
            <w:r>
              <w:rPr>
                <w:rFonts w:ascii="Arial" w:cs="Arial" w:eastAsia="Arial" w:hAnsi="Arial"/>
                <w:sz w:val="18"/>
                <w:szCs w:val="18"/>
                <w:color w:val="auto"/>
              </w:rPr>
              <w:t>$869,990.05</w:t>
            </w:r>
          </w:p>
        </w:tc>
        <w:tc>
          <w:tcPr>
            <w:tcW w:w="520" w:type="dxa"/>
            <w:vAlign w:val="bottom"/>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21"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that the underwriters exercise their option to purchase 1,183,150 additional shares.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in accordance with Rule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333-228352</w:t>
      </w:r>
    </w:p>
    <w:p>
      <w:pPr>
        <w:spacing w:after="0" w:line="213" w:lineRule="exact"/>
        <w:rPr>
          <w:sz w:val="20"/>
          <w:szCs w:val="20"/>
          <w:color w:val="auto"/>
        </w:rPr>
      </w:pPr>
    </w:p>
    <w:p>
      <w:pPr>
        <w:jc w:val="center"/>
        <w:ind w:right="812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jc w:val="center"/>
        <w:ind w:right="8120"/>
        <w:spacing w:after="0"/>
        <w:rPr>
          <w:sz w:val="20"/>
          <w:szCs w:val="20"/>
          <w:color w:val="auto"/>
        </w:rPr>
      </w:pPr>
      <w:r>
        <w:rPr>
          <w:rFonts w:ascii="Arial" w:cs="Arial" w:eastAsia="Arial" w:hAnsi="Arial"/>
          <w:sz w:val="15"/>
          <w:szCs w:val="15"/>
          <w:b w:val="1"/>
          <w:bCs w:val="1"/>
          <w:color w:val="auto"/>
        </w:rPr>
        <w:t>(To Prospectus dated November 13,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11,831,496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160020</wp:posOffset>
            </wp:positionV>
            <wp:extent cx="2726055" cy="334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This prospectus supplement relates to an offering of 11,831,496 shares of our common stock, par value $0.001 per share, by Sanofi ("Sanofi") and its indirectly wholly owned subsidiary, Aventisub LLC ("Aventisub," and, collectively with Sanofi, the "selling shareholders"). We will not receive any of the proceeds from the sale of shares of our common stock sold in this offering.</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Subject to the completion of this offering, we have agreed to purchase an aggregate of approximately $5 billion of common stock from Sanofi at the price at which the shares of common stock are sold to the public in this offering, less the underwriting discount, as described in the section of this prospectus supplement entitled "Prospectus Summary—Recent Developments—Share Repurchase." Following this offering and the approximate $5 billion share repurchase (and assuming that the underwriters exercise their option to purchase additional shares in full), the selling shareholders will have disposed of all of the shares of our common stock held by Sanofi and its affiliates, other than 400,000 shares that Sanofi intends to retain.</w:t>
      </w:r>
    </w:p>
    <w:p>
      <w:pPr>
        <w:spacing w:after="0" w:line="16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stock is listed for trading on the Nasdaq Global Select Market under the symbol "REGN." The last reported sale price of our common stock on May 26, 2020 was $545.21 per share.</w:t>
      </w:r>
    </w:p>
    <w:p>
      <w:pPr>
        <w:spacing w:after="0" w:line="167" w:lineRule="exact"/>
        <w:rPr>
          <w:sz w:val="20"/>
          <w:szCs w:val="20"/>
          <w:color w:val="auto"/>
        </w:rPr>
      </w:pPr>
    </w:p>
    <w:p>
      <w:pPr>
        <w:ind w:right="60" w:firstLine="351"/>
        <w:spacing w:after="0" w:line="237"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our common stock involves risks, including those described in the "Risk Factors" section beginning on </w:t>
      </w:r>
      <w:hyperlink r:id="rId11">
        <w:r>
          <w:rPr>
            <w:rFonts w:ascii="Arial" w:cs="Arial" w:eastAsia="Arial" w:hAnsi="Arial"/>
            <w:sz w:val="22"/>
            <w:szCs w:val="22"/>
            <w:b w:val="1"/>
            <w:bCs w:val="1"/>
            <w:color w:val="auto"/>
          </w:rPr>
          <w:t xml:space="preserve">page S-7 of this prospectus supplement and the sections entitled "Risk Factors" beginning on page 27 of our </w:t>
        </w:r>
        <w:r>
          <w:rPr>
            <w:rFonts w:ascii="Arial" w:cs="Arial" w:eastAsia="Arial" w:hAnsi="Arial"/>
            <w:sz w:val="22"/>
            <w:szCs w:val="22"/>
            <w:b w:val="1"/>
            <w:bCs w:val="1"/>
            <w:u w:val="single" w:color="auto"/>
            <w:color w:val="0000EE"/>
          </w:rPr>
          <w:t>Annual</w:t>
        </w:r>
      </w:hyperlink>
      <w:r>
        <w:rPr>
          <w:rFonts w:ascii="Arial" w:cs="Arial" w:eastAsia="Arial" w:hAnsi="Arial"/>
          <w:sz w:val="22"/>
          <w:szCs w:val="22"/>
          <w:b w:val="1"/>
          <w:bCs w:val="1"/>
          <w:color w:val="auto"/>
        </w:rPr>
        <w:t xml:space="preserve"> </w:t>
      </w:r>
      <w:hyperlink r:id="rId12">
        <w:r>
          <w:rPr>
            <w:rFonts w:ascii="Arial" w:cs="Arial" w:eastAsia="Arial" w:hAnsi="Arial"/>
            <w:sz w:val="22"/>
            <w:szCs w:val="22"/>
            <w:b w:val="1"/>
            <w:bCs w:val="1"/>
            <w:u w:val="single" w:color="auto"/>
            <w:color w:val="0000EE"/>
          </w:rPr>
          <w:t>Report on Form 10-K for the year ended December 31, 2019</w:t>
        </w:r>
        <w:r>
          <w:rPr>
            <w:rFonts w:ascii="Arial" w:cs="Arial" w:eastAsia="Arial" w:hAnsi="Arial"/>
            <w:sz w:val="22"/>
            <w:szCs w:val="22"/>
            <w:b w:val="1"/>
            <w:bCs w:val="1"/>
            <w:color w:val="000000"/>
          </w:rPr>
          <w:t>, and beginning on page 43 of our most recent</w:t>
        </w:r>
        <w:r>
          <w:rPr>
            <w:rFonts w:ascii="Arial" w:cs="Arial" w:eastAsia="Arial" w:hAnsi="Arial"/>
            <w:sz w:val="22"/>
            <w:szCs w:val="22"/>
            <w:b w:val="1"/>
            <w:bCs w:val="1"/>
            <w:color w:val="0000EE"/>
          </w:rPr>
          <w:t xml:space="preserve"> </w:t>
        </w:r>
        <w:r>
          <w:rPr>
            <w:rFonts w:ascii="Arial" w:cs="Arial" w:eastAsia="Arial" w:hAnsi="Arial"/>
            <w:sz w:val="22"/>
            <w:szCs w:val="22"/>
            <w:b w:val="1"/>
            <w:bCs w:val="1"/>
            <w:u w:val="single" w:color="auto"/>
            <w:color w:val="0000EE"/>
          </w:rPr>
          <w:t>Quarterly</w:t>
        </w:r>
      </w:hyperlink>
      <w:r>
        <w:rPr>
          <w:rFonts w:ascii="Arial" w:cs="Arial" w:eastAsia="Arial" w:hAnsi="Arial"/>
          <w:sz w:val="22"/>
          <w:szCs w:val="22"/>
          <w:b w:val="1"/>
          <w:bCs w:val="1"/>
          <w:color w:val="0000EE"/>
        </w:rPr>
        <w:t xml:space="preserve"> </w:t>
      </w:r>
      <w:hyperlink r:id="rId12">
        <w:r>
          <w:rPr>
            <w:rFonts w:ascii="Arial" w:cs="Arial" w:eastAsia="Arial" w:hAnsi="Arial"/>
            <w:sz w:val="22"/>
            <w:szCs w:val="22"/>
            <w:b w:val="1"/>
            <w:bCs w:val="1"/>
            <w:u w:val="single" w:color="auto"/>
            <w:color w:val="0000EE"/>
          </w:rPr>
          <w:t>Report on Form 10-Q for the quarterly period ended March 31, 2020</w:t>
        </w:r>
        <w:r>
          <w:rPr>
            <w:rFonts w:ascii="Arial" w:cs="Arial" w:eastAsia="Arial" w:hAnsi="Arial"/>
            <w:sz w:val="22"/>
            <w:szCs w:val="22"/>
            <w:b w:val="1"/>
            <w:bCs w:val="1"/>
            <w:color w:val="000000"/>
          </w:rPr>
          <w:t xml:space="preserve">, each of which is incorporated by reference into </w:t>
        </w:r>
      </w:hyperlink>
      <w:r>
        <w:rPr>
          <w:rFonts w:ascii="Arial" w:cs="Arial" w:eastAsia="Arial" w:hAnsi="Arial"/>
          <w:sz w:val="22"/>
          <w:szCs w:val="22"/>
          <w:b w:val="1"/>
          <w:bCs w:val="1"/>
          <w:color w:val="0000EE"/>
        </w:rPr>
        <w:t xml:space="preserve">this </w:t>
      </w:r>
      <w:r>
        <w:rPr>
          <w:rFonts w:ascii="Arial" w:cs="Arial" w:eastAsia="Arial" w:hAnsi="Arial"/>
          <w:sz w:val="22"/>
          <w:szCs w:val="22"/>
          <w:b w:val="1"/>
          <w:bCs w:val="1"/>
          <w:color w:val="000000"/>
        </w:rPr>
        <w:t>prospectus supplement.</w:t>
      </w:r>
    </w:p>
    <w:p>
      <w:pPr>
        <w:spacing w:after="0" w:line="20" w:lineRule="exact"/>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column">
              <wp:posOffset>2670810</wp:posOffset>
            </wp:positionH>
            <wp:positionV relativeFrom="paragraph">
              <wp:posOffset>132715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93" w:lineRule="exact"/>
        <w:rPr>
          <w:rFonts w:ascii="Arial" w:cs="Arial" w:eastAsia="Arial" w:hAnsi="Arial"/>
          <w:sz w:val="22"/>
          <w:szCs w:val="22"/>
          <w:b w:val="1"/>
          <w:bCs w:val="1"/>
          <w:color w:val="auto"/>
        </w:rPr>
      </w:pPr>
    </w:p>
    <w:tbl>
      <w:tblPr>
        <w:tblLayout w:type="fixed"/>
        <w:tblInd w:w="1040" w:type="dxa"/>
        <w:tblCellMar>
          <w:top w:w="0" w:type="dxa"/>
          <w:left w:w="0" w:type="dxa"/>
          <w:bottom w:w="0" w:type="dxa"/>
          <w:right w:w="0" w:type="dxa"/>
        </w:tblCellMar>
      </w:tblPr>
      <w:tr>
        <w:trPr>
          <w:trHeight w:val="40"/>
        </w:trPr>
        <w:tc>
          <w:tcPr>
            <w:tcW w:w="472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55"/>
        </w:trPr>
        <w:tc>
          <w:tcPr>
            <w:tcW w:w="472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3"/>
                <w:szCs w:val="13"/>
                <w:b w:val="1"/>
                <w:bCs w:val="1"/>
                <w:color w:val="auto"/>
              </w:rPr>
              <w:t>Per share</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420"/>
              <w:spacing w:after="0"/>
              <w:rPr>
                <w:sz w:val="20"/>
                <w:szCs w:val="20"/>
                <w:color w:val="auto"/>
              </w:rPr>
            </w:pPr>
            <w:r>
              <w:rPr>
                <w:rFonts w:ascii="Arial" w:cs="Arial" w:eastAsia="Arial" w:hAnsi="Arial"/>
                <w:sz w:val="13"/>
                <w:szCs w:val="13"/>
                <w:b w:val="1"/>
                <w:bCs w:val="1"/>
                <w:color w:val="auto"/>
              </w:rPr>
              <w:t>Total</w:t>
            </w:r>
          </w:p>
        </w:tc>
      </w:tr>
      <w:tr>
        <w:trPr>
          <w:trHeight w:val="216"/>
        </w:trPr>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Public offering price</w:t>
            </w:r>
          </w:p>
        </w:tc>
        <w:tc>
          <w:tcPr>
            <w:tcW w:w="2040" w:type="dxa"/>
            <w:vAlign w:val="bottom"/>
            <w:tcBorders>
              <w:top w:val="single" w:sz="8" w:color="auto"/>
            </w:tcBorders>
          </w:tcPr>
          <w:p>
            <w:pPr>
              <w:jc w:val="right"/>
              <w:ind w:right="91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515.00</w:t>
            </w:r>
          </w:p>
        </w:tc>
        <w:tc>
          <w:tcPr>
            <w:tcW w:w="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6,093,220,440.00</w:t>
            </w:r>
          </w:p>
        </w:tc>
        <w:tc>
          <w:tcPr>
            <w:tcW w:w="20" w:type="dxa"/>
            <w:vAlign w:val="bottom"/>
          </w:tcPr>
          <w:p>
            <w:pPr>
              <w:spacing w:after="0"/>
              <w:rPr>
                <w:sz w:val="18"/>
                <w:szCs w:val="18"/>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40" w:type="dxa"/>
            <w:vAlign w:val="bottom"/>
          </w:tcPr>
          <w:p>
            <w:pPr>
              <w:jc w:val="right"/>
              <w:ind w:right="91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60,932,204.40</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Proceeds, before expenses, to the selling shareholders</w:t>
            </w:r>
          </w:p>
        </w:tc>
        <w:tc>
          <w:tcPr>
            <w:tcW w:w="2040" w:type="dxa"/>
            <w:vAlign w:val="bottom"/>
          </w:tcPr>
          <w:p>
            <w:pPr>
              <w:jc w:val="right"/>
              <w:ind w:right="91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509.85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6,032,288,235.60</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rFonts w:ascii="Arial" w:cs="Arial" w:eastAsia="Arial" w:hAnsi="Arial"/>
          <w:sz w:val="22"/>
          <w:szCs w:val="22"/>
          <w:b w:val="1"/>
          <w:bCs w:val="1"/>
          <w:color w:val="auto"/>
        </w:rPr>
      </w:pPr>
    </w:p>
    <w:p>
      <w:pPr>
        <w:ind w:right="180" w:firstLine="348"/>
        <w:spacing w:after="0" w:line="268" w:lineRule="auto"/>
        <w:rPr>
          <w:sz w:val="20"/>
          <w:szCs w:val="20"/>
          <w:color w:val="auto"/>
        </w:rPr>
      </w:pPr>
      <w:r>
        <w:rPr>
          <w:rFonts w:ascii="Arial" w:cs="Arial" w:eastAsia="Arial" w:hAnsi="Arial"/>
          <w:sz w:val="18"/>
          <w:szCs w:val="18"/>
          <w:color w:val="auto"/>
        </w:rPr>
        <w:t>The underwriters may also purchase up to an additional 1,183,150 shares of our common stock from the selling shareholders at the public offering price, less the underwriting discount, within 30 days from the date of this prospectus supplement.</w:t>
      </w:r>
    </w:p>
    <w:p>
      <w:pPr>
        <w:spacing w:after="0" w:line="180" w:lineRule="exact"/>
        <w:rPr>
          <w:rFonts w:ascii="Arial" w:cs="Arial" w:eastAsia="Arial" w:hAnsi="Arial"/>
          <w:sz w:val="22"/>
          <w:szCs w:val="22"/>
          <w:b w:val="1"/>
          <w:bCs w:val="1"/>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2" w:lineRule="exact"/>
        <w:rPr>
          <w:rFonts w:ascii="Arial" w:cs="Arial" w:eastAsia="Arial" w:hAnsi="Arial"/>
          <w:sz w:val="22"/>
          <w:szCs w:val="22"/>
          <w:b w:val="1"/>
          <w:bCs w:val="1"/>
          <w:color w:val="auto"/>
        </w:rPr>
      </w:pPr>
    </w:p>
    <w:p>
      <w:pPr>
        <w:ind w:left="360"/>
        <w:spacing w:after="0"/>
        <w:rPr>
          <w:sz w:val="20"/>
          <w:szCs w:val="20"/>
          <w:color w:val="auto"/>
        </w:rPr>
      </w:pPr>
      <w:r>
        <w:rPr>
          <w:rFonts w:ascii="Arial" w:cs="Arial" w:eastAsia="Arial" w:hAnsi="Arial"/>
          <w:sz w:val="18"/>
          <w:szCs w:val="18"/>
          <w:color w:val="auto"/>
        </w:rPr>
        <w:t>The underwriters expect to deliver the shares on or about May 29, 2020.</w:t>
      </w:r>
    </w:p>
    <w:p>
      <w:pPr>
        <w:spacing w:after="0" w:line="20" w:lineRule="exact"/>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column">
              <wp:posOffset>2670810</wp:posOffset>
            </wp:positionH>
            <wp:positionV relativeFrom="paragraph">
              <wp:posOffset>147955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59" w:lineRule="exact"/>
        <w:rPr>
          <w:rFonts w:ascii="Arial" w:cs="Arial" w:eastAsia="Arial" w:hAnsi="Arial"/>
          <w:sz w:val="22"/>
          <w:szCs w:val="22"/>
          <w:b w:val="1"/>
          <w:bCs w:val="1"/>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w w:val="89"/>
              </w:rPr>
              <w:t>Joint Book-Running Managers</w:t>
            </w:r>
          </w:p>
        </w:tc>
        <w:tc>
          <w:tcPr>
            <w:tcW w:w="4200" w:type="dxa"/>
            <w:vAlign w:val="bottom"/>
          </w:tcPr>
          <w:p>
            <w:pPr>
              <w:spacing w:after="0"/>
              <w:rPr>
                <w:sz w:val="19"/>
                <w:szCs w:val="19"/>
                <w:color w:val="auto"/>
              </w:rPr>
            </w:pPr>
          </w:p>
        </w:tc>
      </w:tr>
      <w:tr>
        <w:trPr>
          <w:trHeight w:val="506"/>
        </w:trPr>
        <w:tc>
          <w:tcPr>
            <w:tcW w:w="4200" w:type="dxa"/>
            <w:vAlign w:val="bottom"/>
          </w:tcPr>
          <w:p>
            <w:pPr>
              <w:spacing w:after="0"/>
              <w:rPr>
                <w:sz w:val="20"/>
                <w:szCs w:val="20"/>
                <w:color w:val="auto"/>
              </w:rPr>
            </w:pPr>
            <w:r>
              <w:rPr>
                <w:rFonts w:ascii="Arial" w:cs="Arial" w:eastAsia="Arial" w:hAnsi="Arial"/>
                <w:sz w:val="24"/>
                <w:szCs w:val="24"/>
                <w:b w:val="1"/>
                <w:bCs w:val="1"/>
                <w:color w:val="auto"/>
              </w:rPr>
              <w:t>BofA Securities</w:t>
            </w:r>
          </w:p>
        </w:tc>
        <w:tc>
          <w:tcPr>
            <w:tcW w:w="2840" w:type="dxa"/>
            <w:vAlign w:val="bottom"/>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24"/>
                <w:szCs w:val="24"/>
                <w:b w:val="1"/>
                <w:bCs w:val="1"/>
                <w:color w:val="auto"/>
              </w:rPr>
              <w:t>Goldman Sachs &amp; Co. LLC</w:t>
            </w:r>
          </w:p>
        </w:tc>
      </w:tr>
      <w:tr>
        <w:trPr>
          <w:trHeight w:val="931"/>
        </w:trPr>
        <w:tc>
          <w:tcPr>
            <w:tcW w:w="4200" w:type="dxa"/>
            <w:vAlign w:val="bottom"/>
          </w:tcPr>
          <w:p>
            <w:pPr>
              <w:spacing w:after="0"/>
              <w:rPr>
                <w:sz w:val="20"/>
                <w:szCs w:val="20"/>
                <w:color w:val="auto"/>
              </w:rPr>
            </w:pPr>
            <w:r>
              <w:rPr>
                <w:rFonts w:ascii="Arial" w:cs="Arial" w:eastAsia="Arial" w:hAnsi="Arial"/>
                <w:sz w:val="24"/>
                <w:szCs w:val="24"/>
                <w:b w:val="1"/>
                <w:bCs w:val="1"/>
                <w:color w:val="auto"/>
              </w:rPr>
              <w:t>Barclays</w:t>
            </w:r>
          </w:p>
        </w:tc>
        <w:tc>
          <w:tcPr>
            <w:tcW w:w="2840" w:type="dxa"/>
            <w:vAlign w:val="bottom"/>
          </w:tcPr>
          <w:p>
            <w:pPr>
              <w:jc w:val="center"/>
              <w:spacing w:after="0"/>
              <w:rPr>
                <w:sz w:val="20"/>
                <w:szCs w:val="20"/>
                <w:color w:val="auto"/>
              </w:rPr>
            </w:pPr>
            <w:r>
              <w:rPr>
                <w:rFonts w:ascii="Arial" w:cs="Arial" w:eastAsia="Arial" w:hAnsi="Arial"/>
                <w:sz w:val="24"/>
                <w:szCs w:val="24"/>
                <w:b w:val="1"/>
                <w:bCs w:val="1"/>
                <w:color w:val="auto"/>
                <w:w w:val="96"/>
              </w:rPr>
              <w:t>BNP PARIBAS</w:t>
            </w:r>
          </w:p>
        </w:tc>
        <w:tc>
          <w:tcPr>
            <w:tcW w:w="4200" w:type="dxa"/>
            <w:vAlign w:val="bottom"/>
          </w:tcPr>
          <w:p>
            <w:pPr>
              <w:jc w:val="right"/>
              <w:spacing w:after="0"/>
              <w:rPr>
                <w:sz w:val="20"/>
                <w:szCs w:val="20"/>
                <w:color w:val="auto"/>
              </w:rPr>
            </w:pPr>
            <w:r>
              <w:rPr>
                <w:rFonts w:ascii="Arial" w:cs="Arial" w:eastAsia="Arial" w:hAnsi="Arial"/>
                <w:sz w:val="24"/>
                <w:szCs w:val="24"/>
                <w:b w:val="1"/>
                <w:bCs w:val="1"/>
                <w:color w:val="auto"/>
              </w:rPr>
              <w:t>Citigroup</w:t>
            </w:r>
          </w:p>
        </w:tc>
      </w:tr>
      <w:tr>
        <w:trPr>
          <w:trHeight w:val="931"/>
        </w:trPr>
        <w:tc>
          <w:tcPr>
            <w:tcW w:w="4200" w:type="dxa"/>
            <w:vAlign w:val="bottom"/>
          </w:tcPr>
          <w:p>
            <w:pPr>
              <w:ind w:left="2060"/>
              <w:spacing w:after="0"/>
              <w:rPr>
                <w:sz w:val="20"/>
                <w:szCs w:val="20"/>
                <w:color w:val="auto"/>
              </w:rPr>
            </w:pPr>
            <w:r>
              <w:rPr>
                <w:rFonts w:ascii="Arial" w:cs="Arial" w:eastAsia="Arial" w:hAnsi="Arial"/>
                <w:sz w:val="24"/>
                <w:szCs w:val="24"/>
                <w:b w:val="1"/>
                <w:bCs w:val="1"/>
                <w:color w:val="auto"/>
              </w:rPr>
              <w:t>J.P. Morgan</w:t>
            </w:r>
          </w:p>
        </w:tc>
        <w:tc>
          <w:tcPr>
            <w:tcW w:w="2840" w:type="dxa"/>
            <w:vAlign w:val="bottom"/>
          </w:tcPr>
          <w:p>
            <w:pPr>
              <w:spacing w:after="0"/>
              <w:rPr>
                <w:sz w:val="24"/>
                <w:szCs w:val="24"/>
                <w:color w:val="auto"/>
              </w:rPr>
            </w:pPr>
          </w:p>
        </w:tc>
        <w:tc>
          <w:tcPr>
            <w:tcW w:w="4200" w:type="dxa"/>
            <w:vAlign w:val="bottom"/>
          </w:tcPr>
          <w:p>
            <w:pPr>
              <w:jc w:val="right"/>
              <w:ind w:right="1739"/>
              <w:spacing w:after="0"/>
              <w:rPr>
                <w:sz w:val="20"/>
                <w:szCs w:val="20"/>
                <w:color w:val="auto"/>
              </w:rPr>
            </w:pPr>
            <w:r>
              <w:rPr>
                <w:rFonts w:ascii="Arial" w:cs="Arial" w:eastAsia="Arial" w:hAnsi="Arial"/>
                <w:sz w:val="24"/>
                <w:szCs w:val="24"/>
                <w:b w:val="1"/>
                <w:bCs w:val="1"/>
                <w:color w:val="auto"/>
              </w:rPr>
              <w:t>Morgan Stanley</w:t>
            </w:r>
          </w:p>
        </w:tc>
      </w:tr>
      <w:tr>
        <w:trPr>
          <w:trHeight w:val="211"/>
        </w:trPr>
        <w:tc>
          <w:tcPr>
            <w:tcW w:w="420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4200" w:type="dxa"/>
            <w:vAlign w:val="bottom"/>
          </w:tcPr>
          <w:p>
            <w:pPr>
              <w:spacing w:after="0"/>
              <w:rPr>
                <w:sz w:val="18"/>
                <w:szCs w:val="18"/>
                <w:color w:val="auto"/>
              </w:rPr>
            </w:pPr>
          </w:p>
        </w:tc>
      </w:tr>
    </w:tbl>
    <w:p>
      <w:pPr>
        <w:sectPr>
          <w:pgSz w:w="11900" w:h="16838" w:orient="portrait"/>
          <w:cols w:equalWidth="0" w:num="1">
            <w:col w:w="11240"/>
          </w:cols>
          <w:pgMar w:left="320" w:top="131" w:right="339" w:bottom="217"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Prospectus Supplement dated May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172085</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340" w:type="dxa"/>
            <w:vAlign w:val="bottom"/>
            <w:gridSpan w:val="4"/>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tc>
        <w:tc>
          <w:tcPr>
            <w:tcW w:w="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gridSpan w:val="4"/>
            <w:vMerge w:val="continue"/>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SPECIAL NOTE REGARDING FORWARD-LOOKING STATEMENTS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 REGARDING TRADEMARKS AND TRADE NAMES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S-v</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SUMMARY</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S-7</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SELECTED CONSOLIDATED HISTORICAL FINANCIAL DATA</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USE OF PROCEEDS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S-13</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CAPITALIZATION</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SELLING SHAREHOLDERS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S-15</w:t>
              </w:r>
            </w:hyperlink>
          </w:p>
        </w:tc>
        <w:tc>
          <w:tcPr>
            <w:tcW w:w="0" w:type="dxa"/>
            <w:vAlign w:val="bottom"/>
          </w:tcPr>
          <w:p>
            <w:pPr>
              <w:spacing w:after="0"/>
              <w:rPr>
                <w:sz w:val="1"/>
                <w:szCs w:val="1"/>
                <w:color w:val="auto"/>
              </w:rPr>
            </w:pPr>
          </w:p>
        </w:tc>
      </w:tr>
      <w:tr>
        <w:trPr>
          <w:trHeight w:val="184"/>
        </w:trPr>
        <w:tc>
          <w:tcPr>
            <w:tcW w:w="8340" w:type="dxa"/>
            <w:vAlign w:val="bottom"/>
            <w:gridSpan w:val="4"/>
          </w:tcPr>
          <w:p>
            <w:pPr>
              <w:spacing w:after="0" w:line="184" w:lineRule="exact"/>
              <w:rPr>
                <w:rFonts w:ascii="Arial" w:cs="Arial" w:eastAsia="Arial" w:hAnsi="Arial"/>
                <w:sz w:val="18"/>
                <w:szCs w:val="18"/>
                <w:color w:val="0000EE"/>
              </w:rPr>
            </w:pPr>
            <w:hyperlink w:anchor="page24">
              <w:r>
                <w:rPr>
                  <w:rFonts w:ascii="Arial" w:cs="Arial" w:eastAsia="Arial" w:hAnsi="Arial"/>
                  <w:sz w:val="18"/>
                  <w:szCs w:val="18"/>
                  <w:color w:val="0000EE"/>
                </w:rPr>
                <w:t>MATERIAL U.S. FEDERAL INCOME TAX CONSIDERATIONS TO NON-U.S. HOLDERS OF COMMON</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STOCK</w:t>
              </w:r>
            </w:hyperlink>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line="196" w:lineRule="exact"/>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gridSpan w:val="4"/>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UNDERWRITING</w:t>
              </w:r>
            </w:hyperlink>
          </w:p>
        </w:tc>
        <w:tc>
          <w:tcPr>
            <w:tcW w:w="40" w:type="dxa"/>
            <w:vAlign w:val="bottom"/>
          </w:tcPr>
          <w:p>
            <w:pPr>
              <w:spacing w:after="0"/>
              <w:rPr>
                <w:sz w:val="19"/>
                <w:szCs w:val="19"/>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S-20</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VALIDITY OF THE COMMON STOCK</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S-27</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EXPERTS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S-27</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WHERE YOU CAN FIND MORE INFORMATION AND INCORPORATION BY REFERENCE</w:t>
              </w:r>
            </w:hyperlink>
          </w:p>
        </w:tc>
        <w:tc>
          <w:tcPr>
            <w:tcW w:w="40" w:type="dxa"/>
            <w:vAlign w:val="bottom"/>
          </w:tcPr>
          <w:p>
            <w:pPr>
              <w:spacing w:after="0"/>
              <w:rPr>
                <w:sz w:val="19"/>
                <w:szCs w:val="19"/>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S-28</w:t>
              </w:r>
            </w:hyperlink>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0" w:type="dxa"/>
            <w:vAlign w:val="bottom"/>
            <w:gridSpan w:val="2"/>
          </w:tcPr>
          <w:p>
            <w:pPr>
              <w:ind w:left="3320"/>
              <w:spacing w:after="0"/>
              <w:rPr>
                <w:sz w:val="20"/>
                <w:szCs w:val="20"/>
                <w:color w:val="auto"/>
              </w:rPr>
            </w:pPr>
            <w:r>
              <w:rPr>
                <w:rFonts w:ascii="Arial" w:cs="Arial" w:eastAsia="Arial" w:hAnsi="Arial"/>
                <w:sz w:val="18"/>
                <w:szCs w:val="18"/>
                <w:b w:val="1"/>
                <w:bCs w:val="1"/>
                <w:color w:val="auto"/>
              </w:rPr>
              <w:t>Prospectus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340" w:type="dxa"/>
            <w:vAlign w:val="bottom"/>
            <w:gridSpan w:val="4"/>
            <w:vMerge w:val="restart"/>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ABOUT THIS PROSPECTUS</w:t>
              </w:r>
            </w:hyperlink>
          </w:p>
        </w:tc>
        <w:tc>
          <w:tcPr>
            <w:tcW w:w="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CAUTIONARY STATEMENT REGARDING FORWARD-LOOKING STATEMENTS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NOTE REGARDING TRADEMARKS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SUMMARY</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USE OF PROCEEDS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SECURITIES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CAPITAL STOCK</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DEBT SECURITIES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WARRANTS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PLAN OF DISTRIBUTION</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LEGAL MATTERS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EXPERTS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WHERE YOU CAN FIND MORE INFORMATION</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When used in this prospectus supplement, the terms "Regeneron," "Company," "we," "our," and "us" refer to Regeneron Pharmaceuticals, Inc. and its subsidiaries, unless otherwise specified.</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document is in two parts. The first part is this prospectus supplement, which contains specific information about the selling shareholders and the terms on which the selling shareholders are offering and selling our common stock. The second part is the accompanying prospectus dated November 13, 2018, which contains and incorporates by reference important business and financial information about us and other information about the offering.</w:t>
      </w:r>
    </w:p>
    <w:p>
      <w:pPr>
        <w:spacing w:after="0" w:line="16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 using a "shelf" registration process. In this prospectus supplement, we provide you with specific information about the shares of our common stock that the selling shareholders are selling in this offering. Both this prospectus supplement and the accompanying prospectus include important information about us, our common stock, the selling shareholders and other information you should know before investing. This prospectus supplement also adds to, updates and changes information contained in the accompanying prospectus. You should read both this prospectus supplement and the accompanying prospectus as well as additional information described under "Where You Can Find More Information and Incorporation By Reference" beginning on page S-28 of this prospectus supplement before investing in our common stock. Generally, when we refer to the prospectus, we are referring to both parts of this document combined together with additional information described under "Where You Can Find More Information and Incorporation By Reference" on page S-28.</w:t>
      </w:r>
    </w:p>
    <w:p>
      <w:pPr>
        <w:spacing w:after="0" w:line="17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Before you invest in our common stock, you also should carefully read the registration statement (including the exhibits thereto), of which this prospectus supplement and the accompanying prospectus form a part, and the documents incorporated by reference therein.</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supplement and the accompanying prospectus or in any free writing prospectus. Neither we, the selling shareholders, nor any of the underwriters have authorized anyone to provide you with different information. We are not, and the selling shareholders and the underwriters are not, making an offer to sell our common stock in any jurisdiction where the offer or sale is not permitted. You should assume that the information appearing in this prospectus supplement, the accompanying prospectus, the registration statement, and the documents incorporated by reference herein or therein is accurate only as of their respective dates. Our business, financial condition, results of operations, and prospects may have changed since those 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supplement and the accompanying prospectus, including the documents incorporated by reference herein and therein, and other statements that Regeneron may make, may contain forward-looking statements with respect to Regeneron's future financial or business performance, strategies or expectations,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w:t>
      </w:r>
    </w:p>
    <w:p>
      <w:pPr>
        <w:spacing w:after="0" w:line="20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These statements concern, and these risks and uncertainties include, among others, the impact of SARS-CoV-2 (the virus that has caused the COVID-19 pandemic) on Regeneron's business and its employees, collaborators,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our product candidates and research and clinical programs now underway or planned, including without limitation EYLEA® (aflibercept) Injection, Dupixent® (dupilumab) Injection, Libtayo® (cemiplimab) Injection, Praluent® (alirocumab) Injection, Kevzara® (sarilumab) Injection, fasinumab, evinacumab, REGN-EB3, garetosmab, pozelimab, Regeneron's oncology programs (including its costimulatory bispecific portfolio), Regeneron's COVID-19 antibody program and other earlier-stage programs, and the use of human genetics in Regeneron's research programs; the likelihood and timing of achieving any of our anticipated development milestones;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our late-stage product candidates and new indications for Regeneron's Products, including without limitation EYLEA, Dupixent, Libtayo, Praluent, Kevzara, fasinumab, evinacumab, REGN-EB3, garetosmab, pozelimab, and REGN1979; the extent to which the results from the research and development programs conducted by us or our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coverage and reimbursement determinations by third-party payors, including Medicare and Medicaid; unanticipated expenses; the costs of developing, producing, and selling products; our ability to meet any of our financial projections or guidance,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described further in the notes to our financial statements incorporated by reference into this prospectus supplement), other litigation and other proceedings and governmental investigations relating to the Company and/or its operations (including, without limitation, those described in the notes to our financial statements incorporated by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into this prospectus supplement), the ultimate outcome of any such proceedings and investigations, and the impact any of the foregoing may have on our business, prospects, operating results, and financial condition.</w:t>
      </w:r>
    </w:p>
    <w:p>
      <w:pPr>
        <w:spacing w:after="0" w:line="186"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You are cautioned not to rely on any such statements. In evaluating such statements, shareholders and potential investors should specifically consider the various factors described in the "Risk Factors" on page S-6 of this prospectus supplement and in our documents filed with the SEC,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TRADEMARKS AND TRADE NAMES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"ARCALYST®," "EYLEA®," "Libtayo®" (in the United States), "Praluent®" (in the United States), "Regeneron®," "Regeneron Genetics Center®," "</w:t>
      </w:r>
      <w:r>
        <w:rPr>
          <w:rFonts w:ascii="Arial" w:cs="Arial" w:eastAsia="Arial" w:hAnsi="Arial"/>
          <w:sz w:val="18"/>
          <w:szCs w:val="18"/>
          <w:i w:val="1"/>
          <w:iCs w:val="1"/>
          <w:color w:val="auto"/>
        </w:rPr>
        <w:t>Veloci-Bi</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18"/>
          <w:szCs w:val="18"/>
          <w:color w:val="auto"/>
        </w:rPr>
        <w:t>™," and "ZALTRAP®" are trademarks of Regeneron Pharmaceuticals, Inc. Trademarks and trade names of other companies appearing in this prospectus supplement are, to the knowledge of Regeneron Pharmaceuticals, Inc., the property of their respective owners.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339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included elsewhere or incorporated by reference into this prospectus supplement or the accompanying prospectus. Because this is a summary, it may not contain all the information that is important to you. You should read this entire prospectus supplement and the accompanying prospectus, including the information incorporated by reference herein and therein, before making an investment decision.</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right="20" w:firstLine="351"/>
        <w:spacing w:after="0" w:line="306"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160" w:lineRule="exact"/>
        <w:rPr>
          <w:sz w:val="20"/>
          <w:szCs w:val="20"/>
          <w:color w:val="auto"/>
        </w:rPr>
      </w:pPr>
    </w:p>
    <w:p>
      <w:pPr>
        <w:jc w:val="both"/>
        <w:ind w:left="240" w:right="18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60"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 xml:space="preserve">We currently have seven products that have received marketing approval, which are currently marketed by us, Bayer, and/or Sanofi: EYLEA® (aflibercept) Injection, Dupixent® (dupilumab) Injection, Libtayo® (cemiplimab) Injection, Praluent® (alirocumab) Injection, Kevzara® (sarilumab) Solution for Subcutaneous Injection, ARCALYST® (rilonacept) Injection for Subcutaneous Use, and ZALTRAP® (ziv-aflibercept) Injection for Intravenous Infusion. All 22 of our product candidates in clinical development, including the five U.S. Food and Drug Administration ("FDA") approved products which we are investigating in additional indications, were discovered in our research laboratories. 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technology platforms. We continue to invest in the development of enabling technologies to assist in our efforts to identify, develop, manufacture, and commercialize new product candidates. 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and diseases related to aging.</w:t>
      </w:r>
    </w:p>
    <w:p>
      <w:pPr>
        <w:spacing w:after="0" w:line="396" w:lineRule="exact"/>
        <w:rPr>
          <w:sz w:val="20"/>
          <w:szCs w:val="20"/>
          <w:color w:val="auto"/>
        </w:rPr>
      </w:pPr>
    </w:p>
    <w:p>
      <w:pPr>
        <w:jc w:val="both"/>
        <w:ind w:left="240" w:right="20" w:firstLine="351"/>
        <w:spacing w:after="0" w:line="306" w:lineRule="auto"/>
        <w:rPr>
          <w:sz w:val="20"/>
          <w:szCs w:val="20"/>
          <w:color w:val="auto"/>
        </w:rPr>
      </w:pPr>
      <w:r>
        <w:rPr>
          <w:rFonts w:ascii="Arial" w:cs="Arial" w:eastAsia="Arial" w:hAnsi="Arial"/>
          <w:sz w:val="16"/>
          <w:szCs w:val="16"/>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6"/>
          <w:szCs w:val="16"/>
          <w:i w:val="1"/>
          <w:iCs w:val="1"/>
          <w:color w:val="auto"/>
        </w:rPr>
        <w:t>www.regeneron.com</w:t>
      </w:r>
      <w:r>
        <w:rPr>
          <w:rFonts w:ascii="Arial" w:cs="Arial" w:eastAsia="Arial" w:hAnsi="Arial"/>
          <w:sz w:val="16"/>
          <w:szCs w:val="16"/>
          <w:color w:val="auto"/>
        </w:rPr>
        <w:t>. The information on, or accessible through, our website is not part of this prospectus and should not be relied upon in connection with making any investment decision with respect to the securities offered by this prospectus supplement.</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Ownership</w:t>
      </w:r>
    </w:p>
    <w:p>
      <w:pPr>
        <w:spacing w:after="0" w:line="231" w:lineRule="exact"/>
        <w:rPr>
          <w:sz w:val="20"/>
          <w:szCs w:val="20"/>
          <w:color w:val="auto"/>
        </w:rPr>
      </w:pPr>
    </w:p>
    <w:p>
      <w:pPr>
        <w:ind w:left="240" w:right="100" w:firstLine="351"/>
        <w:spacing w:after="0" w:line="294" w:lineRule="auto"/>
        <w:rPr>
          <w:sz w:val="20"/>
          <w:szCs w:val="20"/>
          <w:color w:val="auto"/>
        </w:rPr>
      </w:pPr>
      <w:r>
        <w:rPr>
          <w:rFonts w:ascii="Arial" w:cs="Arial" w:eastAsia="Arial" w:hAnsi="Arial"/>
          <w:sz w:val="16"/>
          <w:szCs w:val="16"/>
          <w:color w:val="auto"/>
        </w:rPr>
        <w:t>Regeneron is an independent, publicly traded company, with no single majority shareholder and a majority of independent directors on its board of directors. As of March 31, 2020, Sanofi, directly and indirectly through Aventisub, owned approximately 20.7% of outstanding shares of our common stock and Class A stock. Following this offering and the approximate $5 billion share repurchase (and assuming that the underwriters exercise their option to purchase additional shares in full), the selling shareholders will have disposed of all of the shares of our common stock held by Sanofi and its affiliates, other than 400,000 shares that Sanofi intends to retain.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927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Share Repurchase</w:t>
      </w:r>
    </w:p>
    <w:p>
      <w:pPr>
        <w:spacing w:after="0" w:line="231"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On May 25, 2020, we entered into a stock repurchase agreement with Sanofi, pursuant to which we have agreed to purchase an aggregate of approximately $5 billion of common stock from Sanofi at the price at which the shares of common stock are sold to the public in this offering, less the underwriting discount (the "Repurchase"). Closing of the Repurchase is conditioned on, and is expected to occur immediately after, the completion of this offering and is subject to other customary closing conditions. Any shares bought in the Repurchase will thereafter cease to be outstanding and will be retained as treasury shares or cancelled. We currently intend to use cash on hand, together with borrowings under new indebtedness (described further under "Bridge Loan Facility" below), to fund the Repurchase. The Repurchase is in addition to our existing share repurchase authorization. Subject to the closing of the offering, we will have repurchased an aggregate of approximately $5.3 billion of shares of common stock in 2020, $273 million of which was repurchased pursuant to our share repurchase program authorized by our board of directors in November 2019.</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Amendment to Investor Agreement</w:t>
      </w:r>
    </w:p>
    <w:p>
      <w:pPr>
        <w:spacing w:after="0" w:line="231" w:lineRule="exact"/>
        <w:rPr>
          <w:sz w:val="20"/>
          <w:szCs w:val="20"/>
          <w:color w:val="auto"/>
        </w:rPr>
      </w:pPr>
    </w:p>
    <w:p>
      <w:pPr>
        <w:ind w:left="240" w:right="100" w:firstLine="351"/>
        <w:spacing w:after="0" w:line="303" w:lineRule="auto"/>
        <w:rPr>
          <w:sz w:val="20"/>
          <w:szCs w:val="20"/>
          <w:color w:val="auto"/>
        </w:rPr>
      </w:pPr>
      <w:r>
        <w:rPr>
          <w:rFonts w:ascii="Arial" w:cs="Arial" w:eastAsia="Arial" w:hAnsi="Arial"/>
          <w:sz w:val="15"/>
          <w:szCs w:val="15"/>
          <w:color w:val="auto"/>
        </w:rPr>
        <w:t>On May 25, 2020, we entered into an amendment to the Amended and Restated Investor Agreement, dated as of January 11, 2014, as amended, by and among Sanofi, certain of Sanofi's affiliates, and Regeneron (the "Investor Agreement"), which is conditioned upon and will only become effective upon completion of this offering and the Repurchase. The amendment provides, among other things, that following this offering and the Repurchase,</w:t>
      </w:r>
    </w:p>
    <w:p>
      <w:pPr>
        <w:spacing w:after="0" w:line="1" w:lineRule="exact"/>
        <w:rPr>
          <w:sz w:val="20"/>
          <w:szCs w:val="20"/>
          <w:color w:val="auto"/>
        </w:rPr>
      </w:pPr>
    </w:p>
    <w:p>
      <w:pPr>
        <w:jc w:val="both"/>
        <w:ind w:left="240" w:right="320" w:firstLine="2"/>
        <w:spacing w:after="0" w:line="300" w:lineRule="auto"/>
        <w:tabs>
          <w:tab w:leader="none" w:pos="488"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"standstill" provisions, which contractually prohibit Sanofi from seeking to directly or indirectly exert control of Regeneron, will continue to apply pursuant to their terms; (2) Sanofi will no longer have the right to designate an independent board member for Regeneron's board of directors;</w:t>
      </w:r>
    </w:p>
    <w:p>
      <w:pPr>
        <w:ind w:left="240" w:right="20" w:firstLine="2"/>
        <w:spacing w:after="0" w:line="287" w:lineRule="auto"/>
        <w:tabs>
          <w:tab w:leader="none" w:pos="48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voting commitments contained in the Investor Agreement will continue to apply to the shares of our common stock held by Sanofi and its affiliates following this offering and the Repurchase, for so long as such shares are held by them; (4) Sanofi and its affiliates will no longer have registration rights with respect to the shares of our common stock held by them as provided in the Investor Agreement; (5) the information rights and pre-emptive rights provided to Sanofi and its affiliates under the Investor Agreement will no longer apply; and (6) the lock-up restrictions in the Investor Agreement will continue to apply to the shares of our common stock held by Sanofi and its affiliates following this offering and the Repurchase until December 20, 2020 (except those shares may be used to satisfy certain funding obligations of Sanofi under the companies' existing collaborations). The termination of Sanofi's board designation right will not impact the term of the current Sanofi designee, N. Anthony Coles, M.D., or his nomination for election as a Class III director at the Company's 2020 annual meeting of shareholders.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Bridge Loan Facility</w:t>
      </w:r>
    </w:p>
    <w:p>
      <w:pPr>
        <w:spacing w:after="0" w:line="231" w:lineRule="exact"/>
        <w:rPr>
          <w:sz w:val="20"/>
          <w:szCs w:val="20"/>
          <w:color w:val="auto"/>
        </w:rPr>
      </w:pPr>
    </w:p>
    <w:p>
      <w:pPr>
        <w:ind w:left="240" w:right="80" w:firstLine="351"/>
        <w:spacing w:after="0" w:line="312" w:lineRule="auto"/>
        <w:rPr>
          <w:sz w:val="20"/>
          <w:szCs w:val="20"/>
          <w:color w:val="auto"/>
        </w:rPr>
      </w:pPr>
      <w:r>
        <w:rPr>
          <w:rFonts w:ascii="Arial" w:cs="Arial" w:eastAsia="Arial" w:hAnsi="Arial"/>
          <w:sz w:val="15"/>
          <w:szCs w:val="15"/>
          <w:color w:val="auto"/>
        </w:rPr>
        <w:t>On May 25, 2020, the Company entered into a credit agreement (the "Bridge Credit Agreement") by and among the Company, as the borrower; Goldman Sachs Bank USA, as administrative agent, sole bookrunner, sole lead arranger, and a lender; and the other lenders party thereto from time to time. Pursuant to the Bridge Credit Agreement, the lenders have provided commitments for a $1.5 billion senior unsecured 364-day bridge loan facility (the "Bridge Facility"). Certain of the underwriters are also lenders under the Bridge Facility. We will pay certain customary fees in connection with the Bridge Facility. The proceeds of the loans under the Bridge Facility may be used only to finance, in part, the Repurchase described above and to pay related fees, costs, and expenses. Loans, if any, under the Bridge Facility will bear interest at a variable interest rate based on either the London Interbank Offered Rate or the alternate base rate, plus an applicable margin that varies with the Company's debt rating and total leverage ratio.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06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The Bridge Facility, if funded, will mature 364 days after the funding thereunder. The aggregate commitments for the Bridge Facility will be permanently reduced, and we will be required to prepay loans (if any) borrowed under the Bridge Facility, on a dollar-for-dollar basis by the net cash proceeds received by the Company and its subsidiaries from certain asset sales, debt issuances, and equity offerings, subject to certain exceptions set forth in the Bridge Credit Agreement. The funding of the Bridge Facility is contingent on the satisfaction of customary conditions. We cannot assure you that we will be able to successfully borrow under the Bridge Facility on the terms described herein or at all. The Repurchase described above must be consummated within a specified period after the date of the Bridge Credit Agreement; otherwise we will be required to repay all loans (if any) drawn thereunder and the Bridge Facility will terminate in full.</w:t>
      </w:r>
    </w:p>
    <w:p>
      <w:pPr>
        <w:spacing w:after="0" w:line="172" w:lineRule="exact"/>
        <w:rPr>
          <w:sz w:val="20"/>
          <w:szCs w:val="20"/>
          <w:color w:val="auto"/>
        </w:rPr>
      </w:pPr>
    </w:p>
    <w:p>
      <w:pPr>
        <w:ind w:left="240" w:right="40" w:firstLine="348"/>
        <w:spacing w:after="0" w:line="285" w:lineRule="auto"/>
        <w:rPr>
          <w:sz w:val="20"/>
          <w:szCs w:val="20"/>
          <w:color w:val="auto"/>
        </w:rPr>
      </w:pPr>
      <w:r>
        <w:rPr>
          <w:rFonts w:ascii="Arial" w:cs="Arial" w:eastAsia="Arial" w:hAnsi="Arial"/>
          <w:sz w:val="16"/>
          <w:szCs w:val="16"/>
          <w:color w:val="auto"/>
        </w:rPr>
        <w:t>The Bridge Credit Agreement contains financial and operating covenants, which are substantially similar to the covenants set forth in the Credit Agreement, dated as of December 14, 2018 (the "Revolving Credit Agreement"), by and among the Company, as a borrower and guarantor, certain subsidiaries of the Company party thereto as subsidiary borrowers, JPMorgan Chase Bank, N.A., as administrative agent, and the lenders party thereto from time to time (except for such matters specifically relating to the Bridge Facility or the transactions contemplated thereby). The Company's entry into the Revolving Credit Agreement was previously reported in its Current Report on Form 8-K filed with the SEC on December 17, 2018. Financial covenants include a maximum total leverage ratio and a minimum interest expense coverage ratio. Operating covenants include, among other things, limitations on (i) the incurrence of indebtedness by the Company's subsidiaries, (ii) liens on assets of the Company and its subsidiaries, (iii) certain fundamental changes and the disposition of assets by the Company and its subsidiaries, (iv) entering into swap agreements, (v) entering into affiliate transactions, and (vi) the payment of dividends, distributions, and certain other restricted payments in respect of the capital stock of the Company and its subsidiaries (the "Restricted Payments Covenant"). Similar to the Revolving Credit Agreement, the Restricted Payments Covenant allows the Company, so long as no event of default exists or would arise therefrom, to make payments that would otherwise be restricted if at the time of the making of any such payment and immediately thereafter it meets a specified total leverage ratio requirement. The Bridge Credit Agreement contains other customary covenants, representations and warranties, and events of default.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Update Regarding Phase 3 Trial of Dupixent in Eosinophilic Esophagitis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May 22, 2020, Regeneron and Sanofi announced positive results from Part A of the pivotal Phase 3 trial evaluating Dupixent in patients</w:t>
      </w:r>
    </w:p>
    <w:p>
      <w:pPr>
        <w:spacing w:after="0" w:line="38" w:lineRule="exact"/>
        <w:rPr>
          <w:sz w:val="20"/>
          <w:szCs w:val="20"/>
          <w:color w:val="auto"/>
        </w:rPr>
      </w:pPr>
    </w:p>
    <w:p>
      <w:pPr>
        <w:ind w:left="240"/>
        <w:spacing w:after="0" w:line="295" w:lineRule="auto"/>
        <w:rPr>
          <w:sz w:val="20"/>
          <w:szCs w:val="20"/>
          <w:color w:val="auto"/>
        </w:rPr>
      </w:pPr>
      <w:r>
        <w:rPr>
          <w:rFonts w:ascii="Arial" w:cs="Arial" w:eastAsia="Arial" w:hAnsi="Arial"/>
          <w:sz w:val="16"/>
          <w:szCs w:val="16"/>
          <w:color w:val="auto"/>
        </w:rPr>
        <w:t>12 years and older with eosinophilic esophagitis ("EoE"). The trial met both of its co-primary endpoints, as well as all key secondary endpoints. The next portion of the Phase 3 trial (Part B) evaluates an additional Dupixent dosing regimen. The trial is ongoing, with additional patients enrolling in Part B as well as patients continuing in a 28-week extended active treatment period (Part C). The potential use of Dupixent in EoE is currently under clinical development, and the safety and efficacy have not been fully evaluated by any regulatory authority.</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Update Regarding Potential COVID-19 Treatments</w:t>
      </w:r>
    </w:p>
    <w:p>
      <w:pPr>
        <w:spacing w:after="0" w:line="231" w:lineRule="exact"/>
        <w:rPr>
          <w:sz w:val="20"/>
          <w:szCs w:val="20"/>
          <w:color w:val="auto"/>
        </w:rPr>
      </w:pPr>
    </w:p>
    <w:p>
      <w:pPr>
        <w:jc w:val="both"/>
        <w:ind w:left="240" w:right="120" w:firstLine="351"/>
        <w:spacing w:after="0" w:line="298" w:lineRule="auto"/>
        <w:rPr>
          <w:sz w:val="20"/>
          <w:szCs w:val="20"/>
          <w:color w:val="auto"/>
        </w:rPr>
      </w:pPr>
      <w:r>
        <w:rPr>
          <w:rFonts w:ascii="Arial" w:cs="Arial" w:eastAsia="Arial" w:hAnsi="Arial"/>
          <w:sz w:val="16"/>
          <w:szCs w:val="16"/>
          <w:i w:val="1"/>
          <w:iCs w:val="1"/>
          <w:color w:val="auto"/>
        </w:rPr>
        <w:t xml:space="preserve">REGN-COV2. </w:t>
      </w:r>
      <w:r>
        <w:rPr>
          <w:rFonts w:ascii="Arial" w:cs="Arial" w:eastAsia="Arial" w:hAnsi="Arial"/>
          <w:sz w:val="16"/>
          <w:szCs w:val="16"/>
          <w:color w:val="auto"/>
        </w:rPr>
        <w:t>We are using our end-to-end antibody technologies to discover and develop brand new therapeutic antibodies for COVID-19. We</w:t>
      </w:r>
      <w:r>
        <w:rPr>
          <w:rFonts w:ascii="Arial" w:cs="Arial" w:eastAsia="Arial" w:hAnsi="Arial"/>
          <w:sz w:val="16"/>
          <w:szCs w:val="16"/>
          <w:i w:val="1"/>
          <w:iCs w:val="1"/>
          <w:color w:val="auto"/>
        </w:rPr>
        <w:t xml:space="preserve"> </w:t>
      </w:r>
      <w:r>
        <w:rPr>
          <w:rFonts w:ascii="Arial" w:cs="Arial" w:eastAsia="Arial" w:hAnsi="Arial"/>
          <w:sz w:val="16"/>
          <w:szCs w:val="16"/>
          <w:color w:val="auto"/>
        </w:rPr>
        <w:t>are advancing REGN-COV2, a novel investigational antibody "cocktail" treatment designed to prevent and treat the SARS-CoV-2 virus. In April 2020, we advanced our leading neutralizing antibodies into pre-clinical and clinical-scale cell production lines and plan to begin clinical studies in June 2020. We are working to rapidly scale-up manufacturing, with a goal to have large quantities of preventative doses available by the end of August 2020.</w:t>
      </w:r>
    </w:p>
    <w:p>
      <w:pPr>
        <w:spacing w:after="0" w:line="166"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i w:val="1"/>
          <w:iCs w:val="1"/>
          <w:color w:val="auto"/>
        </w:rPr>
        <w:t xml:space="preserve">Kevzara. </w:t>
      </w:r>
      <w:r>
        <w:rPr>
          <w:rFonts w:ascii="Arial" w:cs="Arial" w:eastAsia="Arial" w:hAnsi="Arial"/>
          <w:sz w:val="18"/>
          <w:szCs w:val="18"/>
          <w:color w:val="auto"/>
        </w:rPr>
        <w:t>In April 2020, we provided an update on the adaptively-designed Phase 2/3 U.S. study evaluating Kevzara in patients hospitalized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infection. An Independent Data Monitoring Committee for the study recommended continuing the ongoing Phase 3 trial only in the more advanced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675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6130"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"critical" group with the 400 mg dose of Kevzara and discontinuing the study in the less advanced "severe" group, based on initial Phase 2 results.</w:t>
      </w:r>
    </w:p>
    <w:p>
      <w:pPr>
        <w:spacing w:after="0" w:line="248" w:lineRule="exact"/>
        <w:rPr>
          <w:sz w:val="20"/>
          <w:szCs w:val="20"/>
          <w:color w:val="auto"/>
        </w:rPr>
      </w:pPr>
    </w:p>
    <w:p>
      <w:pPr>
        <w:jc w:val="both"/>
        <w:ind w:left="240" w:right="320" w:firstLine="348"/>
        <w:spacing w:after="0" w:line="259" w:lineRule="auto"/>
        <w:rPr>
          <w:sz w:val="20"/>
          <w:szCs w:val="20"/>
          <w:color w:val="auto"/>
        </w:rPr>
      </w:pPr>
      <w:r>
        <w:rPr>
          <w:rFonts w:ascii="Arial" w:cs="Arial" w:eastAsia="Arial" w:hAnsi="Arial"/>
          <w:sz w:val="18"/>
          <w:szCs w:val="18"/>
          <w:color w:val="auto"/>
        </w:rPr>
        <w:t>We announced an expanded agreement with the Biomedical Advanced Research Development Authority of the U.S. Department of Health and Human Services to fund certain research and development activities related to COVID-19 treatments, including REGN-COV2 and the U.S. Kevzara study.</w:t>
      </w:r>
    </w:p>
    <w:p>
      <w:pPr>
        <w:spacing w:after="0" w:line="194" w:lineRule="exact"/>
        <w:rPr>
          <w:sz w:val="20"/>
          <w:szCs w:val="20"/>
          <w:color w:val="auto"/>
        </w:rPr>
      </w:pPr>
    </w:p>
    <w:p>
      <w:pPr>
        <w:ind w:left="240" w:firstLine="351"/>
        <w:spacing w:after="0" w:line="331" w:lineRule="auto"/>
        <w:rPr>
          <w:sz w:val="20"/>
          <w:szCs w:val="20"/>
          <w:color w:val="auto"/>
        </w:rPr>
      </w:pPr>
      <w:r>
        <w:rPr>
          <w:rFonts w:ascii="Arial" w:cs="Arial" w:eastAsia="Arial" w:hAnsi="Arial"/>
          <w:sz w:val="16"/>
          <w:szCs w:val="16"/>
          <w:color w:val="auto"/>
        </w:rPr>
        <w:t>Regeneron's expected timeline for the development of COVID-19 treatments is estimated and subject to change depending on many scientific and technical factors. The use of Kevzara to treat the symptoms of COVID-19 is investigational and has not been fully evaluated by any regulatory authority.</w:t>
      </w:r>
    </w:p>
    <w:p>
      <w:pPr>
        <w:spacing w:after="0" w:line="200" w:lineRule="exact"/>
        <w:rPr>
          <w:sz w:val="20"/>
          <w:szCs w:val="20"/>
          <w:color w:val="auto"/>
        </w:rPr>
      </w:pPr>
    </w:p>
    <w:p>
      <w:pPr>
        <w:spacing w:after="0" w:line="4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8816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6130" cy="881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Regeneron Pharmaceuticals, Inc.</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common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stock offered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by the selling</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shareholders</w:t>
      </w:r>
      <w:r>
        <w:rPr>
          <w:sz w:val="20"/>
          <w:szCs w:val="20"/>
          <w:color w:val="auto"/>
        </w:rPr>
        <w:tab/>
      </w:r>
      <w:r>
        <w:rPr>
          <w:rFonts w:ascii="Arial" w:cs="Arial" w:eastAsia="Arial" w:hAnsi="Arial"/>
          <w:sz w:val="18"/>
          <w:szCs w:val="18"/>
          <w:color w:val="auto"/>
        </w:rPr>
        <w:t>11,831,496 shares.</w:t>
      </w:r>
    </w:p>
    <w:p>
      <w:pPr>
        <w:spacing w:after="0" w:line="213"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Stock</w:t>
      </w:r>
      <w:r>
        <w:rPr>
          <w:sz w:val="20"/>
          <w:szCs w:val="20"/>
          <w:color w:val="auto"/>
        </w:rPr>
        <w:tab/>
      </w:r>
      <w:r>
        <w:rPr>
          <w:rFonts w:ascii="Arial" w:cs="Arial" w:eastAsia="Arial" w:hAnsi="Arial"/>
          <w:sz w:val="18"/>
          <w:szCs w:val="18"/>
          <w:color w:val="auto"/>
        </w:rPr>
        <w:t>Subject to the completion of this offering, we have agreed to purchase 9,806,805 shares (or</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Repurchase</w:t>
      </w:r>
      <w:r>
        <w:rPr>
          <w:sz w:val="20"/>
          <w:szCs w:val="20"/>
          <w:color w:val="auto"/>
        </w:rPr>
        <w:tab/>
      </w:r>
      <w:r>
        <w:rPr>
          <w:rFonts w:ascii="Arial" w:cs="Arial" w:eastAsia="Arial" w:hAnsi="Arial"/>
          <w:sz w:val="18"/>
          <w:szCs w:val="18"/>
          <w:color w:val="auto"/>
        </w:rPr>
        <w:t>approximately $5 billion in the aggregate) of common stock from Sanofi at the price at which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shares of common stock are sold to the public in this offering, less the underwriting discount.</w:t>
      </w:r>
    </w:p>
    <w:p>
      <w:pPr>
        <w:spacing w:after="0" w:line="213"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Option to</w:t>
      </w:r>
      <w:r>
        <w:rPr>
          <w:sz w:val="20"/>
          <w:szCs w:val="20"/>
          <w:color w:val="auto"/>
        </w:rPr>
        <w:tab/>
      </w:r>
      <w:r>
        <w:rPr>
          <w:rFonts w:ascii="Arial" w:cs="Arial" w:eastAsia="Arial" w:hAnsi="Arial"/>
          <w:sz w:val="15"/>
          <w:szCs w:val="15"/>
          <w:color w:val="auto"/>
        </w:rPr>
        <w:t>1,183,150 shares to be sold by the selling shareholders. Except as otherwise indicated, all information</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purchase</w:t>
      </w:r>
      <w:r>
        <w:rPr>
          <w:sz w:val="20"/>
          <w:szCs w:val="20"/>
          <w:color w:val="auto"/>
        </w:rPr>
        <w:tab/>
      </w:r>
      <w:r>
        <w:rPr>
          <w:rFonts w:ascii="Arial" w:cs="Arial" w:eastAsia="Arial" w:hAnsi="Arial"/>
          <w:sz w:val="18"/>
          <w:szCs w:val="18"/>
          <w:color w:val="auto"/>
        </w:rPr>
        <w:t>in this prospectus supplement reflects no exercise of the underwriters' option to purchase additional</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6"/>
          <w:szCs w:val="16"/>
          <w:b w:val="1"/>
          <w:bCs w:val="1"/>
          <w:color w:val="auto"/>
        </w:rPr>
        <w:t>additional</w:t>
      </w:r>
      <w:r>
        <w:rPr>
          <w:sz w:val="20"/>
          <w:szCs w:val="20"/>
          <w:color w:val="auto"/>
        </w:rPr>
        <w:tab/>
      </w:r>
      <w:r>
        <w:rPr>
          <w:rFonts w:ascii="Arial" w:cs="Arial" w:eastAsia="Arial" w:hAnsi="Arial"/>
          <w:sz w:val="16"/>
          <w:szCs w:val="16"/>
          <w:color w:val="auto"/>
        </w:rPr>
        <w:t>shares. Following this offering and the approximate $5 billion share repurchase (and assuming that the</w:t>
      </w:r>
    </w:p>
    <w:p>
      <w:pPr>
        <w:spacing w:after="0" w:line="32"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color w:val="auto"/>
        </w:rPr>
        <w:t>underwriters exercise their option to purchase additional shares in full), the selling shareholders will</w:t>
      </w:r>
    </w:p>
    <w:p>
      <w:pPr>
        <w:spacing w:after="0" w:line="9" w:lineRule="exact"/>
        <w:rPr>
          <w:sz w:val="20"/>
          <w:szCs w:val="20"/>
          <w:color w:val="auto"/>
        </w:rPr>
      </w:pPr>
    </w:p>
    <w:p>
      <w:pPr>
        <w:ind w:left="2660" w:right="1160"/>
        <w:spacing w:after="0" w:line="260" w:lineRule="auto"/>
        <w:rPr>
          <w:sz w:val="20"/>
          <w:szCs w:val="20"/>
          <w:color w:val="auto"/>
        </w:rPr>
      </w:pPr>
      <w:r>
        <w:rPr>
          <w:rFonts w:ascii="Arial" w:cs="Arial" w:eastAsia="Arial" w:hAnsi="Arial"/>
          <w:sz w:val="18"/>
          <w:szCs w:val="18"/>
          <w:color w:val="auto"/>
        </w:rPr>
        <w:t>have disposed of all of the shares of our common stock held by Sanofi and its affiliates, other than 400,000 shares that Sanofi intends to retain.</w:t>
      </w:r>
    </w:p>
    <w:p>
      <w:pPr>
        <w:spacing w:after="0" w:line="18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common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stock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outstanding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immediately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after this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offering and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Repurchase</w:t>
      </w:r>
      <w:r>
        <w:rPr>
          <w:sz w:val="20"/>
          <w:szCs w:val="20"/>
          <w:color w:val="auto"/>
        </w:rPr>
        <w:tab/>
      </w:r>
      <w:r>
        <w:rPr>
          <w:rFonts w:ascii="Arial" w:cs="Arial" w:eastAsia="Arial" w:hAnsi="Arial"/>
          <w:sz w:val="18"/>
          <w:szCs w:val="18"/>
          <w:color w:val="auto"/>
        </w:rPr>
        <w:t>100,535,391 shares.</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Class A stock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outstanding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immediately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after this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offering and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Repurchase</w:t>
      </w:r>
      <w:r>
        <w:rPr>
          <w:sz w:val="20"/>
          <w:szCs w:val="20"/>
          <w:color w:val="auto"/>
        </w:rPr>
        <w:tab/>
      </w:r>
      <w:r>
        <w:rPr>
          <w:rFonts w:ascii="Arial" w:cs="Arial" w:eastAsia="Arial" w:hAnsi="Arial"/>
          <w:sz w:val="18"/>
          <w:szCs w:val="18"/>
          <w:color w:val="auto"/>
        </w:rPr>
        <w:t>1,848,970 shares.</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Use of</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The Company will not receive any proceeds from the sale of common stock in this offering.</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symbol</w:t>
      </w:r>
      <w:r>
        <w:rPr>
          <w:sz w:val="20"/>
          <w:szCs w:val="20"/>
          <w:color w:val="auto"/>
        </w:rPr>
        <w:tab/>
      </w:r>
      <w:r>
        <w:rPr>
          <w:rFonts w:ascii="Arial" w:cs="Arial" w:eastAsia="Arial" w:hAnsi="Arial"/>
          <w:sz w:val="18"/>
          <w:szCs w:val="18"/>
          <w:color w:val="auto"/>
        </w:rPr>
        <w:t>"REGN"</w:t>
      </w:r>
    </w:p>
    <w:p>
      <w:pPr>
        <w:spacing w:after="0" w:line="213"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substantial risks. Before investing in our common stock, you</w:t>
      </w:r>
    </w:p>
    <w:p>
      <w:pPr>
        <w:spacing w:after="0" w:line="21" w:lineRule="exact"/>
        <w:rPr>
          <w:sz w:val="20"/>
          <w:szCs w:val="20"/>
          <w:color w:val="auto"/>
        </w:rPr>
      </w:pPr>
    </w:p>
    <w:p>
      <w:pPr>
        <w:ind w:left="2660" w:right="880"/>
        <w:spacing w:after="0" w:line="300" w:lineRule="auto"/>
        <w:rPr>
          <w:sz w:val="20"/>
          <w:szCs w:val="20"/>
          <w:color w:val="auto"/>
        </w:rPr>
      </w:pPr>
      <w:r>
        <w:rPr>
          <w:rFonts w:ascii="Arial" w:cs="Arial" w:eastAsia="Arial" w:hAnsi="Arial"/>
          <w:sz w:val="15"/>
          <w:szCs w:val="15"/>
          <w:color w:val="auto"/>
        </w:rPr>
        <w:t>should carefully read and consider the information set forth in the "Risk Factors" section beginning on page S-6 of this prospectus supplement and the sections entitled "Risk Factors" beginning on page 27</w:t>
      </w:r>
    </w:p>
    <w:p>
      <w:pPr>
        <w:spacing w:after="0" w:line="1" w:lineRule="exact"/>
        <w:rPr>
          <w:sz w:val="20"/>
          <w:szCs w:val="20"/>
          <w:color w:val="auto"/>
        </w:rPr>
      </w:pPr>
    </w:p>
    <w:p>
      <w:pPr>
        <w:ind w:left="2660" w:right="8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of our </w:t>
      </w:r>
      <w:hyperlink r:id="rId11">
        <w:r>
          <w:rPr>
            <w:rFonts w:ascii="Arial" w:cs="Arial" w:eastAsia="Arial" w:hAnsi="Arial"/>
            <w:sz w:val="16"/>
            <w:szCs w:val="16"/>
            <w:u w:val="single" w:color="auto"/>
            <w:color w:val="0000EE"/>
          </w:rPr>
          <w:t>Annual Report on Form 10-K for the year ended December 31,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beginning on page 43 of our most recent </w:t>
      </w:r>
      <w:hyperlink r:id="rId12">
        <w:r>
          <w:rPr>
            <w:rFonts w:ascii="Arial" w:cs="Arial" w:eastAsia="Arial" w:hAnsi="Arial"/>
            <w:sz w:val="16"/>
            <w:szCs w:val="16"/>
            <w:u w:val="single" w:color="auto"/>
            <w:color w:val="0000EE"/>
          </w:rPr>
          <w:t>Quarterly Report on Form 10-Q for the quarterly period ended March 31, 2020,</w:t>
        </w:r>
      </w:hyperlink>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each of which is incorporated by reference into this prospectus supplement.</w:t>
      </w:r>
    </w:p>
    <w:p>
      <w:pPr>
        <w:spacing w:after="0" w:line="219"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Unless the context requires otherwise, the number of shares of our common stock and our Class A stock, par value $0.001 per share, to be outstanding after this offering as set forth above is based on 110,342,196 shares and 1,848,970 shares, respectively, outstanding as of March 31, 2020 and gives effect to the Repurchase being completed. For purposes of the foregoing amounts, the number of shares of our common stock to be outstanding after this offering excludes (in each case, as of March 31, 2020):</w:t>
      </w:r>
    </w:p>
    <w:p>
      <w:pPr>
        <w:spacing w:after="0" w:line="224"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1,848,970 shares of common stock issuable upon conversion of shares of our Class A stock;</w:t>
      </w:r>
    </w:p>
    <w:p>
      <w:pPr>
        <w:sectPr>
          <w:pgSz w:w="11900" w:h="16838" w:orient="portrait"/>
          <w:cols w:equalWidth="0" w:num="1">
            <w:col w:w="10720"/>
          </w:cols>
          <w:pgMar w:left="320" w:top="131" w:right="859" w:bottom="10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20"/>
          </w:cols>
          <w:pgMar w:left="320" w:top="131" w:right="859" w:bottom="1012"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435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6130" cy="143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25,192,675 shares of common stock issuable upon the exercise of outstanding stock options at a weighted average price of $345.65 per share;</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aggregate of 10,224,452 shares of common stock reserved for future issuances under equity incentive plans;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119,841 shares of common stock relating to unvested restricted stock units (including performance-based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Any investment in our common stock involves a high degree of risk. You should carefully consider the risks described below and all of the information contained in this prospectus supplement and the accompanying prospectus before deciding whether to purchase our common stock. In addition, you should carefully consider, among other things, the matters discussed in the sections entitled "Risk Factors" in our Annual Report on Form 10-K for the year ended December 31, 2019, our Quarterly Report on Form 10-Q for the quarterly period ended March 31, 2020, and other documents that we subsequently file with the SEC, all of which are incorporated by reference into this prospectus supplement. The risks and uncertainties described below and in our Annual Report on Form 10-K for the year ended December 31, 2019, and in our Quarterly Report on Form 10-Q for the quarterly period ended March 31, 2020, are not the only risks and uncertainties we face. Additional risks and uncertainties not presently known to us or that we currently deem immaterial may also impair our business operations. If any such risks actually occur, our business, financial condition and results of operations would suffer. In that event, the trading price of our common stock could decline, and you may lose all or part of your investment in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440"/>
        <w:spacing w:after="0" w:line="369" w:lineRule="auto"/>
        <w:rPr>
          <w:sz w:val="20"/>
          <w:szCs w:val="20"/>
          <w:color w:val="auto"/>
        </w:rPr>
      </w:pPr>
      <w:r>
        <w:rPr>
          <w:rFonts w:ascii="Arial" w:cs="Arial" w:eastAsia="Arial" w:hAnsi="Arial"/>
          <w:sz w:val="15"/>
          <w:szCs w:val="15"/>
          <w:b w:val="1"/>
          <w:bCs w:val="1"/>
          <w:i w:val="1"/>
          <w:iCs w:val="1"/>
          <w:color w:val="auto"/>
        </w:rPr>
        <w:t>Please see "Risk Factors" under Item 1A in our Annual Report on Form 10-K for the year ended December 31, 2019 and in our Quarterly Report on Form 10-Q for the quarterly period ended March 31, 2020 for a discussion of risks affecting our business, in addition to the risks set out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the effects of the COVID-19 pandemic.</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December 2019, a novel strain of coronavirus, SARS-CoV-2, causing a disease referred to as COVID-19, was reported to have surfaced in Wuhan, China. It has since spread to multiple other countries;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business partners and customers, and the demand for some of our marketed products.</w:t>
      </w:r>
    </w:p>
    <w:p>
      <w:pPr>
        <w:spacing w:after="0" w:line="16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As a result of these recent developments, we have implemented work-from-home policies for a significant part of our employees (except those deemed critical, such as those working in our laboratories and manufacturing facilities). The effects of shelter-in-place and social distancing orders, government-imposed quarantines, and work-from-home policies may negatively impact productivity, disrupt our business, and delay our clinical programs and development timelines, the magnitude of which will depend, in part, on the length and severity of the restrictions and other limitations on our ability to conduct our business in the ordinary course. Such restrictions and limitations may also negatively impact our access to regulatory authorities (which may be affected, among other things, by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may be impacted by postponement of face-to-face meetings and restrictions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access by non-essential personnel to hospitals or clinics, all of which could slow adoption and implementation of our marketed products, resulting in lower net product sales. For example, while the impact of shelter-in-place and social distancing orders, physicians' office closures, and delays in the treatment of patients following the COVID-19 pandemic on our net product sales of EYLEA for the three months ended March 31, 2020 was limited, overall U.S. EYLEA demand was lower in April 2020 compared to the same period of 2019. In addition to other potential impacts of the COVID-19 pandemic on net product sales, we expect to see continued adverse impact on new patient starts for all products while these measures remain in place. Demand for some or all of our marketed products may continue to be reduced while the shelter-in-place or social distancing orders are in effect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78"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Quarantines, shelter-in-place, social distancing, and similar government orders (or the perception that such orders, shutdowns, or other restrictions on the conduct of business operations could occur) related to COVID-19 or other infectious diseases are impacting personnel at our research and manufacturing facilities, our suppliers, and other third parties on which we rely, and may impact the availability or cost of materials produced by or purchased from such parties, which could result in a disruption in our supply chain. While some materials may be obtained from more than one supplier, port closures and other restrictions resulting from the COVID-19 pandemic could disrupt our supply chain or limit our ability to obtain sufficient materials for the production and development of our products and product candidates as well as our research efforts.</w:t>
      </w:r>
    </w:p>
    <w:p>
      <w:pPr>
        <w:spacing w:after="0" w:line="174"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In addition, infections and deaths related to COVID-19 may disrupt the United States' healthcare and healthcare regulatory systems. Such disruptions could divert healthcare resources away from, or materially delay, FDA review and potential approval of our product candidates and new indications for our marketed products. It is unknown how long these disruptions could continue. In addition, our clinical trials are likely to be affected by the COVID-19 pandemic. Site initiation and patient enrollment may be delayed due to prioritization of hospital resources toward the COVID-19 pandemic, and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delayed or disrupted. For example, we have had to adjust the development timelines for many of our clinical programs that are either currently enrolling patients or have not yet commenced due to the COVID-19 pandemic. The disruptions caused by the COVID-19 pandemic may impact the progress of our clinical trials, including the readouts of trial results. Further, while we are focused on developing novel therapies to address the COVID-19 pandemic, our research programs and the development of our other product candidates may need to be de-prioritized. Any elongation or de-prioritization of our research programs and clinical trials or delay in regulatory review resulting from such disruptions could materially affect the development and study of our product candidates, which would increase our operating expenses and may have a material adverse effect on our operating results.</w:t>
      </w:r>
    </w:p>
    <w:p>
      <w:pPr>
        <w:spacing w:after="0" w:line="17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is currently resulting in significant disruption of global financial markets. This disruption, if sustained or recurrent, could make it more difficult for us to access capital if needed. In addition, a recession or market correction resulting from the spread of COVID-19 could materially affect our business and the value of our Common Stock.</w:t>
      </w:r>
    </w:p>
    <w:p>
      <w:pPr>
        <w:spacing w:after="0" w:line="19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 and in the sections entitled "Risk Factors" in our most recent Annual Report on Form 10-K, Quarterly Report on Form 10-Q, and any subsequent report we file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refinance the Bridge Loan prior to its maturity.</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5"/>
          <w:szCs w:val="15"/>
          <w:color w:val="auto"/>
        </w:rPr>
        <w:t>We currently intend to refinance the Bridge Loan prior to its maturity, although there can be no assurance that we will be able to do so on favorable terms, if at all. Our ability to refinance could be adversely affected if there is a significant decline in the demand for our products or other significantly unfavorable changes in economic conditions. If we are unable to refinance the Bridge Loan, the increased indebtedness may limit our ability to obtain additional financing, if needed, and may limit our ability to conduct our business. 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issuance of securities senior to our common stock could adversely affect the trading price of our common stock and our ability to raise funds in new stock offerings.</w:t>
      </w:r>
    </w:p>
    <w:p>
      <w:pPr>
        <w:spacing w:after="0" w:line="186"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Sale of a substantial number of shares of our common stock in the public markets following this offering, or the perception that these sales might occur, could cause the market price of our common stock to decline or could impair our ability to raise capital through a future sale of, or pay for acquisitions using, our equity securities.</w:t>
      </w:r>
    </w:p>
    <w:p>
      <w:pPr>
        <w:spacing w:after="0" w:line="194"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 which could negatively affect us and holders of our common stock.</w:t>
      </w:r>
    </w:p>
    <w:p>
      <w:pPr>
        <w:spacing w:after="0" w:line="225"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trading price of our common stock may fluctuate significantly in response to a number of factors, many of which are beyond our control. For instance, if our financial results are below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regional, national or global financial markets and economies and general market conditions, such as interest or foreign exchange rates, stock, commodity, credit or asset valuations or volatility; and changes in government regulation or proposals relating to us. In addition, the U.S. and global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issuances of equity securities would dilute the ownership of existing shareholders and could reduce our earnings per share.</w:t>
      </w:r>
    </w:p>
    <w:p>
      <w:pPr>
        <w:spacing w:after="0" w:line="248"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We may issue equity securities in the future in connection with capital raisings, acquisitions, strategic transactions, or for other purposes. To the extent we issue additional equity securities, the ownership of our existing shareholders would be diluted and our earnings per share could be reduced.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certificate of incorporation and by-laws may discourage a takeover attempt.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Provisions contained in our certificate of incorporation and by-laws could make it more difficult for a third party to acquire us, even if doing so might be beneficial to our shareholders. Provisions of our certificate of incorporation and by-laws impose various procedural and other requirements which could make it more difficult for shareholders to effect certain corporate actions. For example, our certificate of incorporation authorizes our board of directors to determine the rights, preferences, privileges, and restrictions of unissued series of preferred stock, without any vote or action by our shareholders. Thus, our board of directors can authorize and issue shares of preferred stock with voting or conversion rights that could adversely affect the voting or other rights of holders of our common stock. These provisions could limit the price that certain investors might be willing to pay in the future for shares of our common stock. See "Description of Capital Stock" in the accompanying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stock may not receive dividends.</w:t>
      </w:r>
    </w:p>
    <w:p>
      <w:pPr>
        <w:spacing w:after="0" w:line="225"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Holders of our common stock are entitled to receive only such dividends as our board of directors may declare out of funds legally available for such payments and as permitted by our debt agreements. We have never paid cash dividends on our common stock and do not anticipate paying any in the foreseeable future. In determining the possibility and amount of any potential future dividends, our board of directors will consider economic and market conditions, our financial condition, and operating results. This could adversely affect the market price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CONSOLIDATED HISTORICAL FINANCIAL DATA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selected condensed consolidated historical income statement data "as previously reported" for the years ended December 31, 2019, 2018, and 2017 and the selected consolidated historical balance sheet data as of December 31, 2019, 2018, and 2017, presented below have been derived from our audited consolidated financial statements. The selected condensed consolidated historical income statement data for the three months ended March 31, 2020 and 2019 and the selected consolidated historical balance sheet data as of March 31, 2020 presented below have been derived from our unaudited consolidated financial statements. Effective January 1, 2020, we changed the presentation of cost reimbursements from collaborators who are not deemed to be our customers from collaboration revenue to a reduction of the corresponding operating expense (</w:t>
      </w:r>
      <w:r>
        <w:rPr>
          <w:rFonts w:ascii="Arial" w:cs="Arial" w:eastAsia="Arial" w:hAnsi="Arial"/>
          <w:sz w:val="16"/>
          <w:szCs w:val="16"/>
          <w:i w:val="1"/>
          <w:iCs w:val="1"/>
          <w:color w:val="auto"/>
        </w:rPr>
        <w:t>i.e.</w:t>
      </w:r>
      <w:r>
        <w:rPr>
          <w:rFonts w:ascii="Arial" w:cs="Arial" w:eastAsia="Arial" w:hAnsi="Arial"/>
          <w:sz w:val="16"/>
          <w:szCs w:val="16"/>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The change in presentation has been applied retrospectively to the selected condensed consolidated income statement data from our previously audited financial statements, as shown in the table below. Results for the three months ended March 31, 2020 may not be indicative of the results for the year ending December 31, 2020. All financial data presented in this prospectus supplement have been prepared in accordance with United States generally accepted accounting principles.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This information should be read in conjunction with our consolidated financial statements (including the related notes thereto) and the disclosure under </w:t>
      </w:r>
      <w:hyperlink r:id="rId11">
        <w:r>
          <w:rPr>
            <w:rFonts w:ascii="Arial" w:cs="Arial" w:eastAsia="Arial" w:hAnsi="Arial"/>
            <w:sz w:val="18"/>
            <w:szCs w:val="18"/>
            <w:color w:val="auto"/>
          </w:rPr>
          <w:t xml:space="preserve">"Management's Discussion and Analysis of Financial Condition and Results of Operations"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EE"/>
          </w:rPr>
          <w:t>December 31, 2019</w:t>
        </w:r>
        <w:r>
          <w:rPr>
            <w:rFonts w:ascii="Arial" w:cs="Arial" w:eastAsia="Arial" w:hAnsi="Arial"/>
            <w:sz w:val="18"/>
            <w:szCs w:val="18"/>
            <w:color w:val="000000"/>
          </w:rPr>
          <w:t>, and our</w:t>
        </w:r>
        <w:r>
          <w:rPr>
            <w:rFonts w:ascii="Arial" w:cs="Arial" w:eastAsia="Arial" w:hAnsi="Arial"/>
            <w:sz w:val="18"/>
            <w:szCs w:val="18"/>
            <w:color w:val="0000EE"/>
          </w:rPr>
          <w:t xml:space="preserve"> </w:t>
        </w:r>
      </w:hyperlink>
      <w:hyperlink r:id="rId12">
        <w:r>
          <w:rPr>
            <w:rFonts w:ascii="Arial" w:cs="Arial" w:eastAsia="Arial" w:hAnsi="Arial"/>
            <w:sz w:val="18"/>
            <w:szCs w:val="18"/>
            <w:u w:val="single" w:color="auto"/>
            <w:color w:val="0000EE"/>
          </w:rPr>
          <w:t>Quarterly Report on Form 10-Q for the quarterly period ended March 31, 2020</w:t>
        </w:r>
      </w:hyperlink>
      <w:hyperlink r:id="rId11">
        <w:r>
          <w:rPr>
            <w:rFonts w:ascii="Arial" w:cs="Arial" w:eastAsia="Arial" w:hAnsi="Arial"/>
            <w:sz w:val="18"/>
            <w:szCs w:val="18"/>
            <w:color w:val="000000"/>
          </w:rPr>
          <w:t xml:space="preserve">, each of which is incorporated by </w:t>
        </w:r>
      </w:hyperlink>
      <w:r>
        <w:rPr>
          <w:rFonts w:ascii="Arial" w:cs="Arial" w:eastAsia="Arial" w:hAnsi="Arial"/>
          <w:sz w:val="18"/>
          <w:szCs w:val="18"/>
          <w:color w:val="0000EE"/>
        </w:rPr>
        <w:t xml:space="preserve">reference </w:t>
      </w:r>
      <w:r>
        <w:rPr>
          <w:rFonts w:ascii="Arial" w:cs="Arial" w:eastAsia="Arial" w:hAnsi="Arial"/>
          <w:sz w:val="18"/>
          <w:szCs w:val="18"/>
          <w:color w:val="000000"/>
        </w:rPr>
        <w:t>into</w:t>
      </w:r>
      <w:r>
        <w:rPr>
          <w:rFonts w:ascii="Arial" w:cs="Arial" w:eastAsia="Arial" w:hAnsi="Arial"/>
          <w:sz w:val="18"/>
          <w:szCs w:val="18"/>
          <w:color w:val="0000EE"/>
        </w:rPr>
        <w:t xml:space="preserve"> </w:t>
      </w:r>
      <w:r>
        <w:rPr>
          <w:rFonts w:ascii="Arial" w:cs="Arial" w:eastAsia="Arial" w:hAnsi="Arial"/>
          <w:sz w:val="18"/>
          <w:szCs w:val="18"/>
          <w:color w:val="000000"/>
        </w:rPr>
        <w:t>this prospectus supplement.</w:t>
      </w:r>
    </w:p>
    <w:p>
      <w:pPr>
        <w:spacing w:after="0" w:line="192" w:lineRule="exact"/>
        <w:rPr>
          <w:rFonts w:ascii="Arial" w:cs="Arial" w:eastAsia="Arial" w:hAnsi="Arial"/>
          <w:sz w:val="18"/>
          <w:szCs w:val="18"/>
          <w:color w:val="0000EE"/>
        </w:rPr>
      </w:pPr>
    </w:p>
    <w:tbl>
      <w:tblPr>
        <w:tblLayout w:type="fixed"/>
        <w:tblInd w:w="11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Three</w:t>
            </w:r>
          </w:p>
        </w:tc>
        <w:tc>
          <w:tcPr>
            <w:tcW w:w="8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Three</w:t>
            </w:r>
          </w:p>
        </w:tc>
        <w:tc>
          <w:tcPr>
            <w:tcW w:w="80" w:type="dxa"/>
            <w:vAlign w:val="bottom"/>
          </w:tcPr>
          <w:p>
            <w:pPr>
              <w:spacing w:after="0"/>
              <w:rPr>
                <w:sz w:val="14"/>
                <w:szCs w:val="14"/>
                <w:color w:val="auto"/>
              </w:rPr>
            </w:pPr>
          </w:p>
        </w:tc>
        <w:tc>
          <w:tcPr>
            <w:tcW w:w="200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w w:val="93"/>
              </w:rPr>
              <w:t>Year Ended December 31, 2019</w:t>
            </w:r>
          </w:p>
        </w:tc>
        <w:tc>
          <w:tcPr>
            <w:tcW w:w="100" w:type="dxa"/>
            <w:vAlign w:val="bottom"/>
          </w:tcPr>
          <w:p>
            <w:pPr>
              <w:spacing w:after="0"/>
              <w:rPr>
                <w:sz w:val="14"/>
                <w:szCs w:val="14"/>
                <w:color w:val="auto"/>
              </w:rPr>
            </w:pPr>
          </w:p>
        </w:tc>
        <w:tc>
          <w:tcPr>
            <w:tcW w:w="200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w w:val="93"/>
              </w:rPr>
              <w:t>Year Ended December 31, 2018</w:t>
            </w:r>
          </w:p>
        </w:tc>
        <w:tc>
          <w:tcPr>
            <w:tcW w:w="80" w:type="dxa"/>
            <w:vAlign w:val="bottom"/>
          </w:tcPr>
          <w:p>
            <w:pPr>
              <w:spacing w:after="0"/>
              <w:rPr>
                <w:sz w:val="14"/>
                <w:szCs w:val="14"/>
                <w:color w:val="auto"/>
              </w:rPr>
            </w:pPr>
          </w:p>
        </w:tc>
        <w:tc>
          <w:tcPr>
            <w:tcW w:w="210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w w:val="93"/>
              </w:rPr>
              <w:t>Year Ended December 31, 2017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3"/>
            <w:vMerge w:val="restart"/>
          </w:tcPr>
          <w:p>
            <w:pPr>
              <w:jc w:val="center"/>
              <w:ind w:right="160"/>
              <w:spacing w:after="0" w:line="136" w:lineRule="exact"/>
              <w:rPr>
                <w:sz w:val="20"/>
                <w:szCs w:val="20"/>
                <w:color w:val="auto"/>
              </w:rPr>
            </w:pPr>
            <w:r>
              <w:rPr>
                <w:rFonts w:ascii="Arial" w:cs="Arial" w:eastAsia="Arial" w:hAnsi="Arial"/>
                <w:sz w:val="13"/>
                <w:szCs w:val="13"/>
                <w:b w:val="1"/>
                <w:bCs w:val="1"/>
                <w:color w:val="auto"/>
                <w:w w:val="95"/>
              </w:rPr>
              <w:t>Months</w:t>
            </w:r>
          </w:p>
        </w:tc>
        <w:tc>
          <w:tcPr>
            <w:tcW w:w="80" w:type="dxa"/>
            <w:vAlign w:val="bottom"/>
          </w:tcPr>
          <w:p>
            <w:pPr>
              <w:spacing w:after="0"/>
              <w:rPr>
                <w:sz w:val="2"/>
                <w:szCs w:val="2"/>
                <w:color w:val="auto"/>
              </w:rPr>
            </w:pPr>
          </w:p>
        </w:tc>
        <w:tc>
          <w:tcPr>
            <w:tcW w:w="620" w:type="dxa"/>
            <w:vAlign w:val="bottom"/>
            <w:gridSpan w:val="2"/>
            <w:vMerge w:val="restart"/>
          </w:tcPr>
          <w:p>
            <w:pPr>
              <w:jc w:val="center"/>
              <w:ind w:right="140"/>
              <w:spacing w:after="0" w:line="136" w:lineRule="exact"/>
              <w:rPr>
                <w:sz w:val="20"/>
                <w:szCs w:val="20"/>
                <w:color w:val="auto"/>
              </w:rPr>
            </w:pPr>
            <w:r>
              <w:rPr>
                <w:rFonts w:ascii="Arial" w:cs="Arial" w:eastAsia="Arial" w:hAnsi="Arial"/>
                <w:sz w:val="13"/>
                <w:szCs w:val="13"/>
                <w:b w:val="1"/>
                <w:bCs w:val="1"/>
                <w:color w:val="auto"/>
                <w:w w:val="95"/>
              </w:rPr>
              <w:t>Months</w:t>
            </w: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Ended</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Ended</w:t>
            </w:r>
          </w:p>
        </w:tc>
        <w:tc>
          <w:tcPr>
            <w:tcW w:w="80" w:type="dxa"/>
            <w:vAlign w:val="bottom"/>
          </w:tcPr>
          <w:p>
            <w:pPr>
              <w:spacing w:after="0"/>
              <w:rPr>
                <w:sz w:val="12"/>
                <w:szCs w:val="12"/>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As</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6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9"/>
              </w:rPr>
              <w:t>March 31,</w:t>
            </w:r>
          </w:p>
        </w:tc>
        <w:tc>
          <w:tcPr>
            <w:tcW w:w="7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March 31,</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Previously</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As</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Previously</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Previously</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61"/>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Reported*</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Reported*</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Reported*</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Revised</w:t>
            </w:r>
          </w:p>
        </w:tc>
        <w:tc>
          <w:tcPr>
            <w:tcW w:w="0" w:type="dxa"/>
            <w:vAlign w:val="bottom"/>
          </w:tcPr>
          <w:p>
            <w:pPr>
              <w:spacing w:after="0"/>
              <w:rPr>
                <w:sz w:val="1"/>
                <w:szCs w:val="1"/>
                <w:color w:val="auto"/>
              </w:rPr>
            </w:pPr>
          </w:p>
        </w:tc>
      </w:tr>
      <w:tr>
        <w:trPr>
          <w:trHeight w:val="129"/>
        </w:trPr>
        <w:tc>
          <w:tcPr>
            <w:tcW w:w="1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Income statement</w:t>
            </w: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data:</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20"/>
              <w:spacing w:after="0"/>
              <w:rPr>
                <w:sz w:val="20"/>
                <w:szCs w:val="20"/>
                <w:color w:val="auto"/>
              </w:rPr>
            </w:pPr>
            <w:r>
              <w:rPr>
                <w:rFonts w:ascii="Arial" w:cs="Arial" w:eastAsia="Arial" w:hAnsi="Arial"/>
                <w:sz w:val="13"/>
                <w:szCs w:val="13"/>
                <w:color w:val="auto"/>
              </w:rPr>
              <w:t>Revenues: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product sales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1,236.7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1,104.4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4,834.4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$ 4,834.4</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4,106.2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$ 4,106.2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3,718.5</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$ 3,718.5</w:t>
            </w:r>
          </w:p>
        </w:tc>
        <w:tc>
          <w:tcPr>
            <w:tcW w:w="0" w:type="dxa"/>
            <w:vAlign w:val="bottom"/>
          </w:tcPr>
          <w:p>
            <w:pPr>
              <w:spacing w:after="0"/>
              <w:rPr>
                <w:sz w:val="1"/>
                <w:szCs w:val="1"/>
                <w:color w:val="auto"/>
              </w:rPr>
            </w:pPr>
          </w:p>
        </w:tc>
      </w:tr>
      <w:tr>
        <w:trPr>
          <w:trHeight w:val="138"/>
        </w:trPr>
        <w:tc>
          <w:tcPr>
            <w:tcW w:w="1360" w:type="dxa"/>
            <w:vAlign w:val="bottom"/>
          </w:tcPr>
          <w:p>
            <w:pPr>
              <w:ind w:left="120"/>
              <w:spacing w:after="0" w:line="138" w:lineRule="exact"/>
              <w:rPr>
                <w:sz w:val="20"/>
                <w:szCs w:val="20"/>
                <w:color w:val="auto"/>
              </w:rPr>
            </w:pPr>
            <w:r>
              <w:rPr>
                <w:rFonts w:ascii="Arial" w:cs="Arial" w:eastAsia="Arial" w:hAnsi="Arial"/>
                <w:sz w:val="13"/>
                <w:szCs w:val="13"/>
                <w:color w:val="auto"/>
              </w:rPr>
              <w:t>Sanofi collaboration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220"/>
              <w:spacing w:after="0"/>
              <w:rPr>
                <w:sz w:val="20"/>
                <w:szCs w:val="20"/>
                <w:color w:val="auto"/>
              </w:rPr>
            </w:pPr>
            <w:r>
              <w:rPr>
                <w:rFonts w:ascii="Arial" w:cs="Arial" w:eastAsia="Arial" w:hAnsi="Arial"/>
                <w:sz w:val="13"/>
                <w:szCs w:val="13"/>
                <w:color w:val="auto"/>
              </w:rPr>
              <w:t>revenue</w:t>
            </w:r>
          </w:p>
        </w:tc>
        <w:tc>
          <w:tcPr>
            <w:tcW w:w="8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246.9</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1,426.8</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(1,023.2)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403.6</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1,111.1</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(1,236.8)</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(125.7)</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877.2</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(1,266.9)</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(389.7)</w:t>
            </w: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Bayer collaboration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281.4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264.0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1,188.8</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1,145.6</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1,076.7</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1,036.1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938.1</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846.0</w:t>
            </w:r>
          </w:p>
        </w:tc>
        <w:tc>
          <w:tcPr>
            <w:tcW w:w="0" w:type="dxa"/>
            <w:vAlign w:val="bottom"/>
          </w:tcPr>
          <w:p>
            <w:pPr>
              <w:spacing w:after="0"/>
              <w:rPr>
                <w:sz w:val="1"/>
                <w:szCs w:val="1"/>
                <w:color w:val="auto"/>
              </w:rPr>
            </w:pPr>
          </w:p>
        </w:tc>
      </w:tr>
      <w:tr>
        <w:trPr>
          <w:trHeight w:val="148"/>
        </w:trPr>
        <w:tc>
          <w:tcPr>
            <w:tcW w:w="1360" w:type="dxa"/>
            <w:vAlign w:val="bottom"/>
          </w:tcPr>
          <w:p>
            <w:pPr>
              <w:ind w:left="120"/>
              <w:spacing w:after="0"/>
              <w:rPr>
                <w:sz w:val="20"/>
                <w:szCs w:val="20"/>
                <w:color w:val="auto"/>
              </w:rPr>
            </w:pPr>
            <w:r>
              <w:rPr>
                <w:rFonts w:ascii="Arial" w:cs="Arial" w:eastAsia="Arial" w:hAnsi="Arial"/>
                <w:sz w:val="13"/>
                <w:szCs w:val="13"/>
                <w:color w:val="auto"/>
              </w:rPr>
              <w:t>Other revenue</w:t>
            </w:r>
          </w:p>
        </w:tc>
        <w:tc>
          <w:tcPr>
            <w:tcW w:w="8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63.2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22.2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413.4</w:t>
            </w: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(239.4)</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174.0</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416.8</w:t>
            </w:r>
          </w:p>
        </w:tc>
        <w:tc>
          <w:tcPr>
            <w:tcW w:w="1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(287.8)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129.0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338.4</w:t>
            </w:r>
          </w:p>
        </w:tc>
        <w:tc>
          <w:tcPr>
            <w:tcW w:w="2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(255.7)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1,828.2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7,863.4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6,557.6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6,710.8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5,145.6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5,872.2</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4,257.5</w:t>
            </w:r>
          </w:p>
        </w:tc>
        <w:tc>
          <w:tcPr>
            <w:tcW w:w="0" w:type="dxa"/>
            <w:vAlign w:val="bottom"/>
          </w:tcPr>
          <w:p>
            <w:pPr>
              <w:spacing w:after="0"/>
              <w:rPr>
                <w:sz w:val="1"/>
                <w:szCs w:val="1"/>
                <w:color w:val="auto"/>
              </w:rPr>
            </w:pPr>
          </w:p>
        </w:tc>
      </w:tr>
      <w:tr>
        <w:trPr>
          <w:trHeight w:val="142"/>
        </w:trPr>
        <w:tc>
          <w:tcPr>
            <w:tcW w:w="1360" w:type="dxa"/>
            <w:vAlign w:val="bottom"/>
          </w:tcPr>
          <w:p>
            <w:pPr>
              <w:ind w:left="20"/>
              <w:spacing w:after="0" w:line="142" w:lineRule="exact"/>
              <w:rPr>
                <w:sz w:val="20"/>
                <w:szCs w:val="20"/>
                <w:color w:val="auto"/>
              </w:rPr>
            </w:pPr>
            <w:r>
              <w:rPr>
                <w:rFonts w:ascii="Arial" w:cs="Arial" w:eastAsia="Arial" w:hAnsi="Arial"/>
                <w:sz w:val="13"/>
                <w:szCs w:val="13"/>
                <w:color w:val="auto"/>
              </w:rPr>
              <w:t>Expenses: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Research and</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development</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583.9</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486.1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3,036.6</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(586.6)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2,450.0</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2,186.1</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1,468.8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2,075.1</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(894.6)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1,180.5</w:t>
            </w:r>
          </w:p>
        </w:tc>
        <w:tc>
          <w:tcPr>
            <w:tcW w:w="0" w:type="dxa"/>
            <w:vAlign w:val="bottom"/>
          </w:tcPr>
          <w:p>
            <w:pPr>
              <w:spacing w:after="0"/>
              <w:rPr>
                <w:sz w:val="1"/>
                <w:szCs w:val="1"/>
                <w:color w:val="auto"/>
              </w:rPr>
            </w:pPr>
          </w:p>
        </w:tc>
      </w:tr>
      <w:tr>
        <w:trPr>
          <w:trHeight w:val="138"/>
        </w:trPr>
        <w:tc>
          <w:tcPr>
            <w:tcW w:w="1360" w:type="dxa"/>
            <w:vAlign w:val="bottom"/>
          </w:tcPr>
          <w:p>
            <w:pPr>
              <w:ind w:left="120"/>
              <w:spacing w:after="0" w:line="138" w:lineRule="exact"/>
              <w:rPr>
                <w:sz w:val="20"/>
                <w:szCs w:val="20"/>
                <w:color w:val="auto"/>
              </w:rPr>
            </w:pPr>
            <w:r>
              <w:rPr>
                <w:rFonts w:ascii="Arial" w:cs="Arial" w:eastAsia="Arial" w:hAnsi="Arial"/>
                <w:sz w:val="13"/>
                <w:szCs w:val="13"/>
                <w:color w:val="auto"/>
              </w:rPr>
              <w:t>Selling, general, and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220"/>
              <w:spacing w:after="0"/>
              <w:rPr>
                <w:sz w:val="20"/>
                <w:szCs w:val="20"/>
                <w:color w:val="auto"/>
              </w:rPr>
            </w:pPr>
            <w:r>
              <w:rPr>
                <w:rFonts w:ascii="Arial" w:cs="Arial" w:eastAsia="Arial" w:hAnsi="Arial"/>
                <w:sz w:val="13"/>
                <w:szCs w:val="13"/>
                <w:color w:val="auto"/>
              </w:rPr>
              <w:t>administrative</w:t>
            </w:r>
          </w:p>
        </w:tc>
        <w:tc>
          <w:tcPr>
            <w:tcW w:w="8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367.3</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291.1</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1,834.8</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(492.9)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1,341.9</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1,556.2</w:t>
            </w: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(429.0)</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1,127.2</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1,320.4</w:t>
            </w: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(380.4)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940.0</w:t>
            </w: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362.3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362.3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202.5</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38"/>
        </w:trPr>
        <w:tc>
          <w:tcPr>
            <w:tcW w:w="1360" w:type="dxa"/>
            <w:vAlign w:val="bottom"/>
          </w:tcPr>
          <w:p>
            <w:pPr>
              <w:ind w:left="120"/>
              <w:spacing w:after="0" w:line="138" w:lineRule="exact"/>
              <w:rPr>
                <w:sz w:val="20"/>
                <w:szCs w:val="20"/>
                <w:color w:val="auto"/>
              </w:rPr>
            </w:pPr>
            <w:r>
              <w:rPr>
                <w:rFonts w:ascii="Arial" w:cs="Arial" w:eastAsia="Arial" w:hAnsi="Arial"/>
                <w:sz w:val="13"/>
                <w:szCs w:val="13"/>
                <w:color w:val="auto"/>
              </w:rPr>
              <w:t>Cost of collaboration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220"/>
              <w:spacing w:after="0"/>
              <w:rPr>
                <w:sz w:val="20"/>
                <w:szCs w:val="20"/>
                <w:color w:val="auto"/>
              </w:rPr>
            </w:pPr>
            <w:r>
              <w:rPr>
                <w:rFonts w:ascii="Arial" w:cs="Arial" w:eastAsia="Arial" w:hAnsi="Arial"/>
                <w:sz w:val="13"/>
                <w:szCs w:val="13"/>
                <w:color w:val="auto"/>
              </w:rPr>
              <w:t>and contract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220"/>
              <w:spacing w:after="0"/>
              <w:rPr>
                <w:sz w:val="20"/>
                <w:szCs w:val="20"/>
                <w:color w:val="auto"/>
              </w:rPr>
            </w:pPr>
            <w:r>
              <w:rPr>
                <w:rFonts w:ascii="Arial" w:cs="Arial" w:eastAsia="Arial" w:hAnsi="Arial"/>
                <w:sz w:val="13"/>
                <w:szCs w:val="13"/>
                <w:color w:val="auto"/>
              </w:rPr>
              <w:t>manufacturing</w:t>
            </w:r>
          </w:p>
        </w:tc>
        <w:tc>
          <w:tcPr>
            <w:tcW w:w="8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138.5</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101.2</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419.9</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(17.1)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402.8</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254.1</w:t>
            </w: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(16.6)</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237.5</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194.6</w:t>
            </w: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(25.2)</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Other operating</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expense,</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(40.4)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(314.5)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1,128.1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892.6</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5,653.6</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4,347.8</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4,176.4</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2,611.2</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3,792.6</w:t>
            </w: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2,177.9</w:t>
            </w:r>
          </w:p>
        </w:tc>
        <w:tc>
          <w:tcPr>
            <w:tcW w:w="0" w:type="dxa"/>
            <w:vAlign w:val="bottom"/>
          </w:tcPr>
          <w:p>
            <w:pPr>
              <w:spacing w:after="0"/>
              <w:rPr>
                <w:sz w:val="1"/>
                <w:szCs w:val="1"/>
                <w:color w:val="auto"/>
              </w:rPr>
            </w:pPr>
          </w:p>
        </w:tc>
      </w:tr>
      <w:tr>
        <w:trPr>
          <w:trHeight w:val="131"/>
        </w:trPr>
        <w:tc>
          <w:tcPr>
            <w:tcW w:w="13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Income from</w:t>
            </w: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700.1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2,209.8</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2,209.8</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2,534.4</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2,534.4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2,079.6</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2,079.6</w:t>
            </w:r>
          </w:p>
        </w:tc>
        <w:tc>
          <w:tcPr>
            <w:tcW w:w="0" w:type="dxa"/>
            <w:vAlign w:val="bottom"/>
          </w:tcPr>
          <w:p>
            <w:pPr>
              <w:spacing w:after="0"/>
              <w:rPr>
                <w:sz w:val="1"/>
                <w:szCs w:val="1"/>
                <w:color w:val="auto"/>
              </w:rPr>
            </w:pPr>
          </w:p>
        </w:tc>
      </w:tr>
      <w:tr>
        <w:trPr>
          <w:trHeight w:val="131"/>
        </w:trPr>
        <w:tc>
          <w:tcPr>
            <w:tcW w:w="1360" w:type="dxa"/>
            <w:vAlign w:val="bottom"/>
          </w:tcPr>
          <w:p>
            <w:pPr>
              <w:ind w:left="20"/>
              <w:spacing w:after="0" w:line="131" w:lineRule="exact"/>
              <w:rPr>
                <w:sz w:val="20"/>
                <w:szCs w:val="20"/>
                <w:color w:val="auto"/>
              </w:rPr>
            </w:pPr>
            <w:r>
              <w:rPr>
                <w:rFonts w:ascii="Arial" w:cs="Arial" w:eastAsia="Arial" w:hAnsi="Arial"/>
                <w:sz w:val="13"/>
                <w:szCs w:val="13"/>
                <w:color w:val="auto"/>
              </w:rPr>
              <w:t>Other (expense)</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120"/>
              <w:spacing w:after="0"/>
              <w:rPr>
                <w:sz w:val="20"/>
                <w:szCs w:val="20"/>
                <w:color w:val="auto"/>
              </w:rPr>
            </w:pPr>
            <w:r>
              <w:rPr>
                <w:rFonts w:ascii="Arial" w:cs="Arial" w:eastAsia="Arial" w:hAnsi="Arial"/>
                <w:sz w:val="13"/>
                <w:szCs w:val="13"/>
                <w:color w:val="auto"/>
              </w:rPr>
              <w:t>income, net</w:t>
            </w:r>
          </w:p>
        </w:tc>
        <w:tc>
          <w:tcPr>
            <w:tcW w:w="8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66.1</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219.3</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219.3</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19.1</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1"/>
        </w:trPr>
        <w:tc>
          <w:tcPr>
            <w:tcW w:w="13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Income before income</w:t>
            </w: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668.6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546.1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2,429.1</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2,429.1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2,553.5</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2,553.5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2,078.5</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2,078.5</w:t>
            </w:r>
          </w:p>
        </w:tc>
        <w:tc>
          <w:tcPr>
            <w:tcW w:w="0" w:type="dxa"/>
            <w:vAlign w:val="bottom"/>
          </w:tcPr>
          <w:p>
            <w:pPr>
              <w:spacing w:after="0"/>
              <w:rPr>
                <w:sz w:val="1"/>
                <w:szCs w:val="1"/>
                <w:color w:val="auto"/>
              </w:rPr>
            </w:pPr>
          </w:p>
        </w:tc>
      </w:tr>
      <w:tr>
        <w:trPr>
          <w:trHeight w:val="149"/>
        </w:trPr>
        <w:tc>
          <w:tcPr>
            <w:tcW w:w="136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8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44.0</w:t>
            </w: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85.0</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313.3</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313.3</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109.1</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880.0</w:t>
            </w: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880.0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624.6</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461.1</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2,115.8</w:t>
            </w: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$ 2,115.8</w:t>
            </w: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2,444.4</w:t>
            </w: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$ 2,444.4</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1,198.5</w:t>
            </w:r>
          </w:p>
        </w:tc>
        <w:tc>
          <w:tcPr>
            <w:tcW w:w="20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 $ 1,198.5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rFonts w:ascii="Arial" w:cs="Arial" w:eastAsia="Arial" w:hAnsi="Arial"/>
          <w:sz w:val="18"/>
          <w:szCs w:val="18"/>
          <w:color w:val="0000EE"/>
        </w:rPr>
      </w:pPr>
    </w:p>
    <w:p>
      <w:pPr>
        <w:ind w:left="1680" w:right="280" w:hanging="549"/>
        <w:spacing w:after="0" w:line="274" w:lineRule="auto"/>
        <w:tabs>
          <w:tab w:leader="none" w:pos="16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See above and our Quarterly Report on Form 10-Q for the quarterly period ended March 31, 2020, which is incorporated by reference into this prospectus supplement, for a description of certain presentation changes effective January 1, 2020.</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4"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March 31,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50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(in millions)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2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w w:val="96"/>
              </w:rPr>
              <w:t>Cash, cash equivalents, and marketable securities (current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non-current)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7,239.8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6,471.1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4,564.9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2,896.0</w:t>
            </w:r>
          </w:p>
        </w:tc>
        <w:tc>
          <w:tcPr>
            <w:tcW w:w="1140" w:type="dxa"/>
            <w:vAlign w:val="bottom"/>
          </w:tcPr>
          <w:p>
            <w:pPr>
              <w:spacing w:after="0"/>
              <w:rPr>
                <w:sz w:val="19"/>
                <w:szCs w:val="19"/>
                <w:color w:val="auto"/>
              </w:rPr>
            </w:pPr>
          </w:p>
        </w:tc>
      </w:tr>
      <w:tr>
        <w:trPr>
          <w:trHeight w:val="217"/>
        </w:trPr>
        <w:tc>
          <w:tcPr>
            <w:tcW w:w="11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14,805.2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11,734.5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8,764.3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Finance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713.9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708.5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703.5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11,089.7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6,144.1</w:t>
            </w:r>
          </w:p>
        </w:tc>
        <w:tc>
          <w:tcPr>
            <w:tcW w:w="1140" w:type="dxa"/>
            <w:vAlign w:val="bottom"/>
          </w:tcPr>
          <w:p>
            <w:pPr>
              <w:spacing w:after="0"/>
              <w:rPr>
                <w:sz w:val="18"/>
                <w:szCs w:val="18"/>
                <w:color w:val="auto"/>
              </w:rPr>
            </w:pPr>
          </w:p>
        </w:tc>
      </w:tr>
      <w:tr>
        <w:trPr>
          <w:trHeight w:val="430"/>
        </w:trPr>
        <w:tc>
          <w:tcPr>
            <w:tcW w:w="1120" w:type="dxa"/>
            <w:vAlign w:val="bottom"/>
          </w:tcPr>
          <w:p>
            <w:pPr>
              <w:spacing w:after="0"/>
              <w:rPr>
                <w:sz w:val="24"/>
                <w:szCs w:val="24"/>
                <w:color w:val="auto"/>
              </w:rPr>
            </w:pPr>
          </w:p>
        </w:tc>
        <w:tc>
          <w:tcPr>
            <w:tcW w:w="5080" w:type="dxa"/>
            <w:vAlign w:val="bottom"/>
          </w:tcPr>
          <w:p>
            <w:pPr>
              <w:ind w:left="4340"/>
              <w:spacing w:after="0"/>
              <w:rPr>
                <w:sz w:val="20"/>
                <w:szCs w:val="20"/>
                <w:color w:val="auto"/>
              </w:rPr>
            </w:pPr>
            <w:r>
              <w:rPr>
                <w:rFonts w:ascii="Arial" w:cs="Arial" w:eastAsia="Arial" w:hAnsi="Arial"/>
                <w:sz w:val="18"/>
                <w:szCs w:val="18"/>
                <w:color w:val="auto"/>
              </w:rPr>
              <w:t>S-12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selling shareholders will receive all net proceeds from the sale of our common stock in this offering. We will not receive any of the proceeds from the sale of the shares of our common stock in this offering.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March 31, 2020:</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adjusted to give effect to this offering, the Repurchase, and the indebtedness we expect to incur in connection with the Repurchase.</w:t>
      </w:r>
    </w:p>
    <w:p>
      <w:pPr>
        <w:spacing w:after="0" w:line="248" w:lineRule="exact"/>
        <w:rPr>
          <w:sz w:val="20"/>
          <w:szCs w:val="20"/>
          <w:color w:val="auto"/>
        </w:rPr>
      </w:pPr>
    </w:p>
    <w:p>
      <w:pPr>
        <w:ind w:firstLine="344"/>
        <w:spacing w:after="0" w:line="369" w:lineRule="auto"/>
        <w:rPr>
          <w:sz w:val="20"/>
          <w:szCs w:val="20"/>
          <w:color w:val="auto"/>
        </w:rPr>
      </w:pPr>
      <w:r>
        <w:rPr>
          <w:rFonts w:ascii="Arial" w:cs="Arial" w:eastAsia="Arial" w:hAnsi="Arial"/>
          <w:sz w:val="15"/>
          <w:szCs w:val="15"/>
          <w:color w:val="auto"/>
        </w:rPr>
        <w:t>You should read this table together with our financial statements and notes thereto and other financial and operating data included elsewhere in this prospectus supplement or in the accompanying prospectus or incorporated by reference into this prospectus supplement or the accompanying prospectus.</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42"/>
        </w:trPr>
        <w:tc>
          <w:tcPr>
            <w:tcW w:w="694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(in millions, except shares data)</w:t>
            </w: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marketable securities (current and non-current)</w:t>
            </w: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7,239.8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3,726.</w:t>
            </w:r>
            <w:r>
              <w:rPr>
                <w:rFonts w:ascii="Arial" w:cs="Arial" w:eastAsia="Arial" w:hAnsi="Arial"/>
                <w:sz w:val="18"/>
                <w:szCs w:val="18"/>
                <w:b w:val="1"/>
                <w:bCs w:val="1"/>
                <w:u w:val="single" w:color="auto"/>
                <w:color w:val="auto"/>
              </w:rPr>
              <w:t>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Bridge loan(1)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715.2</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431"/>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 $0.01 par value; 30,000,000 shares authorized, no shares issued and</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940" w:type="dxa"/>
            <w:vAlign w:val="bottom"/>
            <w:gridSpan w:val="2"/>
          </w:tcPr>
          <w:p>
            <w:pPr>
              <w:ind w:left="20"/>
              <w:spacing w:after="0"/>
              <w:rPr>
                <w:sz w:val="20"/>
                <w:szCs w:val="20"/>
                <w:color w:val="auto"/>
              </w:rPr>
            </w:pPr>
            <w:r>
              <w:rPr>
                <w:rFonts w:ascii="Arial" w:cs="Arial" w:eastAsia="Arial" w:hAnsi="Arial"/>
                <w:sz w:val="18"/>
                <w:szCs w:val="18"/>
                <w:color w:val="auto"/>
                <w:w w:val="92"/>
              </w:rPr>
              <w:t>Class A stock, convertible, $0.001 par value; 40,000,000 shares authorized, 1,848,970 shares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issued and outstanding</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Common stock, $0.001 par value, 320,000,000 shares authorized, 116,025,758 shares issued</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5,211.4</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5,211.4</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8,004.4</w:t>
            </w: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5,683,562 shares, actual; 15,490,367, as adjusted(1)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(1,073.8)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(6,073.8)</w:t>
            </w: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12,133.0</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7,133.0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6"/>
              </w:rPr>
              <w:t>12,848.2</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9,348.</w:t>
            </w:r>
            <w:r>
              <w:rPr>
                <w:rFonts w:ascii="Arial" w:cs="Arial" w:eastAsia="Arial" w:hAnsi="Arial"/>
                <w:sz w:val="18"/>
                <w:szCs w:val="18"/>
                <w:b w:val="1"/>
                <w:bCs w:val="1"/>
                <w:u w:val="single" w:color="auto"/>
                <w:color w:val="auto"/>
              </w:rPr>
              <w:t>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4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60" w:right="1720" w:hanging="4329"/>
        <w:spacing w:after="0" w:line="518" w:lineRule="auto"/>
        <w:tabs>
          <w:tab w:leader="none" w:pos="1673"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$5 billion of common stock is repurchased and $13.7 million for transaction fees and expenses.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320" w:top="131" w:right="8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following table and the notes thereto set forth information regarding the beneficial ownership of our capital stock by the selling shareholders as of May 25, 2020, and as adjusted to reflect the sale of the shares of common stock offered in this offering and the Repurchase. All information contained in the table and the notes below (other than the information regarding percentage of our common stock owned by the selling shareholders) is based upon the information provided to us by the selling shareholders, and we have not independently verified this information.</w:t>
      </w:r>
    </w:p>
    <w:p>
      <w:pPr>
        <w:spacing w:after="0" w:line="166"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Pursuant to the terms of the Investor Agreement, Sanofi currently has the right to designate an individual to our board of directors. Sanofi's current designee on our board of directors is N. Anthony Coles, M.D. Upon consummation of this offering, Sanofi will no longer have the right to designate an individual to our board of directors pursuant to the Investor Agreement, but the termination of Sanofi's board designation right will not impact the term of Dr. Coles or his nomination for election as a Class III director at the Company's 2020 annual meeting of shareholders.</w:t>
      </w:r>
    </w:p>
    <w:p>
      <w:pPr>
        <w:spacing w:after="0" w:line="16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number of shares of common stock beneficially owned by the selling shareholders are determined under rules promulgated by the SEC. The information is not necessarily indicative of beneficial ownership for any other purpose. Under the rules, beneficial ownership includes any shares as to which the individual or entity has sole or shared voting or investment power and any shares as to which the individual or entity has the right to acquire beneficial ownership within 60 days after May 25, 2020 through the exercise of any stock option or other right. The percentage of ownership for the selling shareholders is based on 112,191,166 shares of capital stock (consisting of 110,342,196 shares of common stock and 1,848,970 shares of Class A stock) outstanding as of March 31, 2020.</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Securities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Ownership Before</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Offered by</w:t>
            </w:r>
          </w:p>
        </w:tc>
        <w:tc>
          <w:tcPr>
            <w:tcW w:w="3680" w:type="dxa"/>
            <w:vAlign w:val="bottom"/>
            <w:gridSpan w:val="8"/>
            <w:vMerge w:val="restart"/>
          </w:tcPr>
          <w:p>
            <w:pPr>
              <w:ind w:left="440"/>
              <w:spacing w:after="0"/>
              <w:rPr>
                <w:sz w:val="20"/>
                <w:szCs w:val="20"/>
                <w:color w:val="auto"/>
              </w:rPr>
            </w:pPr>
            <w:r>
              <w:rPr>
                <w:rFonts w:ascii="Arial" w:cs="Arial" w:eastAsia="Arial" w:hAnsi="Arial"/>
                <w:sz w:val="13"/>
                <w:szCs w:val="13"/>
                <w:b w:val="1"/>
                <w:bCs w:val="1"/>
                <w:color w:val="auto"/>
              </w:rPr>
              <w:t>Ownership After Offering and Repurchase(2)</w:t>
            </w:r>
          </w:p>
        </w:tc>
        <w:tc>
          <w:tcPr>
            <w:tcW w:w="0" w:type="dxa"/>
            <w:vAlign w:val="bottom"/>
          </w:tcPr>
          <w:p>
            <w:pPr>
              <w:spacing w:after="0"/>
              <w:rPr>
                <w:sz w:val="1"/>
                <w:szCs w:val="1"/>
                <w:color w:val="auto"/>
              </w:rPr>
            </w:pPr>
          </w:p>
        </w:tc>
      </w:tr>
      <w:tr>
        <w:trPr>
          <w:trHeight w:val="80"/>
        </w:trPr>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6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5"/>
              </w:rPr>
              <w:t>Offering and</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6"/>
              </w:rPr>
              <w:t>this</w:t>
            </w:r>
          </w:p>
        </w:tc>
        <w:tc>
          <w:tcPr>
            <w:tcW w:w="36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1"/>
              </w:rPr>
              <w:t>Repurchase</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Prospectus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 of Capital</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rPr>
              <w:t>% of</w:t>
            </w:r>
          </w:p>
        </w:tc>
        <w:tc>
          <w:tcPr>
            <w:tcW w:w="126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0"/>
              </w:rPr>
              <w:t>Stock (Class A</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Class A</w:t>
            </w: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Common</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Class A</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Stock and</w:t>
            </w:r>
          </w:p>
        </w:tc>
        <w:tc>
          <w:tcPr>
            <w:tcW w:w="0" w:type="dxa"/>
            <w:vAlign w:val="bottom"/>
          </w:tcPr>
          <w:p>
            <w:pPr>
              <w:spacing w:after="0"/>
              <w:rPr>
                <w:sz w:val="1"/>
                <w:szCs w:val="1"/>
                <w:color w:val="auto"/>
              </w:rPr>
            </w:pPr>
          </w:p>
        </w:tc>
      </w:tr>
      <w:tr>
        <w:trPr>
          <w:trHeight w:val="161"/>
        </w:trPr>
        <w:tc>
          <w:tcPr>
            <w:tcW w:w="280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of Selling Shareholders</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Stock(1)</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Stock(2)</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Common Stock)</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Sanofi</w:t>
            </w:r>
          </w:p>
        </w:tc>
        <w:tc>
          <w:tcPr>
            <w:tcW w:w="1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3"/>
                <w:szCs w:val="13"/>
                <w:color w:val="auto"/>
              </w:rPr>
              <w:t>23,221,451</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13,014,646</w:t>
            </w:r>
          </w:p>
        </w:tc>
        <w:tc>
          <w:tcPr>
            <w:tcW w:w="74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400,000</w:t>
            </w:r>
          </w:p>
        </w:tc>
        <w:tc>
          <w:tcPr>
            <w:tcW w:w="8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0.4%</w:t>
            </w:r>
          </w:p>
        </w:tc>
        <w:tc>
          <w:tcPr>
            <w:tcW w:w="12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08"/>
        </w:trPr>
        <w:tc>
          <w:tcPr>
            <w:tcW w:w="1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80" w:hanging="549"/>
        <w:spacing w:after="0" w:line="288" w:lineRule="auto"/>
        <w:tabs>
          <w:tab w:leader="none" w:pos="16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20,421,899 shares of the common stock held by Sanofi, a company organized under the laws of France, and 2,799,552 shares held by Aventisub, a Delaware limited liability company and indirectly wholly owned subsidiary of Sanofi (and successor by merger to Aventis Pharmaceuticals Inc.). Sanofi may be deemed to share voting and dispositive power with respect to the shares of common stock held by Aventisub. The address of Sanofi is 54, rue La Boétie, 75008, Paris, France.</w:t>
      </w:r>
    </w:p>
    <w:p>
      <w:pPr>
        <w:spacing w:after="0" w:line="83" w:lineRule="exact"/>
        <w:rPr>
          <w:rFonts w:ascii="Arial" w:cs="Arial" w:eastAsia="Arial" w:hAnsi="Arial"/>
          <w:sz w:val="12"/>
          <w:szCs w:val="12"/>
          <w:color w:val="auto"/>
        </w:rPr>
      </w:pPr>
    </w:p>
    <w:p>
      <w:pPr>
        <w:ind w:left="1680" w:right="300" w:hanging="549"/>
        <w:spacing w:after="0" w:line="274"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1,183,150 shares representing the underwriters' option to purchase additional shares of common stock. If the underwriters do not exercise that option, the selling shareholders would continue to own that number of shares of common stock immediately following this offering.</w:t>
      </w:r>
    </w:p>
    <w:p>
      <w:pPr>
        <w:spacing w:after="0" w:line="17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Upon the consummation of this offering and the Repurchase, the amendment to the Investor Agreement we entered into on May 25, 2020 will become effective. The amendment provides, among other things, that following this offering and the Repurchase, (1) the "standstill" provisions, which contractually prohibit Sanofi from seeking to directly or indirectly exert control of Regeneron, will continue to apply pursuant to their terms; (2) Sanofi will no longer have the right to designate an independent board member for Regeneron's board of directors (though, as noted above, the termination of Sanofi's board designation right will not impact the term of the current Sanofi designee, Dr. Coles); (3) the voting commitments contained in the Investor Agreement will continue to apply to the shares of our common stock held by Sanofi and its affiliates following this offering and the Repurchase, for so long as such shares are held by them; (4) Sanofi and its affiliates will no longer have registration rights with respect to the shares of our common stock held by them as provided in the Investor Agreement; (5) the information rights and pre-emptive rights provided to Sanofi and its affiliates under the Investor Agreement will no longer apply; and (6) the lock-up restrictions in the Investor Agreement will continue to apply to the shares of our common stock held by Sanofi and its affiliates following this offering and the Repurchase until December 20, 2020 (except those shares may be used to satisfy certain funding obligations of Sanofi under the companies' existing collaborations).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TO NON-U.S. HOLDERS OF COMMON STOCK</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following is a general discussion of certain material U.S. federal income tax considerations with respect to the ownership and disposition of shares of our common stock applicable to non-U.S. holders (defined below) who acquired such shares in this offering. This discussion is based upon current provisions of the Internal Revenue Code of 1986, as amended (the "Code"), U.S. Treasury regulations promulgated thereunder, administrative rulings of the U.S. Internal Revenue Service (the "IRS"), and judicial decisions, each as in effect on the date hereof.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9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For purposes of this discussion, the term "non-U.S. holder" means a beneficial owner of shares of our common stock that is not, for U.S. federal income tax purposes: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partnership;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corporation created or organized in the United States or under the laws of the United States, any state thereof, or the District of Columbia;</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52" w:lineRule="exact"/>
        <w:rPr>
          <w:rFonts w:ascii="Arial" w:cs="Arial" w:eastAsia="Arial" w:hAnsi="Arial"/>
          <w:sz w:val="18"/>
          <w:szCs w:val="18"/>
          <w:color w:val="auto"/>
        </w:rPr>
      </w:pPr>
    </w:p>
    <w:p>
      <w:pPr>
        <w:jc w:val="both"/>
        <w:ind w:left="1080" w:right="2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trust if (1) a court within the United States is able to exercise primary supervision over the administration of the trust and one or more "United States persons" (as defined in the Code) have the authority to control all substantial decisions of such trust or (2) the trust has a valid election in effect under applicable U.S. Treasury regulations to be treated as a United States person for U.S. federal income tax purposes.</w:t>
      </w:r>
    </w:p>
    <w:p>
      <w:pPr>
        <w:spacing w:after="0" w:line="16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without limitation, banks, insurance companies or other financial institutions; tax-exempt entities; "controlled foreign corporations," "passive foreign investment companies" and corporations that accumulate earnings to avoid U.S. federal income tax; entities or arrangements treated as partnerships for U.S. federal income tax purposes or other "flow-through" entities and investors therein; brokers or dealers in securities or currencies; traders in securities that elect mark-to-market treatment; real estate investment trusts or regulated investment companies; certain former citizens or long-term residents of the United States; or holders who hold our common stock as part of a straddle, hedge, conversion transaction, constructive sale, or other integrated security transaction). In addition, this discussion does not address U.S. federal tax laws other than those pertaining to the U.S. federal income tax, nor does it address any aspects of the unearned income Medicare contribution tax pursuant to the Health Care and Education Reconciliation Act of 2010. Prospective investors should consult their tax advisors regarding the U.S. federal, state, local, and non-U.S. income and other tax considerations with respect to acquiring, holding and disposing of shares of our common stock.</w:t>
      </w:r>
    </w:p>
    <w:p>
      <w:pPr>
        <w:spacing w:after="0" w:line="177"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common stock, the tax treatment of a person treated as a partner in such partnership generally will depend on the status of the partner and the activities of the partnership. Persons that for U.S. federal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purposes are treated as partnerships and partners in such partnerships should consult their tax advisors.</w:t>
      </w:r>
    </w:p>
    <w:p>
      <w:pPr>
        <w:spacing w:after="0" w:line="219"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This discussion is for general information only and is not intended to constitute a complete description of all tax considerations relating to the acquisition, ownership and disposition of our common stock. Prospective holders of our common stock should consult with their tax advisors regarding the tax consequences to them of the acquisition, ownership and disposition of our common stock, including the application and effect of any U.S. federal, state, local, and non-U.S. income and other tax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general, subject to the discussion below regarding "effectively connected" dividends, the gross amount of any distribution we make to a non-U.S. holder with respect to its shares of our common stock will be subject to U.S. federal withholding tax at a rate of 30% to the extent that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tax basis in the non-U.S. holder's shares of our common stock and then, to the extent it exceeds the non-U.S. holder's adjusted tax basis in its share of our common stock, as gain from the sale or exchange of such stock. Any such gain will be subject to the tax treatment described below under "Gain on Sale or Other Taxable Disposition of Common Stock."</w:t>
      </w:r>
    </w:p>
    <w:p>
      <w:pPr>
        <w:spacing w:after="0" w:line="173"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Dividends we pay with respect to our common stock to a non-U.S. holder that are effectively connected with the conduct by such non-U.S. holder of a trade or business within the United States (and, if required by an applicable income tax treaty, are attributable to a permanent establishment or a fixed base of such non-U.S. holder in the United States) generally will not be subject to U.S. federal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a trade or business within the United States may be subject to an additional "branch profits tax" at a rate of 30% (or such lower rate as may be specified by an applicable income tax treaty).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31" w:lineRule="exact"/>
        <w:rPr>
          <w:sz w:val="20"/>
          <w:szCs w:val="20"/>
          <w:color w:val="auto"/>
        </w:rPr>
      </w:pPr>
    </w:p>
    <w:p>
      <w:pPr>
        <w:ind w:right="520" w:firstLine="351"/>
        <w:spacing w:after="0" w:line="331" w:lineRule="auto"/>
        <w:rPr>
          <w:sz w:val="20"/>
          <w:szCs w:val="20"/>
          <w:color w:val="auto"/>
        </w:rPr>
      </w:pPr>
      <w:r>
        <w:rPr>
          <w:rFonts w:ascii="Arial" w:cs="Arial" w:eastAsia="Arial" w:hAnsi="Arial"/>
          <w:sz w:val="16"/>
          <w:szCs w:val="16"/>
          <w:color w:val="auto"/>
        </w:rPr>
        <w:t>Subject to the discussion below under "—Information Reporting and Backup Withholding" and "FATCA," in general, a non-U.S. holder will not be subject to U.S. federal income tax on any gain realized upon the sale or other disposition of the non-U.S. holder's shares of our common stock unless:</w:t>
      </w:r>
    </w:p>
    <w:p>
      <w:pPr>
        <w:spacing w:after="0" w:line="154" w:lineRule="exact"/>
        <w:rPr>
          <w:sz w:val="20"/>
          <w:szCs w:val="20"/>
          <w:color w:val="auto"/>
        </w:rPr>
      </w:pPr>
    </w:p>
    <w:p>
      <w:pPr>
        <w:ind w:left="1080" w:right="420" w:hanging="532"/>
        <w:spacing w:after="0" w:line="369" w:lineRule="auto"/>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gain is effectively connected with a trade or business carried on by the non-U.S. holder within the United States (and, if required by an applicable income tax treaty, is attributable to a permanent establishment or a fixed base of such non-U.S. holder in the United States);</w:t>
      </w:r>
    </w:p>
    <w:p>
      <w:pPr>
        <w:spacing w:after="0" w:line="144"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or more days in the taxable year of the disposition and certain other conditions are met;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within the meaning of Section 897(c)(2) of the Code (a "USRPHC") for U.S. federal income tax purposes at any time during the shorter of the five-year period ending on the date of such disposition or such non-U.S. holder's holding period of such shares of our common stock.</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Gain described in the first bullet point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point immediately above may also be subject to the branch profits tax at a rate of 30% (or such lower rate as may be specified by an applicable income tax treaty) with respect to such effectively connected gain, as adjusted for certain items.</w:t>
      </w:r>
    </w:p>
    <w:p>
      <w:pPr>
        <w:spacing w:after="0" w:line="166" w:lineRule="exact"/>
        <w:rPr>
          <w:sz w:val="20"/>
          <w:szCs w:val="20"/>
          <w:color w:val="auto"/>
        </w:rPr>
      </w:pPr>
    </w:p>
    <w:p>
      <w:pPr>
        <w:jc w:val="both"/>
        <w:ind w:right="400" w:firstLine="341"/>
        <w:spacing w:after="0" w:line="306" w:lineRule="auto"/>
        <w:rPr>
          <w:sz w:val="20"/>
          <w:szCs w:val="20"/>
          <w:color w:val="auto"/>
        </w:rPr>
      </w:pPr>
      <w:r>
        <w:rPr>
          <w:rFonts w:ascii="Arial" w:cs="Arial" w:eastAsia="Arial" w:hAnsi="Arial"/>
          <w:sz w:val="16"/>
          <w:szCs w:val="16"/>
          <w:color w:val="auto"/>
        </w:rPr>
        <w:t>An individual non-U.S. holder described in the second bullet point immediately above will be subject to a flat 30% tax (unless the non-U.S. holder is eligible for a lower rate under an applicable income tax treaty) on the gain from such sale or other disposition, which may be offset by U.S.-source capital losses, if any, of the non-U.S. holder, provided the non-U.S. holder has timely filed U.S. federal income tax returns with respect to such losses.</w:t>
      </w:r>
    </w:p>
    <w:p>
      <w:pPr>
        <w:spacing w:after="0" w:line="16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must report annually to the IRS and to each non-U.S. holder the amount of distributions paid to such non-U.S. holder and the tax withheld with respect to such distributions. These reporting requirements apply regardless of whether withholding was reduced or eliminated by an applicable tax treaty.</w:t>
      </w:r>
    </w:p>
    <w:p>
      <w:pPr>
        <w:spacing w:after="0" w:line="141"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United States person (as defined in the Code)) or otherwise establishes an exemption.</w:t>
      </w:r>
    </w:p>
    <w:p>
      <w:pPr>
        <w:spacing w:after="0" w:line="16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Information reporting and backup withholding generally are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United States person (as defined in the Code)) or otherwise establishes an exemption. Information reporting will also apply if a non-U.S. holder sells its shares of our common stock through a foreign broker with certain specified connections to the United States, unless such broker has documentary evidence in its records that such non-U.S. holder is not a United States person and certain other conditions are met, or such non-U.S. holder otherwise establishes an exemption (and the payor does not have actual knowledge, or reason to know, that such holder is a United States person (as defined in the Code)).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Copies of any information returns may also be made available to the tax authorities in the country in which the non-U.S. holder resides or is established under the provisions of an applicable income tax treaty or agreement.</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may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Under Sections 1471 through 1474 of the Code (such Sections and the U.S. Treasury regulations promulgated thereunder, collectively, commonly referred to as "FATCA"), a U.S. federal withholding tax at a rate of 30% generally will be imposed on certain payments made to a "foreign financial institution" (as specifically defined under FATCA) unless such institution enters into an agreement with the U.S. tax authorities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meets other exceptions. Under the legislation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An intergovernmental agreement between the United States and an applicable foreign country may modify these requirements. Under certain circumstances, a non-U.S. holder might be eligible for refunds or credits of such taxes. These withholding taxes would be imposed on dividends paid with respect to our common stock and (subject to proposed Treasury regulations described below) on gross proceeds from sales or other dispositions of our common stock. Proposed Treasury regulations issued in 2018, which state that taxpayers may rely on them until final regulations are issued, eliminate the U.S. federal withholding tax of 30% applicable to gross proceeds from sales or other dispositions of our common stock. Prospective non-U.S. holders should consult with their tax advisors regarding the possible implications of FATCA on their investment in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BofA Securities, Inc. and Goldman Sachs &amp; Co. LLC are acting as representatives of each of the underwriters named below. Subject to the terms and conditions set forth in an underwriting agreement among us, the selling shareholders, and the underwriters, the selling shareholders have agreed to sell to the underwriters, and each of the underwriters has agreed, severally and not jointly, to purchase from the selling shareholders, the number of shares of common stock set forth opposite its name below.</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61"/>
        </w:trPr>
        <w:tc>
          <w:tcPr>
            <w:tcW w:w="6780" w:type="dxa"/>
            <w:vAlign w:val="bottom"/>
            <w:gridSpan w:val="3"/>
          </w:tcPr>
          <w:p>
            <w:pPr>
              <w:spacing w:after="0"/>
              <w:rPr>
                <w:sz w:val="20"/>
                <w:szCs w:val="20"/>
                <w:color w:val="auto"/>
              </w:rPr>
            </w:pPr>
            <w:r>
              <w:rPr>
                <w:rFonts w:ascii="Arial" w:cs="Arial" w:eastAsia="Arial" w:hAnsi="Arial"/>
                <w:sz w:val="13"/>
                <w:szCs w:val="13"/>
                <w:b w:val="1"/>
                <w:bCs w:val="1"/>
                <w:color w:val="auto"/>
              </w:rPr>
              <w:t>Underwriter</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5,005,633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920" w:type="dxa"/>
            <w:vAlign w:val="bottom"/>
          </w:tcPr>
          <w:p>
            <w:pPr>
              <w:jc w:val="right"/>
              <w:spacing w:after="0"/>
              <w:rPr>
                <w:sz w:val="20"/>
                <w:szCs w:val="20"/>
                <w:color w:val="auto"/>
              </w:rPr>
            </w:pPr>
            <w:r>
              <w:rPr>
                <w:rFonts w:ascii="Arial" w:cs="Arial" w:eastAsia="Arial" w:hAnsi="Arial"/>
                <w:sz w:val="18"/>
                <w:szCs w:val="18"/>
                <w:color w:val="auto"/>
              </w:rPr>
              <w:t>5,005,633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920" w:type="dxa"/>
            <w:vAlign w:val="bottom"/>
          </w:tcPr>
          <w:p>
            <w:pPr>
              <w:jc w:val="right"/>
              <w:spacing w:after="0"/>
              <w:rPr>
                <w:sz w:val="20"/>
                <w:szCs w:val="20"/>
                <w:color w:val="auto"/>
              </w:rPr>
            </w:pPr>
            <w:r>
              <w:rPr>
                <w:rFonts w:ascii="Arial" w:cs="Arial" w:eastAsia="Arial" w:hAnsi="Arial"/>
                <w:sz w:val="18"/>
                <w:szCs w:val="18"/>
                <w:color w:val="auto"/>
              </w:rPr>
              <w:t>364,046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920" w:type="dxa"/>
            <w:vAlign w:val="bottom"/>
          </w:tcPr>
          <w:p>
            <w:pPr>
              <w:jc w:val="right"/>
              <w:spacing w:after="0"/>
              <w:rPr>
                <w:sz w:val="20"/>
                <w:szCs w:val="20"/>
                <w:color w:val="auto"/>
              </w:rPr>
            </w:pPr>
            <w:r>
              <w:rPr>
                <w:rFonts w:ascii="Arial" w:cs="Arial" w:eastAsia="Arial" w:hAnsi="Arial"/>
                <w:sz w:val="18"/>
                <w:szCs w:val="18"/>
                <w:color w:val="auto"/>
              </w:rPr>
              <w:t>364,046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11,831,496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and the selling shareholders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both"/>
        <w:ind w:right="520" w:firstLine="348"/>
        <w:spacing w:after="0" w:line="306" w:lineRule="auto"/>
        <w:rPr>
          <w:sz w:val="20"/>
          <w:szCs w:val="20"/>
          <w:color w:val="auto"/>
        </w:rPr>
      </w:pPr>
      <w:r>
        <w:rPr>
          <w:rFonts w:ascii="Arial" w:cs="Arial" w:eastAsia="Arial" w:hAnsi="Arial"/>
          <w:sz w:val="16"/>
          <w:szCs w:val="16"/>
          <w:color w:val="auto"/>
        </w:rPr>
        <w:t>The representatives have advised us and the selling shareholders that the underwriters propose initially to offer the shares to the public at the public offering price set forth on the cover page of this prospectus and to dealers at that price less a concession not in excess of $2.47 per share. After the initial offering, the public offering price, concession or any other term of the offering may be changed.</w:t>
      </w:r>
    </w:p>
    <w:p>
      <w:pPr>
        <w:spacing w:after="0" w:line="16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the selling shareholders. The information assumes either no exercise or full exercise by the underwriters of their option to purchase additional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400"/>
              <w:spacing w:after="0"/>
              <w:rPr>
                <w:sz w:val="20"/>
                <w:szCs w:val="20"/>
                <w:color w:val="auto"/>
              </w:rPr>
            </w:pPr>
            <w:r>
              <w:rPr>
                <w:rFonts w:ascii="Arial" w:cs="Arial" w:eastAsia="Arial" w:hAnsi="Arial"/>
                <w:sz w:val="13"/>
                <w:szCs w:val="13"/>
                <w:b w:val="1"/>
                <w:bCs w:val="1"/>
                <w:color w:val="auto"/>
              </w:rPr>
              <w:t>Without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61"/>
        </w:trPr>
        <w:tc>
          <w:tcPr>
            <w:tcW w:w="1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With Option</w:t>
            </w:r>
          </w:p>
        </w:tc>
        <w:tc>
          <w:tcPr>
            <w:tcW w:w="1840" w:type="dxa"/>
            <w:vAlign w:val="bottom"/>
            <w:gridSpan w:val="2"/>
          </w:tcPr>
          <w:p>
            <w:pPr>
              <w:spacing w:after="0"/>
              <w:rPr>
                <w:sz w:val="14"/>
                <w:szCs w:val="14"/>
                <w:color w:val="auto"/>
              </w:rPr>
            </w:pPr>
          </w:p>
        </w:tc>
      </w:tr>
      <w:tr>
        <w:trPr>
          <w:trHeight w:val="210"/>
        </w:trPr>
        <w:tc>
          <w:tcPr>
            <w:tcW w:w="17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515.00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6,093,220,440.00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6,702,542,690.00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Underwriting discount</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60,932,204.40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67,025,426.90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8"/>
        </w:trPr>
        <w:tc>
          <w:tcPr>
            <w:tcW w:w="17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9"/>
              </w:rPr>
              <w:t>Proceeds, before expenses, to the selling</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24"/>
        </w:trPr>
        <w:tc>
          <w:tcPr>
            <w:tcW w:w="17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509.85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6,032,288,235.60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6,635,517,263.10</w:t>
            </w:r>
          </w:p>
        </w:tc>
        <w:tc>
          <w:tcPr>
            <w:tcW w:w="160" w:type="dxa"/>
            <w:vAlign w:val="bottom"/>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430"/>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S-20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expenses of the offering payable by the selling shareholders, not including the underwriting discount, are estimated at $2.6 million. Certain other expenses are to be borne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selling shareholders have granted an option to the underwriters, exercisable for 30 days after the date of this prospectus, to purchase up to 1,183,150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We and the selling shareholders have agreed not to sell or transfer any common stock or securities convertible into, exchangeable for, exercisable for, or repayable with common stock for 60 days (with respect to the Company) or 90 days (with respect to the selling shareholders) after the date of this prospectus without first obtaining the written consent of BofA Securities, Inc. Specifically, we and these other persons have agreed not to</w:t>
      </w:r>
    </w:p>
    <w:p>
      <w:pPr>
        <w:spacing w:after="0" w:line="174" w:lineRule="exact"/>
        <w:rPr>
          <w:sz w:val="20"/>
          <w:szCs w:val="20"/>
          <w:color w:val="auto"/>
        </w:rPr>
      </w:pPr>
    </w:p>
    <w:p>
      <w:pPr>
        <w:ind w:left="108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Act with respect to any of the foregoing or sell any option or contract to purchase any common stock, or</w:t>
      </w:r>
    </w:p>
    <w:p>
      <w:pPr>
        <w:spacing w:after="0" w:line="223"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the common stock.</w:t>
      </w:r>
    </w:p>
    <w:p>
      <w:pPr>
        <w:spacing w:after="0" w:line="186"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These transfer restrictions are subject to certain limited exceptions, including but not limited to the ability of the selling shareholders (or any of their respective affiliates) to sell or transfer shares of our common stock to us (or any of our affiliates) pursuant to any agreement existing between the selling shareholders (or any of their respective affiliates) and us (or any of our affiliates) as of the date of this prospectus supplement and filed as an exhibit to any Exchange Act filing incorporated by reference into this prospectus supplement.</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shares are listed on the Nasdaq Global Select Market under the symbol "REGN."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73"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this offering, underwriters and selling group members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the selling shareholders, or our and their respective affiliates. They have received, or may in the future receive, customary fees and commissions for these transactions.</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derivative securities) and financial instruments (including bank loans) for their own account and for the accounts of their customers. Such investments and securities activities may involve securities and/or instruments of ours, the selling shareholders, or our and their respective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notification made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20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66" w:lineRule="exact"/>
        <w:rPr>
          <w:sz w:val="20"/>
          <w:szCs w:val="20"/>
          <w:color w:val="auto"/>
        </w:rPr>
      </w:pPr>
    </w:p>
    <w:p>
      <w:pPr>
        <w:ind w:right="440" w:firstLine="341"/>
        <w:spacing w:after="0" w:line="331"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one or more exemptions contained in section 708 of the Corporations Act so that it is lawful to offer the shares without disclosure to investors under Chapter 6D of the Corporations Act.</w:t>
      </w:r>
    </w:p>
    <w:p>
      <w:pPr>
        <w:spacing w:after="0" w:line="186"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common stock has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common stock was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31" w:lineRule="auto"/>
        <w:rPr>
          <w:sz w:val="20"/>
          <w:szCs w:val="20"/>
          <w:color w:val="auto"/>
        </w:rPr>
      </w:pPr>
      <w:r>
        <w:rPr>
          <w:rFonts w:ascii="Arial" w:cs="Arial" w:eastAsia="Arial" w:hAnsi="Arial"/>
          <w:sz w:val="16"/>
          <w:szCs w:val="16"/>
          <w:color w:val="auto"/>
        </w:rPr>
        <w:t>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39" w:lineRule="exact"/>
        <w:rPr>
          <w:sz w:val="20"/>
          <w:szCs w:val="20"/>
          <w:color w:val="auto"/>
        </w:rPr>
      </w:pPr>
    </w:p>
    <w:p>
      <w:pPr>
        <w:ind w:left="1080" w:right="140" w:hanging="532"/>
        <w:spacing w:after="0" w:line="33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7"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207" w:lineRule="exact"/>
        <w:rPr>
          <w:sz w:val="20"/>
          <w:szCs w:val="20"/>
          <w:color w:val="auto"/>
        </w:rPr>
      </w:pPr>
    </w:p>
    <w:p>
      <w:pPr>
        <w:ind w:left="1080" w:right="1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In connection with Section 309B of the SFA and the Capital Markets Products (the "CMP") Regulations 2018, the shares of common stock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common stock must be made in accordance with an exemption from, or in a transaction not subject to, the prospectus requirements of applicable securities laws.</w:t>
      </w:r>
    </w:p>
    <w:p>
      <w:pPr>
        <w:spacing w:after="0" w:line="16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VALIDITY OF THE COMMON STOCK</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validity of the issuance of the shares of common stock offered hereby will be passed upon for Regeneron by Wachtell, Lipton, Rosen &amp; Katz, New York, New York. Certain legal matters will be passed upon for the underwriters by Ropes &amp; Gray LLP. Weil, Gotshal &amp; Manges LLP, New York, New York, is acting as legal counsel to the selling shareholders.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1">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EE"/>
          </w:rPr>
          <w:t>December 31, 2019</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accounting and auditing.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AND INCORPORATION BY REFERENCE</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are subject to the reporting requirements of the Exchange Act, under which we file annual, quarterly, and special reports, proxy statements, and other information with the SEC. We make available through our website at </w:t>
      </w:r>
      <w:r>
        <w:rPr>
          <w:rFonts w:ascii="Arial" w:cs="Arial" w:eastAsia="Arial" w:hAnsi="Arial"/>
          <w:sz w:val="16"/>
          <w:szCs w:val="16"/>
          <w:i w:val="1"/>
          <w:iCs w:val="1"/>
          <w:color w:val="auto"/>
        </w:rPr>
        <w:t>http://www.regeneron.com</w:t>
      </w:r>
      <w:r>
        <w:rPr>
          <w:rFonts w:ascii="Arial" w:cs="Arial" w:eastAsia="Arial" w:hAnsi="Arial"/>
          <w:sz w:val="16"/>
          <w:szCs w:val="16"/>
          <w:color w:val="auto"/>
        </w:rPr>
        <w:t>, our Annual Report on Form 10-K, Quarterly Reports on Form 10-Q, Current Reports on Form 8-K, and all amendments to those reports as soon as reasonably practicable after such material is electronically filed or furnished to the SEC. The information provided on our website is not part of this prospectus supplement and, therefore, is not incorporated herein by reference. Our SEC filings are also available to the public on the SEC's website at www.sec.gov.</w:t>
      </w:r>
    </w:p>
    <w:p>
      <w:pPr>
        <w:spacing w:after="0" w:line="16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filed a registration statement (together with all amendments to the registration statement, collectively, the "Registration Statement") with the SEC under the Securities Act, with respect to the securities offered under this prospectus. This prospectus supplement does not contain all of the information included in the Registration Statement and the exhibits and schedules thereto. For further information with respect to Regeneron and our securities, we refer you to the Registration Statement and the exhibits thereto. Statements in this prospectus supplement concerning the provisions of documents are necessarily summaries of such documents, and each such statement is qualified in its entirety by reference to the copy of the applicable document filed with the SEC.</w:t>
      </w:r>
    </w:p>
    <w:p>
      <w:pPr>
        <w:spacing w:after="0" w:line="169"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them,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superseded such earlier statement. Any statement so modified or superseded shall not be deemed, except as so modified or superseded, to constitute a part of this prospectus supplement. We incorporate by reference the documents listed below (except as specifically set forth below, other than information that we have furnished on Form 8-K, which information is expressly not incorporated by reference herein):</w:t>
      </w:r>
    </w:p>
    <w:p>
      <w:pPr>
        <w:spacing w:after="0" w:line="214"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u w:val="single" w:color="auto"/>
          <w:color w:val="0000EE"/>
        </w:rPr>
      </w:pPr>
      <w:hyperlink r:id="rId11">
        <w:r>
          <w:rPr>
            <w:rFonts w:ascii="Arial" w:cs="Arial" w:eastAsia="Arial" w:hAnsi="Arial"/>
            <w:sz w:val="18"/>
            <w:szCs w:val="18"/>
            <w:u w:val="single" w:color="auto"/>
            <w:color w:val="0000EE"/>
          </w:rPr>
          <w:t>Our Annual Report on Form 10-K for the fiscal year ended December 31, 2019, filed on February 7, 2020.</w:t>
        </w:r>
      </w:hyperlink>
    </w:p>
    <w:p>
      <w:pPr>
        <w:spacing w:after="0" w:line="252" w:lineRule="exact"/>
        <w:rPr>
          <w:rFonts w:ascii="Arial" w:cs="Arial" w:eastAsia="Arial" w:hAnsi="Arial"/>
          <w:sz w:val="18"/>
          <w:szCs w:val="18"/>
          <w:u w:val="single" w:color="auto"/>
          <w:color w:val="0000EE"/>
        </w:rPr>
      </w:pPr>
    </w:p>
    <w:p>
      <w:pPr>
        <w:ind w:left="1080" w:right="120" w:hanging="532"/>
        <w:spacing w:after="0" w:line="331" w:lineRule="auto"/>
        <w:tabs>
          <w:tab w:leader="none" w:pos="1080" w:val="left"/>
        </w:tabs>
        <w:numPr>
          <w:ilvl w:val="0"/>
          <w:numId w:val="17"/>
        </w:numPr>
        <w:rPr>
          <w:rFonts w:ascii="Arial" w:cs="Arial" w:eastAsia="Arial" w:hAnsi="Arial"/>
          <w:sz w:val="16"/>
          <w:szCs w:val="16"/>
          <w:color w:val="000000"/>
        </w:rPr>
      </w:pPr>
      <w:hyperlink r:id="rId56">
        <w:r>
          <w:rPr>
            <w:rFonts w:ascii="Arial" w:cs="Arial" w:eastAsia="Arial" w:hAnsi="Arial"/>
            <w:sz w:val="16"/>
            <w:szCs w:val="16"/>
            <w:u w:val="single" w:color="auto"/>
            <w:color w:val="0000EE"/>
          </w:rPr>
          <w:t>The portions of our definitive Proxy Statement on Schedule 14A for our 2020 annual meeting of shareholders, filed on April 24, 2020</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that are</w:t>
      </w:r>
      <w:r>
        <w:rPr>
          <w:rFonts w:ascii="Arial" w:cs="Arial" w:eastAsia="Arial" w:hAnsi="Arial"/>
          <w:sz w:val="16"/>
          <w:szCs w:val="16"/>
          <w:color w:val="0000EE"/>
        </w:rPr>
        <w:t xml:space="preserve"> </w:t>
      </w:r>
      <w:r>
        <w:rPr>
          <w:rFonts w:ascii="Arial" w:cs="Arial" w:eastAsia="Arial" w:hAnsi="Arial"/>
          <w:sz w:val="16"/>
          <w:szCs w:val="16"/>
          <w:color w:val="000000"/>
        </w:rPr>
        <w:t xml:space="preserve">incorporated by reference into our </w:t>
      </w:r>
      <w:hyperlink r:id="rId11">
        <w:r>
          <w:rPr>
            <w:rFonts w:ascii="Arial" w:cs="Arial" w:eastAsia="Arial" w:hAnsi="Arial"/>
            <w:sz w:val="16"/>
            <w:szCs w:val="16"/>
            <w:u w:val="single" w:color="auto"/>
            <w:color w:val="0000EE"/>
          </w:rPr>
          <w:t>Annual Report on Form 10-K for the fiscal year ended December 31, 2019.</w:t>
        </w:r>
      </w:hyperlink>
    </w:p>
    <w:p>
      <w:pPr>
        <w:spacing w:after="0" w:line="154" w:lineRule="exact"/>
        <w:rPr>
          <w:rFonts w:ascii="Arial" w:cs="Arial" w:eastAsia="Arial" w:hAnsi="Arial"/>
          <w:sz w:val="16"/>
          <w:szCs w:val="16"/>
          <w:color w:val="000000"/>
        </w:rPr>
      </w:pPr>
    </w:p>
    <w:p>
      <w:pPr>
        <w:ind w:left="1080" w:hanging="532"/>
        <w:spacing w:after="0"/>
        <w:tabs>
          <w:tab w:leader="none" w:pos="1080" w:val="left"/>
        </w:tabs>
        <w:numPr>
          <w:ilvl w:val="0"/>
          <w:numId w:val="17"/>
        </w:numPr>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Our Quarterly Report on Form 10-Q for the quarterly period ended March 31, 2010, filed on May 5, 2020.</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7"/>
        </w:numPr>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Our Current Report on Form 8-K, filed on April 7, 2020.</w:t>
        </w:r>
      </w:hyperlink>
    </w:p>
    <w:p>
      <w:pPr>
        <w:spacing w:after="0" w:line="252" w:lineRule="exact"/>
        <w:rPr>
          <w:rFonts w:ascii="Arial" w:cs="Arial" w:eastAsia="Arial" w:hAnsi="Arial"/>
          <w:sz w:val="18"/>
          <w:szCs w:val="18"/>
          <w:u w:val="single" w:color="auto"/>
          <w:color w:val="0000EE"/>
        </w:rPr>
      </w:pPr>
    </w:p>
    <w:p>
      <w:pPr>
        <w:ind w:left="1080" w:right="520" w:hanging="532"/>
        <w:spacing w:after="0" w:line="268" w:lineRule="auto"/>
        <w:tabs>
          <w:tab w:leader="none" w:pos="1080" w:val="left"/>
        </w:tabs>
        <w:numPr>
          <w:ilvl w:val="0"/>
          <w:numId w:val="17"/>
        </w:numPr>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The description of our common stock set forth in a Registration Statement on Form 8-A, including any amendment or report filed for the</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purpose of updating such description (filing date October 15, 1996: Commission File No. 000-19034).</w:t>
        </w:r>
      </w:hyperlink>
    </w:p>
    <w:p>
      <w:pPr>
        <w:spacing w:after="0" w:line="186" w:lineRule="exact"/>
        <w:rPr>
          <w:rFonts w:ascii="Arial" w:cs="Arial" w:eastAsia="Arial" w:hAnsi="Arial"/>
          <w:sz w:val="18"/>
          <w:szCs w:val="18"/>
          <w:color w:val="auto"/>
        </w:rPr>
      </w:pPr>
    </w:p>
    <w:p>
      <w:pPr>
        <w:ind w:right="40" w:firstLine="341"/>
        <w:spacing w:after="0" w:line="254" w:lineRule="auto"/>
        <w:rPr>
          <w:sz w:val="20"/>
          <w:szCs w:val="20"/>
          <w:color w:val="auto"/>
        </w:rPr>
      </w:pPr>
      <w:r>
        <w:rPr>
          <w:rFonts w:ascii="Arial" w:cs="Arial" w:eastAsia="Arial" w:hAnsi="Arial"/>
          <w:sz w:val="18"/>
          <w:szCs w:val="18"/>
          <w:color w:val="auto"/>
        </w:rPr>
        <w:t>All documents that we file pursuant to Section 13(a), 13(c), 14, or 15(d) of the Exchange Act subsequent to the date of this prospectus including on a Current Report on Form 8-K with respect to certain exhibits to the registration statement in connection with this offering, and, in all events, prior to the termination of this offering, shall be deemed to be incorporated by reference into this prospectus and to be a part of this prospectus from the respective dates of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 this prospectus shall be deemed to be</w:t>
      </w:r>
    </w:p>
    <w:p>
      <w:pPr>
        <w:spacing w:after="0" w:line="19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modified or superseded for purposes of this prospectus to the extent that a statement contained in this prospectus or in any other subsequently filed document which also is, or is deemed to be, incorporated by reference herein modifies or supersedes such statement.</w:t>
      </w:r>
    </w:p>
    <w:p>
      <w:pPr>
        <w:spacing w:after="0" w:line="186" w:lineRule="exact"/>
        <w:rPr>
          <w:sz w:val="20"/>
          <w:szCs w:val="20"/>
          <w:color w:val="auto"/>
        </w:rPr>
      </w:pPr>
    </w:p>
    <w:p>
      <w:pPr>
        <w:ind w:firstLine="344"/>
        <w:spacing w:after="0" w:line="268"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60" w:right="4920" w:hanging="384"/>
        <w:spacing w:after="0" w:line="605" w:lineRule="auto"/>
        <w:tabs>
          <w:tab w:leader="none" w:pos="55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345-7741 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Regeneron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WARRANTS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to purchase our common stock, preferred stock or debt securities.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may not be used to sell securities unless accompanied by a prospectus supplement or a free writing prospectus.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167" w:lineRule="exact"/>
        <w:rPr>
          <w:sz w:val="20"/>
          <w:szCs w:val="20"/>
          <w:color w:val="auto"/>
        </w:rPr>
      </w:pPr>
    </w:p>
    <w:p>
      <w:pPr>
        <w:ind w:right="7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on page 4 before you make your investment decision.</w:t>
      </w:r>
    </w:p>
    <w:p>
      <w:pPr>
        <w:spacing w:after="0" w:line="175"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vMerge w:val="restart"/>
          </w:tcPr>
          <w:p>
            <w:pPr>
              <w:ind w:left="1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About This Prospectus</w:t>
              </w:r>
            </w:hyperlink>
          </w:p>
        </w:tc>
        <w:tc>
          <w:tcPr>
            <w:tcW w:w="1720" w:type="dxa"/>
            <w:vAlign w:val="bottom"/>
            <w:gridSpan w:val="2"/>
          </w:tcPr>
          <w:p>
            <w:pPr>
              <w:jc w:val="right"/>
              <w:ind w:right="13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9520" w:type="dxa"/>
            <w:vAlign w:val="bottom"/>
            <w:vMerge w:val="continue"/>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ii</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Cautionary Statement Regarding Forward-Looking Statements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Note Regarding Trademarks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Summary</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Use of Proceeds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Capital Stock</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Debt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Warrants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Plan of Distribution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Legal Matters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Experts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9520" w:type="dxa"/>
            <w:vAlign w:val="bottom"/>
          </w:tcPr>
          <w:p>
            <w:pPr>
              <w:ind w:left="11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Where You Can Find More Information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120"/>
        </w:trPr>
        <w:tc>
          <w:tcPr>
            <w:tcW w:w="9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14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201" w:lineRule="exact"/>
        <w:rPr>
          <w:sz w:val="20"/>
          <w:szCs w:val="20"/>
          <w:color w:val="auto"/>
        </w:rPr>
      </w:pPr>
    </w:p>
    <w:p>
      <w:pPr>
        <w:ind w:right="260" w:firstLine="344"/>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74" w:lineRule="exact"/>
        <w:rPr>
          <w:sz w:val="20"/>
          <w:szCs w:val="20"/>
          <w:color w:val="auto"/>
        </w:rPr>
      </w:pPr>
    </w:p>
    <w:p>
      <w:pPr>
        <w:ind w:right="120" w:firstLine="344"/>
        <w:spacing w:after="0" w:line="331"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4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contain forward-looking statements that involve risks and uncertainties relating to future events and our future financial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 (aflibercept) Injection, Dupixent® (dupilumab) Injection, Praluent® (alirocumab) Injection, Kevzara® (sarilumab) Injection, Libtayo® (cemiplimab) Injection (marketed as Libtayo (cemiplimab-rwlc) Injection in the United States),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A list and description of risks, uncertainties, and other matters that should be considered in evaluating such forward-looking statements can be found in our Annual Report on Form 10-K for the fiscal year ended December 31, 2017 and in our Quarterly Report on Form 10-Q for the quarterly period ended September 30, 2018, in each case including in the sections thereof captioned "Item 1A. Risk Factors." Any forward-looking statements are made by us based on management's current beliefs and judgment, and the reader is cautioned not to rely on any such statements. We do not undertake any obligation to update publicly any forward-looking statement, whether as a result of new information, future events, or otherwise.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REGARDING TRADEMARKS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"ARCALYST®", "EYLEA®", "Regeneron®", "Regeneron Genetics Center®", "</w:t>
      </w:r>
      <w:r>
        <w:rPr>
          <w:rFonts w:ascii="Arial" w:cs="Arial" w:eastAsia="Arial" w:hAnsi="Arial"/>
          <w:sz w:val="16"/>
          <w:szCs w:val="16"/>
          <w:i w:val="1"/>
          <w:iCs w:val="1"/>
          <w:color w:val="auto"/>
        </w:rPr>
        <w:t>VelociGene</w:t>
      </w:r>
      <w:r>
        <w:rPr>
          <w:rFonts w:ascii="Arial" w:cs="Arial" w:eastAsia="Arial" w:hAnsi="Arial"/>
          <w:sz w:val="16"/>
          <w:szCs w:val="16"/>
          <w:color w:val="auto"/>
        </w:rPr>
        <w:t>®", "</w:t>
      </w:r>
      <w:r>
        <w:rPr>
          <w:rFonts w:ascii="Arial" w:cs="Arial" w:eastAsia="Arial" w:hAnsi="Arial"/>
          <w:sz w:val="16"/>
          <w:szCs w:val="16"/>
          <w:i w:val="1"/>
          <w:iCs w:val="1"/>
          <w:color w:val="auto"/>
        </w:rPr>
        <w:t>VelociMab</w:t>
      </w:r>
      <w:r>
        <w:rPr>
          <w:rFonts w:ascii="Arial" w:cs="Arial" w:eastAsia="Arial" w:hAnsi="Arial"/>
          <w:sz w:val="16"/>
          <w:szCs w:val="16"/>
          <w:color w:val="auto"/>
        </w:rPr>
        <w:t>®", "</w:t>
      </w:r>
      <w:r>
        <w:rPr>
          <w:rFonts w:ascii="Arial" w:cs="Arial" w:eastAsia="Arial" w:hAnsi="Arial"/>
          <w:sz w:val="16"/>
          <w:szCs w:val="16"/>
          <w:i w:val="1"/>
          <w:iCs w:val="1"/>
          <w:color w:val="auto"/>
        </w:rPr>
        <w:t>VelocImmune</w:t>
      </w:r>
      <w:r>
        <w:rPr>
          <w:rFonts w:ascii="Arial" w:cs="Arial" w:eastAsia="Arial" w:hAnsi="Arial"/>
          <w:sz w:val="16"/>
          <w:szCs w:val="16"/>
          <w:color w:val="auto"/>
        </w:rPr>
        <w:t>®", "</w:t>
      </w:r>
      <w:r>
        <w:rPr>
          <w:rFonts w:ascii="Arial" w:cs="Arial" w:eastAsia="Arial" w:hAnsi="Arial"/>
          <w:sz w:val="16"/>
          <w:szCs w:val="16"/>
          <w:i w:val="1"/>
          <w:iCs w:val="1"/>
          <w:color w:val="auto"/>
        </w:rPr>
        <w:t>VelociMouse</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VelociSuite</w:t>
      </w:r>
      <w:r>
        <w:rPr>
          <w:rFonts w:ascii="Arial" w:cs="Arial" w:eastAsia="Arial" w:hAnsi="Arial"/>
          <w:sz w:val="15"/>
          <w:szCs w:val="15"/>
          <w:color w:val="auto"/>
        </w:rPr>
        <w:t>®" and "ZALTRAP®" are our trademarks. Trademarks and trade names of other companies appearing in this prospectus are, to our knowledge,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property of their respective owners.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2361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220" w:firstLine="351"/>
        <w:spacing w:after="0" w:line="259"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70935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Territory</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41"/>
              <w:spacing w:after="0" w:line="129" w:lineRule="exact"/>
              <w:rPr>
                <w:sz w:val="20"/>
                <w:szCs w:val="20"/>
                <w:color w:val="auto"/>
              </w:rPr>
            </w:pPr>
            <w:r>
              <w:rPr>
                <w:rFonts w:ascii="Arial" w:cs="Arial" w:eastAsia="Arial" w:hAnsi="Arial"/>
                <w:sz w:val="13"/>
                <w:szCs w:val="13"/>
                <w:b w:val="1"/>
                <w:bCs w:val="1"/>
                <w:color w:val="auto"/>
                <w:w w:val="96"/>
              </w:rPr>
              <w:t>Certain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countries</w:t>
            </w:r>
          </w:p>
        </w:tc>
        <w:tc>
          <w:tcPr>
            <w:tcW w:w="0" w:type="dxa"/>
            <w:vAlign w:val="bottom"/>
          </w:tcPr>
          <w:p>
            <w:pPr>
              <w:spacing w:after="0"/>
              <w:rPr>
                <w:sz w:val="1"/>
                <w:szCs w:val="1"/>
                <w:color w:val="auto"/>
              </w:rPr>
            </w:pPr>
          </w:p>
        </w:tc>
      </w:tr>
      <w:tr>
        <w:trPr>
          <w:trHeight w:val="181"/>
        </w:trPr>
        <w:tc>
          <w:tcPr>
            <w:tcW w:w="2760" w:type="dxa"/>
            <w:vAlign w:val="bottom"/>
            <w:gridSpan w:val="3"/>
          </w:tcPr>
          <w:p>
            <w:pPr>
              <w:jc w:val="right"/>
              <w:ind w:right="2212"/>
              <w:spacing w:after="0"/>
              <w:rPr>
                <w:sz w:val="20"/>
                <w:szCs w:val="20"/>
                <w:color w:val="auto"/>
              </w:rPr>
            </w:pPr>
            <w:r>
              <w:rPr>
                <w:rFonts w:ascii="Arial" w:cs="Arial" w:eastAsia="Arial" w:hAnsi="Arial"/>
                <w:sz w:val="13"/>
                <w:szCs w:val="13"/>
                <w:b w:val="1"/>
                <w:bCs w:val="1"/>
                <w:color w:val="auto"/>
                <w:w w:val="89"/>
              </w:rPr>
              <w:t>Product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Disease Area(1)</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U.S.</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EU</w:t>
            </w:r>
          </w:p>
        </w:tc>
        <w:tc>
          <w:tcPr>
            <w:tcW w:w="160" w:type="dxa"/>
            <w:vAlign w:val="bottom"/>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Japan</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1"/>
              </w:rPr>
              <w:t>outside the U.S.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2"/>
              </w:rPr>
              <w:t>EYLEA</w:t>
            </w:r>
          </w:p>
        </w:tc>
        <w:tc>
          <w:tcPr>
            <w:tcW w:w="2300" w:type="dxa"/>
            <w:vAlign w:val="bottom"/>
            <w:tcBorders>
              <w:top w:val="single" w:sz="8" w:color="CCEEFF"/>
            </w:tcBorders>
            <w:shd w:val="clear" w:color="auto" w:fill="CCEEFF"/>
          </w:tcPr>
          <w:p>
            <w:pPr>
              <w:jc w:val="right"/>
              <w:ind w:right="312"/>
              <w:spacing w:after="0" w:line="182" w:lineRule="exact"/>
              <w:rPr>
                <w:sz w:val="20"/>
                <w:szCs w:val="20"/>
                <w:color w:val="auto"/>
              </w:rPr>
            </w:pPr>
            <w:r>
              <w:rPr>
                <w:rFonts w:ascii="Arial" w:cs="Arial" w:eastAsia="Arial" w:hAnsi="Arial"/>
                <w:sz w:val="18"/>
                <w:szCs w:val="18"/>
                <w:color w:val="auto"/>
                <w:w w:val="99"/>
              </w:rPr>
              <w:t>(aflibercept) Injection(2)</w:t>
            </w:r>
          </w:p>
        </w:tc>
        <w:tc>
          <w:tcPr>
            <w:tcW w:w="280" w:type="dxa"/>
            <w:vAlign w:val="bottom"/>
            <w:tcBorders>
              <w:top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w:t>
            </w:r>
          </w:p>
        </w:tc>
        <w:tc>
          <w:tcPr>
            <w:tcW w:w="2620" w:type="dxa"/>
            <w:vAlign w:val="bottom"/>
            <w:tcBorders>
              <w:top w:val="single" w:sz="8" w:color="CCEEFF"/>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95"/>
              </w:rPr>
              <w:t>Neovascular age-related macular</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ü</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ü</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gridSpan w:val="3"/>
            <w:shd w:val="clear" w:color="auto" w:fill="CCEEFF"/>
          </w:tcPr>
          <w:p>
            <w:pPr>
              <w:ind w:left="200"/>
              <w:spacing w:after="0" w:line="182" w:lineRule="exact"/>
              <w:rPr>
                <w:sz w:val="20"/>
                <w:szCs w:val="20"/>
                <w:color w:val="auto"/>
              </w:rPr>
            </w:pPr>
            <w:r>
              <w:rPr>
                <w:rFonts w:ascii="Arial" w:cs="Arial" w:eastAsia="Arial" w:hAnsi="Arial"/>
                <w:sz w:val="18"/>
                <w:szCs w:val="18"/>
                <w:color w:val="auto"/>
              </w:rPr>
              <w:t>ü</w:t>
            </w:r>
          </w:p>
        </w:tc>
        <w:tc>
          <w:tcPr>
            <w:tcW w:w="1100" w:type="dxa"/>
            <w:vAlign w:val="bottom"/>
            <w:tcBorders>
              <w:top w:val="single" w:sz="8" w:color="CCEEFF"/>
            </w:tcBorders>
            <w:shd w:val="clear" w:color="auto" w:fill="CCEEFF"/>
          </w:tcPr>
          <w:p>
            <w:pPr>
              <w:jc w:val="center"/>
              <w:ind w:right="21"/>
              <w:spacing w:after="0" w:line="182"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degeneration (wet AMD)</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macular edema (DME)</w:t>
            </w:r>
          </w:p>
        </w:tc>
        <w:tc>
          <w:tcPr>
            <w:tcW w:w="18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9"/>
                <w:szCs w:val="19"/>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Macular edema following retinal</w:t>
            </w:r>
          </w:p>
        </w:tc>
        <w:tc>
          <w:tcPr>
            <w:tcW w:w="1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vein occlusion (RVO), which</w:t>
            </w:r>
          </w:p>
        </w:tc>
        <w:tc>
          <w:tcPr>
            <w:tcW w:w="1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includes macular edema following</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central retinal vein occlusion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(CRVO) and macular edema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following branch retinal vein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occlusion (BRVO)</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Myopic choroidal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neovascularization (mCNV)</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retinopathy in patients</w:t>
            </w: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with DME</w:t>
            </w:r>
          </w:p>
        </w:tc>
        <w:tc>
          <w:tcPr>
            <w:tcW w:w="1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Dupixent (dupilumab) Injection(3)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Praluent (alirocumab) Injection(3)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20" w:right="300"/>
        <w:spacing w:after="0" w:line="331" w:lineRule="auto"/>
        <w:rPr>
          <w:sz w:val="20"/>
          <w:szCs w:val="20"/>
          <w:color w:val="auto"/>
        </w:rPr>
      </w:pPr>
      <w:r>
        <w:rPr>
          <w:rFonts w:ascii="Arial" w:cs="Arial" w:eastAsia="Arial" w:hAnsi="Arial"/>
          <w:sz w:val="16"/>
          <w:szCs w:val="16"/>
          <w:color w:val="auto"/>
        </w:rPr>
        <w:t>Kevzara (sarilumab) Solution for Subcutaneous Injection(3)</w:t>
      </w:r>
    </w:p>
    <w:p>
      <w:pPr>
        <w:spacing w:after="0" w:line="12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Libtayo (cemiplimab) Injection(3)(5)</w:t>
      </w:r>
    </w:p>
    <w:p>
      <w:pPr>
        <w:spacing w:after="0" w:line="200" w:lineRule="exact"/>
        <w:rPr>
          <w:sz w:val="20"/>
          <w:szCs w:val="20"/>
          <w:color w:val="auto"/>
        </w:rPr>
      </w:pPr>
    </w:p>
    <w:p>
      <w:pPr>
        <w:spacing w:after="0" w:line="264" w:lineRule="exact"/>
        <w:rPr>
          <w:sz w:val="20"/>
          <w:szCs w:val="20"/>
          <w:color w:val="auto"/>
        </w:rPr>
      </w:pPr>
    </w:p>
    <w:p>
      <w:pPr>
        <w:ind w:left="1320" w:right="40"/>
        <w:spacing w:after="0" w:line="268" w:lineRule="auto"/>
        <w:rPr>
          <w:sz w:val="20"/>
          <w:szCs w:val="20"/>
          <w:color w:val="auto"/>
        </w:rPr>
      </w:pPr>
      <w:r>
        <w:rPr>
          <w:rFonts w:ascii="Arial" w:cs="Arial" w:eastAsia="Arial" w:hAnsi="Arial"/>
          <w:sz w:val="18"/>
          <w:szCs w:val="18"/>
          <w:color w:val="auto"/>
        </w:rPr>
        <w:t>ARCALYST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(rilonacept) Injection for Subcutaneous Use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ZALTRAP</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(ziv-aflibercept)</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Injection for Intravenous Infusion(4)</w:t>
      </w:r>
    </w:p>
    <w:p>
      <w:pPr>
        <w:spacing w:after="0" w:line="20" w:lineRule="exact"/>
        <w:rPr>
          <w:sz w:val="20"/>
          <w:szCs w:val="20"/>
          <w:color w:val="auto"/>
        </w:rPr>
      </w:pPr>
      <w:r>
        <w:rPr>
          <w:sz w:val="20"/>
          <w:szCs w:val="20"/>
          <w:color w:val="auto"/>
        </w:rPr>
        <w:br w:type="column"/>
      </w:r>
    </w:p>
    <w:p>
      <w:pPr>
        <w:ind w:left="180" w:hanging="180"/>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Atopic dermatitis (in adults)</w:t>
      </w:r>
    </w:p>
    <w:p>
      <w:pPr>
        <w:spacing w:after="0" w:line="203" w:lineRule="exact"/>
        <w:rPr>
          <w:rFonts w:ascii="Arial" w:cs="Arial" w:eastAsia="Arial" w:hAnsi="Arial"/>
          <w:sz w:val="18"/>
          <w:szCs w:val="18"/>
          <w:color w:val="auto"/>
        </w:rPr>
      </w:pPr>
    </w:p>
    <w:p>
      <w:pPr>
        <w:ind w:left="180" w:hanging="180"/>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Asthma (in adults and adolescents)</w:t>
      </w:r>
    </w:p>
    <w:p>
      <w:pPr>
        <w:spacing w:after="0" w:line="234" w:lineRule="exact"/>
        <w:rPr>
          <w:rFonts w:ascii="Arial" w:cs="Arial" w:eastAsia="Arial" w:hAnsi="Arial"/>
          <w:sz w:val="16"/>
          <w:szCs w:val="16"/>
          <w:color w:val="auto"/>
        </w:rPr>
      </w:pPr>
    </w:p>
    <w:p>
      <w:pPr>
        <w:ind w:left="180" w:right="200" w:hanging="180"/>
        <w:spacing w:after="0" w:line="283"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Heterozygous familial hypercholesterolemia (HeFH) or clinical atherosclerotic cardiovascular disease (ASCVD) (in adults)</w:t>
      </w:r>
    </w:p>
    <w:p>
      <w:pPr>
        <w:spacing w:after="0" w:line="1" w:lineRule="exact"/>
        <w:rPr>
          <w:rFonts w:ascii="Arial" w:cs="Arial" w:eastAsia="Arial" w:hAnsi="Arial"/>
          <w:sz w:val="16"/>
          <w:szCs w:val="16"/>
          <w:color w:val="auto"/>
        </w:rPr>
      </w:pPr>
    </w:p>
    <w:p>
      <w:pPr>
        <w:ind w:left="180" w:right="420" w:hanging="180"/>
        <w:spacing w:after="0" w:line="260"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Rheumatoid arthritis (RA) (in adults)</w:t>
      </w:r>
    </w:p>
    <w:p>
      <w:pPr>
        <w:spacing w:after="0" w:line="179" w:lineRule="exact"/>
        <w:rPr>
          <w:rFonts w:ascii="Arial" w:cs="Arial" w:eastAsia="Arial" w:hAnsi="Arial"/>
          <w:sz w:val="18"/>
          <w:szCs w:val="18"/>
          <w:color w:val="auto"/>
        </w:rPr>
      </w:pPr>
    </w:p>
    <w:p>
      <w:pPr>
        <w:ind w:left="180" w:hanging="180"/>
        <w:spacing w:after="0" w:line="252"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Metastatic or locally advanced cutaneous squamous cell carcinoma (CSCC)</w:t>
      </w:r>
    </w:p>
    <w:p>
      <w:pPr>
        <w:spacing w:after="0" w:line="2" w:lineRule="exact"/>
        <w:rPr>
          <w:rFonts w:ascii="Arial" w:cs="Arial" w:eastAsia="Arial" w:hAnsi="Arial"/>
          <w:sz w:val="18"/>
          <w:szCs w:val="18"/>
          <w:color w:val="auto"/>
        </w:rPr>
      </w:pPr>
    </w:p>
    <w:p>
      <w:pPr>
        <w:ind w:left="180" w:right="140" w:hanging="180"/>
        <w:spacing w:after="0" w:line="281"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Cryopyrin-Associated Periodic Syndromes (CAPS), including Familial Cold Auto-inflammatory Syndrome (FCAS) and Muckle-Wells Syndrome (MWS)</w:t>
      </w:r>
    </w:p>
    <w:p>
      <w:pPr>
        <w:spacing w:after="0" w:line="2" w:lineRule="exact"/>
        <w:rPr>
          <w:rFonts w:ascii="Arial" w:cs="Arial" w:eastAsia="Arial" w:hAnsi="Arial"/>
          <w:sz w:val="16"/>
          <w:szCs w:val="16"/>
          <w:color w:val="auto"/>
        </w:rPr>
      </w:pPr>
    </w:p>
    <w:p>
      <w:pPr>
        <w:ind w:left="180" w:right="560" w:hanging="180"/>
        <w:spacing w:after="0" w:line="260"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Metastatic colorectal cancer (mCRC)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12"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399" w:lineRule="exact"/>
        <w:rPr>
          <w:sz w:val="20"/>
          <w:szCs w:val="20"/>
          <w:color w:val="auto"/>
        </w:rPr>
      </w:pPr>
    </w:p>
    <w:p>
      <w:pPr>
        <w:sectPr>
          <w:pgSz w:w="11900" w:h="16838" w:orient="portrait"/>
          <w:cols w:equalWidth="0" w:num="3">
            <w:col w:w="3940" w:space="300"/>
            <w:col w:w="2700" w:space="340"/>
            <w:col w:w="2859"/>
          </w:cols>
          <w:pgMar w:left="320" w:top="131" w:right="1440" w:bottom="1440" w:gutter="0" w:footer="0" w:header="0"/>
          <w:type w:val="continuous"/>
        </w:sectPr>
      </w:pPr>
    </w:p>
    <w:p>
      <w:pPr>
        <w:spacing w:after="0" w:line="190" w:lineRule="exact"/>
        <w:rPr>
          <w:sz w:val="20"/>
          <w:szCs w:val="20"/>
          <w:color w:val="auto"/>
        </w:rPr>
      </w:pPr>
    </w:p>
    <w:p>
      <w:pPr>
        <w:ind w:left="1860" w:hanging="542"/>
        <w:spacing w:after="0"/>
        <w:tabs>
          <w:tab w:leader="none" w:pos="1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label information in each territory for specific indication</w:t>
      </w:r>
    </w:p>
    <w:p>
      <w:pPr>
        <w:spacing w:after="0" w:line="261" w:lineRule="exact"/>
        <w:rPr>
          <w:rFonts w:ascii="Arial" w:cs="Arial" w:eastAsia="Arial" w:hAnsi="Arial"/>
          <w:sz w:val="16"/>
          <w:szCs w:val="16"/>
          <w:color w:val="auto"/>
        </w:rPr>
      </w:pPr>
    </w:p>
    <w:p>
      <w:pPr>
        <w:ind w:left="1860" w:hanging="542"/>
        <w:spacing w:after="0"/>
        <w:tabs>
          <w:tab w:leader="none" w:pos="1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collaboration with Bayer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413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60" w:hanging="542"/>
        <w:spacing w:after="0"/>
        <w:tabs>
          <w:tab w:leader="none" w:pos="1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collaboration with Sanofi</w:t>
      </w:r>
    </w:p>
    <w:p>
      <w:pPr>
        <w:spacing w:after="0" w:line="238" w:lineRule="exact"/>
        <w:rPr>
          <w:rFonts w:ascii="Arial" w:cs="Arial" w:eastAsia="Arial" w:hAnsi="Arial"/>
          <w:sz w:val="18"/>
          <w:szCs w:val="18"/>
          <w:color w:val="auto"/>
        </w:rPr>
      </w:pPr>
    </w:p>
    <w:p>
      <w:pPr>
        <w:ind w:left="1860" w:right="880" w:hanging="542"/>
        <w:spacing w:after="0" w:line="331" w:lineRule="auto"/>
        <w:tabs>
          <w:tab w:leader="none" w:pos="1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a 2015 amended and restated ZALTRAP agreement, Sanofi is solely responsible for the development and commercialization of ZALTRAP, and Sanofi pays us a percentage of aggregate net sales of ZALTRAP</w:t>
      </w:r>
    </w:p>
    <w:p>
      <w:pPr>
        <w:spacing w:after="0" w:line="154" w:lineRule="exact"/>
        <w:rPr>
          <w:rFonts w:ascii="Arial" w:cs="Arial" w:eastAsia="Arial" w:hAnsi="Arial"/>
          <w:sz w:val="16"/>
          <w:szCs w:val="16"/>
          <w:color w:val="auto"/>
        </w:rPr>
      </w:pPr>
    </w:p>
    <w:p>
      <w:pPr>
        <w:ind w:left="1860" w:hanging="542"/>
        <w:spacing w:after="0"/>
        <w:tabs>
          <w:tab w:leader="none" w:pos="1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Marketed as Libtayo (cemiplimab-rwlc) Injection in the United States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we currently have 20 product candidates in clinical development that were discovered in our research laboratories.</w:t>
      </w:r>
    </w:p>
    <w:p>
      <w:pPr>
        <w:spacing w:after="0" w:line="225"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16"/>
          <w:szCs w:val="16"/>
          <w:color w:val="auto"/>
        </w:rPr>
        <w:t>® technology to understand the role of these proteins in normal physiology, as well as in models of disease. Our human antibody technology (</w:t>
      </w:r>
      <w:r>
        <w:rPr>
          <w:rFonts w:ascii="Arial" w:cs="Arial" w:eastAsia="Arial" w:hAnsi="Arial"/>
          <w:sz w:val="16"/>
          <w:szCs w:val="16"/>
          <w:i w:val="1"/>
          <w:iCs w:val="1"/>
          <w:color w:val="auto"/>
        </w:rPr>
        <w:t>VelocImmune</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16"/>
          <w:szCs w:val="16"/>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16"/>
          <w:szCs w:val="16"/>
          <w:color w:val="auto"/>
        </w:rPr>
        <w:t>. We continue to invest in the development of enabling technologies to assist in our efforts to identify, develop, manufacture, and commercialize new product candidates.</w:t>
      </w:r>
    </w:p>
    <w:p>
      <w:pPr>
        <w:spacing w:after="0" w:line="172" w:lineRule="exact"/>
        <w:rPr>
          <w:sz w:val="20"/>
          <w:szCs w:val="20"/>
          <w:color w:val="auto"/>
        </w:rPr>
      </w:pPr>
    </w:p>
    <w:p>
      <w:pPr>
        <w:ind w:left="240" w:right="140" w:firstLine="348"/>
        <w:spacing w:after="0" w:line="291" w:lineRule="auto"/>
        <w:rPr>
          <w:sz w:val="20"/>
          <w:szCs w:val="20"/>
          <w:color w:val="auto"/>
        </w:rPr>
      </w:pPr>
      <w:r>
        <w:rPr>
          <w:rFonts w:ascii="Arial" w:cs="Arial" w:eastAsia="Arial" w:hAnsi="Arial"/>
          <w:sz w:val="16"/>
          <w:szCs w:val="16"/>
          <w:color w:val="auto"/>
        </w:rPr>
        <w:t>We have launched a human genetics initiative via a wholly owned subsidiary, Regeneron Genetics Center LLC ("RGC"). RGC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firstLine="351"/>
        <w:spacing w:after="0" w:line="306" w:lineRule="auto"/>
        <w:rPr>
          <w:sz w:val="20"/>
          <w:szCs w:val="20"/>
          <w:color w:val="auto"/>
        </w:rPr>
      </w:pPr>
      <w:r>
        <w:rPr>
          <w:rFonts w:ascii="Arial" w:cs="Arial" w:eastAsia="Arial" w:hAnsi="Arial"/>
          <w:sz w:val="16"/>
          <w:szCs w:val="16"/>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6"/>
          <w:szCs w:val="16"/>
          <w:i w:val="1"/>
          <w:iCs w:val="1"/>
          <w:color w:val="auto"/>
        </w:rPr>
        <w:t>www.regeneron.com</w:t>
      </w:r>
      <w:r>
        <w:rPr>
          <w:rFonts w:ascii="Arial" w:cs="Arial" w:eastAsia="Arial" w:hAnsi="Arial"/>
          <w:sz w:val="16"/>
          <w:szCs w:val="16"/>
          <w:color w:val="auto"/>
        </w:rPr>
        <w:t>. The information on, or accessible through, our website is not part of this prospectus and should not be relied upon in connection with making any investment decision with respect to the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44"/>
        <w:spacing w:after="0" w:line="254" w:lineRule="auto"/>
        <w:rPr>
          <w:sz w:val="20"/>
          <w:szCs w:val="20"/>
          <w:color w:val="auto"/>
        </w:rPr>
      </w:pPr>
      <w:r>
        <w:rPr>
          <w:rFonts w:ascii="Arial" w:cs="Arial" w:eastAsia="Arial" w:hAnsi="Arial"/>
          <w:sz w:val="18"/>
          <w:szCs w:val="18"/>
          <w:color w:val="auto"/>
        </w:rPr>
        <w:t>You should consider the specific risks described in our Annual Report on Form 10-K for the fiscal year ended December 31, 2017 and our Quarterly Report on Form 10-Q for the quarterly period ended September 30, 2018,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19 of this prospectus.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authorized capital stock consists of 320,000,000 shares of Common Stock, par value $0.001 per share, of which 106,298,574 shares were issued and outstanding as of September 30, 2018, 40,000,000 shares of Class A Stock, par value $0.001 per share, of which 1,911,354 shares were issued and outstanding as of September 30, 2018, and 30,000,000 shares of preferred stock, par value $0.01 per share, none of which were issued and outstanding as of September 30, 2018.</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 rights,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transferability.</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Class A Stock are entitled to ten votes per share and the holders of Common Stock are entitled to one vote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98"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Transfer Restrictions.</w:t>
      </w:r>
      <w:r>
        <w:rPr>
          <w:sz w:val="20"/>
          <w:szCs w:val="20"/>
          <w:color w:val="auto"/>
        </w:rPr>
        <w:tab/>
      </w:r>
      <w:r>
        <w:rPr>
          <w:rFonts w:ascii="Arial" w:cs="Arial" w:eastAsia="Arial" w:hAnsi="Arial"/>
          <w:sz w:val="16"/>
          <w:szCs w:val="16"/>
          <w:color w:val="auto"/>
        </w:rPr>
        <w:t>Class A Stock is subject to certain limitations on transfer that do not apply to the Common Stock.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Dividends and Liquidation. </w:t>
      </w:r>
      <w:r>
        <w:rPr>
          <w:rFonts w:ascii="Arial" w:cs="Arial" w:eastAsia="Arial" w:hAnsi="Arial"/>
          <w:sz w:val="16"/>
          <w:szCs w:val="16"/>
          <w:color w:val="auto"/>
        </w:rPr>
        <w:t>Except as described in this paragraph, holders of Class A Stock and holders of our Common Stock have an equal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72"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Optional Conversion Rights. </w:t>
      </w:r>
      <w:r>
        <w:rPr>
          <w:rFonts w:ascii="Arial" w:cs="Arial" w:eastAsia="Arial" w:hAnsi="Arial"/>
          <w:sz w:val="16"/>
          <w:szCs w:val="16"/>
          <w:color w:val="auto"/>
        </w:rPr>
        <w:t>Each share of Class A Stock may, at any time and at the option of the holder, be converted into one fully paid and</w:t>
      </w:r>
      <w:r>
        <w:rPr>
          <w:rFonts w:ascii="Arial" w:cs="Arial" w:eastAsia="Arial" w:hAnsi="Arial"/>
          <w:sz w:val="16"/>
          <w:szCs w:val="16"/>
          <w:i w:val="1"/>
          <w:iCs w:val="1"/>
          <w:color w:val="auto"/>
        </w:rPr>
        <w:t xml:space="preserve"> </w:t>
      </w:r>
      <w:r>
        <w:rPr>
          <w:rFonts w:ascii="Arial" w:cs="Arial" w:eastAsia="Arial" w:hAnsi="Arial"/>
          <w:sz w:val="16"/>
          <w:szCs w:val="16"/>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16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Holders of Class A Stock and Common Stock have no preemptive rights to subscribe for any additional securities of any class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may issue and there are no redemption provisions or sinking fund provisions applicable to either such class, nor are our shares of Class A Stock or the Common Stock subject to calls or assessments.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 Our Class A Stock is not listed on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w:t>
      </w:r>
    </w:p>
    <w:p>
      <w:pPr>
        <w:spacing w:after="0" w:line="186"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 as amended ("Certificate of Incorporation").</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Certificate of Incorporation allows us to issue up to 30,000,000 shares of preferred stock in one or more series and as may be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by our board of directors. As of September 30, 2018,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Certificate of Incorporation relating to such series. A prospectus supplement relating to such series will describe the terms of the preferred stock of the series, including the following:</w:t>
      </w:r>
    </w:p>
    <w:p>
      <w:pPr>
        <w:spacing w:after="0" w:line="185"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for that series by number, letter or title that shall distinguish the series from any other series of preferred stock;</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 global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197"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each series of preferred stock will be set forth in the prospectus supplement.</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i w:val="1"/>
          <w:iCs w:val="1"/>
          <w:color w:val="auto"/>
        </w:rPr>
        <w:t xml:space="preserve">Anti-Take-Over Effects. </w:t>
      </w:r>
      <w:r>
        <w:rPr>
          <w:rFonts w:ascii="Arial" w:cs="Arial" w:eastAsia="Arial" w:hAnsi="Arial"/>
          <w:sz w:val="18"/>
          <w:szCs w:val="18"/>
          <w:color w:val="auto"/>
        </w:rPr>
        <w:t>Our board of directors may authorize, without shareholder approval, the issuance of preferred stock with voting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One of our shareholders, Sanofi, has registration rights. Under the amended and restated investor agreement, as amended (the "Investor Agreement"), between us and such shareholder, such shareholder (and certain of its permitted transferees) may request that we file registration statements under the Securities Act and, upon such request and subject to minimum size and other conditions (such as the lock-up provisions set forth in the Investor Agreement),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For a description of anti-takeover effects of various provisions of our charter, by-laws, and the New York Business Corporation Law, please see "RISK FACTORS—Risks Related to Our Common Stock—</w:t>
      </w:r>
      <w:r>
        <w:rPr>
          <w:rFonts w:ascii="Arial" w:cs="Arial" w:eastAsia="Arial" w:hAnsi="Arial"/>
          <w:sz w:val="18"/>
          <w:szCs w:val="18"/>
          <w:i w:val="1"/>
          <w:iCs w:val="1"/>
          <w:color w:val="auto"/>
        </w:rPr>
        <w:t>The anti-takeover effects of provisions of our charter, by-laws, and of New York corporate law, as well as</w:t>
      </w:r>
      <w:r>
        <w:rPr>
          <w:rFonts w:ascii="Arial" w:cs="Arial" w:eastAsia="Arial" w:hAnsi="Arial"/>
          <w:sz w:val="18"/>
          <w:szCs w:val="18"/>
          <w:color w:val="auto"/>
        </w:rPr>
        <w:t xml:space="preserve"> </w:t>
      </w:r>
      <w:r>
        <w:rPr>
          <w:rFonts w:ascii="Arial" w:cs="Arial" w:eastAsia="Arial" w:hAnsi="Arial"/>
          <w:sz w:val="18"/>
          <w:szCs w:val="18"/>
          <w:i w:val="1"/>
          <w:iCs w:val="1"/>
          <w:color w:val="auto"/>
        </w:rPr>
        <w:t>the contractual provisions in our investor and collaboration agreements and certain provisions of our compensation plans and agreements, could deter, delay, or prevent an acquisition or other "change of control" of us and could adversely affect the price of our Common Stock</w:t>
      </w:r>
      <w:r>
        <w:rPr>
          <w:rFonts w:ascii="Arial" w:cs="Arial" w:eastAsia="Arial" w:hAnsi="Arial"/>
          <w:sz w:val="18"/>
          <w:szCs w:val="18"/>
          <w:color w:val="auto"/>
        </w:rPr>
        <w:t>" in our Quarterly Report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quarterly period ended September 30, 2018.</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331" w:lineRule="auto"/>
        <w:rPr>
          <w:sz w:val="20"/>
          <w:szCs w:val="20"/>
          <w:color w:val="auto"/>
        </w:rPr>
      </w:pPr>
      <w:r>
        <w:rPr>
          <w:rFonts w:ascii="Arial" w:cs="Arial" w:eastAsia="Arial" w:hAnsi="Arial"/>
          <w:sz w:val="16"/>
          <w:szCs w:val="16"/>
          <w:color w:val="auto"/>
        </w:rPr>
        <w:t>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41"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of 1939, as amended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6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6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167" w:lineRule="exact"/>
        <w:rPr>
          <w:rFonts w:ascii="Arial" w:cs="Arial" w:eastAsia="Arial" w:hAnsi="Arial"/>
          <w:sz w:val="16"/>
          <w:szCs w:val="16"/>
          <w:color w:val="auto"/>
        </w:rPr>
      </w:pPr>
    </w:p>
    <w:p>
      <w:pPr>
        <w:ind w:left="1080" w:right="180" w:hanging="532"/>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38" w:lineRule="exact"/>
        <w:rPr>
          <w:rFonts w:ascii="Arial" w:cs="Arial" w:eastAsia="Arial" w:hAnsi="Arial"/>
          <w:sz w:val="18"/>
          <w:szCs w:val="18"/>
          <w:color w:val="auto"/>
        </w:rPr>
      </w:pPr>
    </w:p>
    <w:p>
      <w:pPr>
        <w:ind w:left="1080" w:right="380" w:hanging="532"/>
        <w:spacing w:after="0" w:line="33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pay dividends, make distributions in respect of our capital stock and the capital stock of our subsidiaries or transfer assets;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238"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w:t>
      </w:r>
    </w:p>
    <w:p>
      <w:pPr>
        <w:sectPr>
          <w:pgSz w:w="11900" w:h="16838" w:orient="portrait"/>
          <w:cols w:equalWidth="0" w:num="1">
            <w:col w:w="11080"/>
          </w:cols>
          <w:pgMar w:left="320" w:top="131" w:right="499" w:bottom="1440" w:gutter="0" w:footer="0" w:header="0"/>
        </w:sectPr>
      </w:pP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those described above, and any terms which may be required by us or advisable under applicable laws or regulations or advisable in connection with the marketing of the debt securities.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19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the term "Event of Default," when used in the indenture in respect of a series of debt securities, means any of the following:</w:t>
      </w:r>
    </w:p>
    <w:p>
      <w:pPr>
        <w:spacing w:after="0" w:line="262" w:lineRule="exact"/>
        <w:rPr>
          <w:sz w:val="20"/>
          <w:szCs w:val="20"/>
          <w:color w:val="auto"/>
        </w:rPr>
      </w:pPr>
    </w:p>
    <w:p>
      <w:pPr>
        <w:ind w:left="1080" w:right="6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pay interest when due and payable and our failure continues for 90 days and the time for payment has not been extended or deferred;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fail to pay the principal, or premium, if any, when due and payable and the time for payment has not been extended or delayed;</w:t>
      </w:r>
    </w:p>
    <w:p>
      <w:pPr>
        <w:spacing w:after="0" w:line="275"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interest, if any, of each issue of debt securities then outstanding will be due and payable without any notice or other action on the part of the trustee or any holder.</w:t>
      </w:r>
    </w:p>
    <w:p>
      <w:pPr>
        <w:spacing w:after="0" w:line="186"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212" w:lineRule="exact"/>
        <w:rPr>
          <w:rFonts w:ascii="Arial" w:cs="Arial" w:eastAsia="Arial" w:hAnsi="Arial"/>
          <w:sz w:val="18"/>
          <w:szCs w:val="18"/>
          <w:color w:val="auto"/>
        </w:rPr>
      </w:pPr>
    </w:p>
    <w:p>
      <w:pPr>
        <w:ind w:left="1080" w:right="760" w:hanging="532"/>
        <w:spacing w:after="0" w:line="33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40" w:firstLine="348"/>
        <w:spacing w:after="0" w:line="369" w:lineRule="auto"/>
        <w:rPr>
          <w:sz w:val="20"/>
          <w:szCs w:val="20"/>
          <w:color w:val="auto"/>
        </w:rPr>
      </w:pPr>
      <w:r>
        <w:rPr>
          <w:rFonts w:ascii="Arial" w:cs="Arial" w:eastAsia="Arial" w:hAnsi="Arial"/>
          <w:sz w:val="15"/>
          <w:szCs w:val="15"/>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1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20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210" w:lineRule="exact"/>
        <w:rPr>
          <w:sz w:val="20"/>
          <w:szCs w:val="20"/>
          <w:color w:val="auto"/>
        </w:rPr>
      </w:pPr>
    </w:p>
    <w:p>
      <w:pPr>
        <w:ind w:left="1080" w:right="420" w:hanging="532"/>
        <w:spacing w:after="0" w:line="33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167" w:lineRule="exact"/>
        <w:rPr>
          <w:rFonts w:ascii="Arial" w:cs="Arial" w:eastAsia="Arial" w:hAnsi="Arial"/>
          <w:sz w:val="16"/>
          <w:szCs w:val="16"/>
          <w:color w:val="auto"/>
        </w:rPr>
      </w:pPr>
    </w:p>
    <w:p>
      <w:pPr>
        <w:ind w:left="1080" w:right="140" w:hanging="532"/>
        <w:spacing w:after="0" w:line="294"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69"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Waiver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9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212"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174"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supplemental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17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6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15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25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purchasable upon exercise of the warrants will be separately transferable;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17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19 of this prospectus. We urge you to read the applicable warrant certificate, the applicable warrant agreement, and any applicable prospectus supplement in their entirety.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w:t>
      </w:r>
    </w:p>
    <w:p>
      <w:pPr>
        <w:spacing w:after="0" w:line="252" w:lineRule="exact"/>
        <w:rPr>
          <w:sz w:val="20"/>
          <w:szCs w:val="20"/>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as agent, but may position or resell a portion of the block, as principal, in order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a broker solicits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exchange for outstanding indebtedness;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239" w:lineRule="exact"/>
        <w:rPr>
          <w:sz w:val="20"/>
          <w:szCs w:val="20"/>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prospectus, in which case such broker-dealer or affiliate may use shares of Common Stock received from us to close out its short positions;</w:t>
      </w:r>
    </w:p>
    <w:p>
      <w:pPr>
        <w:spacing w:after="0" w:line="26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name or names of any underwriters or agents and the amounts of securities underwritten or purchased by each of them, if any;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231" w:lineRule="exact"/>
        <w:rPr>
          <w:sz w:val="20"/>
          <w:szCs w:val="20"/>
          <w:color w:val="auto"/>
        </w:rPr>
      </w:pPr>
    </w:p>
    <w:p>
      <w:pPr>
        <w:ind w:right="120" w:firstLine="341"/>
        <w:spacing w:after="0" w:line="369" w:lineRule="auto"/>
        <w:rPr>
          <w:sz w:val="20"/>
          <w:szCs w:val="20"/>
          <w:color w:val="auto"/>
        </w:rPr>
      </w:pPr>
      <w:r>
        <w:rPr>
          <w:rFonts w:ascii="Arial" w:cs="Arial" w:eastAsia="Arial" w:hAnsi="Arial"/>
          <w:sz w:val="15"/>
          <w:szCs w:val="15"/>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78"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69"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86" w:lineRule="exact"/>
        <w:rPr>
          <w:sz w:val="20"/>
          <w:szCs w:val="20"/>
          <w:color w:val="auto"/>
        </w:rPr>
      </w:pPr>
    </w:p>
    <w:p>
      <w:pPr>
        <w:ind w:right="460" w:firstLine="348"/>
        <w:spacing w:after="0" w:line="331"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23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pricing supplement, as the case may be.</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7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cause the price of the securities to be higher than it would be in the absence of the transactions. The underwriters may, if they commence these transactions, discontinue them at any time.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87">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380" w:firstLine="348"/>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under the Exchange Act. The SEC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including Regeneron Pharmaceuticals, Inc. Our SEC filings are also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Other than as specifically incorporated by reference into this prospectus, the information on, or accessible through, our website is not part of this prospectus and should not be relied upon in connection with making any investment decision with respect to the securities offered by this prospectus.</w:t>
      </w:r>
    </w:p>
    <w:p>
      <w:pPr>
        <w:spacing w:after="0" w:line="169"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and any accompanying prospectus,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187"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0000EE"/>
        </w:rPr>
      </w:pPr>
      <w:hyperlink r:id="rId87">
        <w:r>
          <w:rPr>
            <w:rFonts w:ascii="Arial" w:cs="Arial" w:eastAsia="Arial" w:hAnsi="Arial"/>
            <w:sz w:val="18"/>
            <w:szCs w:val="18"/>
            <w:u w:val="single" w:color="auto"/>
            <w:color w:val="0000EE"/>
          </w:rPr>
          <w:t>Our Annual Report on Form 10-K for the fiscal year ended December 31, 2017, filed on February 8, 2018</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80" w:hanging="532"/>
        <w:spacing w:after="0" w:line="268" w:lineRule="auto"/>
        <w:tabs>
          <w:tab w:leader="none" w:pos="1080" w:val="left"/>
        </w:tabs>
        <w:numPr>
          <w:ilvl w:val="0"/>
          <w:numId w:val="42"/>
        </w:numPr>
        <w:rPr>
          <w:rFonts w:ascii="Arial" w:cs="Arial" w:eastAsia="Arial" w:hAnsi="Arial"/>
          <w:sz w:val="18"/>
          <w:szCs w:val="18"/>
          <w:color w:val="0000EE"/>
        </w:rPr>
      </w:pPr>
      <w:r>
        <w:rPr>
          <w:rFonts w:ascii="Arial" w:cs="Arial" w:eastAsia="Arial" w:hAnsi="Arial"/>
          <w:sz w:val="18"/>
          <w:szCs w:val="18"/>
          <w:color w:val="auto"/>
        </w:rPr>
        <w:t xml:space="preserve">Portions of our </w:t>
      </w:r>
      <w:hyperlink r:id="rId88">
        <w:r>
          <w:rPr>
            <w:rFonts w:ascii="Arial" w:cs="Arial" w:eastAsia="Arial" w:hAnsi="Arial"/>
            <w:sz w:val="18"/>
            <w:szCs w:val="18"/>
            <w:u w:val="single" w:color="auto"/>
            <w:color w:val="0000EE"/>
          </w:rPr>
          <w:t>Definitive Proxy Statement on Schedule 14A filed on April 23,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that are incorporated by reference into Part III of our </w:t>
      </w:r>
      <w:hyperlink r:id="rId87">
        <w:r>
          <w:rPr>
            <w:rFonts w:ascii="Arial" w:cs="Arial" w:eastAsia="Arial" w:hAnsi="Arial"/>
            <w:sz w:val="18"/>
            <w:szCs w:val="18"/>
            <w:u w:val="single" w:color="auto"/>
            <w:color w:val="0000EE"/>
          </w:rPr>
          <w:t>Annual Report on Form 10-K for the fiscal year ended December 31, 2017, filed on February 8, 2018</w:t>
        </w:r>
      </w:hyperlink>
      <w:r>
        <w:rPr>
          <w:rFonts w:ascii="Arial" w:cs="Arial" w:eastAsia="Arial" w:hAnsi="Arial"/>
          <w:sz w:val="18"/>
          <w:szCs w:val="18"/>
          <w:color w:val="000000"/>
        </w:rPr>
        <w:t>.</w:t>
      </w:r>
    </w:p>
    <w:p>
      <w:pPr>
        <w:spacing w:after="0" w:line="199" w:lineRule="exact"/>
        <w:rPr>
          <w:rFonts w:ascii="Arial" w:cs="Arial" w:eastAsia="Arial" w:hAnsi="Arial"/>
          <w:sz w:val="18"/>
          <w:szCs w:val="18"/>
          <w:color w:val="0000EE"/>
        </w:rPr>
      </w:pPr>
    </w:p>
    <w:p>
      <w:pPr>
        <w:ind w:left="1080" w:right="480" w:hanging="532"/>
        <w:spacing w:after="0" w:line="331" w:lineRule="auto"/>
        <w:tabs>
          <w:tab w:leader="none" w:pos="1080" w:val="left"/>
        </w:tabs>
        <w:numPr>
          <w:ilvl w:val="0"/>
          <w:numId w:val="42"/>
        </w:numPr>
        <w:rPr>
          <w:rFonts w:ascii="Arial" w:cs="Arial" w:eastAsia="Arial" w:hAnsi="Arial"/>
          <w:sz w:val="16"/>
          <w:szCs w:val="16"/>
          <w:color w:val="0000EE"/>
        </w:rPr>
      </w:pPr>
      <w:r>
        <w:rPr>
          <w:rFonts w:ascii="Arial" w:cs="Arial" w:eastAsia="Arial" w:hAnsi="Arial"/>
          <w:sz w:val="16"/>
          <w:szCs w:val="16"/>
          <w:color w:val="auto"/>
        </w:rPr>
        <w:t xml:space="preserve">Our Quarterly Reports on Form 10-Q for the quarterly period ended </w:t>
      </w:r>
      <w:hyperlink r:id="rId89">
        <w:r>
          <w:rPr>
            <w:rFonts w:ascii="Arial" w:cs="Arial" w:eastAsia="Arial" w:hAnsi="Arial"/>
            <w:sz w:val="16"/>
            <w:szCs w:val="16"/>
            <w:u w:val="single" w:color="auto"/>
            <w:color w:val="0000EE"/>
          </w:rPr>
          <w:t>March 31, 2018</w:t>
        </w:r>
      </w:hyperlink>
      <w:r>
        <w:rPr>
          <w:rFonts w:ascii="Arial" w:cs="Arial" w:eastAsia="Arial" w:hAnsi="Arial"/>
          <w:sz w:val="16"/>
          <w:szCs w:val="16"/>
          <w:color w:val="auto"/>
        </w:rPr>
        <w:t xml:space="preserve">, filed on May 3, 2018; for the quarterly period ended </w:t>
      </w:r>
      <w:hyperlink r:id="rId90">
        <w:r>
          <w:rPr>
            <w:rFonts w:ascii="Arial" w:cs="Arial" w:eastAsia="Arial" w:hAnsi="Arial"/>
            <w:sz w:val="16"/>
            <w:szCs w:val="16"/>
            <w:u w:val="single" w:color="auto"/>
            <w:color w:val="0000EE"/>
          </w:rPr>
          <w:t>June 30, 2018</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filed on August 2, 2018; and for the quarterly period ended</w:t>
      </w:r>
      <w:r>
        <w:rPr>
          <w:rFonts w:ascii="Arial" w:cs="Arial" w:eastAsia="Arial" w:hAnsi="Arial"/>
          <w:sz w:val="16"/>
          <w:szCs w:val="16"/>
          <w:color w:val="0000EE"/>
        </w:rPr>
        <w:t xml:space="preserve"> </w:t>
      </w:r>
      <w:hyperlink r:id="rId91">
        <w:r>
          <w:rPr>
            <w:rFonts w:ascii="Arial" w:cs="Arial" w:eastAsia="Arial" w:hAnsi="Arial"/>
            <w:sz w:val="16"/>
            <w:szCs w:val="16"/>
            <w:u w:val="single" w:color="auto"/>
            <w:color w:val="0000EE"/>
          </w:rPr>
          <w:t>September 30, 2018</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filed on November 6, 2018.</w:t>
      </w:r>
    </w:p>
    <w:p>
      <w:pPr>
        <w:spacing w:after="0" w:line="154" w:lineRule="exact"/>
        <w:rPr>
          <w:rFonts w:ascii="Arial" w:cs="Arial" w:eastAsia="Arial" w:hAnsi="Arial"/>
          <w:sz w:val="16"/>
          <w:szCs w:val="16"/>
          <w:color w:val="0000EE"/>
        </w:rPr>
      </w:pPr>
    </w:p>
    <w:p>
      <w:pPr>
        <w:ind w:left="1080" w:right="1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92">
        <w:r>
          <w:rPr>
            <w:rFonts w:ascii="Arial" w:cs="Arial" w:eastAsia="Arial" w:hAnsi="Arial"/>
            <w:sz w:val="18"/>
            <w:szCs w:val="18"/>
            <w:u w:val="single" w:color="auto"/>
            <w:color w:val="0000EE"/>
          </w:rPr>
          <w:t>January 2, 2018</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EE"/>
          </w:rPr>
          <w:t>January 8,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as to Item 1.01 thereof); </w:t>
      </w:r>
      <w:hyperlink r:id="rId94">
        <w:r>
          <w:rPr>
            <w:rFonts w:ascii="Arial" w:cs="Arial" w:eastAsia="Arial" w:hAnsi="Arial"/>
            <w:sz w:val="18"/>
            <w:szCs w:val="18"/>
            <w:u w:val="single" w:color="auto"/>
            <w:color w:val="0000EE"/>
          </w:rPr>
          <w:t>January 18, 2018</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EE"/>
          </w:rPr>
          <w:t>June 13, 2018</w:t>
        </w:r>
      </w:hyperlink>
      <w:r>
        <w:rPr>
          <w:rFonts w:ascii="Arial" w:cs="Arial" w:eastAsia="Arial" w:hAnsi="Arial"/>
          <w:sz w:val="18"/>
          <w:szCs w:val="18"/>
          <w:color w:val="auto"/>
        </w:rPr>
        <w:t xml:space="preserve">; and </w:t>
      </w:r>
      <w:hyperlink r:id="rId96">
        <w:r>
          <w:rPr>
            <w:rFonts w:ascii="Arial" w:cs="Arial" w:eastAsia="Arial" w:hAnsi="Arial"/>
            <w:sz w:val="18"/>
            <w:szCs w:val="18"/>
            <w:u w:val="single" w:color="auto"/>
            <w:color w:val="0000EE"/>
          </w:rPr>
          <w:t>October 12,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as to Item 8.01 thereof).</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43"/>
        </w:numPr>
        <w:rPr>
          <w:rFonts w:ascii="Arial" w:cs="Arial" w:eastAsia="Arial" w:hAnsi="Arial"/>
          <w:sz w:val="18"/>
          <w:szCs w:val="18"/>
          <w:color w:val="0000EE"/>
        </w:rPr>
      </w:pPr>
      <w:hyperlink r:id="rId58">
        <w:r>
          <w:rPr>
            <w:rFonts w:ascii="Arial" w:cs="Arial" w:eastAsia="Arial" w:hAnsi="Arial"/>
            <w:sz w:val="18"/>
            <w:szCs w:val="18"/>
            <w:u w:val="single" w:color="auto"/>
            <w:color w:val="0000EE"/>
          </w:rPr>
          <w:t>The description of our Common Stock set forth in a Registration Statement on Form 8-A, including any amendment or report filed for the</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purpose of updating such description (filing date October 15, 1996; Commission File No. 000-19034)</w:t>
        </w:r>
        <w:r>
          <w:rPr>
            <w:rFonts w:ascii="Arial" w:cs="Arial" w:eastAsia="Arial" w:hAnsi="Arial"/>
            <w:sz w:val="18"/>
            <w:szCs w:val="18"/>
            <w:color w:val="000000"/>
          </w:rPr>
          <w:t>.</w:t>
        </w:r>
      </w:hyperlink>
    </w:p>
    <w:p>
      <w:pPr>
        <w:spacing w:after="0" w:line="186" w:lineRule="exact"/>
        <w:rPr>
          <w:rFonts w:ascii="Arial" w:cs="Arial" w:eastAsia="Arial" w:hAnsi="Arial"/>
          <w:sz w:val="18"/>
          <w:szCs w:val="18"/>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166" w:lineRule="exact"/>
        <w:rPr>
          <w:rFonts w:ascii="Arial" w:cs="Arial" w:eastAsia="Arial" w:hAnsi="Arial"/>
          <w:sz w:val="18"/>
          <w:szCs w:val="18"/>
          <w:color w:val="auto"/>
        </w:rPr>
      </w:pPr>
    </w:p>
    <w:p>
      <w:pPr>
        <w:ind w:firstLine="348"/>
        <w:spacing w:after="0" w:line="259" w:lineRule="auto"/>
        <w:rPr>
          <w:sz w:val="20"/>
          <w:szCs w:val="20"/>
          <w:color w:val="auto"/>
        </w:rPr>
      </w:pPr>
      <w:r>
        <w:rPr>
          <w:rFonts w:ascii="Arial" w:cs="Arial" w:eastAsia="Arial" w:hAnsi="Arial"/>
          <w:sz w:val="18"/>
          <w:szCs w:val="18"/>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194"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rFonts w:ascii="Arial" w:cs="Arial" w:eastAsia="Arial" w:hAnsi="Arial"/>
          <w:sz w:val="18"/>
          <w:szCs w:val="18"/>
          <w:color w:val="auto"/>
        </w:rPr>
      </w:pPr>
    </w:p>
    <w:p>
      <w:pPr>
        <w:ind w:left="5500" w:hanging="424"/>
        <w:spacing w:after="0"/>
        <w:tabs>
          <w:tab w:leader="none" w:pos="5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847-7000</w:t>
      </w:r>
    </w:p>
    <w:p>
      <w:pPr>
        <w:spacing w:after="0" w:line="21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11,831,496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160020</wp:posOffset>
            </wp:positionV>
            <wp:extent cx="3402965"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34029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160020</wp:posOffset>
            </wp:positionV>
            <wp:extent cx="1868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147955</wp:posOffset>
            </wp:positionV>
            <wp:extent cx="18688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19"/>
                <w:szCs w:val="19"/>
                <w:color w:val="auto"/>
              </w:rPr>
            </w:pPr>
          </w:p>
        </w:tc>
        <w:tc>
          <w:tcPr>
            <w:tcW w:w="5660" w:type="dxa"/>
            <w:vAlign w:val="bottom"/>
            <w:gridSpan w:val="2"/>
          </w:tcPr>
          <w:p>
            <w:pPr>
              <w:jc w:val="center"/>
              <w:ind w:right="2619"/>
              <w:spacing w:after="0"/>
              <w:rPr>
                <w:sz w:val="20"/>
                <w:szCs w:val="20"/>
                <w:color w:val="auto"/>
              </w:rPr>
            </w:pPr>
            <w:r>
              <w:rPr>
                <w:rFonts w:ascii="Arial" w:cs="Arial" w:eastAsia="Arial" w:hAnsi="Arial"/>
                <w:sz w:val="18"/>
                <w:szCs w:val="18"/>
                <w:b w:val="1"/>
                <w:bCs w:val="1"/>
                <w:i w:val="1"/>
                <w:iCs w:val="1"/>
                <w:color w:val="auto"/>
                <w:w w:val="87"/>
              </w:rPr>
              <w:t>Joint Book-Running Managers</w:t>
            </w:r>
          </w:p>
        </w:tc>
        <w:tc>
          <w:tcPr>
            <w:tcW w:w="1420" w:type="dxa"/>
            <w:vAlign w:val="bottom"/>
          </w:tcPr>
          <w:p>
            <w:pPr>
              <w:spacing w:after="0"/>
              <w:rPr>
                <w:sz w:val="19"/>
                <w:szCs w:val="19"/>
                <w:color w:val="auto"/>
              </w:rPr>
            </w:pPr>
          </w:p>
        </w:tc>
      </w:tr>
      <w:tr>
        <w:trPr>
          <w:trHeight w:val="506"/>
        </w:trPr>
        <w:tc>
          <w:tcPr>
            <w:tcW w:w="4160" w:type="dxa"/>
            <w:vAlign w:val="bottom"/>
          </w:tcPr>
          <w:p>
            <w:pPr>
              <w:ind w:left="2480"/>
              <w:spacing w:after="0"/>
              <w:rPr>
                <w:sz w:val="20"/>
                <w:szCs w:val="20"/>
                <w:color w:val="auto"/>
              </w:rPr>
            </w:pPr>
            <w:r>
              <w:rPr>
                <w:rFonts w:ascii="Arial" w:cs="Arial" w:eastAsia="Arial" w:hAnsi="Arial"/>
                <w:sz w:val="24"/>
                <w:szCs w:val="24"/>
                <w:b w:val="1"/>
                <w:bCs w:val="1"/>
                <w:color w:val="auto"/>
                <w:w w:val="92"/>
              </w:rPr>
              <w:t>BofA Securities</w:t>
            </w:r>
          </w:p>
        </w:tc>
        <w:tc>
          <w:tcPr>
            <w:tcW w:w="5660" w:type="dxa"/>
            <w:vAlign w:val="bottom"/>
            <w:gridSpan w:val="2"/>
          </w:tcPr>
          <w:p>
            <w:pPr>
              <w:ind w:left="2360"/>
              <w:spacing w:after="0"/>
              <w:rPr>
                <w:sz w:val="20"/>
                <w:szCs w:val="20"/>
                <w:color w:val="auto"/>
              </w:rPr>
            </w:pPr>
            <w:r>
              <w:rPr>
                <w:rFonts w:ascii="Arial" w:cs="Arial" w:eastAsia="Arial" w:hAnsi="Arial"/>
                <w:sz w:val="24"/>
                <w:szCs w:val="24"/>
                <w:b w:val="1"/>
                <w:bCs w:val="1"/>
                <w:color w:val="auto"/>
              </w:rPr>
              <w:t>Goldman Sachs &amp; Co. LLC</w:t>
            </w:r>
          </w:p>
        </w:tc>
        <w:tc>
          <w:tcPr>
            <w:tcW w:w="1420" w:type="dxa"/>
            <w:vAlign w:val="bottom"/>
          </w:tcPr>
          <w:p>
            <w:pPr>
              <w:spacing w:after="0"/>
              <w:rPr>
                <w:sz w:val="24"/>
                <w:szCs w:val="24"/>
                <w:color w:val="auto"/>
              </w:rPr>
            </w:pPr>
          </w:p>
        </w:tc>
      </w:tr>
      <w:tr>
        <w:trPr>
          <w:trHeight w:val="932"/>
        </w:trPr>
        <w:tc>
          <w:tcPr>
            <w:tcW w:w="4160" w:type="dxa"/>
            <w:vAlign w:val="bottom"/>
          </w:tcPr>
          <w:p>
            <w:pPr>
              <w:spacing w:after="0"/>
              <w:rPr>
                <w:sz w:val="20"/>
                <w:szCs w:val="20"/>
                <w:color w:val="auto"/>
              </w:rPr>
            </w:pPr>
            <w:r>
              <w:rPr>
                <w:rFonts w:ascii="Arial" w:cs="Arial" w:eastAsia="Arial" w:hAnsi="Arial"/>
                <w:sz w:val="24"/>
                <w:szCs w:val="24"/>
                <w:b w:val="1"/>
                <w:bCs w:val="1"/>
                <w:color w:val="auto"/>
              </w:rPr>
              <w:t>Barclays</w:t>
            </w:r>
          </w:p>
        </w:tc>
        <w:tc>
          <w:tcPr>
            <w:tcW w:w="5660" w:type="dxa"/>
            <w:vAlign w:val="bottom"/>
            <w:gridSpan w:val="2"/>
          </w:tcPr>
          <w:p>
            <w:pPr>
              <w:jc w:val="center"/>
              <w:ind w:right="2619"/>
              <w:spacing w:after="0"/>
              <w:rPr>
                <w:sz w:val="20"/>
                <w:szCs w:val="20"/>
                <w:color w:val="auto"/>
              </w:rPr>
            </w:pPr>
            <w:r>
              <w:rPr>
                <w:rFonts w:ascii="Arial" w:cs="Arial" w:eastAsia="Arial" w:hAnsi="Arial"/>
                <w:sz w:val="24"/>
                <w:szCs w:val="24"/>
                <w:b w:val="1"/>
                <w:bCs w:val="1"/>
                <w:color w:val="auto"/>
                <w:w w:val="96"/>
              </w:rPr>
              <w:t>BNP PARIBAS</w:t>
            </w:r>
          </w:p>
        </w:tc>
        <w:tc>
          <w:tcPr>
            <w:tcW w:w="1420" w:type="dxa"/>
            <w:vAlign w:val="bottom"/>
          </w:tcPr>
          <w:p>
            <w:pPr>
              <w:ind w:left="420"/>
              <w:spacing w:after="0"/>
              <w:rPr>
                <w:sz w:val="20"/>
                <w:szCs w:val="20"/>
                <w:color w:val="auto"/>
              </w:rPr>
            </w:pPr>
            <w:r>
              <w:rPr>
                <w:rFonts w:ascii="Arial" w:cs="Arial" w:eastAsia="Arial" w:hAnsi="Arial"/>
                <w:sz w:val="24"/>
                <w:szCs w:val="24"/>
                <w:b w:val="1"/>
                <w:bCs w:val="1"/>
                <w:color w:val="auto"/>
                <w:w w:val="91"/>
              </w:rPr>
              <w:t>Citigroup</w:t>
            </w:r>
          </w:p>
        </w:tc>
      </w:tr>
      <w:tr>
        <w:trPr>
          <w:trHeight w:val="932"/>
        </w:trPr>
        <w:tc>
          <w:tcPr>
            <w:tcW w:w="4160" w:type="dxa"/>
            <w:vAlign w:val="bottom"/>
          </w:tcPr>
          <w:p>
            <w:pPr>
              <w:ind w:left="2060"/>
              <w:spacing w:after="0"/>
              <w:rPr>
                <w:sz w:val="20"/>
                <w:szCs w:val="20"/>
                <w:color w:val="auto"/>
              </w:rPr>
            </w:pPr>
            <w:r>
              <w:rPr>
                <w:rFonts w:ascii="Arial" w:cs="Arial" w:eastAsia="Arial" w:hAnsi="Arial"/>
                <w:sz w:val="24"/>
                <w:szCs w:val="24"/>
                <w:b w:val="1"/>
                <w:bCs w:val="1"/>
                <w:color w:val="auto"/>
              </w:rPr>
              <w:t>J.P. Morgan</w:t>
            </w:r>
          </w:p>
        </w:tc>
        <w:tc>
          <w:tcPr>
            <w:tcW w:w="2940" w:type="dxa"/>
            <w:vAlign w:val="bottom"/>
          </w:tcPr>
          <w:p>
            <w:pPr>
              <w:spacing w:after="0"/>
              <w:rPr>
                <w:sz w:val="24"/>
                <w:szCs w:val="24"/>
                <w:color w:val="auto"/>
              </w:rPr>
            </w:pPr>
          </w:p>
        </w:tc>
        <w:tc>
          <w:tcPr>
            <w:tcW w:w="2720" w:type="dxa"/>
            <w:vAlign w:val="bottom"/>
          </w:tcPr>
          <w:p>
            <w:pPr>
              <w:ind w:left="620"/>
              <w:spacing w:after="0"/>
              <w:rPr>
                <w:sz w:val="20"/>
                <w:szCs w:val="20"/>
                <w:color w:val="auto"/>
              </w:rPr>
            </w:pPr>
            <w:r>
              <w:rPr>
                <w:rFonts w:ascii="Arial" w:cs="Arial" w:eastAsia="Arial" w:hAnsi="Arial"/>
                <w:sz w:val="24"/>
                <w:szCs w:val="24"/>
                <w:b w:val="1"/>
                <w:bCs w:val="1"/>
                <w:color w:val="auto"/>
              </w:rPr>
              <w:t>Morgan Stanley</w:t>
            </w:r>
          </w:p>
        </w:tc>
        <w:tc>
          <w:tcPr>
            <w:tcW w:w="1420" w:type="dxa"/>
            <w:vAlign w:val="bottom"/>
          </w:tcPr>
          <w:p>
            <w:pPr>
              <w:spacing w:after="0"/>
              <w:rPr>
                <w:sz w:val="24"/>
                <w:szCs w:val="24"/>
                <w:color w:val="auto"/>
              </w:rPr>
            </w:pPr>
          </w:p>
        </w:tc>
      </w:tr>
      <w:tr>
        <w:trPr>
          <w:trHeight w:val="212"/>
        </w:trPr>
        <w:tc>
          <w:tcPr>
            <w:tcW w:w="4160" w:type="dxa"/>
            <w:vAlign w:val="bottom"/>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72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3"/>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3"/>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914"/>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lvl w:ilvl="1">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jpe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1" Type="http://schemas.openxmlformats.org/officeDocument/2006/relationships/hyperlink" Target="http://www.sec.gov/Archives/edgar/data/872589/000153217620000008/regn-123119x10k.htm" TargetMode="External"/><Relationship Id="rId12" Type="http://schemas.openxmlformats.org/officeDocument/2006/relationships/hyperlink" Target="http://www.sec.gov/Archives/edgar/data/872589/000180422020000011/regn-033120x10q.htm" TargetMode="External"/><Relationship Id="rId56" Type="http://schemas.openxmlformats.org/officeDocument/2006/relationships/hyperlink" Target="http://www.sec.gov/Archives/edgar/data/872589/000093041320001198/c95145_def14a.htm" TargetMode="External"/><Relationship Id="rId57" Type="http://schemas.openxmlformats.org/officeDocument/2006/relationships/hyperlink" Target="http://www.sec.gov/Archives/edgar/data/872589/000093041320000983/regn-20200405.htm" TargetMode="External"/><Relationship Id="rId58" Type="http://schemas.openxmlformats.org/officeDocument/2006/relationships/hyperlink" Target="http://www.sec.gov/Archives/edgar/data/872589/0000950172-96-000641-index.html" TargetMode="External"/><Relationship Id="rId87" Type="http://schemas.openxmlformats.org/officeDocument/2006/relationships/hyperlink" Target="http://www.sec.gov/Archives/edgar/data/872589/000153217618000013/regn-123117x10k.htm" TargetMode="External"/><Relationship Id="rId88" Type="http://schemas.openxmlformats.org/officeDocument/2006/relationships/hyperlink" Target="http://www.sec.gov/Archives/edgar/data/872589/000104746918003073/a2234921zdef14a.htm" TargetMode="External"/><Relationship Id="rId89" Type="http://schemas.openxmlformats.org/officeDocument/2006/relationships/hyperlink" Target="http://www.sec.gov/Archives/edgar/data/872589/000153217618000020/regn-033118x10q.htm" TargetMode="External"/><Relationship Id="rId90" Type="http://schemas.openxmlformats.org/officeDocument/2006/relationships/hyperlink" Target="http://www.sec.gov/Archives/edgar/data/872589/000153217618000028/regn-063018x10q.htm" TargetMode="External"/><Relationship Id="rId91" Type="http://schemas.openxmlformats.org/officeDocument/2006/relationships/hyperlink" Target="http://www.sec.gov/Archives/edgar/data/872589/000153217618000036/regn-093018x10q.htm" TargetMode="External"/><Relationship Id="rId92" Type="http://schemas.openxmlformats.org/officeDocument/2006/relationships/hyperlink" Target="http://www.sec.gov/Archives/edgar/data/872589/000110465918000220/a18-2060_18k.htm" TargetMode="External"/><Relationship Id="rId93" Type="http://schemas.openxmlformats.org/officeDocument/2006/relationships/hyperlink" Target="http://www.sec.gov/Archives/edgar/data/872589/000110465918001100/a18-2403_18k.htm" TargetMode="External"/><Relationship Id="rId94" Type="http://schemas.openxmlformats.org/officeDocument/2006/relationships/hyperlink" Target="http://www.sec.gov/Archives/edgar/data/872589/000110465918002858/a18-3387_18k.htm" TargetMode="External"/><Relationship Id="rId95" Type="http://schemas.openxmlformats.org/officeDocument/2006/relationships/hyperlink" Target="http://www.sec.gov/Archives/edgar/data/872589/000110465918039843/a18-15274_18k.htm" TargetMode="External"/><Relationship Id="rId96" Type="http://schemas.openxmlformats.org/officeDocument/2006/relationships/hyperlink" Target="http://www.sec.gov/Archives/edgar/data/872589/000110465918061697/a18-36627_1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2020-05-28T16:32:23Z</dcterms:created>
  <dcterms:modified xsi:type="dcterms:W3CDTF">2020-05-28T16:32:23Z</dcterms:modified>
</cp:coreProperties>
</file>