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38"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May 29, 2020 (May 25,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ectPr>
          <w:pgSz w:w="11900" w:h="16838" w:orient="portrait"/>
          <w:cols w:equalWidth="0" w:num="1">
            <w:col w:w="11240"/>
          </w:cols>
          <w:pgMar w:left="320" w:top="733" w:right="339" w:bottom="1440" w:gutter="0" w:footer="0" w:header="0"/>
        </w:sectPr>
      </w:pPr>
    </w:p>
    <w:p>
      <w:pPr>
        <w:spacing w:after="0" w:line="35" w:lineRule="exact"/>
        <w:rPr>
          <w:sz w:val="24"/>
          <w:szCs w:val="24"/>
          <w:color w:val="auto"/>
        </w:rPr>
      </w:pPr>
    </w:p>
    <w:p>
      <w:pPr>
        <w:jc w:val="center"/>
        <w:ind w:left="34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000-19034</w:t>
      </w:r>
    </w:p>
    <w:p>
      <w:pPr>
        <w:spacing w:after="0" w:line="158"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777 Old Saw Mill River Road</w:t>
      </w:r>
    </w:p>
    <w:p>
      <w:pPr>
        <w:spacing w:after="0" w:line="27"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Tarrytown, New York</w:t>
      </w:r>
    </w:p>
    <w:p>
      <w:pPr>
        <w:spacing w:after="0" w:line="9"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10591-6707</w:t>
      </w:r>
    </w:p>
    <w:p>
      <w:pPr>
        <w:spacing w:after="0" w:line="9" w:lineRule="exact"/>
        <w:rPr>
          <w:sz w:val="24"/>
          <w:szCs w:val="24"/>
          <w:color w:val="auto"/>
        </w:rPr>
      </w:pPr>
    </w:p>
    <w:p>
      <w:pPr>
        <w:jc w:val="center"/>
        <w:ind w:left="34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left="34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left="34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left="34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auto"/>
        </w:rPr>
        <w:t>13-3444607</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711" w:lineRule="exact"/>
        <w:rPr>
          <w:sz w:val="24"/>
          <w:szCs w:val="24"/>
          <w:color w:val="auto"/>
        </w:rPr>
      </w:pPr>
    </w:p>
    <w:p>
      <w:pPr>
        <w:sectPr>
          <w:pgSz w:w="11900" w:h="16838" w:orient="portrait"/>
          <w:cols w:equalWidth="0" w:num="2">
            <w:col w:w="7840" w:space="180"/>
            <w:col w:w="3220"/>
          </w:cols>
          <w:pgMar w:left="320" w:top="733" w:right="339" w:bottom="1440" w:gutter="0" w:footer="0" w:header="0"/>
          <w:type w:val="continuous"/>
        </w:sectPr>
      </w:pPr>
    </w:p>
    <w:p>
      <w:pPr>
        <w:spacing w:after="0" w:line="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1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26, 2020,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u w:val="single" w:color="auto"/>
          <w:color w:val="auto"/>
        </w:rPr>
        <w:t>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Sanofi (“</w:t>
      </w:r>
      <w:r>
        <w:rPr>
          <w:rFonts w:ascii="Arial" w:cs="Arial" w:eastAsia="Arial" w:hAnsi="Arial"/>
          <w:sz w:val="18"/>
          <w:szCs w:val="18"/>
          <w:u w:val="single" w:color="auto"/>
          <w:color w:val="auto"/>
        </w:rPr>
        <w:t>Sanofi</w:t>
      </w:r>
      <w:r>
        <w:rPr>
          <w:rFonts w:ascii="Arial" w:cs="Arial" w:eastAsia="Arial" w:hAnsi="Arial"/>
          <w:sz w:val="18"/>
          <w:szCs w:val="18"/>
          <w:color w:val="auto"/>
        </w:rPr>
        <w:t>”), Aventisub LLC (“</w:t>
      </w:r>
      <w:r>
        <w:rPr>
          <w:rFonts w:ascii="Arial" w:cs="Arial" w:eastAsia="Arial" w:hAnsi="Arial"/>
          <w:sz w:val="18"/>
          <w:szCs w:val="18"/>
          <w:u w:val="single" w:color="auto"/>
          <w:color w:val="auto"/>
        </w:rPr>
        <w:t>Aventisub</w:t>
      </w:r>
      <w:r>
        <w:rPr>
          <w:rFonts w:ascii="Arial" w:cs="Arial" w:eastAsia="Arial" w:hAnsi="Arial"/>
          <w:sz w:val="18"/>
          <w:szCs w:val="18"/>
          <w:color w:val="auto"/>
        </w:rPr>
        <w:t>,” and together with Sanofi,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BofA Securities, Inc. (“</w:t>
      </w:r>
      <w:r>
        <w:rPr>
          <w:rFonts w:ascii="Arial" w:cs="Arial" w:eastAsia="Arial" w:hAnsi="Arial"/>
          <w:sz w:val="18"/>
          <w:szCs w:val="18"/>
          <w:u w:val="single" w:color="auto"/>
          <w:color w:val="auto"/>
        </w:rPr>
        <w:t>BofA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and Goldman Sachs &amp; Co. LLC (“</w:t>
      </w:r>
      <w:r>
        <w:rPr>
          <w:rFonts w:ascii="Arial" w:cs="Arial" w:eastAsia="Arial" w:hAnsi="Arial"/>
          <w:sz w:val="18"/>
          <w:szCs w:val="18"/>
          <w:u w:val="single" w:color="auto"/>
          <w:color w:val="auto"/>
        </w:rPr>
        <w:t>Goldman Sachs</w:t>
      </w:r>
      <w:r>
        <w:rPr>
          <w:rFonts w:ascii="Arial" w:cs="Arial" w:eastAsia="Arial" w:hAnsi="Arial"/>
          <w:sz w:val="18"/>
          <w:szCs w:val="18"/>
          <w:color w:val="auto"/>
        </w:rPr>
        <w:t>”), with BofA Securities and Goldman Sachs acting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Under the terms of the Underwriting Agreement, the Selling Shareholders agreed to sell to the Underwriters 11,831,496 shares (the “</w:t>
      </w:r>
      <w:r>
        <w:rPr>
          <w:rFonts w:ascii="Arial" w:cs="Arial" w:eastAsia="Arial" w:hAnsi="Arial"/>
          <w:sz w:val="18"/>
          <w:szCs w:val="18"/>
          <w:u w:val="single" w:color="auto"/>
          <w:color w:val="auto"/>
        </w:rPr>
        <w:t>Initial Securities</w:t>
      </w:r>
      <w:r>
        <w:rPr>
          <w:rFonts w:ascii="Arial" w:cs="Arial" w:eastAsia="Arial" w:hAnsi="Arial"/>
          <w:sz w:val="18"/>
          <w:szCs w:val="18"/>
          <w:color w:val="auto"/>
        </w:rPr>
        <w:t>”) of common stock of the Company, par value $0.001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 granted the Underwriters an overallotment option to purchase an additional 1,183,150 shares of Common Stock (the “</w:t>
      </w:r>
      <w:r>
        <w:rPr>
          <w:rFonts w:ascii="Arial" w:cs="Arial" w:eastAsia="Arial" w:hAnsi="Arial"/>
          <w:sz w:val="18"/>
          <w:szCs w:val="18"/>
          <w:u w:val="single" w:color="auto"/>
          <w:color w:val="auto"/>
        </w:rPr>
        <w:t>Option Securities</w:t>
      </w:r>
      <w:r>
        <w:rPr>
          <w:rFonts w:ascii="Arial" w:cs="Arial" w:eastAsia="Arial" w:hAnsi="Arial"/>
          <w:sz w:val="18"/>
          <w:szCs w:val="18"/>
          <w:color w:val="auto"/>
        </w:rPr>
        <w:t>”), which option was exercised in full on May 28, 2020 (collectively, the “</w:t>
      </w:r>
      <w:r>
        <w:rPr>
          <w:rFonts w:ascii="Arial" w:cs="Arial" w:eastAsia="Arial" w:hAnsi="Arial"/>
          <w:sz w:val="18"/>
          <w:szCs w:val="18"/>
          <w:u w:val="single" w:color="auto"/>
          <w:color w:val="auto"/>
        </w:rPr>
        <w:t>Secondary Offering</w:t>
      </w:r>
      <w:r>
        <w:rPr>
          <w:rFonts w:ascii="Arial" w:cs="Arial" w:eastAsia="Arial" w:hAnsi="Arial"/>
          <w:sz w:val="18"/>
          <w:szCs w:val="18"/>
          <w:color w:val="auto"/>
        </w:rPr>
        <w:t>”). The Secondary Offering with respect to the Initial Securities and the Option Securities closed on May 29, 2020.</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and the Selling Shareholders have agreed to indemnify the Underwriters against certain liabilities, including certain liabilities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to contribute payments the Underwriters may be required to make because of any of those liabilities.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Secondary Offering is being conducted as a registered public offering pursuant to the Company’s registration statement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Form S-3 (File No. 333-228352), and a prospectus supplement thereunder. A copy of the opinion of Wachtell, Lipton, Rosen &amp; Katz relating to the validity of the issuance and sale of the shares of Common Stock in the Secondary Offering is filed as Exhibit 5.1 to this Current Report on Form 8-K.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25, 2020, the Company entered into a Stock Repurchase Agreement (the “</w:t>
      </w:r>
      <w:r>
        <w:rPr>
          <w:rFonts w:ascii="Arial" w:cs="Arial" w:eastAsia="Arial" w:hAnsi="Arial"/>
          <w:sz w:val="18"/>
          <w:szCs w:val="18"/>
          <w:u w:val="single" w:color="auto"/>
          <w:color w:val="auto"/>
        </w:rPr>
        <w:t>Stock Repurchase Agreement</w:t>
      </w:r>
      <w:r>
        <w:rPr>
          <w:rFonts w:ascii="Arial" w:cs="Arial" w:eastAsia="Arial" w:hAnsi="Arial"/>
          <w:sz w:val="18"/>
          <w:szCs w:val="18"/>
          <w:color w:val="auto"/>
        </w:rPr>
        <w:t>”) with Sanofi, pursuant to which the Company agreed to repurchase an aggregate of approximately $5 billion of Common Stock from Sanofi at the price per share at which the shares of Common Stock would be sold to the public in the Secondary Offering, less the underwriting discount (the “</w:t>
      </w:r>
      <w:r>
        <w:rPr>
          <w:rFonts w:ascii="Arial" w:cs="Arial" w:eastAsia="Arial" w:hAnsi="Arial"/>
          <w:sz w:val="18"/>
          <w:szCs w:val="18"/>
          <w:u w:val="single" w:color="auto"/>
          <w:color w:val="auto"/>
        </w:rPr>
        <w:t>Stock Repurchase</w:t>
      </w:r>
      <w:r>
        <w:rPr>
          <w:rFonts w:ascii="Arial" w:cs="Arial" w:eastAsia="Arial" w:hAnsi="Arial"/>
          <w:sz w:val="18"/>
          <w:szCs w:val="18"/>
          <w:color w:val="auto"/>
        </w:rPr>
        <w:t>”). The Company completed the Stock Repurchase of 9,806,805 shares of Common Stock on May 29,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Investor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May 25, 2020, the Company entered into an amendment (the “</w:t>
      </w:r>
      <w:r>
        <w:rPr>
          <w:rFonts w:ascii="Arial" w:cs="Arial" w:eastAsia="Arial" w:hAnsi="Arial"/>
          <w:sz w:val="17"/>
          <w:szCs w:val="17"/>
          <w:u w:val="single" w:color="auto"/>
          <w:color w:val="auto"/>
        </w:rPr>
        <w:t>Investor Agreement Amendment</w:t>
      </w:r>
      <w:r>
        <w:rPr>
          <w:rFonts w:ascii="Arial" w:cs="Arial" w:eastAsia="Arial" w:hAnsi="Arial"/>
          <w:sz w:val="17"/>
          <w:szCs w:val="17"/>
          <w:color w:val="auto"/>
        </w:rPr>
        <w:t>”) to the Amended and Restated Investor Agreement, dated as of January 11, 2014, as amended, by and among Sanofi, Sanofi-Aventis US LLC, Aventisub, and the Company (the “</w:t>
      </w:r>
      <w:r>
        <w:rPr>
          <w:rFonts w:ascii="Arial" w:cs="Arial" w:eastAsia="Arial" w:hAnsi="Arial"/>
          <w:sz w:val="17"/>
          <w:szCs w:val="17"/>
          <w:u w:val="single" w:color="auto"/>
          <w:color w:val="auto"/>
        </w:rPr>
        <w:t>Investor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The Investor Agreement Amendment provides, among other things, that following the Secondary Offering and the Stock Repurchase, (1) the “standstill” provisions, which contractually prohibit Sanofi from seeking to directly or indirectly exert control of the Company, continue to apply pursuant to their terms; (2) Sanofi no longer has the right to designate an independent board member for the Company’s board of directors; (3) the voting commitments contained in the Investor Agreement continue to apply to the shares of Common Stock held by Sanofi and its affiliates following the Secondary Offering and the Stock Repurchase, for so long as such shares are held by them; (4) Sanofi and its affiliates no longer have registration rights with respect to the shares of Common Stock held by them as provided in the Investor Agreement; (5) the information rights and pre-emptive rights provided to Sanofi and its affiliates under the Investor Agreement no longer apply; and (6) the lock-up restrictions in the Investor Agreement continue to apply to the shares of Common Stock held by Sanofi and its affiliates following the Secondary Offering and the Stock Repurchase until December 20, 2020 (except those shares which may be used to satisfy certain funding obligations of Sanofi under the parties’ existing collaborations). The termination of Sanofi’s board designation right does not impact the term of the current Sanofi designee, N. Anthony Coles, M.D., or his nomination for election as a Class III director at the Company’s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May 25, 2020, the Company entered into a credit agreement (the “</w:t>
      </w:r>
      <w:r>
        <w:rPr>
          <w:rFonts w:ascii="Arial" w:cs="Arial" w:eastAsia="Arial" w:hAnsi="Arial"/>
          <w:sz w:val="16"/>
          <w:szCs w:val="16"/>
          <w:u w:val="single" w:color="auto"/>
          <w:color w:val="auto"/>
        </w:rPr>
        <w:t>Bridge Credit Agreement</w:t>
      </w:r>
      <w:r>
        <w:rPr>
          <w:rFonts w:ascii="Arial" w:cs="Arial" w:eastAsia="Arial" w:hAnsi="Arial"/>
          <w:sz w:val="16"/>
          <w:szCs w:val="16"/>
          <w:color w:val="auto"/>
        </w:rPr>
        <w:t>”) by and among the Company, as the borrower; Goldman Sachs Bank USA, as administrative agent, sole bookrunner, sole lead arranger, and a lender; and the other lenders party thereto from time to time.</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Bridge Credit Agreement, the lenders have provided a $1.5 billion senior unsecured 364-day bridge loan facility (the “</w:t>
      </w:r>
      <w:r>
        <w:rPr>
          <w:rFonts w:ascii="Arial" w:cs="Arial" w:eastAsia="Arial" w:hAnsi="Arial"/>
          <w:sz w:val="17"/>
          <w:szCs w:val="17"/>
          <w:u w:val="single" w:color="auto"/>
          <w:color w:val="auto"/>
        </w:rPr>
        <w:t>Bridge</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Facility</w:t>
      </w:r>
      <w:r>
        <w:rPr>
          <w:rFonts w:ascii="Arial" w:cs="Arial" w:eastAsia="Arial" w:hAnsi="Arial"/>
          <w:sz w:val="17"/>
          <w:szCs w:val="17"/>
          <w:color w:val="auto"/>
        </w:rPr>
        <w:t>”), which was funded in full on May 28, 2020. The Company paid, and may be required to pay certain other, customary fees in connection with the Bridge Facility. The proceeds of the loans under the Bridge Facility were used to finance, in part, the Stock Repurchase described above and to pay related fees, costs, and expenses. The loans under the Bridge Facility bear interest at a variable interest rate based on either the London Interbank Offered Rate or the alternate base rate, plus an applicable margin that varies with the Company’s debt rating and total leverage ratio.</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Bridge Facility matures, and all amounts outstanding thereunder will become due and payable in full, on May 27, 2021. Amounts borrowed under the Bridge Facility may be prepaid at any time without premium or penalty. The Company will be required to prepay the loans under the Bridge Facility on a dollar-for-dollar basis by the net cash proceeds received by the Company and its subsidiaries from certain asset sales, debt issuances, and equity offerings, subject to certain exceptions set forth in the Bridge Credit Agreement. Amounts prepaid or repaid under the Bridge Facility may not be reborrowed. As of the date of this Current Report on Form 8-K, $1.5 billion principal amount of loans were outstanding under the Bridge Facility.</w:t>
      </w:r>
    </w:p>
    <w:p>
      <w:pPr>
        <w:spacing w:after="0" w:line="1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Bridge Credit Agreement contains financial and operating covenants, which are substantially similar to the covenants set forth in the Credit Agreement, dated as of December 14, 2018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by and among the Company, as a borrower and guarantor; certain subsidiaries of the Company party thereto as subsidiary borrowers; JPMorgan Chase Bank, N.A., as administrative agent; and the lenders party thereto from time to time (except for such matters specifically relating to the Bridge Facility or the transactions contemplated thereby). The Company’s entry into the Revolving Credit Agreement was previously reported in its Current Report on Form 8-K filed with the SEC on December 17, 2018. Financial covenants include a maximum total leverage ratio and a minimum interest expense coverage ratio. Operating covenants include, among other things, limitations on (i) the incurrence of indebtedness by the Company’s subsidiaries, (ii) liens on assets of the Company and its subsidiaries, (iii) certain fundamental changes and the disposition of assets by the Company and its subsidiaries, (iv) entering into swap agreements, (v) entering into affiliate transactions, and (vi) the payment of dividends, distributions, and certain other restricted payments in respect of the capital stock of the Company and its subsidiaries (the “</w:t>
      </w:r>
      <w:r>
        <w:rPr>
          <w:rFonts w:ascii="Arial" w:cs="Arial" w:eastAsia="Arial" w:hAnsi="Arial"/>
          <w:sz w:val="17"/>
          <w:szCs w:val="17"/>
          <w:u w:val="single" w:color="auto"/>
          <w:color w:val="auto"/>
        </w:rPr>
        <w:t>Restricted Payments Covenant</w:t>
      </w:r>
      <w:r>
        <w:rPr>
          <w:rFonts w:ascii="Arial" w:cs="Arial" w:eastAsia="Arial" w:hAnsi="Arial"/>
          <w:sz w:val="17"/>
          <w:szCs w:val="17"/>
          <w:color w:val="auto"/>
        </w:rPr>
        <w:t>”). Similar to the Revolving Credit Agreement, the Restricted Payments Covenant allows the Company, so long as no event of default exists or would arise therefrom, to make payments that would otherwise be restricted if at the time of the making of any such payment and immediately thereafter it meets a specified total leverage ratio requirement. The Bridge Credit Agreement contains other customary covenants, representations and warranties, and events of default.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Copies of the Underwriting Agreement, the Stock Repurchase Agreement, the Investor Agreement Amendment, and the Bridge Credit Agreement are filed as Exhibits 1.1, 10.1, 10.2, and 10.3, respectively, to this Current Report on Form 8-K and incorporated herein by reference. The above descriptions of the Underwriting Agreement, the Stock Repurchase Agreement, the Investor Agreement Amendment, and the Bridge Credit Agreement are qualified in their entirety by reference to the full text of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Item 7.01</w:t>
      </w:r>
      <w:r>
        <w:rPr>
          <w:rFonts w:ascii="Arial" w:cs="Arial" w:eastAsia="Arial" w:hAnsi="Arial"/>
          <w:sz w:val="18"/>
          <w:szCs w:val="18"/>
          <w:b w:val="1"/>
          <w:bCs w:val="1"/>
          <w:color w:val="auto"/>
        </w:rPr>
        <w:t>. Regulation FD Disclosure.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Secondary Offering and the Stock Repurchase, Regeneron estimates its weighted average share count used for calculating GAAP and non-GAAP diluted net income per share for the second quarter of 2020 to be in the range of 116-118 million shares and 118-120 million shares, respectively. The difference between the GAAP and non-GAAP fully diluted share count used for calculating GAAP and non-GAAP net income per share, respectively, is due to the impact of unamortized share-based compensation expense.</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information included in this Item 7.01 shall not be deemed “filed” for purposes of Section 18 of the Exchange Act, nor shall such information be deemed incorporated by reference in any filing under the Securities Act, except as shall be expressly set forth by specific reference in such a filing.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60" w:hanging="528"/>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Description</w:t>
            </w:r>
          </w:p>
        </w:tc>
      </w:tr>
      <w:tr>
        <w:trPr>
          <w:trHeight w:val="176"/>
        </w:trPr>
        <w:tc>
          <w:tcPr>
            <w:tcW w:w="1020" w:type="dxa"/>
            <w:vAlign w:val="bottom"/>
            <w:tcBorders>
              <w:top w:val="single" w:sz="8" w:color="auto"/>
            </w:tcBorders>
          </w:tcPr>
          <w:p>
            <w:pPr>
              <w:spacing w:after="0" w:line="17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1.1</w:t>
              </w:r>
            </w:hyperlink>
          </w:p>
        </w:tc>
        <w:tc>
          <w:tcPr>
            <w:tcW w:w="220" w:type="dxa"/>
            <w:vAlign w:val="bottom"/>
          </w:tcPr>
          <w:p>
            <w:pPr>
              <w:spacing w:after="0"/>
              <w:rPr>
                <w:sz w:val="15"/>
                <w:szCs w:val="15"/>
                <w:color w:val="auto"/>
              </w:rPr>
            </w:pPr>
          </w:p>
        </w:tc>
        <w:tc>
          <w:tcPr>
            <w:tcW w:w="10000" w:type="dxa"/>
            <w:vAlign w:val="bottom"/>
            <w:tcBorders>
              <w:top w:val="single" w:sz="8" w:color="auto"/>
            </w:tcBorders>
            <w:gridSpan w:val="6"/>
          </w:tcPr>
          <w:p>
            <w:pPr>
              <w:ind w:left="2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Underwriting Agreement, dated as of May 26, 2020, by and among Regeneron Pharmaceuticals, Inc., Sanofi, Aventisub LLC, and BofA</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Securities, Inc. and Goldman Sachs &amp; Co. LLC, as representatives of the other underwriters named therein</w:t>
              </w:r>
            </w:hyperlink>
          </w:p>
        </w:tc>
        <w:tc>
          <w:tcPr>
            <w:tcW w:w="20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53"/>
        </w:trPr>
        <w:tc>
          <w:tcPr>
            <w:tcW w:w="10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Opinion of Wachtell, Lipton, Rosen &amp; Katz</w:t>
              </w:r>
            </w:hyperlink>
          </w:p>
        </w:tc>
      </w:tr>
      <w:tr>
        <w:trPr>
          <w:trHeight w:val="432"/>
        </w:trPr>
        <w:tc>
          <w:tcPr>
            <w:tcW w:w="102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10.1</w:t>
              </w:r>
            </w:hyperlink>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Stock Repurchase Agreement, dated as of May 25, 2020, by and between Regeneron Pharmaceuticals, Inc. and Sanofi</w:t>
              </w:r>
            </w:hyperlink>
          </w:p>
        </w:tc>
      </w:tr>
      <w:tr>
        <w:trPr>
          <w:trHeight w:val="392"/>
        </w:trPr>
        <w:tc>
          <w:tcPr>
            <w:tcW w:w="10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10.2</w:t>
              </w:r>
            </w:hyperlink>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Amendment to the Amended and Restated Investor Agreement, dated as of May 25, 2020, by and among Regeneron Pharmaceuticals,</w:t>
              </w:r>
            </w:hyperlink>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Inc., Sanofi, Sanofi-Aventis US LLC, and Aventisub LLC</w:t>
              </w:r>
            </w:hyperlink>
          </w:p>
        </w:tc>
        <w:tc>
          <w:tcPr>
            <w:tcW w:w="548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12"/>
        </w:trPr>
        <w:tc>
          <w:tcPr>
            <w:tcW w:w="10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10.3</w:t>
              </w:r>
            </w:hyperlink>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Credit Agreement, dated as of May 25, 2020, by and among Regeneron Pharmaceuticals, Inc., as borrower; Goldman Sachs Bank USA, as</w:t>
              </w:r>
            </w:hyperlink>
          </w:p>
        </w:tc>
      </w:tr>
      <w:tr>
        <w:trPr>
          <w:trHeight w:val="237"/>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Borders>
              <w:top w:val="single" w:sz="8" w:color="0000EE"/>
            </w:tcBorders>
            <w:gridSpan w:val="5"/>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administrative agent, sole bookrunner, sole lead arranger, and a lender; and the other lenders party thereto from time to time</w:t>
              </w:r>
            </w:hyperlink>
          </w:p>
        </w:tc>
        <w:tc>
          <w:tcPr>
            <w:tcW w:w="20" w:type="dxa"/>
            <w:vAlign w:val="bottom"/>
          </w:tcPr>
          <w:p>
            <w:pPr>
              <w:spacing w:after="0"/>
              <w:rPr>
                <w:sz w:val="20"/>
                <w:szCs w:val="20"/>
                <w:color w:val="auto"/>
              </w:rPr>
            </w:pPr>
          </w:p>
        </w:tc>
      </w:tr>
      <w:tr>
        <w:trPr>
          <w:trHeight w:val="432"/>
        </w:trPr>
        <w:tc>
          <w:tcPr>
            <w:tcW w:w="10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Consent of Wachtell, Lipton, Rosen &amp; Katz (included in Exhibit 5.1)</w:t>
              </w:r>
            </w:hyperlink>
          </w:p>
        </w:tc>
      </w:tr>
    </w:tbl>
    <w:p>
      <w:pPr>
        <w:spacing w:after="0" w:line="202" w:lineRule="exact"/>
        <w:rPr>
          <w:sz w:val="20"/>
          <w:szCs w:val="20"/>
          <w:color w:val="auto"/>
        </w:rPr>
      </w:pPr>
    </w:p>
    <w:p>
      <w:pPr>
        <w:ind w:left="1260" w:hanging="125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REGENERON PHARMACEUTICALS, INC.</w:t>
            </w: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May 29, 2020</w:t>
            </w:r>
          </w:p>
        </w:tc>
        <w:tc>
          <w:tcPr>
            <w:tcW w:w="7620" w:type="dxa"/>
            <w:vAlign w:val="bottom"/>
            <w:gridSpan w:val="2"/>
          </w:tcPr>
          <w:p>
            <w:pPr>
              <w:ind w:left="2120"/>
              <w:spacing w:after="0"/>
              <w:rPr>
                <w:sz w:val="20"/>
                <w:szCs w:val="20"/>
                <w:color w:val="auto"/>
              </w:rPr>
            </w:pPr>
            <w:r>
              <w:rPr>
                <w:rFonts w:ascii="Arial" w:cs="Arial" w:eastAsia="Arial" w:hAnsi="Arial"/>
                <w:sz w:val="18"/>
                <w:szCs w:val="18"/>
                <w:color w:val="auto"/>
              </w:rPr>
              <w:t>By: /s/ Joseph J. LaRosa</w:t>
            </w:r>
          </w:p>
        </w:tc>
      </w:tr>
      <w:tr>
        <w:trPr>
          <w:trHeight w:val="195"/>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75"/>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11,831,496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45"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26,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Regeneron Pharmaceuticals, Inc., a corporation organized under the laws of New York (the “</w:t>
      </w:r>
      <w:r>
        <w:rPr>
          <w:rFonts w:ascii="Arial" w:cs="Arial" w:eastAsia="Arial" w:hAnsi="Arial"/>
          <w:sz w:val="17"/>
          <w:szCs w:val="17"/>
          <w:u w:val="single" w:color="auto"/>
          <w:color w:val="auto"/>
        </w:rPr>
        <w:t>Company</w:t>
      </w:r>
      <w:r>
        <w:rPr>
          <w:rFonts w:ascii="Arial" w:cs="Arial" w:eastAsia="Arial" w:hAnsi="Arial"/>
          <w:sz w:val="17"/>
          <w:szCs w:val="17"/>
          <w:color w:val="auto"/>
        </w:rPr>
        <w:t>”), Sanofi, a French société anonyme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w:t>
      </w:r>
      <w:r>
        <w:rPr>
          <w:rFonts w:ascii="Arial" w:cs="Arial" w:eastAsia="Arial" w:hAnsi="Arial"/>
          <w:sz w:val="17"/>
          <w:szCs w:val="17"/>
          <w:color w:val="auto"/>
        </w:rPr>
        <w:t>”), and Aventisub LLC, a Delaware limited liability company and wholly owned subsidiary of Sanofi (“</w:t>
      </w:r>
      <w:r>
        <w:rPr>
          <w:rFonts w:ascii="Arial" w:cs="Arial" w:eastAsia="Arial" w:hAnsi="Arial"/>
          <w:sz w:val="17"/>
          <w:szCs w:val="17"/>
          <w:u w:val="single" w:color="auto"/>
          <w:color w:val="auto"/>
        </w:rPr>
        <w:t>Aventisub</w:t>
      </w:r>
      <w:r>
        <w:rPr>
          <w:rFonts w:ascii="Arial" w:cs="Arial" w:eastAsia="Arial" w:hAnsi="Arial"/>
          <w:sz w:val="17"/>
          <w:szCs w:val="17"/>
          <w:color w:val="auto"/>
        </w:rPr>
        <w:t>” and together with Sanofi,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Shareholders”), confirm their respective agreements with the several underwriters named in Schedule A hereto, acting severally and not jointly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(in such capacity,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with respect to (i) the sale by the Selling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an aggregate of 11,831,496 shares of common stock, par value $0.001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Underwriters, acting severally and not jointly, of the respective number of shares of Common Stock set forth on Schedule A hereto, and (ii)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Selling Shareholders, to the Underwriters, acting severally and not jointly, of the option described in Section 2(b) hereof to purchase all or any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1,183,150 additional shares of Common Stock. The aforesaid 11,831,496 shares of Common Stock (the “</w:t>
      </w:r>
      <w:r>
        <w:rPr>
          <w:rFonts w:ascii="Arial" w:cs="Arial" w:eastAsia="Arial" w:hAnsi="Arial"/>
          <w:sz w:val="17"/>
          <w:szCs w:val="17"/>
          <w:u w:val="single" w:color="auto"/>
          <w:color w:val="auto"/>
        </w:rPr>
        <w:t>Initial Securities</w:t>
      </w:r>
      <w:r>
        <w:rPr>
          <w:rFonts w:ascii="Arial" w:cs="Arial" w:eastAsia="Arial" w:hAnsi="Arial"/>
          <w:sz w:val="17"/>
          <w:szCs w:val="17"/>
          <w:color w:val="auto"/>
        </w:rPr>
        <w:t>”) to be purchased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and all or any part of the 1,183,150 shares of Common Stock subject to the option described in Section 2(b) hereof (the “</w:t>
      </w:r>
      <w:r>
        <w:rPr>
          <w:rFonts w:ascii="Arial" w:cs="Arial" w:eastAsia="Arial" w:hAnsi="Arial"/>
          <w:sz w:val="16"/>
          <w:szCs w:val="16"/>
          <w:u w:val="single" w:color="auto"/>
          <w:color w:val="auto"/>
        </w:rPr>
        <w:t>Option Securities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herein called,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 To the extent there are no additional Underwriters listed on Schedule A other than you,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as used herein shall mean you, as Underwriters, and the terms Representatives and Underwriters shall mean either the singular or plural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context requires. Any reference herein to the Registration Statement, the Base Prospectus, any Preliminary Prospectus or the Final Prospectus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refer to and include the documents incorporated by reference therein as of the Execution Time; and any reference herein to the terms “amend,”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or “supplement” with respect to the Registration Statement, the Base Prospectus, any Preliminary Prospectus or the Final Prospectus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refer to and include the filing of any document under the Exchange Act after the Effective Date of the Registration Statement or the issue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Prospectus, any Preliminary Prospectus or the Final Prospectus, as the case may be, deemed to be incorporated therein by reference. Certain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herein are defined in Section 21 hereof.</w:t>
      </w:r>
    </w:p>
    <w:p>
      <w:pPr>
        <w:spacing w:after="0" w:line="211" w:lineRule="exact"/>
        <w:rPr>
          <w:sz w:val="20"/>
          <w:szCs w:val="20"/>
          <w:color w:val="auto"/>
        </w:rPr>
      </w:pPr>
    </w:p>
    <w:p>
      <w:pPr>
        <w:ind w:left="1420" w:hanging="440"/>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as set forth below in this Section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320" w:firstLine="320"/>
        <w:spacing w:after="0" w:line="268" w:lineRule="auto"/>
        <w:tabs>
          <w:tab w:leader="none" w:pos="84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meets the requirements for use of Form S-3 under the Act and has prepared and filed with the Commission an automatic shelf registration statement, as defined in Rule 405, on Form S-3 (File No. 333- 228352), including a related Base Prospectus, for registration under the Act of the offering and sale of the Securities. Such Registration Statement, including any amendments thereto filed prior to the Execution Time, became effective upon filing.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the information contained in the Base Prospectus and any Preliminary Prospectus) as the Company has advised you, prior to the Execution Time, will be included or made therein. The Registration Statement, at the Execution Time, meets the requirements set forth in Rule 415(a)(1)(i).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4" w:lineRule="exact"/>
        <w:rPr>
          <w:rFonts w:ascii="Arial" w:cs="Arial" w:eastAsia="Arial" w:hAnsi="Arial"/>
          <w:sz w:val="17"/>
          <w:szCs w:val="17"/>
          <w:color w:val="auto"/>
        </w:rPr>
      </w:pPr>
    </w:p>
    <w:p>
      <w:pPr>
        <w:ind w:left="-320" w:firstLine="320"/>
        <w:spacing w:after="0" w:line="287"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each Effective Date, the Registration Statement did, and when the Final Prospectus is first filed in accordance with Rule 424(b) and on the Closing Date and any Date of Delivery (each as defined herein), the Final Prospectus (and any supplement thereto) will, comply in all material respects with the applicable requirements of the Act and the Exchange Act and the respective rules thereunder; on each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on the Closing Date and on any Date of Delivery,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8(c) hereof.</w:t>
      </w:r>
    </w:p>
    <w:p>
      <w:pPr>
        <w:spacing w:after="0" w:line="167" w:lineRule="exact"/>
        <w:rPr>
          <w:rFonts w:ascii="Arial" w:cs="Arial" w:eastAsia="Arial" w:hAnsi="Arial"/>
          <w:sz w:val="16"/>
          <w:szCs w:val="16"/>
          <w:color w:val="auto"/>
        </w:rPr>
      </w:pPr>
    </w:p>
    <w:p>
      <w:pPr>
        <w:ind w:left="-320" w:right="20" w:firstLine="320"/>
        <w:spacing w:after="0" w:line="271" w:lineRule="auto"/>
        <w:tabs>
          <w:tab w:leader="none" w:pos="76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not an “ineligible issuer” pursuant to Rules 164, 405 and 433 under the Act in connection with the offering. Any Issuer Free Writing Prospectus that the Company is required to file pursuant to Rule 433(d) under the Act has been, or will be, filed with the Commission in accordance with the requirements of the Act and the applicable rules and regulations of the Commission thereunder. Each Issuer Free Writing Prospectus that the Company has filed, or is required to file, pursuant to Rule 433(d) under the Act or that was prepared by or behalf of or used or referred to by the Company complies or will comply in all material respects with the requirements of the Act and the applicable rules and regulations of the Commission thereunder. Except for the Issuer Free Writing Prospectus, if any, identified in Schedule B hereto, and electronic road shows, if any, each furnished to you before first use, the Company has not prepared, used or referred to, and will not, without your prior consent, prepare, use or refer to, any Issuer Free Writing Prospectus.</w:t>
      </w:r>
    </w:p>
    <w:p>
      <w:pPr>
        <w:spacing w:after="0" w:line="178" w:lineRule="exact"/>
        <w:rPr>
          <w:rFonts w:ascii="Arial" w:cs="Arial" w:eastAsia="Arial" w:hAnsi="Arial"/>
          <w:sz w:val="17"/>
          <w:szCs w:val="17"/>
          <w:color w:val="auto"/>
        </w:rPr>
      </w:pPr>
    </w:p>
    <w:p>
      <w:pPr>
        <w:ind w:left="-320" w:right="20" w:firstLine="320"/>
        <w:spacing w:after="0" w:line="290" w:lineRule="auto"/>
        <w:tabs>
          <w:tab w:leader="none" w:pos="80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incorporated or deemed to be incorporated by reference in the Registration Statement, the Preliminary Prospectus and the Final Prospectus, at the time they were or hereafter are filed with the Commission (or, in the case of the Preliminary Prospectus, first used, and, in the case of the Final Prospectus, for so long as a prospectus is required to be delivered in connection with the sale of the Securities), complied and will comply in all material respects with the requirements of the Exchange Act and the rules and regulations of the Commission thereunder and, when read together with the other information in (i) the Preliminary Prospectus, at the time the Registration Statement became effective and at the time of each sale of Securities in the offering when the Final Prospectus is not yet available to prospective purchasers, and (ii) the Final Prospectus at the time the Final Prospectus was issued and at the Closing Time, in each case, did not and will not contain an untrue statement of a material fact or omit to state a material fact required to be stated therein or necessary to make the statements therein not misleading.</w:t>
      </w:r>
    </w:p>
    <w:p>
      <w:pPr>
        <w:spacing w:after="0" w:line="38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7" w:name="page8"/>
    <w:bookmarkEnd w:id="7"/>
    <w:p>
      <w:pPr>
        <w:ind w:left="-320" w:firstLine="320"/>
        <w:spacing w:after="0" w:line="296" w:lineRule="auto"/>
        <w:tabs>
          <w:tab w:leader="none" w:pos="798" w:val="left"/>
        </w:tabs>
        <w:numPr>
          <w:ilvl w:val="0"/>
          <w:numId w:val="7"/>
        </w:numPr>
        <w:rPr>
          <w:rFonts w:ascii="Arial" w:cs="Arial" w:eastAsia="Arial" w:hAnsi="Arial"/>
          <w:sz w:val="16"/>
          <w:szCs w:val="16"/>
          <w:color w:val="auto"/>
        </w:rPr>
      </w:pPr>
      <w:r>
        <w:rPr>
          <w:rFonts w:ascii="Arial" w:cs="Arial" w:eastAsia="Arial" w:hAnsi="Arial"/>
          <w:sz w:val="16"/>
          <w:szCs w:val="16"/>
          <w:color w:val="auto"/>
        </w:rPr>
        <w:t>(A) At the original effectiveness of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the Securities in reliance on the exemption of Rule 163 under the Act, and (D) as of the Execution Time, the Company was and is a “well-known seasoned issuer” (as defined in Rule 405).</w:t>
      </w:r>
    </w:p>
    <w:p>
      <w:pPr>
        <w:spacing w:after="0" w:line="161" w:lineRule="exact"/>
        <w:rPr>
          <w:rFonts w:ascii="Arial" w:cs="Arial" w:eastAsia="Arial" w:hAnsi="Arial"/>
          <w:sz w:val="16"/>
          <w:szCs w:val="16"/>
          <w:color w:val="auto"/>
        </w:rPr>
      </w:pPr>
    </w:p>
    <w:p>
      <w:pPr>
        <w:ind w:left="-320" w:right="160" w:firstLine="320"/>
        <w:spacing w:after="0" w:line="311" w:lineRule="auto"/>
        <w:tabs>
          <w:tab w:leader="none" w:pos="80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accountants who certified the consolidated historical financial statements of the Company and its consolidated subsidiaries incorporated by reference in the Preliminary Prospectus, the Final Prospectus and the Registration Statement are independent public accountants as required by the 1933 Act and the rules and regulations of the Commission under the Act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320" w:right="140" w:firstLine="320"/>
        <w:spacing w:after="0" w:line="269" w:lineRule="auto"/>
        <w:tabs>
          <w:tab w:leader="none" w:pos="76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the Company and its consolidated subsidiaries incorporated by reference in the Preliminary Prospectus, the Final Prospectus and the Registration Statement, together with the related schedules and notes, present fairly the respective financial positions of the Company at the dates indicated and the statement of operations, stockholders’ equity and cash flows of the Company for the periods specified; said financial statements have been prepared in conformity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except as disclosed in the Registration Statement, the Disclosure Package and the Final Prospectus. The selected financial data included in the Final Prospectus present fairly the information shown therein and have been compiled on a basis consistent with that of the audited financial statements included in the Registration Statement, except as disclosed in the Registration Statement, the Disclosure Package and the Final Prospectus. All disclosures in the Registration Statement, the Disclosure Package and the Final Prospectus regarding “non-GAAP financial measures” (as such term is defined by the rules and regulations of the Commission) comply with Regulation G under the Exchange Act and Item 10(e) of Regulation S-K of the 1933 Act Regulations, to the extent applicable.</w:t>
      </w:r>
    </w:p>
    <w:p>
      <w:pPr>
        <w:spacing w:after="0" w:line="181" w:lineRule="exact"/>
        <w:rPr>
          <w:rFonts w:ascii="Arial" w:cs="Arial" w:eastAsia="Arial" w:hAnsi="Arial"/>
          <w:sz w:val="17"/>
          <w:szCs w:val="17"/>
          <w:color w:val="auto"/>
        </w:rPr>
      </w:pPr>
    </w:p>
    <w:p>
      <w:pPr>
        <w:ind w:left="-320" w:firstLine="320"/>
        <w:spacing w:after="0" w:line="269" w:lineRule="auto"/>
        <w:tabs>
          <w:tab w:leader="none" w:pos="7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its subsidiaries maintain systems of “internal control over financial reporting” (as defined in Rule 13a-15(f) of the Exchange Act) that are designed to comply with the requirements of the Exchange Act and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the Registration Statement, the Disclosure Package and the Final Prospectus, the Company is not aware of any material weaknesses in the Company’s internal controls.</w:t>
      </w:r>
    </w:p>
    <w:p>
      <w:pPr>
        <w:spacing w:after="0" w:line="181" w:lineRule="exact"/>
        <w:rPr>
          <w:rFonts w:ascii="Arial" w:cs="Arial" w:eastAsia="Arial" w:hAnsi="Arial"/>
          <w:sz w:val="17"/>
          <w:szCs w:val="17"/>
          <w:color w:val="auto"/>
        </w:rPr>
      </w:pPr>
    </w:p>
    <w:p>
      <w:pPr>
        <w:ind w:left="-320" w:right="120" w:firstLine="320"/>
        <w:spacing w:after="0" w:line="263" w:lineRule="auto"/>
        <w:tabs>
          <w:tab w:leader="none" w:pos="803"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Preliminary Prospectus, there has been no change in the Company’s internal control over financial reporting that has materially affected, or is reasonably likely to materially affect, the Company’s internal control over financial reporting.</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8" w:name="page9"/>
    <w:bookmarkEnd w:id="8"/>
    <w:p>
      <w:pPr>
        <w:ind w:right="100" w:firstLine="320"/>
        <w:spacing w:after="0" w:line="273" w:lineRule="auto"/>
        <w:tabs>
          <w:tab w:leader="none" w:pos="1118" w:val="left"/>
        </w:tabs>
        <w:numPr>
          <w:ilvl w:val="0"/>
          <w:numId w:val="8"/>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Registration Statement, the Disclosure Package and the Final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spacing w:after="0" w:line="177" w:lineRule="exact"/>
        <w:rPr>
          <w:rFonts w:ascii="Arial" w:cs="Arial" w:eastAsia="Arial" w:hAnsi="Arial"/>
          <w:sz w:val="17"/>
          <w:szCs w:val="17"/>
          <w:color w:val="auto"/>
        </w:rPr>
      </w:pPr>
    </w:p>
    <w:p>
      <w:pPr>
        <w:ind w:left="980" w:hanging="660"/>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Each of the Company and each significant subsidiary of the Company, as defined by Rule 1-02(w) of Regulation S-X (the</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has been duly incorporated or organized and is validly existing and in good standing (to the extent such concept is recognized by its jurisdiction of incorporation or organization) under the laws of the jurisdiction in which it is chartered or organized with full power and authority to own or lease, as the case may be, and to operate its properties and conduct its business as described in the Disclosure Package and the Final Prospectus, and is duly qualified to do business as a foreign corporation and is in good standing (to the extent such concept is recognized by such jurisdiction) under the laws of each jurisdiction which requires such qualification, except where the failure to be so qualified would not result in a Material Adverse Effect, except as set forth in or contemplated in the Disclosure Package and the Final Prospectus.</w:t>
      </w:r>
    </w:p>
    <w:p>
      <w:pPr>
        <w:spacing w:after="0" w:line="164" w:lineRule="exact"/>
        <w:rPr>
          <w:sz w:val="20"/>
          <w:szCs w:val="20"/>
          <w:color w:val="auto"/>
        </w:rPr>
      </w:pPr>
    </w:p>
    <w:p>
      <w:pPr>
        <w:ind w:left="940" w:hanging="620"/>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20" w:firstLine="320"/>
        <w:spacing w:after="0" w:line="271" w:lineRule="auto"/>
        <w:tabs>
          <w:tab w:leader="none" w:pos="104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outstanding shares of capital stock of the Company, including the Securities to be purchased by the Underwriters from the Selling Shareholders, have been duly authorized and validly issued and are fully paid and non-assessable. The authorized, issued and outstanding shares of capital stock of the Company are as set forth in the Disclosure Package and the Final Prospectus in the column entitled “Actual” under the caption “Capitalization” (except for subsequent conversions and issuances, if any, pursuant to this Agreement, pursuant to reservations, agreements or employee benefit plans referred to in the Disclosure Package and the Final Prospectus or pursuant to the disposition or exercise of convertible securities or options referred to in the Disclosure Package and the Final Prospectus). None of the outstanding shares of capital stock of the Company, including the Securities to be purchased by the Underwriters from the Selling Shareholders, were issued in violation of the preemptive or other similar rights of any securityholder of the Company.</w:t>
      </w:r>
    </w:p>
    <w:p>
      <w:pPr>
        <w:spacing w:after="0" w:line="178" w:lineRule="exact"/>
        <w:rPr>
          <w:rFonts w:ascii="Arial" w:cs="Arial" w:eastAsia="Arial" w:hAnsi="Arial"/>
          <w:sz w:val="17"/>
          <w:szCs w:val="17"/>
          <w:color w:val="auto"/>
        </w:rPr>
      </w:pPr>
    </w:p>
    <w:p>
      <w:pPr>
        <w:ind w:firstLine="320"/>
        <w:spacing w:after="0" w:line="286" w:lineRule="auto"/>
        <w:tabs>
          <w:tab w:leader="none" w:pos="103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for such defaults that would not result in a Material Adverse Effect; and the execution, delivery and performance of this Agreement by the Company and the consummation by the Company of the transactions contemplated herein and in the Final Prospectus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38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9" w:name="page10"/>
    <w:bookmarkEnd w:id="9"/>
    <w:p>
      <w:pPr>
        <w:ind w:left="-320" w:right="20" w:firstLine="320"/>
        <w:spacing w:after="0" w:line="263" w:lineRule="auto"/>
        <w:tabs>
          <w:tab w:leader="none" w:pos="7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and the Company is not aware of any existing or imminent labor disturbance by the employees of any of its principal suppliers, manufacturers, customers or contractors, which, in any case, may reasonably be expected to result in a Material Adverse Effect.</w:t>
      </w:r>
    </w:p>
    <w:p>
      <w:pPr>
        <w:spacing w:after="0" w:line="183" w:lineRule="exact"/>
        <w:rPr>
          <w:rFonts w:ascii="Arial" w:cs="Arial" w:eastAsia="Arial" w:hAnsi="Arial"/>
          <w:sz w:val="18"/>
          <w:szCs w:val="18"/>
          <w:color w:val="auto"/>
        </w:rPr>
      </w:pPr>
    </w:p>
    <w:p>
      <w:pPr>
        <w:ind w:left="-320" w:right="80" w:firstLine="320"/>
        <w:spacing w:after="0" w:line="273" w:lineRule="auto"/>
        <w:tabs>
          <w:tab w:leader="none" w:pos="7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than as disclosed in the Registration Statement, the Disclosure Package and the Final Prospectus, there is no action, suit, proceeding, inquiry or investigation before or brought by any court or governmental agency or body, domestic or foreign, now pending, or, to the knowledge of the Company, threatened, against or affecting the Company, which is required to be disclosed in the Registration Statement, the Disclosure Package and the Final Prospectus,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w:t>
      </w:r>
    </w:p>
    <w:p>
      <w:pPr>
        <w:spacing w:after="0" w:line="177" w:lineRule="exact"/>
        <w:rPr>
          <w:rFonts w:ascii="Arial" w:cs="Arial" w:eastAsia="Arial" w:hAnsi="Arial"/>
          <w:sz w:val="17"/>
          <w:szCs w:val="17"/>
          <w:color w:val="auto"/>
        </w:rPr>
      </w:pPr>
    </w:p>
    <w:p>
      <w:pPr>
        <w:ind w:left="-320" w:firstLine="320"/>
        <w:spacing w:after="0" w:line="291" w:lineRule="auto"/>
        <w:tabs>
          <w:tab w:leader="none" w:pos="6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affiliates, nor any director, officer, or employee, nor any agent or representative of the Company or of any of its subsidiaries or affiliates, in each case, to the Company’s knowledge,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to the Company’s knowledge, the Company and its subsidiaries and affiliates have conducted their businesses in compliance with applicable anti-corruption laws.</w:t>
      </w:r>
    </w:p>
    <w:p>
      <w:pPr>
        <w:spacing w:after="0" w:line="166" w:lineRule="exact"/>
        <w:rPr>
          <w:rFonts w:ascii="Arial" w:cs="Arial" w:eastAsia="Arial" w:hAnsi="Arial"/>
          <w:sz w:val="16"/>
          <w:szCs w:val="16"/>
          <w:color w:val="auto"/>
        </w:rPr>
      </w:pPr>
    </w:p>
    <w:p>
      <w:pPr>
        <w:ind w:left="-320" w:right="120" w:firstLine="320"/>
        <w:spacing w:after="0" w:line="254" w:lineRule="auto"/>
        <w:tabs>
          <w:tab w:leader="none" w:pos="6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its subsidiaries with respect to the Anti-Money Laundering Laws is pending or, to the knowledge of the Company, threatened.</w:t>
      </w:r>
    </w:p>
    <w:p>
      <w:pPr>
        <w:spacing w:after="0" w:line="191" w:lineRule="exact"/>
        <w:rPr>
          <w:rFonts w:ascii="Arial" w:cs="Arial" w:eastAsia="Arial" w:hAnsi="Arial"/>
          <w:sz w:val="18"/>
          <w:szCs w:val="18"/>
          <w:color w:val="auto"/>
        </w:rPr>
      </w:pPr>
    </w:p>
    <w:p>
      <w:pPr>
        <w:ind w:left="-320" w:firstLine="320"/>
        <w:spacing w:after="0" w:line="272" w:lineRule="auto"/>
        <w:tabs>
          <w:tab w:leader="none" w:pos="7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represents that neither the Company, any of its subsidiaries or, to the Company’s knowledge, any director, officer, employee, agent, affiliate or representative of the Company, is an individual or entity (each, a “</w:t>
      </w:r>
      <w:r>
        <w:rPr>
          <w:rFonts w:ascii="Arial" w:cs="Arial" w:eastAsia="Arial" w:hAnsi="Arial"/>
          <w:sz w:val="17"/>
          <w:szCs w:val="17"/>
          <w:u w:val="single" w:color="auto"/>
          <w:color w:val="auto"/>
        </w:rPr>
        <w:t>Person</w:t>
      </w:r>
      <w:r>
        <w:rPr>
          <w:rFonts w:ascii="Arial" w:cs="Arial" w:eastAsia="Arial" w:hAnsi="Arial"/>
          <w:sz w:val="17"/>
          <w:szCs w:val="17"/>
          <w:color w:val="auto"/>
        </w:rPr>
        <w:t>”) that is, or is owned or controlled by a Person that is: (A) the subject of any sanctions administered or enforced by the U.S. Department of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w:t>
      </w:r>
      <w:r>
        <w:rPr>
          <w:rFonts w:ascii="Arial" w:cs="Arial" w:eastAsia="Arial" w:hAnsi="Arial"/>
          <w:sz w:val="17"/>
          <w:szCs w:val="17"/>
          <w:u w:val="single" w:color="auto"/>
          <w:color w:val="auto"/>
        </w:rPr>
        <w:t>EU</w:t>
      </w:r>
      <w:r>
        <w:rPr>
          <w:rFonts w:ascii="Arial" w:cs="Arial" w:eastAsia="Arial" w:hAnsi="Arial"/>
          <w:sz w:val="17"/>
          <w:szCs w:val="17"/>
          <w:color w:val="auto"/>
        </w:rPr>
        <w:t>”),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(B) located, organized or resident in a country or territory that is the subject of Sanctions. The Company represents that it is not knowingly engaged in any dealings or transactions with any Person, or in any country or territory, that at the time of the dealing or transaction is or was the subject of Sanctions.</w:t>
      </w:r>
    </w:p>
    <w:p>
      <w:pPr>
        <w:spacing w:after="0" w:line="177" w:lineRule="exact"/>
        <w:rPr>
          <w:rFonts w:ascii="Arial" w:cs="Arial" w:eastAsia="Arial" w:hAnsi="Arial"/>
          <w:sz w:val="17"/>
          <w:szCs w:val="17"/>
          <w:color w:val="auto"/>
        </w:rPr>
      </w:pPr>
    </w:p>
    <w:p>
      <w:pPr>
        <w:ind w:left="-320" w:firstLine="320"/>
        <w:spacing w:after="0" w:line="263" w:lineRule="auto"/>
        <w:tabs>
          <w:tab w:leader="none" w:pos="7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contracts or documents which are required to be described in the Registration Statement, the Disclosure Package, the Final Prospectus or the documents incorporated by reference therein or to be filed as exhibits thereto which have not been so described and filed as required.</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0" w:name="page11"/>
    <w:bookmarkEnd w:id="10"/>
    <w:p>
      <w:pPr>
        <w:ind w:firstLine="320"/>
        <w:spacing w:after="0" w:line="268" w:lineRule="auto"/>
        <w:tabs>
          <w:tab w:leader="none" w:pos="10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owns or possesses, or will use its commercially reasonable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7"/>
          <w:szCs w:val="17"/>
          <w:u w:val="single" w:color="auto"/>
          <w:color w:val="auto"/>
        </w:rPr>
        <w:t>Intellectual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necessary to carry on the business now operated by them. Except as disclosed in the Disclosure Package and Final Prospectus, (i) there is no litigation or other proceeding pending or, to the Company’s knowledge, threatened and no claims (such litigation, other proceedings and claims, collectively, “</w:t>
      </w:r>
      <w:r>
        <w:rPr>
          <w:rFonts w:ascii="Arial" w:cs="Arial" w:eastAsia="Arial" w:hAnsi="Arial"/>
          <w:sz w:val="17"/>
          <w:szCs w:val="17"/>
          <w:u w:val="single" w:color="auto"/>
          <w:color w:val="auto"/>
        </w:rPr>
        <w:t>IP Proceedings and Claims</w:t>
      </w:r>
      <w:r>
        <w:rPr>
          <w:rFonts w:ascii="Arial" w:cs="Arial" w:eastAsia="Arial" w:hAnsi="Arial"/>
          <w:sz w:val="17"/>
          <w:szCs w:val="17"/>
          <w:color w:val="auto"/>
        </w:rPr>
        <w:t>”) are presently being asserted by any third party challenging or questioning the ownership, validity, enforceability of the Company’s right to use or own any Intellectual Property or asserting that the use of any Intellectual Property by the Company or the operation of the business of the Company infringes upon or misappropriates the Intellectual Property of any third party, other than IP Proceedings and Claims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result in a Material Adverse Effect.</w:t>
      </w:r>
    </w:p>
    <w:p>
      <w:pPr>
        <w:spacing w:after="0" w:line="186" w:lineRule="exact"/>
        <w:rPr>
          <w:rFonts w:ascii="Arial" w:cs="Arial" w:eastAsia="Arial" w:hAnsi="Arial"/>
          <w:sz w:val="17"/>
          <w:szCs w:val="17"/>
          <w:color w:val="auto"/>
        </w:rPr>
      </w:pPr>
    </w:p>
    <w:p>
      <w:pPr>
        <w:ind w:right="100" w:firstLine="320"/>
        <w:spacing w:after="0" w:line="259" w:lineRule="auto"/>
        <w:tabs>
          <w:tab w:leader="none" w:pos="9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or sale of the Securities hereunder or the consummation of the transactions contemplated by this Agreement, except such as have been already obtained or as may be required under the Act or state securities laws.</w:t>
      </w:r>
    </w:p>
    <w:p>
      <w:pPr>
        <w:spacing w:after="0" w:line="186" w:lineRule="exact"/>
        <w:rPr>
          <w:rFonts w:ascii="Arial" w:cs="Arial" w:eastAsia="Arial" w:hAnsi="Arial"/>
          <w:sz w:val="18"/>
          <w:szCs w:val="18"/>
          <w:color w:val="auto"/>
        </w:rPr>
      </w:pPr>
    </w:p>
    <w:p>
      <w:pPr>
        <w:ind w:left="1000" w:hanging="680"/>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possesses such permits, licenses, approvals, consents and other authorizations (collectively, “</w:t>
      </w:r>
      <w:r>
        <w:rPr>
          <w:rFonts w:ascii="Arial" w:cs="Arial" w:eastAsia="Arial" w:hAnsi="Arial"/>
          <w:sz w:val="17"/>
          <w:szCs w:val="17"/>
          <w:u w:val="single" w:color="auto"/>
          <w:color w:val="auto"/>
        </w:rPr>
        <w:t>Governmental</w:t>
      </w:r>
    </w:p>
    <w:p>
      <w:pPr>
        <w:spacing w:after="0" w:line="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 issued by the appropriate federal, state, local or foreign regulatory agencies or bodies necessary to conduct the business now operated by them; the Company is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the Company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92" w:lineRule="exact"/>
        <w:rPr>
          <w:sz w:val="20"/>
          <w:szCs w:val="20"/>
          <w:color w:val="auto"/>
        </w:rPr>
      </w:pPr>
    </w:p>
    <w:p>
      <w:pPr>
        <w:ind w:right="40" w:firstLine="320"/>
        <w:spacing w:after="0" w:line="290" w:lineRule="auto"/>
        <w:tabs>
          <w:tab w:leader="none" w:pos="9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good and marketable title to all real property owned by the Company and good title to all other properties owned by it, in each case, free and clear of all mortgages, pledges, liens, security interests, claims, restrictions or encumbrances of any kind except such as (a) are described in the Disclosure Package and the Final Prospectus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holds properties described in the Disclosure Package and the Final Prospectus, are in full force and effect, and the Company has no notice of any material claim of any sort that has been asserted by anyone adverse to the rights of the Company any of the leases or subleases mentioned above, or affecting or questioning the rights of the Company to the continued possession of the leased or subleased premises under any such lease or sublease.</w:t>
      </w:r>
    </w:p>
    <w:p>
      <w:pPr>
        <w:spacing w:after="0" w:line="165" w:lineRule="exact"/>
        <w:rPr>
          <w:rFonts w:ascii="Arial" w:cs="Arial" w:eastAsia="Arial" w:hAnsi="Arial"/>
          <w:sz w:val="16"/>
          <w:szCs w:val="16"/>
          <w:color w:val="auto"/>
        </w:rPr>
      </w:pPr>
    </w:p>
    <w:p>
      <w:pPr>
        <w:ind w:right="40" w:firstLine="320"/>
        <w:spacing w:after="0" w:line="268" w:lineRule="auto"/>
        <w:tabs>
          <w:tab w:leader="none" w:pos="10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Disclosure Package and the Final Prospectus and except as would not, 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has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11" w:name="page12"/>
    <w:bookmarkEnd w:id="11"/>
    <w:p>
      <w:pPr>
        <w:ind w:left="-320" w:right="40" w:firstLine="320"/>
        <w:spacing w:after="0" w:line="263" w:lineRule="auto"/>
        <w:tabs>
          <w:tab w:leader="none" w:pos="6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not, and upon the sale of the Securities as herein contemplated as described in the Disclosure Package and the Final Prospectus will not be, required to register as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320" w:right="120" w:firstLine="320"/>
        <w:spacing w:after="0" w:line="257"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Company’s knowledge, except as disclosed in the Disclosure Package and the Final Prospectus, there are no rulemaking or similar proceedings before the U.S. Food and Drug Administration (the “</w:t>
      </w:r>
      <w:r>
        <w:rPr>
          <w:rFonts w:ascii="Arial" w:cs="Arial" w:eastAsia="Arial" w:hAnsi="Arial"/>
          <w:sz w:val="18"/>
          <w:szCs w:val="18"/>
          <w:u w:val="single" w:color="auto"/>
          <w:color w:val="auto"/>
        </w:rPr>
        <w:t>FDA</w:t>
      </w:r>
      <w:r>
        <w:rPr>
          <w:rFonts w:ascii="Arial" w:cs="Arial" w:eastAsia="Arial" w:hAnsi="Arial"/>
          <w:sz w:val="18"/>
          <w:szCs w:val="18"/>
          <w:color w:val="auto"/>
        </w:rPr>
        <w:t>”), the U.S. Patent and Trademark Office or the European Patent Office which affect or involve the Company or any of the processes or products which the Disclosure Package and the Final Prospectus disclose the Company to have developed, to be developing or to propose to develop or use or propose to use which, if the subject of an action unfavorable to the Company, would have a Material Adverse Effect.</w:t>
      </w:r>
    </w:p>
    <w:p>
      <w:pPr>
        <w:spacing w:after="0" w:line="187" w:lineRule="exact"/>
        <w:rPr>
          <w:rFonts w:ascii="Arial" w:cs="Arial" w:eastAsia="Arial" w:hAnsi="Arial"/>
          <w:sz w:val="18"/>
          <w:szCs w:val="18"/>
          <w:color w:val="auto"/>
        </w:rPr>
      </w:pPr>
    </w:p>
    <w:p>
      <w:pPr>
        <w:ind w:left="-320" w:firstLine="320"/>
        <w:spacing w:after="0" w:line="287" w:lineRule="auto"/>
        <w:tabs>
          <w:tab w:leader="none" w:pos="5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Company’s knowledge, the preclinical tests and clinical trials, and other studies conducted by or on behalf of or sponsored by the Company or its subsidiaries, or in which the Company or its subsidiaries or the Company’s or its subsidiaries’ product candidates participated, in each case that are described in the Registration Statement, the Disclosure Package and the Final Prospectus (collectively, “</w:t>
      </w:r>
      <w:r>
        <w:rPr>
          <w:rFonts w:ascii="Arial" w:cs="Arial" w:eastAsia="Arial" w:hAnsi="Arial"/>
          <w:sz w:val="16"/>
          <w:szCs w:val="16"/>
          <w:u w:val="single" w:color="auto"/>
          <w:color w:val="auto"/>
        </w:rPr>
        <w:t>studies</w:t>
      </w:r>
      <w:r>
        <w:rPr>
          <w:rFonts w:ascii="Arial" w:cs="Arial" w:eastAsia="Arial" w:hAnsi="Arial"/>
          <w:sz w:val="16"/>
          <w:szCs w:val="16"/>
          <w:color w:val="auto"/>
        </w:rPr>
        <w:t>”) were and, if still pending, are being, conducted in all material respects in accordance with the protocols submitted to the FDA, the European Medicines Agency (the “</w:t>
      </w:r>
      <w:r>
        <w:rPr>
          <w:rFonts w:ascii="Arial" w:cs="Arial" w:eastAsia="Arial" w:hAnsi="Arial"/>
          <w:sz w:val="16"/>
          <w:szCs w:val="16"/>
          <w:u w:val="single" w:color="auto"/>
          <w:color w:val="auto"/>
        </w:rPr>
        <w:t>EMA</w:t>
      </w:r>
      <w:r>
        <w:rPr>
          <w:rFonts w:ascii="Arial" w:cs="Arial" w:eastAsia="Arial" w:hAnsi="Arial"/>
          <w:sz w:val="16"/>
          <w:szCs w:val="16"/>
          <w:color w:val="auto"/>
        </w:rPr>
        <w:t>”) or any foreign governmental body exercising comparable authority, procedures and controls pursuant to, where applicable, accepted professional and scientific standards, and all applicable laws and regulations; the descriptions of the studies conducted by or, to the Company’s knowledge, on behalf of the Company, and, to the Company’s knowledge, the results thereof, contained in the Registration Statement, the Disclosure Package and the Final Prospectus are accurate and complete in all material respects; and the Company has not received any written notices or correspondence from the FDA, any foreign, state or local governmental body exercising comparable authority or any Institutional Review Board requiring the termination, suspension, material modification or clinical hold of any studies conducted by or on behalf of the Company that are material to the Company or that are related to any material product candidate of the Company, other than ordinary course communications with respect to modifications in connection with the design and implementation of such trials.</w:t>
      </w:r>
    </w:p>
    <w:p>
      <w:pPr>
        <w:spacing w:after="0" w:line="167" w:lineRule="exact"/>
        <w:rPr>
          <w:rFonts w:ascii="Arial" w:cs="Arial" w:eastAsia="Arial" w:hAnsi="Arial"/>
          <w:sz w:val="16"/>
          <w:szCs w:val="16"/>
          <w:color w:val="auto"/>
        </w:rPr>
      </w:pPr>
    </w:p>
    <w:p>
      <w:pPr>
        <w:ind w:left="-320" w:firstLine="320"/>
        <w:spacing w:after="0" w:line="284" w:lineRule="auto"/>
        <w:tabs>
          <w:tab w:leader="none" w:pos="6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to the extent disclosed in each of the Registration Statement, the Disclosure Package or the Final Prospectus and except as would not, singly or in the aggregate, result in a Material Adverse Effect, (A) each of the Company and its subsidiaries is and has been, since January 1, 2017, in compliance with all applicable healthcare laws and regulations, including, without limitation, the federal Anti-Kickback Statute (42 U.S.C. § 1320a-7b(b)), the Civil Monetary Penalties Law (42 U.S.C. § 1320a-7a), the civil False Claims Act (31 U.S.C. §§ 3729 et seq.), the administrative False Claims Law (42 U.S.C. § 1320a-7b(a)), the federal Physician Payment Sunshine Act (42 U.S.C. § 1320a-7h), all federal and state fraud and abuse laws,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(42 U.S.C. Section 1320d et seq.), as amended by the Health Information Technology for Economic and Clinical Health Act (42 U.S.C. Section 17921 et seq.) and its implementing regulations, state laws governing the privacy, security and/or data breach notification requirements of personally identifiable information or any information that constitutes personal data under such laws, the exclusion laws (42 U.S.C. § 1320a-7), the Medicare Statute (Title XVIII of the Social Security Act), the Medicaid Statute (Title XIX of the Social Security Act), all applicable federal, state, local laws governing scope and permissible interactions between pharmaceutical manufacturers and health care providers, third party payors such as health plans, patients and patient organizations, laws governing government pricing or price reporting programs including, without limitation, the Medicaid Drug Rebate Program (42 U.S.C. § 1396r-8), any state supplemental rebate program, the Public Health Service Act (42 U.S.C. § 256b), the VA Federal Supply Schedule (38 U.S.C. § 8126) or any state pharmaceutical assistance program or U.S. Department of Veterans Affairs agreement, and any successor government programs, and Medicare Part B average sales price reporting (applicable provisions of 42 U.S.C. § 1395w-3a), the Federal Food, Drug, and Cosmetic Act (21 U.S.C. § 301, et seq.), the Public Health Service Act (42 U.S.C. § 201 et seq.), and all statutes, rules or regulations of applicable governmental authorities applicable to the ownership, testing, research, development, manufacture, quality, safety, accreditation, packaging, storage, use, distribution, labeling, promotion, sale, offer for sale, import, export or disposal of any product manufactured or distributed by the Company or its subsidiaries, in each case including any regulations promulgated or administrative guidance issued thereunder and in each case as may be amended from time to time (collectively, the “</w:t>
      </w:r>
      <w:r>
        <w:rPr>
          <w:rFonts w:ascii="Arial" w:cs="Arial" w:eastAsia="Arial" w:hAnsi="Arial"/>
          <w:sz w:val="16"/>
          <w:szCs w:val="16"/>
          <w:u w:val="single" w:color="auto"/>
          <w:color w:val="auto"/>
        </w:rPr>
        <w:t>Health Care Laws</w:t>
      </w:r>
      <w:r>
        <w:rPr>
          <w:rFonts w:ascii="Arial" w:cs="Arial" w:eastAsia="Arial" w:hAnsi="Arial"/>
          <w:sz w:val="16"/>
          <w:szCs w:val="16"/>
          <w:color w:val="auto"/>
        </w:rPr>
        <w:t>”); (B) the Company, along with its employees, officers and directors, and to the Company’s knowledge, independent contractors and agents, is not a party to or has any ongoing reporting obligations pursuant to any corporate integrity agreements, deferred prosecution agreements, monitoring agreements, consent decrees, settlement orders, plans of correction or similar agreements with or imposed by any governmental entity; and (C) the Company, along with its employees, officers and directors, and to the Company’s knowledge, independent contractors and agents, has not been excluded, suspended or debarred from, or otherwise ineligible for participation in any government health care program or human clinical research.</w:t>
      </w:r>
    </w:p>
    <w:p>
      <w:pPr>
        <w:spacing w:after="0" w:line="38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2" w:name="page13"/>
    <w:bookmarkEnd w:id="12"/>
    <w:p>
      <w:pPr>
        <w:ind w:left="4" w:firstLine="320"/>
        <w:spacing w:after="0" w:line="268" w:lineRule="auto"/>
        <w:tabs>
          <w:tab w:leader="none" w:pos="1032" w:val="left"/>
        </w:tabs>
        <w:numPr>
          <w:ilvl w:val="1"/>
          <w:numId w:val="14"/>
        </w:numPr>
        <w:rPr>
          <w:rFonts w:ascii="Arial" w:cs="Arial" w:eastAsia="Arial" w:hAnsi="Arial"/>
          <w:sz w:val="17"/>
          <w:szCs w:val="17"/>
          <w:color w:val="auto"/>
        </w:rPr>
      </w:pPr>
      <w:r>
        <w:rPr>
          <w:rFonts w:ascii="Arial" w:cs="Arial" w:eastAsia="Arial" w:hAnsi="Arial"/>
          <w:sz w:val="17"/>
          <w:szCs w:val="17"/>
          <w:color w:val="auto"/>
        </w:rPr>
        <w:t>Except as would not, singly or in the aggregate, result in a Material Adverse Effect, (A) each of the Company’s and its subsidiaries’ information technology assets and equipment, computers, systems, networks, hardware, software, websites, applications, and databases (collectively, “</w:t>
      </w:r>
      <w:r>
        <w:rPr>
          <w:rFonts w:ascii="Arial" w:cs="Arial" w:eastAsia="Arial" w:hAnsi="Arial"/>
          <w:sz w:val="17"/>
          <w:szCs w:val="17"/>
          <w:u w:val="single" w:color="auto"/>
          <w:color w:val="auto"/>
        </w:rPr>
        <w:t>IT Systems</w:t>
      </w:r>
      <w:r>
        <w:rPr>
          <w:rFonts w:ascii="Arial" w:cs="Arial" w:eastAsia="Arial" w:hAnsi="Arial"/>
          <w:sz w:val="17"/>
          <w:szCs w:val="17"/>
          <w:color w:val="auto"/>
        </w:rPr>
        <w:t>”) are adequate for, and operate and perform in all respects as required in connection with, the operation of the business of the Company and the subsidiaries as currently conducted, and to the knowledge of the Company are free and clear of all bugs, errors, defects, Trojan horses, time bombs, malware and other corruptants; (B) the Company and the subsidiaries have implemented and maintained commercially reasonably necessary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7"/>
          <w:szCs w:val="17"/>
          <w:u w:val="single" w:color="auto"/>
          <w:color w:val="auto"/>
        </w:rPr>
        <w:t>Personal Data</w:t>
      </w:r>
      <w:r>
        <w:rPr>
          <w:rFonts w:ascii="Arial" w:cs="Arial" w:eastAsia="Arial" w:hAnsi="Arial"/>
          <w:sz w:val="17"/>
          <w:szCs w:val="17"/>
          <w:color w:val="auto"/>
        </w:rPr>
        <w:t>”)) used in connection with their businesses, and, to the Company’s knowledge, there have been no breaches, violations, outages or unauthorized uses of or accesses to same; and (C)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including, to the extent applicable, HIPAA and the European Union General Data Protection Regulation (EU 2016/679).</w:t>
      </w:r>
    </w:p>
    <w:p>
      <w:pPr>
        <w:spacing w:after="0" w:line="186" w:lineRule="exact"/>
        <w:rPr>
          <w:rFonts w:ascii="Arial" w:cs="Arial" w:eastAsia="Arial" w:hAnsi="Arial"/>
          <w:sz w:val="17"/>
          <w:szCs w:val="17"/>
          <w:color w:val="auto"/>
        </w:rPr>
      </w:pPr>
    </w:p>
    <w:p>
      <w:pPr>
        <w:ind w:left="384" w:hanging="384"/>
        <w:spacing w:after="0"/>
        <w:tabs>
          <w:tab w:leader="none" w:pos="3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Selling Shareholder represents and warrants to, and agrees with, each Underwriter as set forth below in this Section 1(b).</w:t>
      </w:r>
    </w:p>
    <w:p>
      <w:pPr>
        <w:spacing w:after="0" w:line="225" w:lineRule="exact"/>
        <w:rPr>
          <w:rFonts w:ascii="Arial" w:cs="Arial" w:eastAsia="Arial" w:hAnsi="Arial"/>
          <w:sz w:val="18"/>
          <w:szCs w:val="18"/>
          <w:color w:val="auto"/>
        </w:rPr>
      </w:pPr>
    </w:p>
    <w:p>
      <w:pPr>
        <w:ind w:left="4" w:firstLine="320"/>
        <w:spacing w:after="0" w:line="288" w:lineRule="auto"/>
        <w:tabs>
          <w:tab w:leader="none" w:pos="1172" w:val="left"/>
        </w:tabs>
        <w:numPr>
          <w:ilvl w:val="1"/>
          <w:numId w:val="15"/>
        </w:numPr>
        <w:rPr>
          <w:rFonts w:ascii="Arial" w:cs="Arial" w:eastAsia="Arial" w:hAnsi="Arial"/>
          <w:sz w:val="16"/>
          <w:szCs w:val="16"/>
          <w:color w:val="auto"/>
        </w:rPr>
      </w:pPr>
      <w:r>
        <w:rPr>
          <w:rFonts w:ascii="Arial" w:cs="Arial" w:eastAsia="Arial" w:hAnsi="Arial"/>
          <w:sz w:val="16"/>
          <w:szCs w:val="16"/>
          <w:color w:val="auto"/>
        </w:rPr>
        <w:t>At the Execution Time, the Registration Statement does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such representations or warranties set forth in this Section 1(b)(i) apply only to statements or omissions made in reliance upon and in conformity with information relating to such Selling Shareholder furnished in writing by or on behalf of such Selling Shareholder specifically for inclusion in the Registration Statement, the Disclosure Package, the Final Prospectus or any Issuer Free Writing Prospectus or any amendment or supplement thereto (the “</w:t>
      </w:r>
      <w:r>
        <w:rPr>
          <w:rFonts w:ascii="Arial" w:cs="Arial" w:eastAsia="Arial" w:hAnsi="Arial"/>
          <w:sz w:val="16"/>
          <w:szCs w:val="16"/>
          <w:u w:val="single" w:color="auto"/>
          <w:color w:val="auto"/>
        </w:rPr>
        <w:t>Selling Shareholder Information</w:t>
      </w:r>
      <w:r>
        <w:rPr>
          <w:rFonts w:ascii="Arial" w:cs="Arial" w:eastAsia="Arial" w:hAnsi="Arial"/>
          <w:sz w:val="16"/>
          <w:szCs w:val="16"/>
          <w:color w:val="auto"/>
        </w:rPr>
        <w:t>”); such Selling Shareholder further represents and warrants that it is not prompted to sell the Securities to be sold by such Selling Shareholder hereunder by any information concerning the Company or any subsidiary of the Company which is not set forth in the Disclosure Package or the Final Prospectus.</w:t>
      </w:r>
    </w:p>
    <w:p>
      <w:pPr>
        <w:spacing w:after="0" w:line="168" w:lineRule="exact"/>
        <w:rPr>
          <w:sz w:val="20"/>
          <w:szCs w:val="20"/>
          <w:color w:val="auto"/>
        </w:rPr>
      </w:pPr>
    </w:p>
    <w:p>
      <w:pPr>
        <w:ind w:left="4924" w:right="2580" w:hanging="4600"/>
        <w:spacing w:after="0" w:line="778" w:lineRule="auto"/>
        <w:tabs>
          <w:tab w:leader="none" w:pos="11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such Selling Shareholder.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-294005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3" w:name="page14"/>
    <w:bookmarkEnd w:id="13"/>
    <w:p>
      <w:pPr>
        <w:ind w:left="-320" w:right="20" w:firstLine="320"/>
        <w:spacing w:after="0" w:line="286" w:lineRule="auto"/>
        <w:tabs>
          <w:tab w:leader="none" w:pos="7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sale and delivery of the Securities to be sold by such Selling Shareholder and the consummation of the transactions contemplated herein and compliance by such Selling Shareholder with its obligations hereunder do not and will not, whether with or without the giving of notice or passage of time or both, (A) conflict with or constitute a breach of, or default under, or result in the creation or imposition of any tax, lien, charge or encumbrance upon the Securities to be sold by such Selling Shareholder or any property or assets of the Selling Shareholder pursuant to any contract, indenture, mortgage, deed of trust, loan or credit agreement, note, license, lease or other agreement or instrument to which such Selling Shareholder is a party or by which such Selling Shareholder may be bound, or to which any of the property or assets of such Selling Shareholder is subject, (B) result in any violation of the provisions of the charter, by-laws, articles of association or other organizational instrument of such Selling Shareholder, if applicable, or (C) result in any violation of any applicable treaty, law, statute, rule, regulation, judgment, order, writ or decree of any government, government instrumentality or court, domestic or foreign, having jurisdiction over such Selling Shareholder or any of its properties, except, in the case of clauses (A) and (C) only, for such conflicts, breaches, defaults, violations, taxes, liens, charges or encumbrances that, individually or in the aggregate, (1) do not have any impact on the performance by such Selling Shareholder of its obligations under this Agreement, and (2) would not reasonably be expected to have a material adverse effect on the condition (financial or otherwise), earnings, business or properties of such Selling Shareholder and its subsidiaries (if any), taken as a whole, whether or not arising from transactions in the ordinary course of business.</w:t>
      </w:r>
    </w:p>
    <w:p>
      <w:pPr>
        <w:spacing w:after="0" w:line="170" w:lineRule="exact"/>
        <w:rPr>
          <w:rFonts w:ascii="Arial" w:cs="Arial" w:eastAsia="Arial" w:hAnsi="Arial"/>
          <w:sz w:val="16"/>
          <w:szCs w:val="16"/>
          <w:color w:val="auto"/>
        </w:rPr>
      </w:pPr>
    </w:p>
    <w:p>
      <w:pPr>
        <w:ind w:left="-320" w:right="20" w:firstLine="320"/>
        <w:spacing w:after="0" w:line="257" w:lineRule="auto"/>
        <w:tabs>
          <w:tab w:leader="none" w:pos="8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Selling Shareholder has, and immediately prior to the Closing Date and any Date of Delivery, will have, (A) valid title to, or a valid “security entitlement” within the meaning of Sections 8-102 and 8-501 of the Uniform Commercial Code of the State of New York (the “</w:t>
      </w:r>
      <w:r>
        <w:rPr>
          <w:rFonts w:ascii="Arial" w:cs="Arial" w:eastAsia="Arial" w:hAnsi="Arial"/>
          <w:sz w:val="18"/>
          <w:szCs w:val="18"/>
          <w:u w:val="single" w:color="auto"/>
          <w:color w:val="auto"/>
        </w:rPr>
        <w:t>UCC</w:t>
      </w:r>
      <w:r>
        <w:rPr>
          <w:rFonts w:ascii="Arial" w:cs="Arial" w:eastAsia="Arial" w:hAnsi="Arial"/>
          <w:sz w:val="18"/>
          <w:szCs w:val="18"/>
          <w:color w:val="auto"/>
        </w:rPr>
        <w:t>”) in respect of, (1) the Securities to be sold by such Selling Shareholder, free and clear of all security interests, claims, liens, equities or other encumbrances; and (B) the legal right and power, and all authorization and approval required by law, to enter into this Agreement and to sell, transfer and deliver the Securities to be sold by such Selling Shareholder.</w:t>
      </w:r>
    </w:p>
    <w:p>
      <w:pPr>
        <w:spacing w:after="0" w:line="187" w:lineRule="exact"/>
        <w:rPr>
          <w:rFonts w:ascii="Arial" w:cs="Arial" w:eastAsia="Arial" w:hAnsi="Arial"/>
          <w:sz w:val="18"/>
          <w:szCs w:val="18"/>
          <w:color w:val="auto"/>
        </w:rPr>
      </w:pPr>
    </w:p>
    <w:p>
      <w:pPr>
        <w:ind w:left="-320" w:firstLine="320"/>
        <w:spacing w:after="0" w:line="263" w:lineRule="auto"/>
        <w:tabs>
          <w:tab w:leader="none" w:pos="7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Selling Shareholder has not taken, and will not take, directly or indirectly, any action which is designed to or which has constituted or would be expected to cause or result in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320" w:right="40" w:firstLine="320"/>
        <w:spacing w:after="0" w:line="273" w:lineRule="auto"/>
        <w:tabs>
          <w:tab w:leader="none" w:pos="8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for the performance by such Selling Shareholder of its obligations hereunder or in connection with the sale and delivery of the Securities hereunder or the consummation of the transactions contemplated herein, except such as have been obtained under the Act, the rules of the Nasdaq Global Select Market, the rules of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and such as may be required under the blue sky laws of any U.S. jurisdiction or the laws of any non-U.S. jurisdiction in connection with the purchase and distribution of the Securities by the Underwriters in the manner contemplated herein and in the Disclosure Package and the Final Prospectus.</w:t>
      </w:r>
    </w:p>
    <w:p>
      <w:pPr>
        <w:spacing w:after="0" w:line="177" w:lineRule="exact"/>
        <w:rPr>
          <w:rFonts w:ascii="Arial" w:cs="Arial" w:eastAsia="Arial" w:hAnsi="Arial"/>
          <w:sz w:val="17"/>
          <w:szCs w:val="17"/>
          <w:color w:val="auto"/>
        </w:rPr>
      </w:pPr>
    </w:p>
    <w:p>
      <w:pPr>
        <w:ind w:left="-320" w:right="20" w:firstLine="320"/>
        <w:spacing w:after="0" w:line="271" w:lineRule="auto"/>
        <w:tabs>
          <w:tab w:leader="none" w:pos="7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Selling Shareholder Free Writing Prospectus that each Selling Shareholder is required to file pursuant to Rule 433(d) under the Act has been, or will be, filed with the Commission in accordance with the requirements of the Act and the applicable rules and regulations of the Commission thereunder. Each Selling Shareholder Free Writing Prospectus that each Selling Shareholder has filed, or is required to file, pursuant to Rule 433(d) under the Act or that was prepared by or behalf of or used or referred to by such Selling Shareholder complies or will comply in all material respects with the requirements of the Act and the applicable rules and regulations of the Commission thereunder. Except for the Selling Shareholder Free Writing Prospectus, if any, identified in Schedule C hereto, and electronic road shows, if any, each furnished to you before first use, each Selling Shareholder has not prepared, used or referred to, and will not, without your prior consent, prepare, use or refer to, any Selling Shareholder Free Writing Prospectus.</w:t>
      </w:r>
    </w:p>
    <w:p>
      <w:pPr>
        <w:spacing w:after="0" w:line="178" w:lineRule="exact"/>
        <w:rPr>
          <w:rFonts w:ascii="Arial" w:cs="Arial" w:eastAsia="Arial" w:hAnsi="Arial"/>
          <w:sz w:val="17"/>
          <w:szCs w:val="17"/>
          <w:color w:val="auto"/>
        </w:rPr>
      </w:pPr>
    </w:p>
    <w:p>
      <w:pPr>
        <w:ind w:left="-320" w:right="80" w:firstLine="320"/>
        <w:spacing w:after="0" w:line="275" w:lineRule="auto"/>
        <w:tabs>
          <w:tab w:leader="none" w:pos="7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person who, as an officer of such Selling Shareholder, signed this Agreement and any other document executed and delivered prior hereto or on the date hereof in connection with the sale of the Securities, at the time or the respective times of such execution of such documents, was qualified and acting as such officer, and the signature of each such person (including any electronic signature covered by the U.S. federal ESIGN Act of 2000, Uniform Electronic Transactions Act, the Electronic Signatures and Records Act or other applicable law, e.g., www.docusign.com) appearing on any such document is his or her genuine signature or true facsimile thereof.</w:t>
      </w:r>
    </w:p>
    <w:p>
      <w:pPr>
        <w:spacing w:after="0" w:line="3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4" w:name="page15"/>
    <w:bookmarkEnd w:id="14"/>
    <w:p>
      <w:pPr>
        <w:ind w:right="120" w:firstLine="316"/>
        <w:spacing w:after="0" w:line="257" w:lineRule="auto"/>
        <w:tabs>
          <w:tab w:leader="none" w:pos="7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 and any certificate signed by or on behalf of any of the Selling Shareholders and delivered to the Representatives or counsel for the Underwriters in connection with the offering of the Securities shall be deemed a representation and warranty solely by such Selling Shareholder, as to matters covered thereby, to each Underwriter.</w:t>
      </w:r>
    </w:p>
    <w:p>
      <w:pPr>
        <w:spacing w:after="0" w:line="187" w:lineRule="exact"/>
        <w:rPr>
          <w:rFonts w:ascii="Arial" w:cs="Arial" w:eastAsia="Arial" w:hAnsi="Arial"/>
          <w:sz w:val="18"/>
          <w:szCs w:val="18"/>
          <w:color w:val="auto"/>
        </w:rPr>
      </w:pPr>
    </w:p>
    <w:p>
      <w:pPr>
        <w:ind w:left="1080" w:hanging="440"/>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ind w:firstLine="316"/>
        <w:spacing w:after="0" w:line="254" w:lineRule="auto"/>
        <w:tabs>
          <w:tab w:leader="none" w:pos="7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the Selling Shareholders agree to sell to each Underwriter, and each Underwriter agrees, severally and not jointly, to purchase from the Selling Shareholders, at the purchase price set forth in Schedule A hereto, that proportion of the number of Initial Securities which the number of Initial Securities set forth in Schedule A opposite the name of such Underwriter, plus any additional number of Initial Securities which such Underwriter may become obligated to purchase pursuant to the provisions of Section 9 hereof, bears to the total number of Initial Securities to be sold by the Selling Shareholders in the aggregate, subject, in each case, to such adjustments among the Underwriters as the Representatives in their sole discretion shall make to eliminate any sales or purchases of fractional shares.</w:t>
      </w:r>
    </w:p>
    <w:p>
      <w:pPr>
        <w:spacing w:after="0" w:line="194" w:lineRule="exact"/>
        <w:rPr>
          <w:rFonts w:ascii="Arial" w:cs="Arial" w:eastAsia="Arial" w:hAnsi="Arial"/>
          <w:sz w:val="18"/>
          <w:szCs w:val="18"/>
          <w:color w:val="auto"/>
        </w:rPr>
      </w:pPr>
    </w:p>
    <w:p>
      <w:pPr>
        <w:ind w:right="40" w:firstLine="316"/>
        <w:spacing w:after="0" w:line="287" w:lineRule="auto"/>
        <w:tabs>
          <w:tab w:leader="none" w:pos="71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addition, subject to the terms and conditions and in reliance upon the representations and warranties herein set forth, the Selling Shareholders hereby grant an option to the Underwriters, severally and not jointly, to purchase up to an additional 1,183,150 Securities in the aggregate, at the price per share set forth in Schedule A hereto,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from time to time upon notice by the Representatives to the Company and the Selling Shareholders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6"/>
          <w:szCs w:val="16"/>
          <w:u w:val="single" w:color="auto"/>
          <w:color w:val="auto"/>
        </w:rPr>
        <w:t>Date of Delivery</w:t>
      </w:r>
      <w:r>
        <w:rPr>
          <w:rFonts w:ascii="Arial" w:cs="Arial" w:eastAsia="Arial" w:hAnsi="Arial"/>
          <w:sz w:val="16"/>
          <w:szCs w:val="16"/>
          <w:color w:val="auto"/>
        </w:rPr>
        <w:t>”) shall be determined by the Representatives, but shall not be later than seven full Business Days after the exercise of said option, nor in any event prior to the Closing Date.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hereto opposite the name of such Underwriter bears to the total number of Initial Securities to be sold by the Selling Shareholders in the aggregate, subject, in each case, to such adjustments as the Representatives in their sole discretion shall make to eliminate any sales or purchases of fractional shares.</w:t>
      </w:r>
    </w:p>
    <w:p>
      <w:pPr>
        <w:spacing w:after="0" w:line="167" w:lineRule="exact"/>
        <w:rPr>
          <w:rFonts w:ascii="Arial" w:cs="Arial" w:eastAsia="Arial" w:hAnsi="Arial"/>
          <w:sz w:val="16"/>
          <w:szCs w:val="16"/>
          <w:color w:val="auto"/>
        </w:rPr>
      </w:pPr>
    </w:p>
    <w:p>
      <w:pPr>
        <w:ind w:left="1080" w:hanging="440"/>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225" w:lineRule="exact"/>
        <w:rPr>
          <w:sz w:val="20"/>
          <w:szCs w:val="20"/>
          <w:color w:val="auto"/>
        </w:rPr>
      </w:pPr>
    </w:p>
    <w:p>
      <w:pPr>
        <w:ind w:right="120" w:firstLine="316"/>
        <w:spacing w:after="0" w:line="257" w:lineRule="auto"/>
        <w:tabs>
          <w:tab w:leader="none" w:pos="7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Delivery of and payment for the Initial Securities shall be made at the offices of Ropes &amp; Gray LLP, 800 Boylston Street Boston, Massachusetts 02199-3600 on May 29, 2020 or at such time on such later date not more than three Business Days after the foregoing date as the Representatives shall designate, which date and time may be postponed by agreement among the Representatives, the Company and the Selling Shareholders or as provided in Section 9 hereof (such date and time of delivery and payment for the Initial Securities being herein called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140" w:firstLine="316"/>
        <w:spacing w:after="0" w:line="275" w:lineRule="auto"/>
        <w:tabs>
          <w:tab w:leader="none" w:pos="7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addition, in the event that any or all of the Option Securities are purchased by the Underwriters, delivery of and payment for such Option Securities shall be made at the offices of Ropes &amp; Gray LLP, 800 Boylston Street Boston, Massachusetts 02199-3600 on each Date of Delivery as specified in the notice from the Representatives to the Company and the Selling Shareholders or at such time on such later date not more than three Business Days after the foregoing date as the Representatives shall designate, which date and time may be postponed by agreement among the Representatives, the Company and the Selling Shareholders or as provided in Section 9 hereof.</w:t>
      </w:r>
    </w:p>
    <w:p>
      <w:pPr>
        <w:spacing w:after="0" w:line="176" w:lineRule="exact"/>
        <w:rPr>
          <w:rFonts w:ascii="Arial" w:cs="Arial" w:eastAsia="Arial" w:hAnsi="Arial"/>
          <w:sz w:val="17"/>
          <w:szCs w:val="17"/>
          <w:color w:val="auto"/>
        </w:rPr>
      </w:pPr>
    </w:p>
    <w:p>
      <w:pPr>
        <w:ind w:right="220" w:firstLine="316"/>
        <w:spacing w:after="0" w:line="279" w:lineRule="auto"/>
        <w:tabs>
          <w:tab w:leader="none" w:pos="7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Delivery of the Securities shall be made to the Representatives for the respective accounts of the several Underwriters against payment by the several Underwriters through the Representatives of the purchase price thereof to or upon the order of the Selling Shareholders by wire transfer payable in same-day funds to an account specified by the Selling Shareholders. Delivery of the Securities shall be made through the facilities of American Stock Transfer &amp; Trust Company, LLC unless the Representatives shall otherwise instruct.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5" w:name="page16"/>
    <w:bookmarkEnd w:id="15"/>
    <w:p>
      <w:pPr>
        <w:ind w:left="328" w:right="60" w:firstLine="320"/>
        <w:spacing w:after="0" w:line="277" w:lineRule="auto"/>
        <w:tabs>
          <w:tab w:leader="none" w:pos="1102"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70" w:lineRule="exact"/>
        <w:rPr>
          <w:rFonts w:ascii="Arial" w:cs="Arial" w:eastAsia="Arial" w:hAnsi="Arial"/>
          <w:sz w:val="18"/>
          <w:szCs w:val="18"/>
          <w:color w:val="auto"/>
        </w:rPr>
      </w:pPr>
    </w:p>
    <w:p>
      <w:pPr>
        <w:ind w:left="328" w:right="520" w:firstLine="320"/>
        <w:spacing w:after="0" w:line="277" w:lineRule="auto"/>
        <w:tabs>
          <w:tab w:leader="none" w:pos="1102"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Each of the Company and each of the Selling Shareholders, in each case as noted in this Section 5, agrees with each Underwriter that:</w:t>
      </w:r>
    </w:p>
    <w:p>
      <w:pPr>
        <w:spacing w:after="0" w:line="170" w:lineRule="exact"/>
        <w:rPr>
          <w:rFonts w:ascii="Arial" w:cs="Arial" w:eastAsia="Arial" w:hAnsi="Arial"/>
          <w:sz w:val="18"/>
          <w:szCs w:val="18"/>
          <w:color w:val="auto"/>
        </w:rPr>
      </w:pPr>
    </w:p>
    <w:p>
      <w:pPr>
        <w:ind w:left="8" w:right="20" w:firstLine="316"/>
        <w:spacing w:after="0" w:line="283" w:lineRule="auto"/>
        <w:tabs>
          <w:tab w:leader="none" w:pos="756"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w:t>
      </w:r>
    </w:p>
    <w:p>
      <w:pPr>
        <w:spacing w:after="0" w:line="5" w:lineRule="exact"/>
        <w:rPr>
          <w:rFonts w:ascii="Arial" w:cs="Arial" w:eastAsia="Arial" w:hAnsi="Arial"/>
          <w:sz w:val="16"/>
          <w:szCs w:val="16"/>
          <w:color w:val="auto"/>
        </w:rPr>
      </w:pPr>
    </w:p>
    <w:p>
      <w:pPr>
        <w:ind w:left="8" w:right="100" w:hanging="8"/>
        <w:spacing w:after="0" w:line="288" w:lineRule="auto"/>
        <w:tabs>
          <w:tab w:leader="none" w:pos="3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68" w:lineRule="exact"/>
        <w:rPr>
          <w:rFonts w:ascii="Arial" w:cs="Arial" w:eastAsia="Arial" w:hAnsi="Arial"/>
          <w:sz w:val="16"/>
          <w:szCs w:val="16"/>
          <w:color w:val="auto"/>
        </w:rPr>
      </w:pPr>
    </w:p>
    <w:p>
      <w:pPr>
        <w:ind w:left="8" w:right="20" w:firstLine="316"/>
        <w:spacing w:after="0" w:line="296" w:lineRule="auto"/>
        <w:tabs>
          <w:tab w:leader="none" w:pos="722"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at any time prior to the filing of the Final Prospectus pursuant to Rule 424(b),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61" w:lineRule="exact"/>
        <w:rPr>
          <w:rFonts w:ascii="Arial" w:cs="Arial" w:eastAsia="Arial" w:hAnsi="Arial"/>
          <w:sz w:val="16"/>
          <w:szCs w:val="16"/>
          <w:color w:val="auto"/>
        </w:rPr>
      </w:pPr>
    </w:p>
    <w:p>
      <w:pPr>
        <w:ind w:left="8" w:firstLine="316"/>
        <w:spacing w:after="0" w:line="269" w:lineRule="auto"/>
        <w:tabs>
          <w:tab w:leader="none" w:pos="7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promptly will (i) notify the Representatives of any such event, (ii) prepare and file with the Commission,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6" w:name="page17"/>
    <w:bookmarkEnd w:id="16"/>
    <w:p>
      <w:pPr>
        <w:ind w:left="8" w:right="40" w:firstLine="316"/>
        <w:spacing w:after="0" w:line="308" w:lineRule="auto"/>
        <w:tabs>
          <w:tab w:leader="none" w:pos="72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146" w:lineRule="exact"/>
        <w:rPr>
          <w:rFonts w:ascii="Arial" w:cs="Arial" w:eastAsia="Arial" w:hAnsi="Arial"/>
          <w:sz w:val="17"/>
          <w:szCs w:val="17"/>
          <w:color w:val="auto"/>
        </w:rPr>
      </w:pPr>
    </w:p>
    <w:p>
      <w:pPr>
        <w:ind w:left="8" w:right="120" w:firstLine="316"/>
        <w:spacing w:after="0" w:line="273" w:lineRule="auto"/>
        <w:tabs>
          <w:tab w:leader="none" w:pos="756"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will furnish to the Representatives and counsel for the Underwriters, without charge, a reasonable number of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 The Selling Shareholders will pay the reasonable expenses of printing or other production of all documents relating to the offering.</w:t>
      </w:r>
    </w:p>
    <w:p>
      <w:pPr>
        <w:spacing w:after="0" w:line="177" w:lineRule="exact"/>
        <w:rPr>
          <w:rFonts w:ascii="Arial" w:cs="Arial" w:eastAsia="Arial" w:hAnsi="Arial"/>
          <w:sz w:val="17"/>
          <w:szCs w:val="17"/>
          <w:color w:val="auto"/>
        </w:rPr>
      </w:pPr>
    </w:p>
    <w:p>
      <w:pPr>
        <w:ind w:left="768" w:hanging="444"/>
        <w:spacing w:after="0"/>
        <w:tabs>
          <w:tab w:leader="none" w:pos="7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w:t>
      </w:r>
    </w:p>
    <w:p>
      <w:pPr>
        <w:spacing w:after="0" w:line="23" w:lineRule="exact"/>
        <w:rPr>
          <w:rFonts w:ascii="Arial" w:cs="Arial" w:eastAsia="Arial" w:hAnsi="Arial"/>
          <w:sz w:val="18"/>
          <w:szCs w:val="18"/>
          <w:color w:val="auto"/>
        </w:rPr>
      </w:pPr>
    </w:p>
    <w:p>
      <w:pPr>
        <w:ind w:left="8" w:right="100"/>
        <w:spacing w:after="0" w:line="253" w:lineRule="auto"/>
        <w:rPr>
          <w:rFonts w:ascii="Arial" w:cs="Arial" w:eastAsia="Arial" w:hAnsi="Arial"/>
          <w:sz w:val="18"/>
          <w:szCs w:val="18"/>
          <w:color w:val="auto"/>
        </w:rPr>
      </w:pPr>
      <w:r>
        <w:rPr>
          <w:rFonts w:ascii="Arial" w:cs="Arial" w:eastAsia="Arial" w:hAnsi="Arial"/>
          <w:sz w:val="18"/>
          <w:szCs w:val="18"/>
          <w:color w:val="auto"/>
        </w:rPr>
        <w:t>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any taxation of its income or any service of process in suits, other than those arising out of the offering or sale of the Securities, in any jurisdiction where it is not now so subject.</w:t>
      </w:r>
    </w:p>
    <w:p>
      <w:pPr>
        <w:spacing w:after="0" w:line="192" w:lineRule="exact"/>
        <w:rPr>
          <w:rFonts w:ascii="Arial" w:cs="Arial" w:eastAsia="Arial" w:hAnsi="Arial"/>
          <w:sz w:val="18"/>
          <w:szCs w:val="18"/>
          <w:color w:val="auto"/>
        </w:rPr>
      </w:pPr>
    </w:p>
    <w:p>
      <w:pPr>
        <w:ind w:left="8" w:firstLine="316"/>
        <w:spacing w:after="0" w:line="288" w:lineRule="auto"/>
        <w:tabs>
          <w:tab w:leader="none" w:pos="72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Each of the Company and the Selling Shareholders agrees that, unless it has or shall have obtained the prior written consent (not to be unreasonably withheld)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B hereto and any electronic road show. Any such free writing prospectus consented to by the Representatives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68" w:lineRule="exact"/>
        <w:rPr>
          <w:rFonts w:ascii="Arial" w:cs="Arial" w:eastAsia="Arial" w:hAnsi="Arial"/>
          <w:sz w:val="16"/>
          <w:szCs w:val="16"/>
          <w:color w:val="auto"/>
        </w:rPr>
      </w:pPr>
    </w:p>
    <w:p>
      <w:pPr>
        <w:ind w:left="8" w:right="20" w:firstLine="316"/>
        <w:spacing w:after="0" w:line="282" w:lineRule="auto"/>
        <w:tabs>
          <w:tab w:leader="none" w:pos="722"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a period of 60 calendar days from the date of this Agreement, the Company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the vesting of any restricted stock or restricted stock unit (including, for the avoidance of doubt, any performance-based restricted stock unit) or the conversion of a security outstanding on the date hereof (including, for the avoidance of doubt, any Class A stock of the Company), (c) any shares of Common Stock, restricted stock, restricted stock units (including, for the avoidance of doubt, any performance-based restricted stock units) or any securities convertible into or exercisable or exchangeable for Common Stock issued or options to purchase Common Stock granted pursuant to the Company’s long-term incentive plans referred to or incorporated by reference into the Disclosure Package and the Final Prospectus (including, for the avoidance of doubt, those that remain subject to shareholder approval), (d) any shares of Common Stock issued pursuant to any non-employee director stock plan or dividend reinvestment plan referred to or incorporated by reference into the Disclosure Package and the Final Prospectus, (e) the filing of a registration statement or prospectus supplement in compliance with the request of any person who has the right, as of the date hereof, to require the Company to file such registration statement or prospectus supplement,</w:t>
      </w:r>
    </w:p>
    <w:p>
      <w:pPr>
        <w:spacing w:after="0" w:line="11" w:lineRule="exact"/>
        <w:rPr>
          <w:rFonts w:ascii="Arial" w:cs="Arial" w:eastAsia="Arial" w:hAnsi="Arial"/>
          <w:sz w:val="16"/>
          <w:szCs w:val="16"/>
          <w:color w:val="auto"/>
        </w:rPr>
      </w:pPr>
    </w:p>
    <w:p>
      <w:pPr>
        <w:ind w:left="8" w:right="120" w:hanging="8"/>
        <w:spacing w:after="0" w:line="281" w:lineRule="auto"/>
        <w:tabs>
          <w:tab w:leader="none" w:pos="2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of Common Stock (or securities convertible into or exchangeable for shares of Common Stock) issued in connection with the bona fide strategic acquisition of assets, a technology or a business or the bona fide establishment of a strategic partnership or collaboration (including a joint venture) complementary to the Company’s business, or (g) any registration statement on Form S-8 under the Act with respect to the foregoing clauses</w:t>
      </w:r>
    </w:p>
    <w:p>
      <w:pPr>
        <w:spacing w:after="0" w:line="1" w:lineRule="exact"/>
        <w:rPr>
          <w:rFonts w:ascii="Arial" w:cs="Arial" w:eastAsia="Arial" w:hAnsi="Arial"/>
          <w:sz w:val="16"/>
          <w:szCs w:val="16"/>
          <w:color w:val="auto"/>
        </w:rPr>
      </w:pPr>
    </w:p>
    <w:p>
      <w:pPr>
        <w:ind w:left="8" w:right="140" w:hanging="8"/>
        <w:spacing w:after="0" w:line="323" w:lineRule="auto"/>
        <w:tabs>
          <w:tab w:leader="none" w:pos="2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or (d) or on Form S-4 under the Act with respect to the foregoing clause (f). Nothing contained herein shall limit or restrict the sale of Common Stock of the Company held in a fiduciary capacity by Affiliates of the Company on behalf of their respective clients acting in such fiduciary capacity.</w:t>
      </w:r>
    </w:p>
    <w:p>
      <w:pPr>
        <w:spacing w:after="0" w:line="3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7" w:name="page18"/>
    <w:bookmarkEnd w:id="17"/>
    <w:p>
      <w:pPr>
        <w:ind w:left="8" w:right="120" w:firstLine="316"/>
        <w:spacing w:after="0" w:line="263" w:lineRule="auto"/>
        <w:tabs>
          <w:tab w:leader="none" w:pos="77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768" w:hanging="444"/>
        <w:spacing w:after="0"/>
        <w:tabs>
          <w:tab w:leader="none" w:pos="7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will use its best efforts to effect and maintain the listing of the Securities on the Nasdaq Global Select Market.</w:t>
      </w:r>
    </w:p>
    <w:p>
      <w:pPr>
        <w:spacing w:after="0" w:line="225" w:lineRule="exact"/>
        <w:rPr>
          <w:rFonts w:ascii="Arial" w:cs="Arial" w:eastAsia="Arial" w:hAnsi="Arial"/>
          <w:sz w:val="18"/>
          <w:szCs w:val="18"/>
          <w:color w:val="auto"/>
        </w:rPr>
      </w:pPr>
    </w:p>
    <w:p>
      <w:pPr>
        <w:ind w:left="8" w:right="140" w:firstLine="316"/>
        <w:spacing w:after="0" w:line="263" w:lineRule="auto"/>
        <w:tabs>
          <w:tab w:leader="none" w:pos="72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during the period when a prospectus relating to the Securities is (or, but for the exception afforded by Rule 172, would be) required to be delivered under the Act, will file all documents required to be filed with the Commission pursuant to the Exchange Act within the time periods required by the Exchange Act and the regulations of the Commission promulgated thereunder.</w:t>
      </w:r>
    </w:p>
    <w:p>
      <w:pPr>
        <w:spacing w:after="0" w:line="183" w:lineRule="exact"/>
        <w:rPr>
          <w:rFonts w:ascii="Arial" w:cs="Arial" w:eastAsia="Arial" w:hAnsi="Arial"/>
          <w:sz w:val="18"/>
          <w:szCs w:val="18"/>
          <w:color w:val="auto"/>
        </w:rPr>
      </w:pPr>
    </w:p>
    <w:p>
      <w:pPr>
        <w:ind w:left="8" w:firstLine="316"/>
        <w:spacing w:after="0" w:line="283" w:lineRule="auto"/>
        <w:tabs>
          <w:tab w:leader="none" w:pos="772"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Selling Shareholders agree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if any, of the Securities under the Exchange Act; (vi) any registration or qualification of the Securities for offer and sale under the securities or blue sky laws of the several states (including filing fees and the reasonable fees and expenses of counsel for the Underwriters relating to such registration and qualification in an amount not to exceed $25,000 (excluding filing fees)); (vii) any filings required to be made with FINRA (including filing fees and the reasonable fees and expenses of counsel for the Underwriters relating to such filings in an amount not to exceed $25,000 (excluding filing fees)); (viii) the reasonable and documented transportation and other expenses incurred by or on behalf of Company representatives in connection with presentations to prospective purchasers of the Securities;</w:t>
      </w:r>
    </w:p>
    <w:p>
      <w:pPr>
        <w:spacing w:after="0" w:line="1" w:lineRule="exact"/>
        <w:rPr>
          <w:rFonts w:ascii="Arial" w:cs="Arial" w:eastAsia="Arial" w:hAnsi="Arial"/>
          <w:sz w:val="16"/>
          <w:szCs w:val="16"/>
          <w:color w:val="auto"/>
        </w:rPr>
      </w:pPr>
    </w:p>
    <w:p>
      <w:pPr>
        <w:ind w:left="8" w:right="80" w:hanging="8"/>
        <w:spacing w:after="0" w:line="253" w:lineRule="auto"/>
        <w:tabs>
          <w:tab w:leader="none" w:pos="3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fees and expenses of the Company’s accountants and the fees and expenses of counsel (including local and special counsel) for the Company; and (x) all other reasonable and documented costs and expenses incident to the performance by the Company of its obligations hereunder. The provisions of this subsection (l) shall not affect any agreement that the Company and the Selling Shareholders have made or may make for the sharing of such costs and expenses.</w:t>
      </w:r>
    </w:p>
    <w:p>
      <w:pPr>
        <w:spacing w:after="0" w:line="192" w:lineRule="exact"/>
        <w:rPr>
          <w:rFonts w:ascii="Arial" w:cs="Arial" w:eastAsia="Arial" w:hAnsi="Arial"/>
          <w:sz w:val="18"/>
          <w:szCs w:val="18"/>
          <w:color w:val="auto"/>
        </w:rPr>
      </w:pPr>
    </w:p>
    <w:p>
      <w:pPr>
        <w:ind w:left="8" w:right="60" w:firstLine="316"/>
        <w:spacing w:after="0" w:line="296" w:lineRule="auto"/>
        <w:tabs>
          <w:tab w:leader="none" w:pos="72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Selling Shareholders will pay all expenses incident to the performance of their respective obligations under, and the consummation of the transactions contemplated by, this Agreement including (i) any stamp and other duties and stock and other transfer taxes, if any, payable upon the sale of the Securities to the Underwriters and their transfer between the Underwriters pursuant to an agreement between such Underwriters and (ii) the fees and disbursements of their respective counsel and other advisors. The provisions of this subsection (m) shall not affect any agreement that the Company and the Selling Shareholders have made or may make for the sharing of such costs and expenses.</w:t>
      </w:r>
    </w:p>
    <w:p>
      <w:pPr>
        <w:spacing w:after="0" w:line="161" w:lineRule="exact"/>
        <w:rPr>
          <w:rFonts w:ascii="Arial" w:cs="Arial" w:eastAsia="Arial" w:hAnsi="Arial"/>
          <w:sz w:val="16"/>
          <w:szCs w:val="16"/>
          <w:color w:val="auto"/>
        </w:rPr>
      </w:pPr>
    </w:p>
    <w:p>
      <w:pPr>
        <w:ind w:left="8" w:right="80" w:firstLine="316"/>
        <w:spacing w:after="0" w:line="259" w:lineRule="auto"/>
        <w:tabs>
          <w:tab w:leader="none" w:pos="7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of the Selling Shareholders will deliver to the Representatives (or their agent), on or prior to the date of execution of this Agreement, a properly completed and executed FinCEN Certification, together with copies of identifying documentation, of such Selling Shareholder and such Selling Shareholder undertakes to provide such additional supporting documentation as each Underwriter may reasonably request in connection with the verification of the FinCEN Certification.</w:t>
      </w:r>
    </w:p>
    <w:p>
      <w:pPr>
        <w:spacing w:after="0" w:line="200" w:lineRule="exact"/>
        <w:rPr>
          <w:sz w:val="20"/>
          <w:szCs w:val="20"/>
          <w:color w:val="auto"/>
        </w:rPr>
      </w:pPr>
    </w:p>
    <w:p>
      <w:pPr>
        <w:spacing w:after="0" w:line="20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8" w:name="page19"/>
    <w:bookmarkEnd w:id="18"/>
    <w:p>
      <w:pPr>
        <w:jc w:val="both"/>
        <w:ind w:left="320" w:right="80" w:firstLine="320"/>
        <w:spacing w:after="0" w:line="259" w:lineRule="auto"/>
        <w:tabs>
          <w:tab w:leader="none" w:pos="109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contained herein as of the Execution Time and the Closing Date, to the accuracy of the statements of the Company made in any certificates pursuant to the provisions hereof, to the performance by the Company of its obligations hereunder and to the following additional conditions:</w:t>
      </w:r>
    </w:p>
    <w:p>
      <w:pPr>
        <w:spacing w:after="0" w:line="186" w:lineRule="exact"/>
        <w:rPr>
          <w:rFonts w:ascii="Arial" w:cs="Arial" w:eastAsia="Arial" w:hAnsi="Arial"/>
          <w:sz w:val="18"/>
          <w:szCs w:val="18"/>
          <w:color w:val="auto"/>
        </w:rPr>
      </w:pPr>
    </w:p>
    <w:p>
      <w:pPr>
        <w:ind w:right="180" w:firstLine="316"/>
        <w:spacing w:after="0" w:line="301" w:lineRule="auto"/>
        <w:tabs>
          <w:tab w:leader="none" w:pos="7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Final Prospectus, and any supplement thereto, shall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57" w:lineRule="exact"/>
        <w:rPr>
          <w:rFonts w:ascii="Arial" w:cs="Arial" w:eastAsia="Arial" w:hAnsi="Arial"/>
          <w:sz w:val="16"/>
          <w:szCs w:val="16"/>
          <w:color w:val="auto"/>
        </w:rPr>
      </w:pPr>
    </w:p>
    <w:p>
      <w:pPr>
        <w:ind w:right="780" w:firstLine="316"/>
        <w:spacing w:after="0" w:line="308" w:lineRule="auto"/>
        <w:tabs>
          <w:tab w:leader="none" w:pos="7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shall have requested and caused Wachtell, Lipton, Rosen &amp; Katz, counsel for the Company, to have furnished to the Representatives their opinion and negative assurance letter, dated the Closing Date and addressed to the Representatives.</w:t>
      </w:r>
    </w:p>
    <w:p>
      <w:pPr>
        <w:spacing w:after="0" w:line="146" w:lineRule="exact"/>
        <w:rPr>
          <w:rFonts w:ascii="Arial" w:cs="Arial" w:eastAsia="Arial" w:hAnsi="Arial"/>
          <w:sz w:val="17"/>
          <w:szCs w:val="17"/>
          <w:color w:val="auto"/>
        </w:rPr>
      </w:pPr>
    </w:p>
    <w:p>
      <w:pPr>
        <w:ind w:right="120" w:firstLine="316"/>
        <w:spacing w:after="0" w:line="277" w:lineRule="auto"/>
        <w:tabs>
          <w:tab w:leader="none" w:pos="7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from Joseph J. LaRosa, Executive Vice President, General Counsel and Secretary of the Company, his opinion, dated the Closing Date and addressed to the Representatives.</w:t>
      </w:r>
    </w:p>
    <w:p>
      <w:pPr>
        <w:spacing w:after="0" w:line="170" w:lineRule="exact"/>
        <w:rPr>
          <w:rFonts w:ascii="Arial" w:cs="Arial" w:eastAsia="Arial" w:hAnsi="Arial"/>
          <w:sz w:val="18"/>
          <w:szCs w:val="18"/>
          <w:color w:val="auto"/>
        </w:rPr>
      </w:pPr>
    </w:p>
    <w:p>
      <w:pPr>
        <w:ind w:firstLine="316"/>
        <w:spacing w:after="0" w:line="259" w:lineRule="auto"/>
        <w:tabs>
          <w:tab w:leader="none" w:pos="7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Selling Shareholders shall (i) have furnished to the Representative an opinion of the Vice President, Global Head of Legal Corporate of Sanofi pursuant to the laws of France, dated the Closing Date and addressed to the Representatives, and (ii) have requested and caused Weil, Gotshal &amp; Manges LLP, counsel for the Selling Shareholders, to have furnished to the Representatives their opinion pursuant to the laws of the United States, dated the Closing Date and addressed to the Representatives.</w:t>
      </w:r>
    </w:p>
    <w:p>
      <w:pPr>
        <w:spacing w:after="0" w:line="186" w:lineRule="exact"/>
        <w:rPr>
          <w:rFonts w:ascii="Arial" w:cs="Arial" w:eastAsia="Arial" w:hAnsi="Arial"/>
          <w:sz w:val="18"/>
          <w:szCs w:val="18"/>
          <w:color w:val="auto"/>
        </w:rPr>
      </w:pPr>
    </w:p>
    <w:p>
      <w:pPr>
        <w:ind w:right="120" w:firstLine="316"/>
        <w:spacing w:after="0" w:line="311" w:lineRule="auto"/>
        <w:tabs>
          <w:tab w:leader="none" w:pos="7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Representatives shall have received from Ropes &amp; Gray LLP, counsel for the Underwriters, their opinion and negative assurance letter, dated the Closing Date and addressed to the Representatives, with respect to such matters as the Representatives may reasonably require, and the Company shall have furnished to such counsel such documents as they request for the purpose of enabling them to pass upon such matters.</w:t>
      </w:r>
    </w:p>
    <w:p>
      <w:pPr>
        <w:spacing w:after="0" w:line="148" w:lineRule="exact"/>
        <w:rPr>
          <w:rFonts w:ascii="Arial" w:cs="Arial" w:eastAsia="Arial" w:hAnsi="Arial"/>
          <w:sz w:val="16"/>
          <w:szCs w:val="16"/>
          <w:color w:val="auto"/>
        </w:rPr>
      </w:pPr>
    </w:p>
    <w:p>
      <w:pPr>
        <w:ind w:right="680" w:firstLine="316"/>
        <w:spacing w:after="0" w:line="277" w:lineRule="auto"/>
        <w:tabs>
          <w:tab w:leader="none" w:pos="7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of the Company, signed by the Chief Financial Officer of the Company, dated the Closing Date, to the effect that:</w:t>
      </w:r>
    </w:p>
    <w:p>
      <w:pPr>
        <w:spacing w:after="0" w:line="170" w:lineRule="exact"/>
        <w:rPr>
          <w:sz w:val="20"/>
          <w:szCs w:val="20"/>
          <w:color w:val="auto"/>
        </w:rPr>
      </w:pPr>
    </w:p>
    <w:p>
      <w:pPr>
        <w:ind w:left="320" w:right="60" w:firstLine="320"/>
        <w:spacing w:after="0" w:line="263" w:lineRule="auto"/>
        <w:tabs>
          <w:tab w:leader="none" w:pos="14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320" w:right="180" w:firstLine="320"/>
        <w:spacing w:after="0" w:line="277" w:lineRule="auto"/>
        <w:tabs>
          <w:tab w:leader="none" w:pos="14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320" w:right="40" w:firstLine="320"/>
        <w:spacing w:after="0" w:line="263" w:lineRule="auto"/>
        <w:tabs>
          <w:tab w:leader="none" w:pos="14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Final Prospectus (exclusive of any supplement thereto), there has been no Material Adverse Effect, except as set forth in or contemplated in the Disclosure Package and the Final Prospectus (exclusive of any supplement thereto).</w:t>
      </w:r>
    </w:p>
    <w:p>
      <w:pPr>
        <w:spacing w:after="0" w:line="183" w:lineRule="exact"/>
        <w:rPr>
          <w:rFonts w:ascii="Arial" w:cs="Arial" w:eastAsia="Arial" w:hAnsi="Arial"/>
          <w:sz w:val="18"/>
          <w:szCs w:val="18"/>
          <w:color w:val="auto"/>
        </w:rPr>
      </w:pPr>
    </w:p>
    <w:p>
      <w:pPr>
        <w:ind w:right="40" w:firstLine="316"/>
        <w:spacing w:after="0" w:line="259" w:lineRule="auto"/>
        <w:tabs>
          <w:tab w:leader="none" w:pos="7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Representatives shall have received a certificate of each of the Selling Shareholders, dated the Closing Date, to the effect that the representations and warranties of such Selling Shareholder in this Agreement are true and correct on and as of the Closing Date with the same effect as if made on the Closing Date and such Selling Shareholder has complied with all the agreements and satisfied all the conditions on its part to be performed or satisfied at or prior to the Closing Date.</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9" w:name="page20"/>
    <w:bookmarkEnd w:id="19"/>
    <w:p>
      <w:pPr>
        <w:ind w:firstLine="316"/>
        <w:spacing w:after="0" w:line="254" w:lineRule="auto"/>
        <w:tabs>
          <w:tab w:leader="none" w:pos="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requested and caused PricewaterhouseCoopers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containing statements and information of the type ordinarily included in accountants’ “comfort letters” to underwriters with respect to the financial statements and certain financial information with respect to the Company incorporated by reference in the Registration Statement and the Final Prospectus; provided that the letter delivered on the Closing Date shall use a “cut-off date” not earlier than the date hereof. References to the Final Prospectus in this paragraph (h) include any supplement thereto at the date of such letter.</w:t>
      </w:r>
    </w:p>
    <w:p>
      <w:pPr>
        <w:spacing w:after="0" w:line="194" w:lineRule="exact"/>
        <w:rPr>
          <w:rFonts w:ascii="Arial" w:cs="Arial" w:eastAsia="Arial" w:hAnsi="Arial"/>
          <w:sz w:val="18"/>
          <w:szCs w:val="18"/>
          <w:color w:val="auto"/>
        </w:rPr>
      </w:pPr>
    </w:p>
    <w:p>
      <w:pPr>
        <w:ind w:right="40" w:firstLine="316"/>
        <w:spacing w:after="0" w:line="254" w:lineRule="auto"/>
        <w:tabs>
          <w:tab w:leader="none" w:pos="7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(i) any change or decrease specified in the letter or letters referred to in paragraph (h) of this Section 6 or (ii) any change, or any development involving a reasonably foreseeable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191" w:lineRule="exact"/>
        <w:rPr>
          <w:rFonts w:ascii="Arial" w:cs="Arial" w:eastAsia="Arial" w:hAnsi="Arial"/>
          <w:sz w:val="18"/>
          <w:szCs w:val="18"/>
          <w:color w:val="auto"/>
        </w:rPr>
      </w:pPr>
    </w:p>
    <w:p>
      <w:pPr>
        <w:ind w:right="100" w:firstLine="316"/>
        <w:spacing w:after="0" w:line="277" w:lineRule="auto"/>
        <w:tabs>
          <w:tab w:leader="none" w:pos="7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date of this Agreement, the Representatives shall have received an agreement substantially in the form of Exhibit A hereto signed by each of the Selling Shareholders.</w:t>
      </w:r>
    </w:p>
    <w:p>
      <w:pPr>
        <w:spacing w:after="0" w:line="170" w:lineRule="exact"/>
        <w:rPr>
          <w:rFonts w:ascii="Arial" w:cs="Arial" w:eastAsia="Arial" w:hAnsi="Arial"/>
          <w:sz w:val="18"/>
          <w:szCs w:val="18"/>
          <w:color w:val="auto"/>
        </w:rPr>
      </w:pPr>
    </w:p>
    <w:p>
      <w:pPr>
        <w:ind w:right="140" w:firstLine="316"/>
        <w:spacing w:after="0" w:line="259" w:lineRule="auto"/>
        <w:tabs>
          <w:tab w:leader="none" w:pos="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Underwriters exercise their option provided in Section 2(b) hereof to purchase all or any portion of the Option Securities, the representations and warranties of the Company and the Selling Shareholders contained herein and the statements in any certificates furnished by the Company, any of its subsidiaries and the Selling Shareholders hereunder shall be true and correct as of each Date of Delivery and, at the relevant Date of Delivery, the Representatives shall have received:</w:t>
      </w:r>
    </w:p>
    <w:p>
      <w:pPr>
        <w:spacing w:after="0" w:line="186" w:lineRule="exact"/>
        <w:rPr>
          <w:rFonts w:ascii="Arial" w:cs="Arial" w:eastAsia="Arial" w:hAnsi="Arial"/>
          <w:sz w:val="18"/>
          <w:szCs w:val="18"/>
          <w:color w:val="auto"/>
        </w:rPr>
      </w:pPr>
    </w:p>
    <w:p>
      <w:pPr>
        <w:ind w:left="320" w:right="40" w:firstLine="320"/>
        <w:spacing w:after="0" w:line="308" w:lineRule="auto"/>
        <w:tabs>
          <w:tab w:leader="none" w:pos="148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 certificate of the Company, signed by the Chief Financial Officer of the Company, dated such Date of Delivery, confirming that the certificate on the Closing Date pursuant to Section 6(f) hereof remains true and correct as of such Date of Delivery.</w:t>
      </w:r>
    </w:p>
    <w:p>
      <w:pPr>
        <w:spacing w:after="0" w:line="146" w:lineRule="exact"/>
        <w:rPr>
          <w:rFonts w:ascii="Arial" w:cs="Arial" w:eastAsia="Arial" w:hAnsi="Arial"/>
          <w:sz w:val="17"/>
          <w:szCs w:val="17"/>
          <w:color w:val="auto"/>
        </w:rPr>
      </w:pPr>
    </w:p>
    <w:p>
      <w:pPr>
        <w:ind w:left="320" w:right="440" w:firstLine="320"/>
        <w:spacing w:after="0" w:line="277" w:lineRule="auto"/>
        <w:tabs>
          <w:tab w:leader="none" w:pos="144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certificate of each of the Selling Shareholders, dated such Date of Delivery, confirming that the certificate delivered on the Closing Date pursuant to Section 6(g) hereof remains true and correct as of such Date of Delivery.</w:t>
      </w:r>
    </w:p>
    <w:p>
      <w:pPr>
        <w:spacing w:after="0" w:line="170" w:lineRule="exact"/>
        <w:rPr>
          <w:rFonts w:ascii="Arial" w:cs="Arial" w:eastAsia="Arial" w:hAnsi="Arial"/>
          <w:sz w:val="18"/>
          <w:szCs w:val="18"/>
          <w:color w:val="auto"/>
        </w:rPr>
      </w:pPr>
    </w:p>
    <w:p>
      <w:pPr>
        <w:ind w:left="320" w:firstLine="320"/>
        <w:spacing w:after="0" w:line="286" w:lineRule="auto"/>
        <w:tabs>
          <w:tab w:leader="none" w:pos="1408" w:val="left"/>
        </w:tabs>
        <w:numPr>
          <w:ilvl w:val="1"/>
          <w:numId w:val="33"/>
        </w:numPr>
        <w:rPr>
          <w:rFonts w:ascii="Arial" w:cs="Arial" w:eastAsia="Arial" w:hAnsi="Arial"/>
          <w:sz w:val="17"/>
          <w:szCs w:val="17"/>
          <w:color w:val="auto"/>
        </w:rPr>
      </w:pPr>
      <w:r>
        <w:rPr>
          <w:rFonts w:ascii="Arial" w:cs="Arial" w:eastAsia="Arial" w:hAnsi="Arial"/>
          <w:sz w:val="17"/>
          <w:szCs w:val="17"/>
          <w:color w:val="auto"/>
        </w:rPr>
        <w:t>If requested by the Representatives, the favorable opinion and negative assurance letter of Wachtell, Lipton, Rosen &amp; Katz, counsel for the Company, in form and substance satisfactory to the Representatives, dated such Date of Delivery, relating to the Option Securities to be purchased on such Date of Delivery and otherwise to the same effect as the opinion required by Section 6(b) hereof.</w:t>
      </w:r>
    </w:p>
    <w:p>
      <w:pPr>
        <w:spacing w:after="0" w:line="165" w:lineRule="exact"/>
        <w:rPr>
          <w:rFonts w:ascii="Arial" w:cs="Arial" w:eastAsia="Arial" w:hAnsi="Arial"/>
          <w:sz w:val="17"/>
          <w:szCs w:val="17"/>
          <w:color w:val="auto"/>
        </w:rPr>
      </w:pPr>
    </w:p>
    <w:p>
      <w:pPr>
        <w:ind w:left="320" w:right="20" w:firstLine="320"/>
        <w:spacing w:after="0" w:line="286" w:lineRule="auto"/>
        <w:tabs>
          <w:tab w:leader="none" w:pos="1443" w:val="left"/>
        </w:tabs>
        <w:numPr>
          <w:ilvl w:val="1"/>
          <w:numId w:val="33"/>
        </w:numPr>
        <w:rPr>
          <w:rFonts w:ascii="Arial" w:cs="Arial" w:eastAsia="Arial" w:hAnsi="Arial"/>
          <w:sz w:val="17"/>
          <w:szCs w:val="17"/>
          <w:color w:val="auto"/>
        </w:rPr>
      </w:pPr>
      <w:r>
        <w:rPr>
          <w:rFonts w:ascii="Arial" w:cs="Arial" w:eastAsia="Arial" w:hAnsi="Arial"/>
          <w:sz w:val="17"/>
          <w:szCs w:val="17"/>
          <w:color w:val="auto"/>
        </w:rPr>
        <w:t>If requested by the Representatives, the favorable opinion of Joseph J. LaRosa, Executive Vice President, General Counsel and Secretary of the Company, in form and substance satisfactory to the Representatives, dated such Date of Delivery, relating to the Option Securities to be purchased on such Date of Delivery and otherwise to the same effect as the opinion required by Section 6(c) hereof.</w:t>
      </w:r>
    </w:p>
    <w:p>
      <w:pPr>
        <w:spacing w:after="0" w:line="3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20" w:name="page21"/>
    <w:bookmarkEnd w:id="20"/>
    <w:p>
      <w:pPr>
        <w:ind w:left="660" w:right="420" w:firstLine="320"/>
        <w:spacing w:after="0" w:line="296" w:lineRule="auto"/>
        <w:tabs>
          <w:tab w:leader="none" w:pos="1778"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requested by the Representatives, the favorable opinion of (i) the Vice President, Global Head of Legal Corporate of Sanofi pursuant to the laws of France, dated such Date of Delivery, relating to the Option Securities to be purchased on such Date of Delivery and otherwise to the same effect as the opinion required by Section 6(d)(i) hereof and (ii) Weil, Gotshal &amp; Manges LLP, counsel for the Selling Shareholders, in form and substance satisfactory to the Representatives, dated such Date of Delivery, relating to the Option Securities to be purchased on such Date of Delivery and otherwise to the same effect as the opinion required by Section 6(d)(ii) hereof.</w:t>
      </w:r>
    </w:p>
    <w:p>
      <w:pPr>
        <w:spacing w:after="0" w:line="161" w:lineRule="exact"/>
        <w:rPr>
          <w:rFonts w:ascii="Arial" w:cs="Arial" w:eastAsia="Arial" w:hAnsi="Arial"/>
          <w:sz w:val="16"/>
          <w:szCs w:val="16"/>
          <w:color w:val="auto"/>
        </w:rPr>
      </w:pPr>
    </w:p>
    <w:p>
      <w:pPr>
        <w:ind w:left="660" w:right="400" w:firstLine="320"/>
        <w:spacing w:after="0" w:line="286" w:lineRule="auto"/>
        <w:tabs>
          <w:tab w:leader="none" w:pos="1783"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requested by the Representatives, the favorable opinion and negative assurance letter of Ropes &amp; Gray LLP, counsel for the Underwriters, in form and substance satisfactory to the Representatives, dated such Date of Delivery, relating to the Option Securities to be purchased on such Date of Delivery and otherwise to the same effect as the opinion required by Section 6(e) hereof.</w:t>
      </w:r>
    </w:p>
    <w:p>
      <w:pPr>
        <w:spacing w:after="0" w:line="165" w:lineRule="exact"/>
        <w:rPr>
          <w:rFonts w:ascii="Arial" w:cs="Arial" w:eastAsia="Arial" w:hAnsi="Arial"/>
          <w:sz w:val="17"/>
          <w:szCs w:val="17"/>
          <w:color w:val="auto"/>
        </w:rPr>
      </w:pPr>
    </w:p>
    <w:p>
      <w:pPr>
        <w:ind w:left="660" w:right="140" w:firstLine="320"/>
        <w:spacing w:after="0" w:line="259" w:lineRule="auto"/>
        <w:tabs>
          <w:tab w:leader="none" w:pos="17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requested by the Representatives, a letter from PricewaterhouseCoopers LLP in form and substance satisfactory to the Representatives and dated such Date of Delivery, substantially in the same form and substance as the letter furnished to the Representatives pursuant to Section 6(h) hereof, except that the “cut-off date” in the letter furnished pursuant to this paragraph shall be a date not more than three Business Days prior to such Date of Delivery.</w:t>
      </w:r>
    </w:p>
    <w:p>
      <w:pPr>
        <w:spacing w:after="0" w:line="186" w:lineRule="exact"/>
        <w:rPr>
          <w:rFonts w:ascii="Arial" w:cs="Arial" w:eastAsia="Arial" w:hAnsi="Arial"/>
          <w:sz w:val="18"/>
          <w:szCs w:val="18"/>
          <w:color w:val="auto"/>
        </w:rPr>
      </w:pPr>
    </w:p>
    <w:p>
      <w:pPr>
        <w:ind w:left="340" w:right="740" w:firstLine="316"/>
        <w:spacing w:after="0" w:line="277" w:lineRule="auto"/>
        <w:tabs>
          <w:tab w:leader="none" w:pos="11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Closing Date and each Date of Delivery (if any), the Company shall have furnished to the Representatives such further information, certificates and documents as the Representatives may reasonably request.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or, in the case of any condition to the purchase of Option Securities on a Date of Delivery which is after the Closing Date, the obligations of the several Underwriters to purchase the relevant Option Securities, and all other obligations of the Underwriters hereunder may be canceled at, or at any time prior to, the Closing Date or such Date of Delivery, as the case may be, by the Representatives. Notice of such cancellation shall be given to the Company and the Selling Shareholder in writing or by telephone or facsimile confirmed in writing.</w:t>
      </w:r>
    </w:p>
    <w:p>
      <w:pPr>
        <w:spacing w:after="0" w:line="16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documents required to be delivered by this Section 6 shall be delivered at the office of Ropes &amp; Gray LLP, counsel for the Underwriters, at 800 Boylston Street Boston, Massachusetts 02199-3600, on the Closing Date. Such documents may be delivered via facsimile, electronic mail or other transmission method and any document so delivered shall be deemed to have been duly and validly delivered.</w:t>
      </w:r>
    </w:p>
    <w:p>
      <w:pPr>
        <w:spacing w:after="0" w:line="165" w:lineRule="exact"/>
        <w:rPr>
          <w:sz w:val="20"/>
          <w:szCs w:val="20"/>
          <w:color w:val="auto"/>
        </w:rPr>
      </w:pPr>
    </w:p>
    <w:p>
      <w:pPr>
        <w:ind w:left="660" w:firstLine="320"/>
        <w:spacing w:after="0" w:line="273" w:lineRule="auto"/>
        <w:tabs>
          <w:tab w:leader="none" w:pos="1434"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Selling Shareholders to perform any agreement herein or comply with any provision hereof other than by reason of a default by any of the Underwriters, the Selling Shareholders will reimburse the Underwriters severally through the Representatives on demand for all expenses (including reasonable fees and disbursements of counsel) that shall have been incurred by them in connection with the proposed purchase and sale of the Securities.</w:t>
      </w:r>
    </w:p>
    <w:p>
      <w:pPr>
        <w:spacing w:after="0" w:line="177" w:lineRule="exact"/>
        <w:rPr>
          <w:rFonts w:ascii="Arial" w:cs="Arial" w:eastAsia="Arial" w:hAnsi="Arial"/>
          <w:sz w:val="17"/>
          <w:szCs w:val="17"/>
          <w:color w:val="auto"/>
        </w:rPr>
      </w:pPr>
    </w:p>
    <w:p>
      <w:pPr>
        <w:ind w:left="1420" w:hanging="440"/>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right="20" w:firstLine="316"/>
        <w:spacing w:after="0" w:line="268" w:lineRule="auto"/>
        <w:tabs>
          <w:tab w:leader="none" w:pos="108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Disclosure Package, the Final Prospectus, any Issuer Free Writing Prospectus (including, for the avoidance of doubt, any “roadshow” as defined in Rule 433(h) under the Act (a “roadshow”)),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the Selling Shareholder Information (as defined below) or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316"/>
        <w:spacing w:after="0" w:line="285" w:lineRule="auto"/>
        <w:tabs>
          <w:tab w:leader="none" w:pos="7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Selling Shareholders agree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Disclosure Package, the Final Prospectus, any Issuer Free Writing Prospectus, any Selling Shareholder Free Writing Prospectus or any roadshow, or in any amendment thereof or supplement thereto, or arise out of or are based upon the omission or alleged omission to state therein a material fact required to be stated therein or necessary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the Selling Shareholders will only be liable in any such case to the extent that any such loss, claim, damage or liability arises out of or is based upon any such untrue statement or alleged untrue statement or omission or alleged omission made therein in reliance upon and in conformity with the Selling Shareholder Information; provided further, that, for purposes of this Agreement, the Company and the Underwriters acknowledge that the only “Selling Shareholder Information” is the information about the Selling Shareholders set forth under the caption “Selling Shareholders” (other than the information regarding percentage of the Company’s common stock, the Class A stock and economic interest in the Company owned by the Selling Shareholders appearing under such caption). The liability of the Selling Shareholders under this indemnification provision shall be limited to an amount equal to the gross proceeds to the Selling Shareholders from the sale of the Securities pursuant to this Agreement.</w:t>
      </w:r>
    </w:p>
    <w:p>
      <w:pPr>
        <w:spacing w:after="0" w:line="171" w:lineRule="exact"/>
        <w:rPr>
          <w:rFonts w:ascii="Arial" w:cs="Arial" w:eastAsia="Arial" w:hAnsi="Arial"/>
          <w:sz w:val="16"/>
          <w:szCs w:val="16"/>
          <w:color w:val="auto"/>
        </w:rPr>
      </w:pPr>
    </w:p>
    <w:p>
      <w:pPr>
        <w:ind w:right="40" w:firstLine="316"/>
        <w:spacing w:after="0" w:line="287" w:lineRule="auto"/>
        <w:tabs>
          <w:tab w:leader="none" w:pos="7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and the Selling Shareholders and each person who controls each of the Selling Shareholders within the meaning of the Act or the Exchange Act, to the same extent as the foregoing indemnity from the Company or the Selling Shareholders, as applicable,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and the Selling Shareholders each acknowledge that the statements set forth (i) in the last paragraph of the cover page regarding delivery of the Securities and (ii) under the heading “Underwriting”, (A) the names of Underwriters, (B) the sentences related to concessions and reallowances, and (C) the paragraphs related to stabilization and syndicate covering transactions in any Preliminary Prospectus and the Final Prospectus constitute the only information furnished in writing by or on behalf of the several Underwriters for inclusion in any Preliminary Prospectus, the Final Prospectus, any Issuer Free Writing Prospectus, any Selling Shareholder Free Writing Prospectus or any roadshow.</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22" w:name="page23"/>
    <w:bookmarkEnd w:id="22"/>
    <w:p>
      <w:pPr>
        <w:ind w:right="40" w:firstLine="316"/>
        <w:spacing w:after="0" w:line="284" w:lineRule="auto"/>
        <w:tabs>
          <w:tab w:leader="none" w:pos="714"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(b) or (c) above, as applicable.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(which consent will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indemnifying party shall not be liable under this Section 8 to any indemnified party regarding any settlement or compromise or consent to the entry of any judgment with respect to any pending or threatened claim, action, suit or proceeding to which such indemnified party is or could have been a party and in respect of which indemnification or contribution may be sought hereunder unless such settlement, compromise or consent is consented to by such indemnifying party (which consent shall not be unreasonably withheld) in which case such indemnifying party agrees to indemnify and hold harmless the indemnified parties from and against any loss or liability by reason of such settlement, compromise or consent.</w:t>
      </w:r>
    </w:p>
    <w:p>
      <w:pPr>
        <w:spacing w:after="0" w:line="171" w:lineRule="exact"/>
        <w:rPr>
          <w:rFonts w:ascii="Arial" w:cs="Arial" w:eastAsia="Arial" w:hAnsi="Arial"/>
          <w:sz w:val="16"/>
          <w:szCs w:val="16"/>
          <w:color w:val="auto"/>
        </w:rPr>
      </w:pPr>
    </w:p>
    <w:p>
      <w:pPr>
        <w:ind w:firstLine="316"/>
        <w:spacing w:after="0" w:line="284" w:lineRule="auto"/>
        <w:tabs>
          <w:tab w:leader="none" w:pos="7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8 is unavailable to or insufficient to hold harmless an indemnified party for any reason, the Company, the Selling Shareholders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Company, the Selling Shareholders and one or more of the Underwriters may be subject in such proportion as is appropriate to reflect the benefits received by the Selling Shareholder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the Selling Shareholders and the Underwriters severally shall contribute in such proportion as is appropriate to reflect not only such relative benefits but also the relative fault of the Company and the Selling Shareholders on the one hand and of the Underwriters on the other in connection with the statements or omissions which resulted in such Losses as well as any other relevant equitable considerations. Benefits received by the Company and the Selling Shareholders shall be deemed to be equal to the total net proceeds from the offering (before deducting expenses) received by them, respectively,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the Selling Shareholders on the one hand or the Underwriters on the other, the intent of the parties and their relative knowledge, access to information and opportunity to correct or prevent such untrue statement or omission. The Company, the Selling Shareholders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(e),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each person who controls the Company within the meaning of either the Act or the Exchange Act, each officer of the Company who shall have signed the Registration Statement and each director of the Company shall have the same rights to contribution as the Company, and each person who controls the Selling Shareholders within the meaning of either the Act or the Exchange Act shall have the same rights to contribution as the Selling Shareholders, subject in each case to the applicable terms and conditions of this paragraph (e).</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23" w:name="page24"/>
    <w:bookmarkEnd w:id="23"/>
    <w:p>
      <w:pPr>
        <w:ind w:right="340" w:firstLine="316"/>
        <w:spacing w:after="0" w:line="277" w:lineRule="auto"/>
        <w:tabs>
          <w:tab w:leader="none" w:pos="7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of this Section 8 shall not affect any agreement among the Company and any of the Selling Shareholders with respect to indemnification or contribution.</w:t>
      </w:r>
    </w:p>
    <w:p>
      <w:pPr>
        <w:spacing w:after="0" w:line="170" w:lineRule="exact"/>
        <w:rPr>
          <w:rFonts w:ascii="Arial" w:cs="Arial" w:eastAsia="Arial" w:hAnsi="Arial"/>
          <w:sz w:val="18"/>
          <w:szCs w:val="18"/>
          <w:color w:val="auto"/>
        </w:rPr>
      </w:pPr>
    </w:p>
    <w:p>
      <w:pPr>
        <w:ind w:left="320" w:firstLine="320"/>
        <w:spacing w:after="0" w:line="268" w:lineRule="auto"/>
        <w:tabs>
          <w:tab w:leader="none" w:pos="1094"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number of shares of Securities set forth opposite their names in Schedule A hereto bears to the number of shares of Securities set forth opposite the names of all the remaining Underwriters) the Securities which the defaulting Underwriter or Underwriters agreed but failed to purchase; provided, however, that in the event that the number of Securities which the defaulting Underwriter or Underwriters agreed but failed to purchase shall exceed 10% of the total number of Securities set forth in Schedule A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Selling Shareholder or the Company. In the event of a default by any Underwriter as set forth in this Section 9(a), the Closing Date or Date of Delivery, as the case may be,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the Selling Shareholder and any nondefaulting Underwriter for damages occasioned by its default hereunder.</w:t>
      </w:r>
    </w:p>
    <w:p>
      <w:pPr>
        <w:spacing w:after="0" w:line="184" w:lineRule="exact"/>
        <w:rPr>
          <w:rFonts w:ascii="Arial" w:cs="Arial" w:eastAsia="Arial" w:hAnsi="Arial"/>
          <w:sz w:val="17"/>
          <w:szCs w:val="17"/>
          <w:color w:val="auto"/>
        </w:rPr>
      </w:pPr>
    </w:p>
    <w:p>
      <w:pPr>
        <w:ind w:left="320" w:right="120" w:firstLine="320"/>
        <w:spacing w:after="0" w:line="253" w:lineRule="auto"/>
        <w:tabs>
          <w:tab w:leader="none" w:pos="104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be subject to termination in the absolute discretion of the Representatives, by notice given to the Company and the Selling Shareholders prior to delivery of and payment for the Securities, if at any time prior to such delivery and payment (i) trading in the Company’s Common Stock shall have been suspended by the Commission or the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96" w:lineRule="exact"/>
        <w:rPr>
          <w:rFonts w:ascii="Arial" w:cs="Arial" w:eastAsia="Arial" w:hAnsi="Arial"/>
          <w:sz w:val="18"/>
          <w:szCs w:val="18"/>
          <w:color w:val="auto"/>
        </w:rPr>
      </w:pPr>
    </w:p>
    <w:p>
      <w:pPr>
        <w:ind w:left="320" w:firstLine="320"/>
        <w:spacing w:after="0" w:line="275" w:lineRule="auto"/>
        <w:tabs>
          <w:tab w:leader="none" w:pos="104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and other statements of the Company or its officers, the Selling Shareholders and the Underwriters set forth in or made pursuant to this Agreement will remain in full force and effect, regardless of any investigation made by or on behalf of any Underwriter, the Selling Shareholders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3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660" w:top="908" w:right="379" w:bottom="1440" w:gutter="0" w:footer="0" w:header="0"/>
        </w:sectPr>
      </w:pPr>
    </w:p>
    <w:bookmarkStart w:id="24" w:name="page25"/>
    <w:bookmarkEnd w:id="24"/>
    <w:p>
      <w:pPr>
        <w:ind w:left="660" w:right="40" w:firstLine="320"/>
        <w:spacing w:after="0" w:line="255" w:lineRule="auto"/>
        <w:tabs>
          <w:tab w:leader="none" w:pos="138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(a) if sent to the Underwriters, will be mailed, delivered or telefaxed to (i) BofA Securities, Inc., One Bryant Park, New York, New York 10036, Attention: Syndicate Department, with a copy to ECM Legal; and (ii) Goldman Sachs &amp; Co. LLC, 200 West Street, New York, New York 10282, Attention: Registration Department; if sent to the Company, will be mailed, delivered or telefaxed to Regeneron Pharmaceuticals, Inc., 777 Old Saw Mill River Road Tarrytown, New York 10591-6707, attention of the General Counsel; and if sent to the Selling Shareholders, will be mailed, delivered or telefaxed to Sanofi, 54, rue de Boétie, 75008, Paris, France, Attention: General Counsel.</w:t>
      </w:r>
    </w:p>
    <w:p>
      <w:pPr>
        <w:spacing w:after="0" w:line="192" w:lineRule="exact"/>
        <w:rPr>
          <w:rFonts w:ascii="Arial" w:cs="Arial" w:eastAsia="Arial" w:hAnsi="Arial"/>
          <w:sz w:val="18"/>
          <w:szCs w:val="18"/>
          <w:color w:val="auto"/>
        </w:rPr>
      </w:pPr>
    </w:p>
    <w:p>
      <w:pPr>
        <w:ind w:left="660" w:right="80" w:firstLine="320"/>
        <w:spacing w:after="0" w:line="263" w:lineRule="auto"/>
        <w:tabs>
          <w:tab w:leader="none" w:pos="138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ind w:left="660" w:firstLine="320"/>
        <w:spacing w:after="0" w:line="269" w:lineRule="auto"/>
        <w:tabs>
          <w:tab w:leader="none" w:pos="1389"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Company and the Selling Shareholders hereby acknowledge that (a) the purchase and sale of the Securities pursuant to this Agreement is an arm’s-length commercial transaction between the Company and the Selling Shareholders, on the one hand, and the Underwriters and any affiliate through which it may be acting, on the other, (b) the Underwriters are acting as principal and not as an agent or fiduciary of the Company or the Selling Shareholders and (c) the Company’s and the Selling Shareholders’ engagement of the Underwriters in connection with the offering and the process leading up to the offering is as independent contractors and not in any other capacity. Furthermore, each of the Company and the Selling Shareholders agree that it is solely responsible for making its own judgments in connection with the offering (irrespective of whether any of the Underwriters has advised or is currently advising the Company or the Selling Shareholders on related or other matters). Each of the Company and the Selling Shareholders agree that it will not claim that the Underwriters have rendered advisory services of any nature or respect, or owe an agency, fiduciary or similar duty to the Company or the Selling Shareholders, in connection with such transaction or the process leading thereto.</w:t>
      </w:r>
    </w:p>
    <w:p>
      <w:pPr>
        <w:spacing w:after="0" w:line="185" w:lineRule="exact"/>
        <w:rPr>
          <w:rFonts w:ascii="Arial" w:cs="Arial" w:eastAsia="Arial" w:hAnsi="Arial"/>
          <w:sz w:val="17"/>
          <w:szCs w:val="17"/>
          <w:color w:val="auto"/>
        </w:rPr>
      </w:pPr>
    </w:p>
    <w:p>
      <w:pPr>
        <w:ind w:left="660" w:right="400" w:firstLine="320"/>
        <w:spacing w:after="0" w:line="277" w:lineRule="auto"/>
        <w:tabs>
          <w:tab w:leader="none" w:pos="138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Shareholders and the Underwriters, or any of them, with respect to the subject matter hereof.</w:t>
      </w:r>
    </w:p>
    <w:p>
      <w:pPr>
        <w:spacing w:after="0" w:line="170" w:lineRule="exact"/>
        <w:rPr>
          <w:rFonts w:ascii="Arial" w:cs="Arial" w:eastAsia="Arial" w:hAnsi="Arial"/>
          <w:sz w:val="18"/>
          <w:szCs w:val="18"/>
          <w:color w:val="auto"/>
        </w:rPr>
      </w:pPr>
    </w:p>
    <w:p>
      <w:pPr>
        <w:ind w:left="660" w:right="60" w:firstLine="320"/>
        <w:spacing w:after="0" w:line="301" w:lineRule="auto"/>
        <w:tabs>
          <w:tab w:leader="none" w:pos="138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7" w:lineRule="exact"/>
        <w:rPr>
          <w:rFonts w:ascii="Arial" w:cs="Arial" w:eastAsia="Arial" w:hAnsi="Arial"/>
          <w:sz w:val="16"/>
          <w:szCs w:val="16"/>
          <w:color w:val="auto"/>
        </w:rPr>
      </w:pPr>
    </w:p>
    <w:p>
      <w:pPr>
        <w:ind w:left="340" w:right="40" w:firstLine="316"/>
        <w:spacing w:after="0" w:line="259" w:lineRule="auto"/>
        <w:tabs>
          <w:tab w:leader="none" w:pos="10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purposes of this Section a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right="60" w:firstLine="320"/>
        <w:spacing w:after="0" w:line="277" w:lineRule="auto"/>
        <w:tabs>
          <w:tab w:leader="none" w:pos="138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left="660" w:right="40" w:firstLine="320"/>
        <w:spacing w:after="0" w:line="277" w:lineRule="auto"/>
        <w:tabs>
          <w:tab w:leader="none" w:pos="138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660" w:right="140" w:firstLine="320"/>
        <w:spacing w:after="0" w:line="257" w:lineRule="auto"/>
        <w:tabs>
          <w:tab w:leader="none" w:pos="138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1380" w:hanging="400"/>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1(a)(i) above contained in the Registration Statement at the Execution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Package</w:t>
      </w:r>
      <w:r>
        <w:rPr>
          <w:rFonts w:ascii="Arial" w:cs="Arial" w:eastAsia="Arial" w:hAnsi="Arial"/>
          <w:sz w:val="17"/>
          <w:szCs w:val="17"/>
          <w:color w:val="auto"/>
        </w:rPr>
        <w:t>” shall mean (i) the Base Prospectus, (ii) the Preliminary Prospectus used most recently prior to the Execution Time, together with the information set forth on Exhibit B, (iii) the Issuer Free Writing Prospectuses, if any, identified in Schedule B hereto and (iv) any other Free Writing Prospectus that the parties hereto shall hereafter expressly agree in writing to treat as part of the Disclosure Package.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pursuant to Rule 424(b) after the Execution Time, together with the Base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shall mean any preliminary prospectus supplement to the Base Prospectus referred to in paragraph 1(a)(i) above which is filed with the Commission pursuant to Rule 424(b) under the Act and used prior to the filing of the Final Prospectus, together with the Base Prospectus.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the registration statement referred to in Section 1(a)(i)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Act.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 Free Writing Prospectus</w:t>
      </w:r>
      <w:r>
        <w:rPr>
          <w:rFonts w:ascii="Arial" w:cs="Arial" w:eastAsia="Arial" w:hAnsi="Arial"/>
          <w:sz w:val="18"/>
          <w:szCs w:val="18"/>
          <w:color w:val="auto"/>
        </w:rPr>
        <w:t>” shall mean any free writing prospectus required to be filed by or on behalf of any of the Selling Shareholders pursuant to Rule 433.</w:t>
      </w:r>
    </w:p>
    <w:p>
      <w:pPr>
        <w:spacing w:after="0" w:line="170" w:lineRule="exact"/>
        <w:rPr>
          <w:sz w:val="20"/>
          <w:szCs w:val="20"/>
          <w:color w:val="auto"/>
        </w:rPr>
      </w:pPr>
    </w:p>
    <w:p>
      <w:pPr>
        <w:ind w:left="660" w:right="180" w:firstLine="320"/>
        <w:spacing w:after="0" w:line="259" w:lineRule="auto"/>
        <w:tabs>
          <w:tab w:leader="none" w:pos="138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Shareholders and the several Underwriters.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Landry</w:t>
            </w:r>
          </w:p>
        </w:tc>
      </w:tr>
      <w:tr>
        <w:trPr>
          <w:trHeight w:val="195"/>
        </w:trPr>
        <w:tc>
          <w:tcPr>
            <w:tcW w:w="5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E. Landry</w:t>
            </w:r>
          </w:p>
        </w:tc>
      </w:t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Sanofi</w:t>
            </w:r>
          </w:p>
        </w:tc>
        <w:tc>
          <w:tcPr>
            <w:tcW w:w="5040" w:type="dxa"/>
            <w:vAlign w:val="bottom"/>
          </w:tcPr>
          <w:p>
            <w:pPr>
              <w:spacing w:after="0"/>
              <w:rPr>
                <w:sz w:val="24"/>
                <w:szCs w:val="24"/>
                <w:color w:val="auto"/>
              </w:rPr>
            </w:pPr>
          </w:p>
        </w:tc>
      </w:tr>
      <w:tr>
        <w:trPr>
          <w:trHeight w:val="432"/>
        </w:trPr>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Linehan</w:t>
            </w:r>
          </w:p>
        </w:tc>
      </w:tr>
      <w:tr>
        <w:trPr>
          <w:trHeight w:val="195"/>
        </w:trPr>
        <w:tc>
          <w:tcPr>
            <w:tcW w:w="5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Karen Linehan</w:t>
            </w:r>
          </w:p>
        </w:tc>
      </w:t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Legal Affairs and General Counsel</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Aventisub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Turbin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Philip Turbin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Mairin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Mairin Rooney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several Underwriters,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to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SCHEDULE A</w:t>
            </w: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Initial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Initial</w:t>
            </w: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Securities to be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to be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of Initial</w:t>
            </w:r>
          </w:p>
        </w:tc>
        <w:tc>
          <w:tcPr>
            <w:tcW w:w="0" w:type="dxa"/>
            <w:vAlign w:val="bottom"/>
          </w:tcPr>
          <w:p>
            <w:pPr>
              <w:spacing w:after="0"/>
              <w:rPr>
                <w:sz w:val="1"/>
                <w:szCs w:val="1"/>
                <w:color w:val="auto"/>
              </w:rPr>
            </w:pPr>
          </w:p>
        </w:tc>
      </w:tr>
      <w:tr>
        <w:trPr>
          <w:trHeight w:val="216"/>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Underwriter</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from</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from</w:t>
            </w: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Securities to be</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Sanofi</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Aventisub</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4,491,001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5,005,633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4,491,001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514,632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5,005,633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326,618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326,618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364,046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326,618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326,618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364,046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326,618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364,046</w:t>
            </w: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10,615,094</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1,216,402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11,831,496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Price per share paid by the Underwriters: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509.85</w:t>
            </w:r>
          </w:p>
        </w:tc>
        <w:tc>
          <w:tcPr>
            <w:tcW w:w="0" w:type="dxa"/>
            <w:vAlign w:val="bottom"/>
          </w:tcPr>
          <w:p>
            <w:pPr>
              <w:spacing w:after="0"/>
              <w:rPr>
                <w:sz w:val="1"/>
                <w:szCs w:val="1"/>
                <w:color w:val="auto"/>
              </w:rPr>
            </w:pP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ind w:left="3908"/>
        <w:spacing w:after="0"/>
        <w:rPr>
          <w:sz w:val="20"/>
          <w:szCs w:val="20"/>
          <w:color w:val="auto"/>
        </w:rPr>
      </w:pPr>
      <w:r>
        <w:rPr>
          <w:rFonts w:ascii="Arial" w:cs="Arial" w:eastAsia="Arial" w:hAnsi="Arial"/>
          <w:sz w:val="18"/>
          <w:szCs w:val="18"/>
          <w:b w:val="1"/>
          <w:bCs w:val="1"/>
          <w:color w:val="auto"/>
        </w:rPr>
        <w:t>Issuer Free Writing Prospectus</w:t>
      </w:r>
    </w:p>
    <w:p>
      <w:pPr>
        <w:spacing w:after="0" w:line="229" w:lineRule="exact"/>
        <w:rPr>
          <w:sz w:val="20"/>
          <w:szCs w:val="20"/>
          <w:color w:val="auto"/>
        </w:rPr>
      </w:pPr>
    </w:p>
    <w:p>
      <w:pPr>
        <w:ind w:left="328" w:right="600"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Free Writing Prospectus filed by the Company with the Commission on May 25, 2020 (and accepted for filing by the Commission on May 26, 2020) pursuant to Rule 433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408940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ind w:left="3388"/>
        <w:spacing w:after="0"/>
        <w:rPr>
          <w:sz w:val="20"/>
          <w:szCs w:val="20"/>
          <w:color w:val="auto"/>
        </w:rPr>
      </w:pPr>
      <w:r>
        <w:rPr>
          <w:rFonts w:ascii="Arial" w:cs="Arial" w:eastAsia="Arial" w:hAnsi="Arial"/>
          <w:sz w:val="18"/>
          <w:szCs w:val="18"/>
          <w:b w:val="1"/>
          <w:bCs w:val="1"/>
          <w:color w:val="auto"/>
        </w:rPr>
        <w:t>Selling Shareholder Free Writing Prospectus</w:t>
      </w:r>
    </w:p>
    <w:p>
      <w:pPr>
        <w:spacing w:after="0" w:line="229" w:lineRule="exact"/>
        <w:rPr>
          <w:sz w:val="20"/>
          <w:szCs w:val="20"/>
          <w:color w:val="auto"/>
        </w:rPr>
      </w:pPr>
    </w:p>
    <w:p>
      <w:pPr>
        <w:ind w:left="328" w:right="520" w:hanging="328"/>
        <w:spacing w:after="0" w:line="277"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Free Writing Prospectus filed by or on behalf of the Selling Shareholders with the Commission on May 25, 2020 (and accepted for filing by the Commission on May 26, 2020) pursuant to Rule 433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408940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Each of the undersigned understands that Goldman Sachs &amp; Co. LLC and BofA Securities, Inc.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Regeneron Pharmaceuticals, Inc., a New York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Selling Shareholders specified therein,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Common Stock ($0.001 par value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of undersigned hereby agrees that, without the prior written consent of the Representatives, it will not, during the period commencing on the date hereof and ending 90 days after the date of the final prospectus supplement relating to the Public Offering,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1" w:lineRule="exact"/>
        <w:rPr>
          <w:sz w:val="20"/>
          <w:szCs w:val="20"/>
          <w:color w:val="auto"/>
        </w:rPr>
      </w:pPr>
    </w:p>
    <w:p>
      <w:pPr>
        <w:jc w:val="both"/>
        <w:ind w:firstLine="8"/>
        <w:spacing w:after="0" w:line="283"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 (b) transfers of shares of Common Stock or any security convertible into Common Stock as a bona fide gift; (c) distributions or transfers to family members, trusts, and/or controlled entities in connection with estate planning,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transferee shall sign and deliver a lock-up letter substantially in the form of this letter; (d) transfers or dispositions of shares of Common Stock or any security convertible or exchangeable into Common Stock to another corporation, partnership, limited liability company, trust or other business entity (or in each case its nominee or custodian) that is an affiliate (as defined in Rule 405 promulgated under the Securities Act of 1933, as amended) of such undersigned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each transferee shall sign and deliver a lock-up letter substantially in the form of this letter; (e) the sale of Common Stock in the public</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pursuant to a written trading plan in existence prior to the date hereof designed to comply with Rule 10b5-1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 the exercise of a stock option for, or the conversion of any convertible security into, shares of common stock, including, without limitation, by transferring or submitting for cancellation aged shares or shares otherwise issued or issuable upon the exercise of a stock option to the Company to satisfy the exercise price of a stock option under the Company’s long-term incentive plans (or to satisfy the minimum withholding tax required in connection with such option exercise); or (g) the sale or other transfer of shares of Common Stock to the Company (or any of its affiliates) pursuant to any agreement existing between such undersigned (or any of its affiliates) and the Company (or any of its affiliates) as of the date hereof and included as an exhibit to any document filed under the Exchange Act and incorporated by reference in the preliminary prospectus supplement relating to the Public Offering. In addition, each of the undersigned agrees that, without the prior written consent of the Representatives, it will not, during the period commencing on the date hereof and ending 90 days after the date of the final prospectus supplement, make any demand for or exercise any right with respect to, the registration of any shares of Common Stock or any security convertible into or exercisable or exchangeable for Common Stock. Each of the undersigned agrees and consents to the entry of stop transfer instructions with the Company’s transfer agent and registrar against the transfer of such undersigned’s shares of Common Stock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648"/>
        <w:spacing w:after="0" w:line="308" w:lineRule="auto"/>
        <w:rPr>
          <w:sz w:val="20"/>
          <w:szCs w:val="20"/>
          <w:color w:val="auto"/>
        </w:rPr>
      </w:pPr>
      <w:r>
        <w:rPr>
          <w:rFonts w:ascii="Arial" w:cs="Arial" w:eastAsia="Arial" w:hAnsi="Arial"/>
          <w:sz w:val="17"/>
          <w:szCs w:val="17"/>
          <w:color w:val="auto"/>
        </w:rPr>
        <w:t>Each of the undersigned will be released from its obligations under this agreement if the Underwriting Agreement is not executed prior to June 12, 2020, or if the Underwriting Agreement is terminated in accordance with its terms prior to payment for and delivery of the Shares.</w:t>
      </w:r>
    </w:p>
    <w:p>
      <w:pPr>
        <w:spacing w:after="0" w:line="14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Each of the undersigned understands that the Company and the Representatives are relying upon this agreement. Each of the undersigned further understands that this agreement is irrevocable and shall be binding upon such undersigned’s heirs, legal representatives, successors and assigns.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450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183515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168910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168910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tcPr>
          <w:p>
            <w:pPr>
              <w:ind w:left="2000"/>
              <w:spacing w:after="0"/>
              <w:rPr>
                <w:sz w:val="20"/>
                <w:szCs w:val="20"/>
                <w:color w:val="auto"/>
              </w:rPr>
            </w:pPr>
            <w:r>
              <w:rPr>
                <w:rFonts w:ascii="Arial" w:cs="Arial" w:eastAsia="Arial" w:hAnsi="Arial"/>
                <w:sz w:val="18"/>
                <w:szCs w:val="18"/>
                <w:b w:val="1"/>
                <w:bCs w:val="1"/>
                <w:color w:val="auto"/>
              </w:rPr>
              <w:t>Pricing Information</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Common stock offered hereby:</w:t>
            </w:r>
          </w:p>
        </w:tc>
        <w:tc>
          <w:tcPr>
            <w:tcW w:w="8380" w:type="dxa"/>
            <w:vAlign w:val="bottom"/>
          </w:tcPr>
          <w:p>
            <w:pPr>
              <w:ind w:left="180"/>
              <w:spacing w:after="0"/>
              <w:rPr>
                <w:sz w:val="20"/>
                <w:szCs w:val="20"/>
                <w:color w:val="auto"/>
              </w:rPr>
            </w:pPr>
            <w:r>
              <w:rPr>
                <w:rFonts w:ascii="Arial" w:cs="Arial" w:eastAsia="Arial" w:hAnsi="Arial"/>
                <w:sz w:val="18"/>
                <w:szCs w:val="18"/>
                <w:color w:val="auto"/>
              </w:rPr>
              <w:t>11,831,496 shares</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w w:val="95"/>
              </w:rPr>
              <w:t>Option to purchase additional shares:</w:t>
            </w:r>
          </w:p>
        </w:tc>
        <w:tc>
          <w:tcPr>
            <w:tcW w:w="8380" w:type="dxa"/>
            <w:vAlign w:val="bottom"/>
          </w:tcPr>
          <w:p>
            <w:pPr>
              <w:ind w:left="180"/>
              <w:spacing w:after="0"/>
              <w:rPr>
                <w:sz w:val="20"/>
                <w:szCs w:val="20"/>
                <w:color w:val="auto"/>
              </w:rPr>
            </w:pPr>
            <w:r>
              <w:rPr>
                <w:rFonts w:ascii="Arial" w:cs="Arial" w:eastAsia="Arial" w:hAnsi="Arial"/>
                <w:sz w:val="18"/>
                <w:szCs w:val="18"/>
                <w:color w:val="auto"/>
              </w:rPr>
              <w:t>1,183,150 shares</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Public offering price:</w:t>
            </w:r>
          </w:p>
        </w:tc>
        <w:tc>
          <w:tcPr>
            <w:tcW w:w="8380" w:type="dxa"/>
            <w:vAlign w:val="bottom"/>
          </w:tcPr>
          <w:p>
            <w:pPr>
              <w:ind w:left="180"/>
              <w:spacing w:after="0"/>
              <w:rPr>
                <w:sz w:val="20"/>
                <w:szCs w:val="20"/>
                <w:color w:val="auto"/>
              </w:rPr>
            </w:pPr>
            <w:r>
              <w:rPr>
                <w:rFonts w:ascii="Arial" w:cs="Arial" w:eastAsia="Arial" w:hAnsi="Arial"/>
                <w:sz w:val="18"/>
                <w:szCs w:val="18"/>
                <w:color w:val="auto"/>
              </w:rPr>
              <w:t>$515.00 per share</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Underwriting discount:</w:t>
            </w:r>
          </w:p>
        </w:tc>
        <w:tc>
          <w:tcPr>
            <w:tcW w:w="8380" w:type="dxa"/>
            <w:vAlign w:val="bottom"/>
          </w:tcPr>
          <w:p>
            <w:pPr>
              <w:ind w:left="180"/>
              <w:spacing w:after="0"/>
              <w:rPr>
                <w:sz w:val="20"/>
                <w:szCs w:val="20"/>
                <w:color w:val="auto"/>
              </w:rPr>
            </w:pPr>
            <w:r>
              <w:rPr>
                <w:rFonts w:ascii="Arial" w:cs="Arial" w:eastAsia="Arial" w:hAnsi="Arial"/>
                <w:sz w:val="18"/>
                <w:szCs w:val="18"/>
                <w:color w:val="auto"/>
              </w:rPr>
              <w:t>1.00%</w:t>
            </w: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380" w:type="dxa"/>
            <w:vAlign w:val="bottom"/>
          </w:tcPr>
          <w:p>
            <w:pPr>
              <w:ind w:left="180"/>
              <w:spacing w:after="0"/>
              <w:rPr>
                <w:sz w:val="20"/>
                <w:szCs w:val="20"/>
                <w:color w:val="auto"/>
              </w:rPr>
            </w:pPr>
            <w:r>
              <w:rPr>
                <w:rFonts w:ascii="Arial" w:cs="Arial" w:eastAsia="Arial" w:hAnsi="Arial"/>
                <w:sz w:val="18"/>
                <w:szCs w:val="18"/>
                <w:color w:val="auto"/>
              </w:rPr>
              <w:t>BofA Securities, Inc.</w:t>
            </w:r>
          </w:p>
        </w:tc>
      </w:tr>
      <w:tr>
        <w:trPr>
          <w:trHeight w:val="230"/>
        </w:trPr>
        <w:tc>
          <w:tcPr>
            <w:tcW w:w="2860" w:type="dxa"/>
            <w:vAlign w:val="bottom"/>
          </w:tcPr>
          <w:p>
            <w:pPr>
              <w:spacing w:after="0"/>
              <w:rPr>
                <w:sz w:val="20"/>
                <w:szCs w:val="20"/>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Goldman Sachs &amp; Co. LLC</w:t>
            </w:r>
          </w:p>
        </w:tc>
      </w:tr>
      <w:tr>
        <w:trPr>
          <w:trHeight w:val="418"/>
        </w:trPr>
        <w:tc>
          <w:tcPr>
            <w:tcW w:w="2860" w:type="dxa"/>
            <w:vAlign w:val="bottom"/>
          </w:tcPr>
          <w:p>
            <w:pPr>
              <w:spacing w:after="0"/>
              <w:rPr>
                <w:sz w:val="20"/>
                <w:szCs w:val="20"/>
                <w:color w:val="auto"/>
              </w:rPr>
            </w:pPr>
            <w:r>
              <w:rPr>
                <w:rFonts w:ascii="Arial" w:cs="Arial" w:eastAsia="Arial" w:hAnsi="Arial"/>
                <w:sz w:val="18"/>
                <w:szCs w:val="18"/>
                <w:color w:val="auto"/>
              </w:rPr>
              <w:t>Co-managers:</w:t>
            </w:r>
          </w:p>
        </w:tc>
        <w:tc>
          <w:tcPr>
            <w:tcW w:w="8380" w:type="dxa"/>
            <w:vAlign w:val="bottom"/>
          </w:tcPr>
          <w:p>
            <w:pPr>
              <w:ind w:left="180"/>
              <w:spacing w:after="0"/>
              <w:rPr>
                <w:sz w:val="20"/>
                <w:szCs w:val="20"/>
                <w:color w:val="auto"/>
              </w:rPr>
            </w:pPr>
            <w:r>
              <w:rPr>
                <w:rFonts w:ascii="Arial" w:cs="Arial" w:eastAsia="Arial" w:hAnsi="Arial"/>
                <w:sz w:val="18"/>
                <w:szCs w:val="18"/>
                <w:color w:val="auto"/>
              </w:rPr>
              <w:t>Barclays Capital Inc.</w:t>
            </w:r>
          </w:p>
        </w:tc>
      </w:tr>
      <w:tr>
        <w:trPr>
          <w:trHeight w:val="216"/>
        </w:trPr>
        <w:tc>
          <w:tcPr>
            <w:tcW w:w="2860" w:type="dxa"/>
            <w:vAlign w:val="bottom"/>
          </w:tcPr>
          <w:p>
            <w:pPr>
              <w:spacing w:after="0"/>
              <w:rPr>
                <w:sz w:val="18"/>
                <w:szCs w:val="18"/>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860" w:type="dxa"/>
            <w:vAlign w:val="bottom"/>
          </w:tcPr>
          <w:p>
            <w:pPr>
              <w:spacing w:after="0"/>
              <w:rPr>
                <w:sz w:val="18"/>
                <w:szCs w:val="18"/>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Citigroup Inc.</w:t>
            </w:r>
          </w:p>
        </w:tc>
      </w:tr>
      <w:tr>
        <w:trPr>
          <w:trHeight w:val="216"/>
        </w:trPr>
        <w:tc>
          <w:tcPr>
            <w:tcW w:w="2860" w:type="dxa"/>
            <w:vAlign w:val="bottom"/>
          </w:tcPr>
          <w:p>
            <w:pPr>
              <w:spacing w:after="0"/>
              <w:rPr>
                <w:sz w:val="18"/>
                <w:szCs w:val="18"/>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JPMorgan Chase &amp; Co.</w:t>
            </w:r>
          </w:p>
        </w:tc>
      </w:tr>
      <w:tr>
        <w:trPr>
          <w:trHeight w:val="230"/>
        </w:trPr>
        <w:tc>
          <w:tcPr>
            <w:tcW w:w="2860" w:type="dxa"/>
            <w:vAlign w:val="bottom"/>
          </w:tcPr>
          <w:p>
            <w:pPr>
              <w:spacing w:after="0"/>
              <w:rPr>
                <w:sz w:val="20"/>
                <w:szCs w:val="20"/>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Morgan Stanley</w:t>
            </w:r>
          </w:p>
        </w:tc>
      </w:tr>
      <w:tr>
        <w:trPr>
          <w:trHeight w:val="675"/>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5.1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Wachtell, Lipton, Rosen &amp; Katz]</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acted as special counsel to Regeneron Pharmaceuticals, Inc., a New York corporation (the “Company”), in connection with the offer and sale by Sanofi and Aventisub LLC (the “Selling Shareholders”) of shares of common stock, par value $0.001 per share, of the Company (the “Securities”) in an underwritten public offering pursuant to the Underwriting Agreement, dated as of May 26, 2020, by and among the Company, the Selling Shareholders and BofA Securities, Inc. and Goldman Sachs &amp; Co. LLC, as representatives of the several underwriters named therein.</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examined: (i) the Registration Statement on Form S-3ASR (Registration No. 333-228352) initially filed with the Securities and Exchange Commission (the “Commission”) under the Securities Act of 1933, as amended (the “Securities Act”), on November 13, 2018; (ii) the preliminary prospectus dated May 26, 2020, in the form filed with the Commission pursuant to Rule 424(b) under the Securities Act on May 26, 2020 (the “Preliminary Prospectus”); (iii) the final prospectus dated May 26, 2020, in the form filed with the Commission pursuant to Rule 424(b) under the Securities Act on May 28, 2020 (the “Final Prospectus”, and together with the Preliminary Prospectus, the “Prospectus”) in connection with the offering and sale by the Company of the Securities; (iv) the Restated Certificate of Incorporation of the Company, as amended, as in effect on the date hereof, and the Amended and Restated By-Laws of the Company as in effect on the date hereof; and (v) such other corporate records, certificates and other documents and such matters of law, in each case, as we have deemed necessary or appropriate.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rendering this opinion, we have assumed the genuineness of all signatures, the authenticity of all documents submitted to us as originals, the conformity to authentic original documents of all documents submitted to us as copies and the legal capacity of all individuals executing such documents. As to any facts material to this opinion that we did not independently establish or verify, we have, with your consent, relied upon the statements, certificates and representations of public officials and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Securities are legally issued, fully paid and nonassessable.</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are members of the Bar of the State of New York. This opinion is limited to the laws of the State of New York and the federal securities laws of the United States, and we express no opinion as to the effect on the matters covered by this opinion of the laws of any other jurisdiction.</w:t>
      </w:r>
    </w:p>
    <w:p>
      <w:pPr>
        <w:spacing w:after="0" w:line="14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opinion letter speaks only as of its date and is delivered in accordance with the requirements of Item 601(b)(5) of Regulation S-K under the Securities Act. We assume no obligation to advise the Company or any other person, or to make any investigations, as to any legal developments or factual matters arising subsequent to the date hereof that might affect the opinions expressed herein. We hereby consent to the filing of this opinion letter as Exhibit 5.1 to the Company’s Current Report on Form 8-K filed with the Commission on May 29, 2020, and its incorporation by reference into the Registration Statement. In addition, we consent to the reference to us under the caption “Validity of the Common Stock” in the Prospectus. In giving such consent, we do not thereby admit that we are an expert within the meaning of Section 7 of the Securities Act and the rules and regulations of the Commission promulgated thereunder.</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Wachtell, Lipton, Rosen &amp;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REPURCHASE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May 25,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REPURCHASE AGREEMENT</w:t>
      </w:r>
    </w:p>
    <w:p>
      <w:pPr>
        <w:spacing w:after="0" w:line="225"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THIS STOCK REPURCHASE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May 25, 2020 by and between Regeneron</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Inc., a New York corporation (“</w:t>
      </w:r>
      <w:r>
        <w:rPr>
          <w:rFonts w:ascii="Arial" w:cs="Arial" w:eastAsia="Arial" w:hAnsi="Arial"/>
          <w:sz w:val="18"/>
          <w:szCs w:val="18"/>
          <w:b w:val="1"/>
          <w:bCs w:val="1"/>
          <w:i w:val="1"/>
          <w:iCs w:val="1"/>
          <w:color w:val="auto"/>
        </w:rPr>
        <w:t>Regeneron</w:t>
      </w:r>
      <w:r>
        <w:rPr>
          <w:rFonts w:ascii="Arial" w:cs="Arial" w:eastAsia="Arial" w:hAnsi="Arial"/>
          <w:sz w:val="18"/>
          <w:szCs w:val="18"/>
          <w:color w:val="auto"/>
        </w:rPr>
        <w:t>”) and Sanofi, a company organized under the laws of France (“</w:t>
      </w:r>
      <w:r>
        <w:rPr>
          <w:rFonts w:ascii="Arial" w:cs="Arial" w:eastAsia="Arial" w:hAnsi="Arial"/>
          <w:sz w:val="18"/>
          <w:szCs w:val="18"/>
          <w:b w:val="1"/>
          <w:bCs w:val="1"/>
          <w:i w:val="1"/>
          <w:iCs w:val="1"/>
          <w:color w:val="auto"/>
        </w:rPr>
        <w:t>Sanofi</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w:t>
      </w:r>
    </w:p>
    <w:p>
      <w:pPr>
        <w:spacing w:after="0" w:line="18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WHEREAS, Regeneron and the Selling Shareholder propose to enter into a transaction whereby the Selling Shareholder shall sell to Regeneron, and Regeneron shall purchase from the Selling Shareholder, shares of Regeneron’s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as set forth in this Agreement (the “</w:t>
      </w:r>
      <w:r>
        <w:rPr>
          <w:rFonts w:ascii="Arial" w:cs="Arial" w:eastAsia="Arial" w:hAnsi="Arial"/>
          <w:sz w:val="18"/>
          <w:szCs w:val="18"/>
          <w:b w:val="1"/>
          <w:bCs w:val="1"/>
          <w:i w:val="1"/>
          <w:iCs w:val="1"/>
          <w:color w:val="auto"/>
        </w:rPr>
        <w:t>Repurchase Transaction</w:t>
      </w:r>
      <w:r>
        <w:rPr>
          <w:rFonts w:ascii="Arial" w:cs="Arial" w:eastAsia="Arial" w:hAnsi="Arial"/>
          <w:sz w:val="18"/>
          <w:szCs w:val="18"/>
          <w:color w:val="auto"/>
        </w:rPr>
        <w:t>”); and</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the Selling Shareholder and its affiliates propose to sell through an underwritten public offering a base number of shares equal to all shares of Common Stock held by the Selling Shareholder and its affiliates as of the date hereof (other than the Sanofi Shares (as defined below) subject to the Repurchase Transaction, any shares of Common Stock subject to the underwriter option to purchase additional shares of Common Stock in the offering, and 400,000 shares of Common Stock that Sanofi intends to retain) (the “</w:t>
      </w:r>
      <w:r>
        <w:rPr>
          <w:rFonts w:ascii="Arial" w:cs="Arial" w:eastAsia="Arial" w:hAnsi="Arial"/>
          <w:sz w:val="18"/>
          <w:szCs w:val="18"/>
          <w:b w:val="1"/>
          <w:bCs w:val="1"/>
          <w:i w:val="1"/>
          <w:iCs w:val="1"/>
          <w:color w:val="auto"/>
        </w:rPr>
        <w:t>Secondary Offering</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of the mutual promises herein set forth, and for other good and valuable consideration, the receipt and sufficiency of which are hereby acknowledged, it is hereby agreed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Repurchase of Common Stock</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57" w:lineRule="auto"/>
        <w:tabs>
          <w:tab w:leader="none" w:pos="8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the terms and subject to the conditions hereof and in reliance upon the representations, warranties and agreements contained herein, at the Closing (as defined below), the Selling Shareholder shall sell to Regeneron such aggregate number of shares of Common Stock (such aggregate amount, the “</w:t>
      </w:r>
      <w:r>
        <w:rPr>
          <w:rFonts w:ascii="Arial" w:cs="Arial" w:eastAsia="Arial" w:hAnsi="Arial"/>
          <w:sz w:val="18"/>
          <w:szCs w:val="18"/>
          <w:b w:val="1"/>
          <w:bCs w:val="1"/>
          <w:i w:val="1"/>
          <w:iCs w:val="1"/>
          <w:color w:val="auto"/>
        </w:rPr>
        <w:t>Sanofi Shares</w:t>
      </w:r>
      <w:r>
        <w:rPr>
          <w:rFonts w:ascii="Arial" w:cs="Arial" w:eastAsia="Arial" w:hAnsi="Arial"/>
          <w:sz w:val="18"/>
          <w:szCs w:val="18"/>
          <w:color w:val="auto"/>
        </w:rPr>
        <w:t>”) equal to $5,000,000,000 (Five Billion U.S. Dollars)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divided by the price at which the shares of Common Stock are sold to the public in the Secondary Offering, less the underwriting discount (the “</w:t>
      </w:r>
      <w:r>
        <w:rPr>
          <w:rFonts w:ascii="Arial" w:cs="Arial" w:eastAsia="Arial" w:hAnsi="Arial"/>
          <w:sz w:val="18"/>
          <w:szCs w:val="18"/>
          <w:b w:val="1"/>
          <w:bCs w:val="1"/>
          <w:i w:val="1"/>
          <w:iCs w:val="1"/>
          <w:color w:val="auto"/>
        </w:rPr>
        <w:t>Secondary Share Price</w:t>
      </w:r>
      <w:r>
        <w:rPr>
          <w:rFonts w:ascii="Arial" w:cs="Arial" w:eastAsia="Arial" w:hAnsi="Arial"/>
          <w:sz w:val="18"/>
          <w:szCs w:val="18"/>
          <w:color w:val="auto"/>
        </w:rPr>
        <w:t>”), and with the Sanofi Shares and the Purchase Price rounded down for any fraction of a share.</w:t>
      </w:r>
    </w:p>
    <w:p>
      <w:pPr>
        <w:spacing w:after="0" w:line="188"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of the purchase of the Sanofi Shares shall be held at the offices of Wachtell, Lipton, Rosen &amp; Katz, 51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New York, New York immediately subsequent to the satisfaction or waiver of the conditions set forth in Articles V and VI herein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by telephonic meeting on such date or at such other time, date or place as the Selling Shareholder and Regeneron may agree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right="620" w:firstLine="332"/>
        <w:spacing w:after="0" w:line="277" w:lineRule="auto"/>
        <w:tabs>
          <w:tab w:leader="none" w:pos="5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Closing, the Selling Shareholder shall deliver or cause to be delivered to Regeneron (collectively, the “</w:t>
      </w:r>
      <w:r>
        <w:rPr>
          <w:rFonts w:ascii="Arial" w:cs="Arial" w:eastAsia="Arial" w:hAnsi="Arial"/>
          <w:sz w:val="18"/>
          <w:szCs w:val="18"/>
          <w:b w:val="1"/>
          <w:bCs w:val="1"/>
          <w:i w:val="1"/>
          <w:iCs w:val="1"/>
          <w:color w:val="auto"/>
        </w:rPr>
        <w:t>Selling Shareholder Closing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Deliveries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Sanofi Shares to Regeneron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pursuant to such form as the transfer agent for the Common Stock shall require, free and clear of any Lien (as defined below);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completed and executed original copy of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Form W-8 BEN-E.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At the Closing, Regeneron shall deliver, or cause to be delivered, to the Selling Shareholder the Purchase Price, payable by wire transfer of</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immediately available funds to an account or accounts that the Selling Shareholder shall designate in writing at least two business days prior to the Closing Date.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REPRESENTATIONS AND WARRANTIES OF THE SELLING SHAREHOLDER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 hereby represents and warrants to Regeneron as follows: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Title to Sanofi Shares</w:t>
      </w:r>
      <w:r>
        <w:rPr>
          <w:rFonts w:ascii="Arial" w:cs="Arial" w:eastAsia="Arial" w:hAnsi="Arial"/>
          <w:sz w:val="18"/>
          <w:szCs w:val="18"/>
          <w:color w:val="auto"/>
        </w:rPr>
        <w:t>. As of the Closing, the Selling Shareholder shall own and shall deliver the Sanofi Shares, free and clear of any and all option, call, contract, commitment, mortgage, pledge, security interest, encumbrance, lien, tax, claim or charge of any kind or right of others of whatever nature, other than any arising out of, resulting from or in connection with any agreement, arrangement or understanding between Sanofi or any of its subsidiaries and Regeneron (collectively, a “</w:t>
      </w:r>
      <w:r>
        <w:rPr>
          <w:rFonts w:ascii="Arial" w:cs="Arial" w:eastAsia="Arial" w:hAnsi="Arial"/>
          <w:sz w:val="18"/>
          <w:szCs w:val="18"/>
          <w:b w:val="1"/>
          <w:bCs w:val="1"/>
          <w:i w:val="1"/>
          <w:iCs w:val="1"/>
          <w:color w:val="auto"/>
        </w:rPr>
        <w:t>Lien</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Authority Relative to this Agreement</w:t>
      </w:r>
      <w:r>
        <w:rPr>
          <w:rFonts w:ascii="Arial" w:cs="Arial" w:eastAsia="Arial" w:hAnsi="Arial"/>
          <w:sz w:val="16"/>
          <w:szCs w:val="16"/>
          <w:color w:val="auto"/>
        </w:rPr>
        <w:t>. The Selling Shareholder has the requisite corporate power and authority to execute and deliver this Agreement and to consummate the transactions contemplated hereby. The execution and delivery of this Agreement by the Selling Shareholder and the consummation by the Selling Shareholder of the transactions contemplated hereby, including the sale of the Sanofi Shares, has been duly authorized by the board of directors of Sanofi and no other corporate or stockholder proceedings on the part of the Selling Shareholder is necessary to authorize this Agreement or for the Selling Shareholder to consummate the transactions contemplated hereby. This Agreement has been duly and validly executed and delivered by the Selling Shareholder and constitutes the valid and binding obligations of the Selling Shareholder, enforceable against the Selling Shareholder in accordance with its terms, except as may be limited by bankruptcy, insolvency or other equitable remedies.</w:t>
      </w:r>
    </w:p>
    <w:p>
      <w:pPr>
        <w:spacing w:after="0" w:line="166"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Approvals</w:t>
      </w:r>
      <w:r>
        <w:rPr>
          <w:rFonts w:ascii="Arial" w:cs="Arial" w:eastAsia="Arial" w:hAnsi="Arial"/>
          <w:sz w:val="16"/>
          <w:szCs w:val="16"/>
          <w:color w:val="auto"/>
        </w:rPr>
        <w:t>. No material consent, approval, authorization or order of, or registration, qualification or filing with, any court, regulatory authority, governmental body or any other third party is required to be obtained or made by the Selling Shareholder for the execution, delivery or performance by the Selling Shareholder of this Agreement or the consummation by the Selling Shareholder of the transactions contemplated hereby.</w:t>
      </w:r>
    </w:p>
    <w:p>
      <w:pPr>
        <w:spacing w:after="0" w:line="1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Receipt of Information</w:t>
      </w:r>
      <w:r>
        <w:rPr>
          <w:rFonts w:ascii="Arial" w:cs="Arial" w:eastAsia="Arial" w:hAnsi="Arial"/>
          <w:sz w:val="17"/>
          <w:szCs w:val="17"/>
          <w:color w:val="auto"/>
        </w:rPr>
        <w:t>. The Selling Shareholder has received all the information it considers necessary or appropriate for deciding whether to dispose of the Sanofi Shares. The Selling Shareholder has had an opportunity to ask questions and receive answers from Regeneron regarding the terms and conditions of Regeneron’s purchase of the Sanofi Shares and the business and financial condition of Regeneron and to obtain additional information (to the extent Regeneron possessed such information or could acquire it without unreasonable effort or expense) necessary to verify the accuracy of any information furnished to them or to which they had access. The Selling Shareholder and its counsel has also had an opportunity to participate in the diligence process related to the Secondary Offering. The Selling Shareholder has not received, or is not relying on, any representations or warranties from Regeneron, other than as provided herein.</w:t>
      </w:r>
    </w:p>
    <w:p>
      <w:pPr>
        <w:spacing w:after="0" w:line="177"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Selling Shareholder is not aware of any fact, condition or circumstance that may materially affect the collaborations between Sanofi and Regeneron or any marketed products pursuant to such collaborations that they have not previously disclosed to Regeneron orally or in writing.</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Treatment of Repurchase</w:t>
      </w:r>
      <w:r>
        <w:rPr>
          <w:rFonts w:ascii="Arial" w:cs="Arial" w:eastAsia="Arial" w:hAnsi="Arial"/>
          <w:sz w:val="18"/>
          <w:szCs w:val="18"/>
          <w:color w:val="auto"/>
        </w:rPr>
        <w:t>. No portion of the Purchase Price will be treated as a dividend under Section 301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by reason of Section 302 of the Code or otherwise.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REPRESENTATIONS AND WARRANTIES OF REGENERON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Regeneron hereby represents and warrants to the Selling Shareholder as follows: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 Regeneron has the requisite corporate power and authority to execute and deliver this Agreement and consummate the transactions contemplated hereby. The execution and delivery of this Agreement by Regeneron, and the consummation by Regeneron of the transactions contemplated hereby, including the purchase of the Sanofi Shares have been duly authorized by Regeneron’s board of directors, and no other corporate or stockholder proceedings on the part of Regeneron are necessary to authorize this Agreement or to consummate the transactions contemplated hereby. This Agreement has been duly and validly executed and delivered by Regeneron and constitutes the valid and binding obligations of Regeneron, enforceable against Regeneron in accordance with its terms, except as may be limited by bankruptcy, insolvency or other equitable remedies.</w:t>
      </w:r>
    </w:p>
    <w:p>
      <w:pPr>
        <w:spacing w:after="0" w:line="19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Approvals</w:t>
      </w:r>
      <w:r>
        <w:rPr>
          <w:rFonts w:ascii="Arial" w:cs="Arial" w:eastAsia="Arial" w:hAnsi="Arial"/>
          <w:sz w:val="18"/>
          <w:szCs w:val="18"/>
          <w:color w:val="auto"/>
        </w:rPr>
        <w:t>. No material consent, approval, authorization or order of, or registration, qualification or filing with, any court, regulatory authority, governmental body or any other third party is required to be obtained or made by Regeneron for the execution, delivery or performance by Regeneron of this Agreement or the consummation by Regeneron of the transactions contemplated hereby.</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Funds</w:t>
      </w:r>
      <w:r>
        <w:rPr>
          <w:rFonts w:ascii="Arial" w:cs="Arial" w:eastAsia="Arial" w:hAnsi="Arial"/>
          <w:sz w:val="18"/>
          <w:szCs w:val="18"/>
          <w:color w:val="auto"/>
        </w:rPr>
        <w:t>. Regeneron will have as of the Closing sufficient cash available to pay the Purchase Price to the Selling Shareholder on the terms and conditions contained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AGREEMENTS</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 The parties shall and shall cause their respective subsidiaries to take such action and execute, acknowledge and deliver such agreements, instruments and other documents as the other party may reasonably require from time to time in order to carry out the purposes of this Agreement.</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Except as may be required by applicable law, neither party hereto shall make any public announcements or otherwise communicate with any news media with respect to this Agreement or any of the transactions contemplated hereby (a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without prior consultation with the other party as to the timing and contents of any such announcement or communications; provided, however, that nothing contained herein shall prevent any party from promptly making any filings with any governmental entity (including, for the avoidance of doubt, the U.S. Securities and Exchange Commission) or disclosures with the stock exchange, if any, on which such party’s capital stock is listed, as may, in its judgment, be required in connection with the execution and delivery of this Agreement or the consummation of the transactions contemplated hereby.</w:t>
      </w:r>
    </w:p>
    <w:p>
      <w:pPr>
        <w:spacing w:after="0" w:line="16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Withholding</w:t>
      </w:r>
      <w:r>
        <w:rPr>
          <w:rFonts w:ascii="Arial" w:cs="Arial" w:eastAsia="Arial" w:hAnsi="Arial"/>
          <w:sz w:val="16"/>
          <w:szCs w:val="16"/>
          <w:color w:val="auto"/>
        </w:rPr>
        <w:t>. Regeneron shall pay the Purchase Price to the Selling Shareholder, free and clear of, and without reduction or withholding for, any taxes. The Selling Shareholder shall indemnify Regeneron against any and all taxes required to be deducted or withheld from the Purchase Price for any reason, including, without limitation, the treatment of all or any portion of the Purchase Price as a distribution under Sections 302(d) and 301 of the Code (and any and all related losses, claims, liabilities, penalties, interest, costs, and expenses incurred by Regeneron as a result of Regeneron’s failure to deduct or withhold any such amounts). In the case of any written claim or written challenge by the IRS or any other governmental authority that deduction and withholding from the Purchase Price are or were required (a “</w:t>
      </w:r>
      <w:r>
        <w:rPr>
          <w:rFonts w:ascii="Arial" w:cs="Arial" w:eastAsia="Arial" w:hAnsi="Arial"/>
          <w:sz w:val="16"/>
          <w:szCs w:val="16"/>
          <w:b w:val="1"/>
          <w:bCs w:val="1"/>
          <w:i w:val="1"/>
          <w:iCs w:val="1"/>
          <w:color w:val="auto"/>
        </w:rPr>
        <w:t>Tax Claim</w:t>
      </w:r>
      <w:r>
        <w:rPr>
          <w:rFonts w:ascii="Arial" w:cs="Arial" w:eastAsia="Arial" w:hAnsi="Arial"/>
          <w:sz w:val="16"/>
          <w:szCs w:val="16"/>
          <w:color w:val="auto"/>
        </w:rPr>
        <w:t>”), Regeneron (i) shall provide the Selling Shareholder with written notice of such Tax Claim, (ii) shall consult with the Selling Shareholder regarding any challenge or defense of such Tax Claim and shall offer the Selling Shareholder an opportunity to comment (and shall consider in good faith any such comments) before submitting any written materials prepared or furnished in connection with such Tax Claim, and (iii) shall not settle or compromise any such Tax Claim without the prior written consent of the Selling Shareholder, which consent shall not be unreasonably withheld, conditioned or delayed. Notwithstanding the foregoing, the parties hereto agree that, under applicable law as of the date hereof and assuming the accuracy of the representation in Section 2.6 and the delivery of the certificate required by Section</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1.3(a)(ii), no deduction or withholding for any taxes are required with respect to the payment of the Purchase Price, and the parties further agree that neither party shall take a contrary position for any purpose absent either a relevant change in tax law or a final determination (within the meaning of Section 1313(a) of the Code) to the contrary.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CONDITIONS TO CLOSING OF REGENERON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obligation of Regeneron to purchase the Sanofi Shares at the Closing is subject to the fulfillment on or prior to the Closing of each of the following conditions: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representation and warranty made by the Selling Shareholder in Article II above shall be true and correct on and as of the Closing Date as though made as of the Closing Date.</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Performance</w:t>
      </w:r>
      <w:r>
        <w:rPr>
          <w:rFonts w:ascii="Arial" w:cs="Arial" w:eastAsia="Arial" w:hAnsi="Arial"/>
          <w:sz w:val="17"/>
          <w:szCs w:val="17"/>
          <w:color w:val="auto"/>
        </w:rPr>
        <w:t>. All covenants, agreements and conditions contained in this Agreement to be performed or complied with by the Selling Shareholder on or prior to the Closing Date shall have been performed or complied with by the Selling Shareholder in all material respects.</w:t>
      </w:r>
    </w:p>
    <w:p>
      <w:pPr>
        <w:spacing w:after="0" w:line="14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Closing Certificate</w:t>
      </w:r>
      <w:r>
        <w:rPr>
          <w:rFonts w:ascii="Arial" w:cs="Arial" w:eastAsia="Arial" w:hAnsi="Arial"/>
          <w:sz w:val="16"/>
          <w:szCs w:val="16"/>
          <w:color w:val="auto"/>
        </w:rPr>
        <w:t>. The Selling Shareholder shall have delivered to Regeneron a certificate, dated as of the Closing Date and signed by an authorized signatory of the Selling Shareholder, certifying to the effect that the conditions set forth in Sections 5.1 and 5.2 have been satisfied.</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Certificates and Documents</w:t>
      </w:r>
      <w:r>
        <w:rPr>
          <w:rFonts w:ascii="Arial" w:cs="Arial" w:eastAsia="Arial" w:hAnsi="Arial"/>
          <w:sz w:val="18"/>
          <w:szCs w:val="18"/>
          <w:color w:val="auto"/>
        </w:rPr>
        <w:t>. The Selling Shareholder shall have delivered at or prior to the Closing to Regeneron or its designee the Selling Shareholder Closing Deliveries.</w:t>
      </w:r>
    </w:p>
    <w:p>
      <w:pPr>
        <w:spacing w:after="0" w:line="17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Completion of Secondary Offering</w:t>
      </w:r>
      <w:r>
        <w:rPr>
          <w:rFonts w:ascii="Arial" w:cs="Arial" w:eastAsia="Arial" w:hAnsi="Arial"/>
          <w:sz w:val="17"/>
          <w:szCs w:val="17"/>
          <w:color w:val="auto"/>
        </w:rPr>
        <w:t>. The Secondary Offering shall have been consummated in accordance with the terms and conditions of any underwriting or purchase agreement entered into in connection therewith such that the number of shares of Common Stock held by the Selling Shareholder and its affiliates following the Secondary Offering and the Repurchase Transaction would be no greater than 400,000 shares of Common Stock plus any shares of Common Stock retained by the Selling Shareholder as a result of the underwriters for the Secondary Offering not exercising their overallotment option to purchase additional shares of Common Stock in full. For greater certainty, all references to the consummation of the Secondary Offering contained herein do not require the exercise of any option granted to the underwriters for such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TO CLOSING OF THE SELLING SHAREHOLDER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 of the Selling Shareholder to sell the Sanofi Shares to Regeneron at the Closing is subject to the fulfillment on or prior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of each of the following conditions: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representation and warranty made by Regeneron in Article III above shall be true and correct on and as of the Closing Date as though made as of the Closing Date.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Performance</w:t>
      </w:r>
      <w:r>
        <w:rPr>
          <w:rFonts w:ascii="Arial" w:cs="Arial" w:eastAsia="Arial" w:hAnsi="Arial"/>
          <w:sz w:val="18"/>
          <w:szCs w:val="18"/>
          <w:color w:val="auto"/>
        </w:rPr>
        <w:t>. All covenants, agreements and conditions contained in this Agreement to be performed or complied with by Regeneron on or prior to the Closing Date shall have been performed or complied with by Regeneron in all material respects.</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Certificate</w:t>
      </w:r>
      <w:r>
        <w:rPr>
          <w:rFonts w:ascii="Arial" w:cs="Arial" w:eastAsia="Arial" w:hAnsi="Arial"/>
          <w:sz w:val="17"/>
          <w:szCs w:val="17"/>
          <w:color w:val="auto"/>
        </w:rPr>
        <w:t>. Regeneron shall have delivered to the Selling Shareholder a certificate, dated as of the Closing Date and signed by an authorized signatory of Regeneron, certifying to the effect that the conditions set forth in Sections 6.1 and 6.2 have been satisfied.</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Purchase Price</w:t>
      </w:r>
      <w:r>
        <w:rPr>
          <w:rFonts w:ascii="Arial" w:cs="Arial" w:eastAsia="Arial" w:hAnsi="Arial"/>
          <w:sz w:val="18"/>
          <w:szCs w:val="18"/>
          <w:color w:val="auto"/>
        </w:rPr>
        <w:t>. Regeneron shall have delivered to the Selling Shareholder or its designee or designees the Purchase Price, payable by wire transfer of immediately available funds to the account or accounts that the Selling Shareholder shall designate at least two business days prior to the Closing Date.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1" w:name="page42"/>
    <w:bookmarkEnd w:id="41"/>
    <w:p>
      <w:pPr>
        <w:ind w:right="200" w:firstLine="648"/>
        <w:spacing w:after="0" w:line="273"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Completion of Secondary Offering</w:t>
      </w:r>
      <w:r>
        <w:rPr>
          <w:rFonts w:ascii="Arial" w:cs="Arial" w:eastAsia="Arial" w:hAnsi="Arial"/>
          <w:sz w:val="17"/>
          <w:szCs w:val="17"/>
          <w:color w:val="auto"/>
        </w:rPr>
        <w:t>. The Secondary Offering shall have been consummated in accordance with the terms and conditions of any underwriting or purchase agreement entered into in connection therewith such that the number of shares of Common Stock held by the Selling Shareholder and its affiliates following the Secondary Offering and the Repurchase Transaction would be no greater than 400,000 shares of Common Stock plus any shares of Common Stock retained by the Selling Shareholder as a result of the underwriters for the Secondary Offering not exercising their overallotment option to purchase additional shares of Common Stock in full. For greater certainty, all references to the consummation of the Secondary Offering contained herein do not require the exercise of any option granted to the underwriters for such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prior to the Closing as follows: (i) at any time on or prior to the Closing, by mutual written consent of the Selling Shareholder and Regeneron or (ii) at the election of the Selling Shareholder or Regeneron by written notice to the other party hereto after 5:00 p.m., New York time, on June 5, 2020, if the Closing shall not have occurred, unless such date is extended by the mutual written consent of the Selling Shareholder and Regeneron;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right to terminate this Agreement pursuant to this clause (ii) shall not be available to a party whose failure or whose subsidiaries’ or affiliate’s failure to perform or observe in any material respect any of its obligations under this Agreement in any manner shall have been the principal cause of or resulted in the failure of the Closing to occur on or before such date.</w:t>
      </w:r>
    </w:p>
    <w:p>
      <w:pPr>
        <w:spacing w:after="0" w:line="16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Amendment and Waiver</w:t>
      </w:r>
      <w:r>
        <w:rPr>
          <w:rFonts w:ascii="Arial" w:cs="Arial" w:eastAsia="Arial" w:hAnsi="Arial"/>
          <w:sz w:val="17"/>
          <w:szCs w:val="17"/>
          <w:color w:val="auto"/>
        </w:rPr>
        <w:t>. This Agreement may not be amended except by an instrument in writing signed on behalf of each of the parties hereto.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6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hereof.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and a suitable and equitable provision shall be substituted therefor in order to carry out, so far as may be valid and enforceable, the intent and purpose of such invalid or unenforceable provision.</w:t>
      </w:r>
    </w:p>
    <w:p>
      <w:pPr>
        <w:spacing w:after="0" w:line="17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Entire Agreement</w:t>
      </w:r>
      <w:r>
        <w:rPr>
          <w:rFonts w:ascii="Arial" w:cs="Arial" w:eastAsia="Arial" w:hAnsi="Arial"/>
          <w:sz w:val="16"/>
          <w:szCs w:val="16"/>
          <w:color w:val="auto"/>
        </w:rPr>
        <w:t>. Except as otherwise expressly set forth herein, this Agreement, together with the several agreements and other documents and instruments referred to herein or therein or annexed hereto and executed contemporaneously herewith, embody the complete agreement and understanding among the parties hereto with respect to the subject matter hereof and supersede and preempt any prior understandings, agreements or representations by or among the parties, written or oral, that may have related to the subject matter hereof in any way.</w:t>
      </w:r>
    </w:p>
    <w:p>
      <w:pPr>
        <w:spacing w:after="0" w:line="15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Neither this Agreement nor any of the rights or obligations of any party under this Agreement shall be assigned, in whole or in part by any party without the prior written consent of the other parties.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an original and all of which taken together shall constitute one and the same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73" w:lineRule="auto"/>
        <w:tabs>
          <w:tab w:leader="none" w:pos="8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party hereto acknowledges that monetary damages would not be an adequate remedy in the event that each and every one of the covenants or agreements in this Agreement are not performed in accordance with their terms, and it is therefore agreed that, in addition to and without limiting any other remedy or right it may have, the non-breaching party shall have the right to an injunction, temporary restraining order or other equitable relief in any court of competent jurisdiction enjoining any such breach and enforcing specifically each and every one of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2" w:name="page43"/>
    <w:bookmarkEnd w:id="42"/>
    <w:p>
      <w:pPr>
        <w:ind w:right="60" w:firstLine="656"/>
        <w:spacing w:after="0" w:line="263" w:lineRule="auto"/>
        <w:tabs>
          <w:tab w:leader="none" w:pos="9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if delivered personally, sent by electronic mail, telecopied (upon telephonic confirmation of receipt), on the first business day following the date of dispatch if delivered by a recognized next day courier service, or on the third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to Regeneron: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J. LaRosa, Joseph.LaRosa@regeneron.com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Wachtell, Lipton, Rosen &amp; Katz, LLP</w:t>
      </w:r>
    </w:p>
    <w:p>
      <w:pPr>
        <w:spacing w:after="0" w:line="192" w:lineRule="auto"/>
        <w:rPr>
          <w:sz w:val="20"/>
          <w:szCs w:val="20"/>
          <w:color w:val="auto"/>
        </w:rPr>
      </w:pPr>
      <w:r>
        <w:rPr>
          <w:rFonts w:ascii="Arial" w:cs="Arial" w:eastAsia="Arial" w:hAnsi="Arial"/>
          <w:sz w:val="18"/>
          <w:szCs w:val="18"/>
          <w:color w:val="auto"/>
        </w:rPr>
        <w:t>51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p>
      <w:pPr>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R. Brownstein, ARBrownstein@wlrk.com</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Elina Tetelbaum, ETetelbaum@wlrk.com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to the Selling Shareholder: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75008 Paris –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global_generalcounsel@sanofi.com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 karen.linehan@sanofi.com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J. Aiello, michael.aiello@weil.com</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Alexander D. Lynch, alex.lynch@weil.com</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Eoghan P. Keenan, eoghan.keenan@weil.com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Governing Law; Consent to Jurisdiction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6" w:lineRule="auto"/>
        <w:tabs>
          <w:tab w:leader="none" w:pos="8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the conflict of laws principles thereof that would require the application of the law of any other jurisdiction. The parties irrevocably and unconditionally consent to submit to the exclusive jurisdiction of the United States District Court for the Southern District of New York solely and specifically for any action, proceeding or investigation in any court or before any governmental authority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arising out of or relating to this Agreement and the transactions contemplated hereby. Each of the parties hereto hereby irrevocably and unconditionally waives, and agrees not to assert, by way of motion, as a defense, counterclaim or otherwise, in any such Litigation, the defense of sovereign immunity, any claim that it is not personally subject to the jurisdiction of the aforesaid courts for any reason other than the failure to serve process in accordance with this Section 7.9,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Agreement, or the subject matter 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this Agreement or the transactions contemplated hereby.</w:t>
      </w:r>
    </w:p>
    <w:p>
      <w:pPr>
        <w:spacing w:after="0" w:line="170" w:lineRule="exact"/>
        <w:rPr>
          <w:rFonts w:ascii="Arial" w:cs="Arial" w:eastAsia="Arial" w:hAnsi="Arial"/>
          <w:sz w:val="16"/>
          <w:szCs w:val="16"/>
          <w:color w:val="auto"/>
        </w:rPr>
      </w:pPr>
    </w:p>
    <w:p>
      <w:pPr>
        <w:jc w:val="both"/>
        <w:ind w:firstLine="656"/>
        <w:spacing w:after="0" w:line="259" w:lineRule="auto"/>
        <w:tabs>
          <w:tab w:leader="none" w:pos="9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Each of the parties expressly acknowledges that the foregoing waiver is intended to be irrevocable under the laws of the State of New York and of the United States of America;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consent by the Selling Shareholder and Regeneron to jurisdiction and service contained in this Section 7.9 is solely for the purpose referred to in this Section 7.9 and shall not be deemed to be a general submission to said courts or in the State of New York other than for such purpose.</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Pages Follow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IN WITNESS WHEREOF, the parties hereto have caused this Stock Repurchase Agreement to be duly executed and delivered as of the date first above written.</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 Legal Affairs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 Finance and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[Signature Page to Stock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8" w:right="6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[Transfer of Stock Ownership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311785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STOCK POWER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FOR VALUE RECEIVED, </w:t>
      </w:r>
      <w:r>
        <w:rPr>
          <w:rFonts w:ascii="Arial" w:cs="Arial" w:eastAsia="Arial" w:hAnsi="Arial"/>
          <w:sz w:val="18"/>
          <w:szCs w:val="18"/>
          <w:u w:val="single" w:color="auto"/>
          <w:color w:val="auto"/>
        </w:rPr>
        <w:t>SANOFI SA</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ASSIGNS AND TRANSFERS UNTO _______________________________,</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TWELVE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MILLION</w:t>
      </w:r>
      <w:r>
        <w:rPr>
          <w:rFonts w:ascii="Arial" w:cs="Arial" w:eastAsia="Arial" w:hAnsi="Arial"/>
          <w:sz w:val="18"/>
          <w:szCs w:val="18"/>
          <w:color w:val="auto"/>
        </w:rPr>
        <w:t xml:space="preserve"> (12,000,000) SHARES OF THE COMMON STOCK OF </w:t>
      </w:r>
      <w:r>
        <w:rPr>
          <w:rFonts w:ascii="Arial" w:cs="Arial" w:eastAsia="Arial" w:hAnsi="Arial"/>
          <w:sz w:val="18"/>
          <w:szCs w:val="18"/>
          <w:u w:val="single" w:color="auto"/>
          <w:color w:val="auto"/>
        </w:rPr>
        <w:t>REGENERON PHARMACEUTICALS, INC.</w:t>
      </w:r>
      <w:r>
        <w:rPr>
          <w:rFonts w:ascii="Arial" w:cs="Arial" w:eastAsia="Arial" w:hAnsi="Arial"/>
          <w:sz w:val="18"/>
          <w:szCs w:val="18"/>
          <w:color w:val="auto"/>
        </w:rPr>
        <w:t xml:space="preserve"> STANDING IN HIS/HER NAME ON THE BOOKS OF SAID CORPORATION REPRESENTED BY CERTIFICATE/BOOK NOS. </w:t>
      </w:r>
      <w:r>
        <w:rPr>
          <w:rFonts w:ascii="Arial" w:cs="Arial" w:eastAsia="Arial" w:hAnsi="Arial"/>
          <w:sz w:val="18"/>
          <w:szCs w:val="18"/>
          <w:u w:val="single" w:color="auto"/>
          <w:color w:val="auto"/>
        </w:rPr>
        <w:t>RE-9025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RE-9026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RE- 9027</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RE-9028</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RE-9029</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RE-9030</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RE-9035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RE-9036</w:t>
      </w:r>
      <w:r>
        <w:rPr>
          <w:rFonts w:ascii="Arial" w:cs="Arial" w:eastAsia="Arial" w:hAnsi="Arial"/>
          <w:sz w:val="18"/>
          <w:szCs w:val="18"/>
          <w:color w:val="auto"/>
        </w:rPr>
        <w:t xml:space="preserve"> HEREWITH, AND DOES HEREBY IRREVOCABLY CONSTITUTE AND APPOINT </w:t>
      </w:r>
      <w:r>
        <w:rPr>
          <w:rFonts w:ascii="Arial" w:cs="Arial" w:eastAsia="Arial" w:hAnsi="Arial"/>
          <w:sz w:val="18"/>
          <w:szCs w:val="18"/>
          <w:u w:val="single" w:color="auto"/>
          <w:color w:val="auto"/>
        </w:rPr>
        <w:t>AMERICAN STOCK TRANSFER &amp; TRUST COMPANY, LLC</w:t>
      </w:r>
      <w:r>
        <w:rPr>
          <w:rFonts w:ascii="Arial" w:cs="Arial" w:eastAsia="Arial" w:hAnsi="Arial"/>
          <w:sz w:val="18"/>
          <w:szCs w:val="18"/>
          <w:color w:val="auto"/>
        </w:rPr>
        <w:t xml:space="preserve"> ATTORNEY TO TRANSFER THE SAID STOCK ON THE BOOKS OF SAID CORPORATION WITH FULL POWER OF SUBSTITUTION IN THE PREMISES.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5"/>
          </w:tcPr>
          <w:p>
            <w:pPr>
              <w:spacing w:after="0"/>
              <w:rPr>
                <w:sz w:val="20"/>
                <w:szCs w:val="20"/>
                <w:color w:val="auto"/>
              </w:rPr>
            </w:pPr>
            <w:r>
              <w:rPr>
                <w:rFonts w:ascii="Arial" w:cs="Arial" w:eastAsia="Arial" w:hAnsi="Arial"/>
                <w:sz w:val="18"/>
                <w:szCs w:val="18"/>
                <w:color w:val="auto"/>
              </w:rPr>
              <w:t>DATED: MAY [●], 2020</w:t>
            </w:r>
          </w:p>
        </w:tc>
        <w:tc>
          <w:tcPr>
            <w:tcW w:w="550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5620" w:type="dxa"/>
            <w:vAlign w:val="bottom"/>
            <w:gridSpan w:val="4"/>
          </w:tcPr>
          <w:p>
            <w:pPr>
              <w:ind w:left="40"/>
              <w:spacing w:after="0"/>
              <w:rPr>
                <w:sz w:val="20"/>
                <w:szCs w:val="20"/>
                <w:color w:val="auto"/>
              </w:rPr>
            </w:pPr>
            <w:r>
              <w:rPr>
                <w:rFonts w:ascii="Arial" w:cs="Arial" w:eastAsia="Arial" w:hAnsi="Arial"/>
                <w:sz w:val="18"/>
                <w:szCs w:val="18"/>
                <w:b w:val="1"/>
                <w:bCs w:val="1"/>
                <w:color w:val="auto"/>
              </w:rPr>
              <w:t xml:space="preserve">SELLING STOCKHOLDER </w:t>
            </w:r>
            <w:r>
              <w:rPr>
                <w:rFonts w:ascii="Arial" w:cs="Arial" w:eastAsia="Arial" w:hAnsi="Arial"/>
                <w:sz w:val="18"/>
                <w:szCs w:val="18"/>
                <w:color w:val="auto"/>
              </w:rPr>
              <w:t>(if entity)</w:t>
            </w:r>
          </w:p>
        </w:tc>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 xml:space="preserve">SELLING STOCKHOLDER </w:t>
            </w:r>
            <w:r>
              <w:rPr>
                <w:rFonts w:ascii="Arial" w:cs="Arial" w:eastAsia="Arial" w:hAnsi="Arial"/>
                <w:sz w:val="18"/>
                <w:szCs w:val="18"/>
                <w:color w:val="auto"/>
              </w:rPr>
              <w:t>(if individual)</w:t>
            </w:r>
          </w:p>
        </w:tc>
      </w:tr>
      <w:tr>
        <w:trPr>
          <w:trHeight w:val="439"/>
        </w:trPr>
        <w:tc>
          <w:tcPr>
            <w:tcW w:w="120" w:type="dxa"/>
            <w:vAlign w:val="bottom"/>
          </w:tcPr>
          <w:p>
            <w:pPr>
              <w:spacing w:after="0"/>
              <w:rPr>
                <w:sz w:val="24"/>
                <w:szCs w:val="24"/>
                <w:color w:val="auto"/>
              </w:rPr>
            </w:pPr>
          </w:p>
        </w:tc>
        <w:tc>
          <w:tcPr>
            <w:tcW w:w="5620" w:type="dxa"/>
            <w:vAlign w:val="bottom"/>
            <w:gridSpan w:val="4"/>
          </w:tcPr>
          <w:p>
            <w:pPr>
              <w:ind w:left="40"/>
              <w:spacing w:after="0"/>
              <w:rPr>
                <w:sz w:val="20"/>
                <w:szCs w:val="20"/>
                <w:color w:val="auto"/>
              </w:rPr>
            </w:pPr>
            <w:r>
              <w:rPr>
                <w:rFonts w:ascii="Arial" w:cs="Arial" w:eastAsia="Arial" w:hAnsi="Arial"/>
                <w:sz w:val="18"/>
                <w:szCs w:val="18"/>
                <w:color w:val="auto"/>
              </w:rPr>
              <w:t>Sanofi SA</w:t>
            </w:r>
          </w:p>
        </w:tc>
        <w:tc>
          <w:tcPr>
            <w:tcW w:w="550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5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(Name of Entity*)</w:t>
            </w:r>
          </w:p>
        </w:tc>
        <w:tc>
          <w:tcPr>
            <w:tcW w:w="1120" w:type="dxa"/>
            <w:vAlign w:val="bottom"/>
          </w:tcPr>
          <w:p>
            <w:pPr>
              <w:spacing w:after="0"/>
              <w:rPr>
                <w:sz w:val="20"/>
                <w:szCs w:val="20"/>
                <w:color w:val="auto"/>
              </w:rPr>
            </w:pPr>
          </w:p>
        </w:tc>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i w:val="1"/>
                <w:iCs w:val="1"/>
                <w:color w:val="auto"/>
              </w:rPr>
              <w:t>(Print Legibly – Name of Selling Stockholder*)</w:t>
            </w:r>
          </w:p>
        </w:tc>
      </w:tr>
      <w:tr>
        <w:trPr>
          <w:trHeight w:val="425"/>
        </w:trPr>
        <w:tc>
          <w:tcPr>
            <w:tcW w:w="120" w:type="dxa"/>
            <w:vAlign w:val="bottom"/>
          </w:tcPr>
          <w:p>
            <w:pPr>
              <w:spacing w:after="0"/>
              <w:rPr>
                <w:sz w:val="24"/>
                <w:szCs w:val="24"/>
                <w:color w:val="auto"/>
              </w:rPr>
            </w:pPr>
          </w:p>
        </w:tc>
        <w:tc>
          <w:tcPr>
            <w:tcW w:w="5620" w:type="dxa"/>
            <w:vAlign w:val="bottom"/>
            <w:gridSpan w:val="4"/>
          </w:tcPr>
          <w:p>
            <w:pPr>
              <w:ind w:left="40"/>
              <w:spacing w:after="0"/>
              <w:rPr>
                <w:sz w:val="20"/>
                <w:szCs w:val="20"/>
                <w:color w:val="auto"/>
              </w:rPr>
            </w:pPr>
            <w:r>
              <w:rPr>
                <w:rFonts w:ascii="Arial" w:cs="Arial" w:eastAsia="Arial" w:hAnsi="Arial"/>
                <w:sz w:val="18"/>
                <w:szCs w:val="18"/>
                <w:color w:val="auto"/>
              </w:rPr>
              <w:t>By:</w:t>
            </w:r>
          </w:p>
        </w:tc>
        <w:tc>
          <w:tcPr>
            <w:tcW w:w="550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450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i w:val="1"/>
                <w:iCs w:val="1"/>
                <w:color w:val="auto"/>
              </w:rPr>
              <w:t>(Signature)</w:t>
            </w:r>
          </w:p>
        </w:tc>
        <w:tc>
          <w:tcPr>
            <w:tcW w:w="1120" w:type="dxa"/>
            <w:vAlign w:val="bottom"/>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Arial" w:cs="Arial" w:eastAsia="Arial" w:hAnsi="Arial"/>
                <w:sz w:val="18"/>
                <w:szCs w:val="18"/>
                <w:i w:val="1"/>
                <w:iCs w:val="1"/>
                <w:color w:val="auto"/>
              </w:rPr>
              <w:t>(Signature*)</w:t>
            </w:r>
          </w:p>
        </w:tc>
      </w:tr>
      <w:tr>
        <w:trPr>
          <w:trHeight w:val="209"/>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20" w:type="dxa"/>
            <w:vAlign w:val="bottom"/>
            <w:gridSpan w:val="2"/>
          </w:tcPr>
          <w:p>
            <w:pPr>
              <w:spacing w:after="0"/>
              <w:rPr>
                <w:sz w:val="18"/>
                <w:szCs w:val="18"/>
                <w:color w:val="auto"/>
              </w:rPr>
            </w:pPr>
          </w:p>
        </w:tc>
        <w:tc>
          <w:tcPr>
            <w:tcW w:w="550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45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(Print Name of Person Signing)</w:t>
            </w:r>
          </w:p>
        </w:tc>
        <w:tc>
          <w:tcPr>
            <w:tcW w:w="1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4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20" w:type="dxa"/>
            <w:vAlign w:val="bottom"/>
            <w:gridSpan w:val="2"/>
          </w:tcPr>
          <w:p>
            <w:pPr>
              <w:spacing w:after="0"/>
              <w:rPr>
                <w:sz w:val="24"/>
                <w:szCs w:val="24"/>
                <w:color w:val="auto"/>
              </w:rPr>
            </w:pPr>
          </w:p>
        </w:tc>
        <w:tc>
          <w:tcPr>
            <w:tcW w:w="550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5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(Print Title of Person Signing)</w:t>
            </w:r>
          </w:p>
        </w:tc>
        <w:tc>
          <w:tcPr>
            <w:tcW w:w="11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399"/>
        </w:trPr>
        <w:tc>
          <w:tcPr>
            <w:tcW w:w="128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4"/>
        </w:trPr>
        <w:tc>
          <w:tcPr>
            <w:tcW w:w="5740" w:type="dxa"/>
            <w:vAlign w:val="bottom"/>
            <w:gridSpan w:val="5"/>
          </w:tcPr>
          <w:p>
            <w:pPr>
              <w:spacing w:after="0" w:line="194" w:lineRule="exact"/>
              <w:rPr>
                <w:sz w:val="20"/>
                <w:szCs w:val="20"/>
                <w:color w:val="auto"/>
              </w:rPr>
            </w:pPr>
            <w:r>
              <w:rPr>
                <w:rFonts w:ascii="Arial" w:cs="Arial" w:eastAsia="Arial" w:hAnsi="Arial"/>
                <w:sz w:val="18"/>
                <w:szCs w:val="18"/>
                <w:color w:val="auto"/>
              </w:rPr>
              <w:t xml:space="preserve">* To be signed in </w:t>
            </w:r>
            <w:r>
              <w:rPr>
                <w:rFonts w:ascii="Arial" w:cs="Arial" w:eastAsia="Arial" w:hAnsi="Arial"/>
                <w:sz w:val="18"/>
                <w:szCs w:val="18"/>
                <w:b w:val="1"/>
                <w:bCs w:val="1"/>
                <w:color w:val="auto"/>
              </w:rPr>
              <w:t>exactly</w:t>
            </w:r>
            <w:r>
              <w:rPr>
                <w:rFonts w:ascii="Arial" w:cs="Arial" w:eastAsia="Arial" w:hAnsi="Arial"/>
                <w:sz w:val="18"/>
                <w:szCs w:val="18"/>
                <w:color w:val="auto"/>
              </w:rPr>
              <w:t xml:space="preserve"> the same name as the shares are registered.</w:t>
            </w:r>
          </w:p>
        </w:tc>
        <w:tc>
          <w:tcPr>
            <w:tcW w:w="5500" w:type="dxa"/>
            <w:vAlign w:val="bottom"/>
          </w:tcPr>
          <w:p>
            <w:pPr>
              <w:spacing w:after="0"/>
              <w:rPr>
                <w:sz w:val="16"/>
                <w:szCs w:val="16"/>
                <w:color w:val="auto"/>
              </w:rPr>
            </w:pPr>
          </w:p>
        </w:tc>
      </w:tr>
      <w:tr>
        <w:trPr>
          <w:trHeight w:val="480"/>
        </w:trPr>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25,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75008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of Investor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Reference is made to the Amended and Restated Investor Agreement (as may be amended from time to time, the “</w:t>
      </w:r>
      <w:r>
        <w:rPr>
          <w:rFonts w:ascii="Arial" w:cs="Arial" w:eastAsia="Arial" w:hAnsi="Arial"/>
          <w:sz w:val="16"/>
          <w:szCs w:val="16"/>
          <w:u w:val="single" w:color="auto"/>
          <w:color w:val="auto"/>
        </w:rPr>
        <w:t>Investor Agreement</w:t>
      </w:r>
      <w:r>
        <w:rPr>
          <w:rFonts w:ascii="Arial" w:cs="Arial" w:eastAsia="Arial" w:hAnsi="Arial"/>
          <w:sz w:val="16"/>
          <w:szCs w:val="16"/>
          <w:color w:val="auto"/>
        </w:rPr>
        <w:t>”), dated as of January 11, 2014, by and among Sanofi, a company organized under the laws of France (“</w:t>
      </w:r>
      <w:r>
        <w:rPr>
          <w:rFonts w:ascii="Arial" w:cs="Arial" w:eastAsia="Arial" w:hAnsi="Arial"/>
          <w:sz w:val="16"/>
          <w:szCs w:val="16"/>
          <w:u w:val="single" w:color="auto"/>
          <w:color w:val="auto"/>
        </w:rPr>
        <w:t>Sanofi</w:t>
      </w:r>
      <w:r>
        <w:rPr>
          <w:rFonts w:ascii="Arial" w:cs="Arial" w:eastAsia="Arial" w:hAnsi="Arial"/>
          <w:sz w:val="16"/>
          <w:szCs w:val="16"/>
          <w:color w:val="auto"/>
        </w:rPr>
        <w:t>”), sanofi-aventis US LLC, a Delaware limited liability company (“</w:t>
      </w:r>
      <w:r>
        <w:rPr>
          <w:rFonts w:ascii="Arial" w:cs="Arial" w:eastAsia="Arial" w:hAnsi="Arial"/>
          <w:sz w:val="16"/>
          <w:szCs w:val="16"/>
          <w:u w:val="single" w:color="auto"/>
          <w:color w:val="auto"/>
        </w:rPr>
        <w:t>Sanofi US</w:t>
      </w:r>
      <w:r>
        <w:rPr>
          <w:rFonts w:ascii="Arial" w:cs="Arial" w:eastAsia="Arial" w:hAnsi="Arial"/>
          <w:sz w:val="16"/>
          <w:szCs w:val="16"/>
          <w:color w:val="auto"/>
        </w:rPr>
        <w:t>”), Aventisub LLC, a Delaware limited liability company (formerly Aventis Pharmaceuticals Inc., a Delaware corporation)</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Aventis</w:t>
      </w:r>
      <w:r>
        <w:rPr>
          <w:rFonts w:ascii="Arial" w:cs="Arial" w:eastAsia="Arial" w:hAnsi="Arial"/>
          <w:sz w:val="18"/>
          <w:szCs w:val="18"/>
          <w:color w:val="auto"/>
        </w:rPr>
        <w:t xml:space="preserve">”), sanofi-aventis Amérique du Nord, a </w:t>
      </w:r>
      <w:r>
        <w:rPr>
          <w:rFonts w:ascii="Arial" w:cs="Arial" w:eastAsia="Arial" w:hAnsi="Arial"/>
          <w:sz w:val="18"/>
          <w:szCs w:val="18"/>
          <w:i w:val="1"/>
          <w:iCs w:val="1"/>
          <w:color w:val="auto"/>
        </w:rPr>
        <w:t>société en nom collectif</w:t>
      </w:r>
      <w:r>
        <w:rPr>
          <w:rFonts w:ascii="Arial" w:cs="Arial" w:eastAsia="Arial" w:hAnsi="Arial"/>
          <w:sz w:val="18"/>
          <w:szCs w:val="18"/>
          <w:color w:val="auto"/>
        </w:rPr>
        <w:t xml:space="preserve"> organized under the laws of France (the “</w:t>
      </w:r>
      <w:r>
        <w:rPr>
          <w:rFonts w:ascii="Arial" w:cs="Arial" w:eastAsia="Arial" w:hAnsi="Arial"/>
          <w:sz w:val="18"/>
          <w:szCs w:val="18"/>
          <w:u w:val="single" w:color="auto"/>
          <w:color w:val="auto"/>
        </w:rPr>
        <w:t>Investor</w:t>
      </w:r>
      <w:r>
        <w:rPr>
          <w:rFonts w:ascii="Arial" w:cs="Arial" w:eastAsia="Arial" w:hAnsi="Arial"/>
          <w:sz w:val="18"/>
          <w:szCs w:val="18"/>
          <w:color w:val="auto"/>
        </w:rPr>
        <w:t>”, which was merged with Sanofi on October 30, 2018, and, together with Sanofi, Sanofi US and Aventis, the “</w:t>
      </w:r>
      <w:r>
        <w:rPr>
          <w:rFonts w:ascii="Arial" w:cs="Arial" w:eastAsia="Arial" w:hAnsi="Arial"/>
          <w:sz w:val="18"/>
          <w:szCs w:val="18"/>
          <w:u w:val="single" w:color="auto"/>
          <w:color w:val="auto"/>
        </w:rPr>
        <w:t>Purchaser Parties</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Regeneron</w:t>
      </w:r>
      <w:r>
        <w:rPr>
          <w:rFonts w:ascii="Arial" w:cs="Arial" w:eastAsia="Arial" w:hAnsi="Arial"/>
          <w:sz w:val="18"/>
          <w:szCs w:val="18"/>
          <w:color w:val="auto"/>
        </w:rPr>
        <w:t>”), as amended pursuant to that certain letter agreement, dated as of January 7, 2018, by and among Regeneron and the affiliates of the Purchaser Parties party thereto (the “</w:t>
      </w:r>
      <w:r>
        <w:rPr>
          <w:rFonts w:ascii="Arial" w:cs="Arial" w:eastAsia="Arial" w:hAnsi="Arial"/>
          <w:sz w:val="18"/>
          <w:szCs w:val="18"/>
          <w:u w:val="single" w:color="auto"/>
          <w:color w:val="auto"/>
        </w:rPr>
        <w:t>2018 Letter Agreement</w:t>
      </w:r>
      <w:r>
        <w:rPr>
          <w:rFonts w:ascii="Arial" w:cs="Arial" w:eastAsia="Arial" w:hAnsi="Arial"/>
          <w:sz w:val="18"/>
          <w:szCs w:val="18"/>
          <w:color w:val="auto"/>
        </w:rPr>
        <w:t>”). Capitalized terms that are used but not defined herein have the meanings given to such terms in the Investor Agreement.</w:t>
      </w:r>
    </w:p>
    <w:p>
      <w:pPr>
        <w:spacing w:after="0" w:line="19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purpose of this Letter Agreement is to provide for certain matters in connection with (i) the underwritten offering by Sanofi and Aventis of shares (the “</w:t>
      </w:r>
      <w:r>
        <w:rPr>
          <w:rFonts w:ascii="Arial" w:cs="Arial" w:eastAsia="Arial" w:hAnsi="Arial"/>
          <w:sz w:val="17"/>
          <w:szCs w:val="17"/>
          <w:u w:val="single" w:color="auto"/>
          <w:color w:val="auto"/>
        </w:rPr>
        <w:t>Offering Shares</w:t>
      </w:r>
      <w:r>
        <w:rPr>
          <w:rFonts w:ascii="Arial" w:cs="Arial" w:eastAsia="Arial" w:hAnsi="Arial"/>
          <w:sz w:val="17"/>
          <w:szCs w:val="17"/>
          <w:color w:val="auto"/>
        </w:rPr>
        <w:t>”) of common stock, par value $0.001 per share, of Regeneron (“</w:t>
      </w:r>
      <w:r>
        <w:rPr>
          <w:rFonts w:ascii="Arial" w:cs="Arial" w:eastAsia="Arial" w:hAnsi="Arial"/>
          <w:sz w:val="17"/>
          <w:szCs w:val="17"/>
          <w:u w:val="single" w:color="auto"/>
          <w:color w:val="auto"/>
        </w:rPr>
        <w:t>Common Stock</w:t>
      </w:r>
      <w:r>
        <w:rPr>
          <w:rFonts w:ascii="Arial" w:cs="Arial" w:eastAsia="Arial" w:hAnsi="Arial"/>
          <w:sz w:val="17"/>
          <w:szCs w:val="17"/>
          <w:color w:val="auto"/>
        </w:rPr>
        <w:t>”) pursuant to Regeneron’s Registration Statement on Form S-3 (Registration No. 333-228352), with a base public offering size equal to all shares of Common Stock held by Sanofi and its Affiliates as of the date hereof (other than the Repurchase Shares (as defined below), any shares of Common Stock subject to the underwriter overallotment option to purchase additional Offering Shares and 400,000 shares of Common Stock that Sanofi intends to retain) (such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and (ii) the repurchase (the “</w:t>
      </w:r>
      <w:r>
        <w:rPr>
          <w:rFonts w:ascii="Arial" w:cs="Arial" w:eastAsia="Arial" w:hAnsi="Arial"/>
          <w:sz w:val="17"/>
          <w:szCs w:val="17"/>
          <w:u w:val="single" w:color="auto"/>
          <w:color w:val="auto"/>
        </w:rPr>
        <w:t>Repurchase</w:t>
      </w:r>
      <w:r>
        <w:rPr>
          <w:rFonts w:ascii="Arial" w:cs="Arial" w:eastAsia="Arial" w:hAnsi="Arial"/>
          <w:sz w:val="17"/>
          <w:szCs w:val="17"/>
          <w:color w:val="auto"/>
        </w:rPr>
        <w:t>” and, together with the Offering, the “</w:t>
      </w:r>
      <w:r>
        <w:rPr>
          <w:rFonts w:ascii="Arial" w:cs="Arial" w:eastAsia="Arial" w:hAnsi="Arial"/>
          <w:sz w:val="17"/>
          <w:szCs w:val="17"/>
          <w:u w:val="single" w:color="auto"/>
          <w:color w:val="auto"/>
        </w:rPr>
        <w:t>Transaction</w:t>
      </w:r>
      <w:r>
        <w:rPr>
          <w:rFonts w:ascii="Arial" w:cs="Arial" w:eastAsia="Arial" w:hAnsi="Arial"/>
          <w:sz w:val="17"/>
          <w:szCs w:val="17"/>
          <w:color w:val="auto"/>
        </w:rPr>
        <w:t>”) by Regeneron of approximately $5 billion of Common Stock from Sanofi at the price at which the Offering Shares are sold to the public in the Offering, less the underwriting discount (the “</w:t>
      </w:r>
      <w:r>
        <w:rPr>
          <w:rFonts w:ascii="Arial" w:cs="Arial" w:eastAsia="Arial" w:hAnsi="Arial"/>
          <w:sz w:val="17"/>
          <w:szCs w:val="17"/>
          <w:u w:val="single" w:color="auto"/>
          <w:color w:val="auto"/>
        </w:rPr>
        <w:t>Repurchase Shares</w:t>
      </w:r>
      <w:r>
        <w:rPr>
          <w:rFonts w:ascii="Arial" w:cs="Arial" w:eastAsia="Arial" w:hAnsi="Arial"/>
          <w:sz w:val="17"/>
          <w:szCs w:val="17"/>
          <w:color w:val="auto"/>
        </w:rPr>
        <w:t>”) pursuant to the Stock Repurchase Agreement, dated as of the date hereof, by and between Sanofi, Aventis and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spacing w:after="0" w:line="274" w:lineRule="auto"/>
        <w:rPr>
          <w:sz w:val="20"/>
          <w:szCs w:val="20"/>
          <w:color w:val="auto"/>
        </w:rPr>
      </w:pPr>
      <w:r>
        <w:rPr>
          <w:rFonts w:ascii="Arial" w:cs="Arial" w:eastAsia="Arial" w:hAnsi="Arial"/>
          <w:sz w:val="18"/>
          <w:szCs w:val="18"/>
          <w:color w:val="auto"/>
        </w:rPr>
        <w:t>Sanofi Page 2 of 4 May 25, 2020</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Sections 9.2 and 9.5 of the Investor Agreement, the parties to this Letter Agreement agree as follows:</w:t>
      </w:r>
    </w:p>
    <w:p>
      <w:pPr>
        <w:spacing w:after="0" w:line="225" w:lineRule="exact"/>
        <w:rPr>
          <w:sz w:val="20"/>
          <w:szCs w:val="20"/>
          <w:color w:val="auto"/>
        </w:rPr>
      </w:pPr>
    </w:p>
    <w:p>
      <w:pPr>
        <w:ind w:left="660" w:right="20" w:hanging="652"/>
        <w:spacing w:after="0" w:line="31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Termination of Registration Rights (Section 2 of the Investor Agreement)</w:t>
      </w:r>
      <w:r>
        <w:rPr>
          <w:rFonts w:ascii="Arial" w:cs="Arial" w:eastAsia="Arial" w:hAnsi="Arial"/>
          <w:sz w:val="16"/>
          <w:szCs w:val="16"/>
          <w:color w:val="auto"/>
        </w:rPr>
        <w:t>. Effective as of and conditioned upon the closing of the Offering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regard to any underwriter overallotment option to purchase additional Offering Shares) and the Repurchase (the “</w:t>
      </w:r>
      <w:r>
        <w:rPr>
          <w:rFonts w:ascii="Arial" w:cs="Arial" w:eastAsia="Arial" w:hAnsi="Arial"/>
          <w:sz w:val="16"/>
          <w:szCs w:val="16"/>
          <w:u w:val="single" w:color="auto"/>
          <w:color w:val="auto"/>
        </w:rPr>
        <w:t>Closing</w:t>
      </w:r>
      <w:r>
        <w:rPr>
          <w:rFonts w:ascii="Arial" w:cs="Arial" w:eastAsia="Arial" w:hAnsi="Arial"/>
          <w:sz w:val="16"/>
          <w:szCs w:val="16"/>
          <w:color w:val="auto"/>
        </w:rPr>
        <w:t>”), Section 2 of the Investor Agreement (comprising Sections 2.1 through 2.12 of the Investor Agreement) is hereby terminated and has no further force and effect.</w:t>
      </w:r>
    </w:p>
    <w:p>
      <w:pPr>
        <w:spacing w:after="0" w:line="148" w:lineRule="exact"/>
        <w:rPr>
          <w:rFonts w:ascii="Arial" w:cs="Arial" w:eastAsia="Arial" w:hAnsi="Arial"/>
          <w:sz w:val="16"/>
          <w:szCs w:val="16"/>
          <w:color w:val="auto"/>
        </w:rPr>
      </w:pPr>
    </w:p>
    <w:p>
      <w:pPr>
        <w:ind w:left="660" w:right="10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Termination of Board Designation Right (Section 3.1 of the Investor Agreement)</w:t>
      </w:r>
      <w:r>
        <w:rPr>
          <w:rFonts w:ascii="Arial" w:cs="Arial" w:eastAsia="Arial" w:hAnsi="Arial"/>
          <w:sz w:val="18"/>
          <w:szCs w:val="18"/>
          <w:color w:val="auto"/>
        </w:rPr>
        <w:t>. Effective as of and conditioned upon the Closing, Section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Investor Agreement is hereby terminated and has no further force and effect.</w:t>
      </w:r>
    </w:p>
    <w:p>
      <w:pPr>
        <w:spacing w:after="0" w:line="170"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Survival of Standstill (Section 4.1 of the Investor Agreement)</w:t>
      </w:r>
      <w:r>
        <w:rPr>
          <w:rFonts w:ascii="Arial" w:cs="Arial" w:eastAsia="Arial" w:hAnsi="Arial"/>
          <w:sz w:val="18"/>
          <w:szCs w:val="18"/>
          <w:color w:val="auto"/>
        </w:rPr>
        <w:t>. For the avoidance of doubt, Section 4.1 of the Investor Agreement shall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force and effect pursuant to its terms following the Closing.</w:t>
      </w:r>
    </w:p>
    <w:p>
      <w:pPr>
        <w:spacing w:after="0" w:line="170" w:lineRule="exact"/>
        <w:rPr>
          <w:rFonts w:ascii="Arial" w:cs="Arial" w:eastAsia="Arial" w:hAnsi="Arial"/>
          <w:sz w:val="18"/>
          <w:szCs w:val="18"/>
          <w:color w:val="auto"/>
        </w:rPr>
      </w:pPr>
    </w:p>
    <w:p>
      <w:pPr>
        <w:ind w:left="660" w:right="100" w:hanging="652"/>
        <w:spacing w:after="0" w:line="25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Survival of Restrictions on Dispositions (Section 5 of the Investor Agreement)</w:t>
      </w:r>
      <w:r>
        <w:rPr>
          <w:rFonts w:ascii="Arial" w:cs="Arial" w:eastAsia="Arial" w:hAnsi="Arial"/>
          <w:sz w:val="18"/>
          <w:szCs w:val="18"/>
          <w:color w:val="auto"/>
        </w:rPr>
        <w:t>. Section 5 of the Investor Agreement (comprising Sections 5.1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through 5.4 of the Investor Agreement) shall continue in full force and effect pursuant to its terms, including the length of the Lock-Up Term, and shall apply to any shares of Common Stock beneficially owned by any Purchaser Party or Permitted Transferee following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funding mechanics and related provisions set forth in the 2018 Letter Agreement relating to the REGN2810 Development Costs and certain Dupilumab/REGN3500 Eligible Investments (each as defined in the 2018 Letter Agreement) shall apply to any such shares. For the avoidance of doubt, (a) this Letter Agreement shall not modify the rights of any Purchaser Party to transfer shares of Common Stock to a Permitted Transferee pursuant to and in compliance with the terms of the Investor Agreement and (b) Section 5.2(a) of the Investor Agreement shall continue to apply with respect to any underwritten public offering by the Purchaser Parties of shares of Common Stock following the expiration of the Lock-Up Term.</w:t>
      </w:r>
    </w:p>
    <w:p>
      <w:pPr>
        <w:spacing w:after="0" w:line="196" w:lineRule="exact"/>
        <w:rPr>
          <w:rFonts w:ascii="Arial" w:cs="Arial" w:eastAsia="Arial" w:hAnsi="Arial"/>
          <w:sz w:val="18"/>
          <w:szCs w:val="18"/>
          <w:color w:val="auto"/>
        </w:rPr>
      </w:pPr>
    </w:p>
    <w:p>
      <w:pPr>
        <w:ind w:left="660" w:right="140" w:hanging="652"/>
        <w:spacing w:after="0" w:line="275"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Survival of Voting Agreement (Section 6 of the Investor Agreement)</w:t>
      </w:r>
      <w:r>
        <w:rPr>
          <w:rFonts w:ascii="Arial" w:cs="Arial" w:eastAsia="Arial" w:hAnsi="Arial"/>
          <w:sz w:val="17"/>
          <w:szCs w:val="17"/>
          <w:color w:val="auto"/>
        </w:rPr>
        <w:t>. Section 6 of the Investor Agreement (comprising Sections 6.1 through 6.3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Investor Agreement) shall continue in full force and effect with respect to any shares of Common Stock beneficially owned by any Purchaser Party following the Closing so long as any Purchaser Party or Permitted Transferee holds any shares of Common Stock held by any Purchaser Party immediately following the consummation of the Transaction; and, for the avoidance of doubt, it shall not terminate as a result of the Offering or the Purchaser Parties ceasing to own five percent (5%) of the voting power of Common Stock.</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Changes to Termination Provisions (Section 7 of the Investor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Effective as of and conditioned upon the Closing, Section 7.1 of the Investor Agreement is hereby replaced in its entirety with the following:</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line="274" w:lineRule="auto"/>
        <w:rPr>
          <w:sz w:val="20"/>
          <w:szCs w:val="20"/>
          <w:color w:val="auto"/>
        </w:rPr>
      </w:pPr>
      <w:r>
        <w:rPr>
          <w:rFonts w:ascii="Arial" w:cs="Arial" w:eastAsia="Arial" w:hAnsi="Arial"/>
          <w:sz w:val="18"/>
          <w:szCs w:val="18"/>
          <w:color w:val="auto"/>
        </w:rPr>
        <w:t>Sanofi Page 3 of 4 May 25, 2020</w:t>
      </w:r>
    </w:p>
    <w:p>
      <w:pPr>
        <w:spacing w:after="0" w:line="200" w:lineRule="exact"/>
        <w:rPr>
          <w:sz w:val="20"/>
          <w:szCs w:val="20"/>
          <w:color w:val="auto"/>
        </w:rPr>
      </w:pPr>
    </w:p>
    <w:p>
      <w:pPr>
        <w:spacing w:after="0" w:line="239" w:lineRule="exact"/>
        <w:rPr>
          <w:sz w:val="20"/>
          <w:szCs w:val="20"/>
          <w:color w:val="auto"/>
        </w:rPr>
      </w:pPr>
    </w:p>
    <w:p>
      <w:pPr>
        <w:ind w:left="980" w:right="260" w:hanging="648"/>
        <w:spacing w:after="0" w:line="500" w:lineRule="auto"/>
        <w:tabs>
          <w:tab w:leader="none" w:pos="6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Effective as of and conditioned upon the Closing, Section 7.4(c) of the Investor Agreement is hereby replaced in its entirety with the following: “(c) [Reserved.]”</w:t>
      </w:r>
    </w:p>
    <w:p>
      <w:pPr>
        <w:spacing w:after="0" w:line="1" w:lineRule="exact"/>
        <w:rPr>
          <w:rFonts w:ascii="Arial" w:cs="Arial" w:eastAsia="Arial" w:hAnsi="Arial"/>
          <w:sz w:val="18"/>
          <w:szCs w:val="18"/>
          <w:color w:val="auto"/>
        </w:rPr>
      </w:pPr>
    </w:p>
    <w:p>
      <w:pPr>
        <w:ind w:left="660" w:right="360" w:hanging="652"/>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Termination of Other Rights (Section 8 of the Investor Agreement)</w:t>
      </w:r>
      <w:r>
        <w:rPr>
          <w:rFonts w:ascii="Arial" w:cs="Arial" w:eastAsia="Arial" w:hAnsi="Arial"/>
          <w:sz w:val="16"/>
          <w:szCs w:val="16"/>
          <w:color w:val="auto"/>
        </w:rPr>
        <w:t>. Effective as of and conditioned upon the Closing, Section 8 of the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(comprising Sections 8.1 and 8.2 of the Investor Agreement) is hereby terminated and has no further force and effect.</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Except as expressly set forth herein or in the waiver letter, dated as of the date hereof, by and among Regeneron and the Purchaser Parties, no provision of the Investor Agreement is modified or waived, and the Investor Agreement shall continue in full force and effect in accordance with its terms. All references in the Investor Agreement to the Investor Agreement shall be deemed to be references to the Investor Agreement after giving effect to this Letter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your agreement with the foregoing by returning a countersigned acknowledgement.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Robert E. Landry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Finance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60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Legal Affairs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SANOFI-AVENTIS US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60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AVENTISUB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604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the Investor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908" w:right="1019" w:bottom="1440" w:gutter="0" w:footer="0" w:header="0"/>
        </w:sectPr>
      </w:pPr>
    </w:p>
    <w:bookmarkStart w:id="51" w:name="page52"/>
    <w:bookmarkEnd w:id="51"/>
    <w:p>
      <w:pPr>
        <w:ind w:left="900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May 25, 2020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REGENERON PHARMACEUTICALS, INC.</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GOLDMAN SACHS BANK USA</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588645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7580" w:type="dxa"/>
            <w:vAlign w:val="bottom"/>
            <w:gridSpan w:val="3"/>
          </w:tcPr>
          <w:p>
            <w:pPr>
              <w:ind w:left="3140"/>
              <w:spacing w:after="0"/>
              <w:rPr>
                <w:sz w:val="20"/>
                <w:szCs w:val="20"/>
                <w:color w:val="auto"/>
              </w:rPr>
            </w:pPr>
            <w:r>
              <w:rPr>
                <w:rFonts w:ascii="Arial" w:cs="Arial" w:eastAsia="Arial" w:hAnsi="Arial"/>
                <w:sz w:val="18"/>
                <w:szCs w:val="18"/>
                <w:color w:val="auto"/>
              </w:rPr>
              <w:t>Table Of Contents</w:t>
            </w: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1820" w:type="dxa"/>
            <w:vAlign w:val="bottom"/>
          </w:tcPr>
          <w:p>
            <w:pPr>
              <w:spacing w:after="0"/>
              <w:rPr>
                <w:sz w:val="20"/>
                <w:szCs w:val="20"/>
                <w:color w:val="auto"/>
              </w:rPr>
            </w:pPr>
            <w:r>
              <w:rPr>
                <w:rFonts w:ascii="Arial" w:cs="Arial" w:eastAsia="Arial" w:hAnsi="Arial"/>
                <w:sz w:val="18"/>
                <w:szCs w:val="18"/>
                <w:color w:val="auto"/>
              </w:rPr>
              <w:t>ARTICLE I Definitions</w:t>
            </w: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SECTION 1.01.</w:t>
            </w:r>
          </w:p>
        </w:tc>
        <w:tc>
          <w:tcPr>
            <w:tcW w:w="7580" w:type="dxa"/>
            <w:vAlign w:val="bottom"/>
            <w:gridSpan w:val="3"/>
          </w:tcPr>
          <w:p>
            <w:pPr>
              <w:spacing w:after="0"/>
              <w:rPr>
                <w:sz w:val="20"/>
                <w:szCs w:val="20"/>
                <w:color w:val="auto"/>
              </w:rPr>
            </w:pPr>
            <w:r>
              <w:rPr>
                <w:rFonts w:ascii="Arial" w:cs="Arial" w:eastAsia="Arial" w:hAnsi="Arial"/>
                <w:sz w:val="18"/>
                <w:szCs w:val="18"/>
                <w:color w:val="auto"/>
              </w:rPr>
              <w:t>DEFINED TERMS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1.02.</w:t>
            </w:r>
          </w:p>
        </w:tc>
        <w:tc>
          <w:tcPr>
            <w:tcW w:w="7580" w:type="dxa"/>
            <w:vAlign w:val="bottom"/>
            <w:gridSpan w:val="3"/>
          </w:tcPr>
          <w:p>
            <w:pPr>
              <w:spacing w:after="0"/>
              <w:rPr>
                <w:sz w:val="20"/>
                <w:szCs w:val="20"/>
                <w:color w:val="auto"/>
              </w:rPr>
            </w:pPr>
            <w:r>
              <w:rPr>
                <w:rFonts w:ascii="Arial" w:cs="Arial" w:eastAsia="Arial" w:hAnsi="Arial"/>
                <w:sz w:val="18"/>
                <w:szCs w:val="18"/>
                <w:color w:val="auto"/>
              </w:rPr>
              <w:t>CLASSIFICATION OF LOANS AND BORROWINGS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1.03.</w:t>
            </w:r>
          </w:p>
        </w:tc>
        <w:tc>
          <w:tcPr>
            <w:tcW w:w="7580" w:type="dxa"/>
            <w:vAlign w:val="bottom"/>
            <w:gridSpan w:val="3"/>
          </w:tcPr>
          <w:p>
            <w:pPr>
              <w:spacing w:after="0"/>
              <w:rPr>
                <w:sz w:val="20"/>
                <w:szCs w:val="20"/>
                <w:color w:val="auto"/>
              </w:rPr>
            </w:pPr>
            <w:r>
              <w:rPr>
                <w:rFonts w:ascii="Arial" w:cs="Arial" w:eastAsia="Arial" w:hAnsi="Arial"/>
                <w:sz w:val="18"/>
                <w:szCs w:val="18"/>
                <w:color w:val="auto"/>
              </w:rPr>
              <w:t>TERMS GENERALLY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1.04.</w:t>
            </w:r>
          </w:p>
        </w:tc>
        <w:tc>
          <w:tcPr>
            <w:tcW w:w="7580" w:type="dxa"/>
            <w:vAlign w:val="bottom"/>
            <w:gridSpan w:val="3"/>
          </w:tcPr>
          <w:p>
            <w:pPr>
              <w:spacing w:after="0"/>
              <w:rPr>
                <w:sz w:val="20"/>
                <w:szCs w:val="20"/>
                <w:color w:val="auto"/>
              </w:rPr>
            </w:pPr>
            <w:r>
              <w:rPr>
                <w:rFonts w:ascii="Arial" w:cs="Arial" w:eastAsia="Arial" w:hAnsi="Arial"/>
                <w:sz w:val="18"/>
                <w:szCs w:val="18"/>
                <w:color w:val="auto"/>
              </w:rPr>
              <w:t>ACCOUNTING TERMS; GAAP; PRO FORMA CALCULATIONS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1.05.</w:t>
            </w:r>
          </w:p>
        </w:tc>
        <w:tc>
          <w:tcPr>
            <w:tcW w:w="7580" w:type="dxa"/>
            <w:vAlign w:val="bottom"/>
            <w:gridSpan w:val="3"/>
          </w:tcPr>
          <w:p>
            <w:pPr>
              <w:spacing w:after="0"/>
              <w:rPr>
                <w:sz w:val="20"/>
                <w:szCs w:val="20"/>
                <w:color w:val="auto"/>
              </w:rPr>
            </w:pPr>
            <w:r>
              <w:rPr>
                <w:rFonts w:ascii="Arial" w:cs="Arial" w:eastAsia="Arial" w:hAnsi="Arial"/>
                <w:sz w:val="18"/>
                <w:szCs w:val="18"/>
                <w:color w:val="auto"/>
              </w:rPr>
              <w:t>INTEREST RATES; LIBOR NOTIFICATION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SECTION 1.06.</w:t>
            </w:r>
          </w:p>
        </w:tc>
        <w:tc>
          <w:tcPr>
            <w:tcW w:w="7580" w:type="dxa"/>
            <w:vAlign w:val="bottom"/>
            <w:gridSpan w:val="3"/>
          </w:tcPr>
          <w:p>
            <w:pPr>
              <w:spacing w:after="0"/>
              <w:rPr>
                <w:sz w:val="20"/>
                <w:szCs w:val="20"/>
                <w:color w:val="auto"/>
              </w:rPr>
            </w:pPr>
            <w:r>
              <w:rPr>
                <w:rFonts w:ascii="Arial" w:cs="Arial" w:eastAsia="Arial" w:hAnsi="Arial"/>
                <w:sz w:val="18"/>
                <w:szCs w:val="18"/>
                <w:color w:val="auto"/>
              </w:rPr>
              <w:t>DIVISIONS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w w:val="95"/>
              </w:rPr>
              <w:t>ARTICLE II The Credits</w:t>
            </w: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SECTION 2.01.</w:t>
            </w:r>
          </w:p>
        </w:tc>
        <w:tc>
          <w:tcPr>
            <w:tcW w:w="7580" w:type="dxa"/>
            <w:vAlign w:val="bottom"/>
            <w:gridSpan w:val="3"/>
          </w:tcPr>
          <w:p>
            <w:pPr>
              <w:spacing w:after="0"/>
              <w:rPr>
                <w:sz w:val="20"/>
                <w:szCs w:val="20"/>
                <w:color w:val="auto"/>
              </w:rPr>
            </w:pPr>
            <w:r>
              <w:rPr>
                <w:rFonts w:ascii="Arial" w:cs="Arial" w:eastAsia="Arial" w:hAnsi="Arial"/>
                <w:sz w:val="18"/>
                <w:szCs w:val="18"/>
                <w:color w:val="auto"/>
              </w:rPr>
              <w:t>COMMITMENTS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2.02.</w:t>
            </w:r>
          </w:p>
        </w:tc>
        <w:tc>
          <w:tcPr>
            <w:tcW w:w="7580" w:type="dxa"/>
            <w:vAlign w:val="bottom"/>
            <w:gridSpan w:val="3"/>
          </w:tcPr>
          <w:p>
            <w:pPr>
              <w:spacing w:after="0"/>
              <w:rPr>
                <w:sz w:val="20"/>
                <w:szCs w:val="20"/>
                <w:color w:val="auto"/>
              </w:rPr>
            </w:pPr>
            <w:r>
              <w:rPr>
                <w:rFonts w:ascii="Arial" w:cs="Arial" w:eastAsia="Arial" w:hAnsi="Arial"/>
                <w:sz w:val="18"/>
                <w:szCs w:val="18"/>
                <w:color w:val="auto"/>
              </w:rPr>
              <w:t>LOANS AND BORROWINGS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2.03.</w:t>
            </w:r>
          </w:p>
        </w:tc>
        <w:tc>
          <w:tcPr>
            <w:tcW w:w="7580" w:type="dxa"/>
            <w:vAlign w:val="bottom"/>
            <w:gridSpan w:val="3"/>
          </w:tcPr>
          <w:p>
            <w:pPr>
              <w:spacing w:after="0"/>
              <w:rPr>
                <w:sz w:val="20"/>
                <w:szCs w:val="20"/>
                <w:color w:val="auto"/>
              </w:rPr>
            </w:pPr>
            <w:r>
              <w:rPr>
                <w:rFonts w:ascii="Arial" w:cs="Arial" w:eastAsia="Arial" w:hAnsi="Arial"/>
                <w:sz w:val="18"/>
                <w:szCs w:val="18"/>
                <w:color w:val="auto"/>
              </w:rPr>
              <w:t>REQUESTS FOR BORROWINGS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2.04.</w:t>
            </w:r>
          </w:p>
        </w:tc>
        <w:tc>
          <w:tcPr>
            <w:tcW w:w="758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2.05.</w:t>
            </w:r>
          </w:p>
        </w:tc>
        <w:tc>
          <w:tcPr>
            <w:tcW w:w="758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2.06.</w:t>
            </w:r>
          </w:p>
        </w:tc>
        <w:tc>
          <w:tcPr>
            <w:tcW w:w="758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2.07.</w:t>
            </w:r>
          </w:p>
        </w:tc>
        <w:tc>
          <w:tcPr>
            <w:tcW w:w="7580" w:type="dxa"/>
            <w:vAlign w:val="bottom"/>
            <w:gridSpan w:val="3"/>
          </w:tcPr>
          <w:p>
            <w:pPr>
              <w:spacing w:after="0"/>
              <w:rPr>
                <w:sz w:val="20"/>
                <w:szCs w:val="20"/>
                <w:color w:val="auto"/>
              </w:rPr>
            </w:pPr>
            <w:r>
              <w:rPr>
                <w:rFonts w:ascii="Arial" w:cs="Arial" w:eastAsia="Arial" w:hAnsi="Arial"/>
                <w:sz w:val="18"/>
                <w:szCs w:val="18"/>
                <w:color w:val="auto"/>
              </w:rPr>
              <w:t>FUNDING OF BORROWINGS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2.08.</w:t>
            </w:r>
          </w:p>
        </w:tc>
        <w:tc>
          <w:tcPr>
            <w:tcW w:w="7580" w:type="dxa"/>
            <w:vAlign w:val="bottom"/>
            <w:gridSpan w:val="3"/>
          </w:tcPr>
          <w:p>
            <w:pPr>
              <w:spacing w:after="0"/>
              <w:rPr>
                <w:sz w:val="20"/>
                <w:szCs w:val="20"/>
                <w:color w:val="auto"/>
              </w:rPr>
            </w:pPr>
            <w:r>
              <w:rPr>
                <w:rFonts w:ascii="Arial" w:cs="Arial" w:eastAsia="Arial" w:hAnsi="Arial"/>
                <w:sz w:val="18"/>
                <w:szCs w:val="18"/>
                <w:color w:val="auto"/>
              </w:rPr>
              <w:t>INTEREST ELECTIONS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2.09.</w:t>
            </w:r>
          </w:p>
        </w:tc>
        <w:tc>
          <w:tcPr>
            <w:tcW w:w="7580" w:type="dxa"/>
            <w:vAlign w:val="bottom"/>
            <w:gridSpan w:val="3"/>
          </w:tcPr>
          <w:p>
            <w:pPr>
              <w:spacing w:after="0"/>
              <w:rPr>
                <w:sz w:val="20"/>
                <w:szCs w:val="20"/>
                <w:color w:val="auto"/>
              </w:rPr>
            </w:pPr>
            <w:r>
              <w:rPr>
                <w:rFonts w:ascii="Arial" w:cs="Arial" w:eastAsia="Arial" w:hAnsi="Arial"/>
                <w:sz w:val="18"/>
                <w:szCs w:val="18"/>
                <w:color w:val="auto"/>
              </w:rPr>
              <w:t>TERMINATION AND REDUCTION OF COMMITMENTS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2.10.</w:t>
            </w:r>
          </w:p>
        </w:tc>
        <w:tc>
          <w:tcPr>
            <w:tcW w:w="7580" w:type="dxa"/>
            <w:vAlign w:val="bottom"/>
            <w:gridSpan w:val="3"/>
          </w:tcPr>
          <w:p>
            <w:pPr>
              <w:spacing w:after="0"/>
              <w:rPr>
                <w:sz w:val="20"/>
                <w:szCs w:val="20"/>
                <w:color w:val="auto"/>
              </w:rPr>
            </w:pPr>
            <w:r>
              <w:rPr>
                <w:rFonts w:ascii="Arial" w:cs="Arial" w:eastAsia="Arial" w:hAnsi="Arial"/>
                <w:sz w:val="18"/>
                <w:szCs w:val="18"/>
                <w:color w:val="auto"/>
              </w:rPr>
              <w:t>REPAYMENT OF LOANS; EVIDENCE OF INDEBTEDNESS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2.11.</w:t>
            </w:r>
          </w:p>
        </w:tc>
        <w:tc>
          <w:tcPr>
            <w:tcW w:w="7580" w:type="dxa"/>
            <w:vAlign w:val="bottom"/>
            <w:gridSpan w:val="3"/>
          </w:tcPr>
          <w:p>
            <w:pPr>
              <w:spacing w:after="0"/>
              <w:rPr>
                <w:sz w:val="20"/>
                <w:szCs w:val="20"/>
                <w:color w:val="auto"/>
              </w:rPr>
            </w:pPr>
            <w:r>
              <w:rPr>
                <w:rFonts w:ascii="Arial" w:cs="Arial" w:eastAsia="Arial" w:hAnsi="Arial"/>
                <w:sz w:val="18"/>
                <w:szCs w:val="18"/>
                <w:color w:val="auto"/>
              </w:rPr>
              <w:t>PREPAYMENT OF LOANS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2.12.</w:t>
            </w:r>
          </w:p>
        </w:tc>
        <w:tc>
          <w:tcPr>
            <w:tcW w:w="7580" w:type="dxa"/>
            <w:vAlign w:val="bottom"/>
            <w:gridSpan w:val="3"/>
          </w:tcPr>
          <w:p>
            <w:pPr>
              <w:spacing w:after="0"/>
              <w:rPr>
                <w:sz w:val="20"/>
                <w:szCs w:val="20"/>
                <w:color w:val="auto"/>
              </w:rPr>
            </w:pPr>
            <w:r>
              <w:rPr>
                <w:rFonts w:ascii="Arial" w:cs="Arial" w:eastAsia="Arial" w:hAnsi="Arial"/>
                <w:sz w:val="18"/>
                <w:szCs w:val="18"/>
                <w:color w:val="auto"/>
              </w:rPr>
              <w:t>FEES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2.13.</w:t>
            </w:r>
          </w:p>
        </w:tc>
        <w:tc>
          <w:tcPr>
            <w:tcW w:w="7580" w:type="dxa"/>
            <w:vAlign w:val="bottom"/>
            <w:gridSpan w:val="3"/>
          </w:tcPr>
          <w:p>
            <w:pPr>
              <w:spacing w:after="0"/>
              <w:rPr>
                <w:sz w:val="20"/>
                <w:szCs w:val="20"/>
                <w:color w:val="auto"/>
              </w:rPr>
            </w:pPr>
            <w:r>
              <w:rPr>
                <w:rFonts w:ascii="Arial" w:cs="Arial" w:eastAsia="Arial" w:hAnsi="Arial"/>
                <w:sz w:val="18"/>
                <w:szCs w:val="18"/>
                <w:color w:val="auto"/>
              </w:rPr>
              <w:t>INTEREST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2.14.</w:t>
            </w:r>
          </w:p>
        </w:tc>
        <w:tc>
          <w:tcPr>
            <w:tcW w:w="7580" w:type="dxa"/>
            <w:vAlign w:val="bottom"/>
            <w:gridSpan w:val="3"/>
          </w:tcPr>
          <w:p>
            <w:pPr>
              <w:spacing w:after="0"/>
              <w:rPr>
                <w:sz w:val="20"/>
                <w:szCs w:val="20"/>
                <w:color w:val="auto"/>
              </w:rPr>
            </w:pPr>
            <w:r>
              <w:rPr>
                <w:rFonts w:ascii="Arial" w:cs="Arial" w:eastAsia="Arial" w:hAnsi="Arial"/>
                <w:sz w:val="18"/>
                <w:szCs w:val="18"/>
                <w:color w:val="auto"/>
              </w:rPr>
              <w:t>ALTERNATE RATE OF INTEREST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2.15.</w:t>
            </w:r>
          </w:p>
        </w:tc>
        <w:tc>
          <w:tcPr>
            <w:tcW w:w="7580" w:type="dxa"/>
            <w:vAlign w:val="bottom"/>
            <w:gridSpan w:val="3"/>
          </w:tcPr>
          <w:p>
            <w:pPr>
              <w:spacing w:after="0"/>
              <w:rPr>
                <w:sz w:val="20"/>
                <w:szCs w:val="20"/>
                <w:color w:val="auto"/>
              </w:rPr>
            </w:pPr>
            <w:r>
              <w:rPr>
                <w:rFonts w:ascii="Arial" w:cs="Arial" w:eastAsia="Arial" w:hAnsi="Arial"/>
                <w:sz w:val="18"/>
                <w:szCs w:val="18"/>
                <w:color w:val="auto"/>
              </w:rPr>
              <w:t>INCREASED COSTS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2.16.</w:t>
            </w:r>
          </w:p>
        </w:tc>
        <w:tc>
          <w:tcPr>
            <w:tcW w:w="7580" w:type="dxa"/>
            <w:vAlign w:val="bottom"/>
            <w:gridSpan w:val="3"/>
          </w:tcPr>
          <w:p>
            <w:pPr>
              <w:spacing w:after="0"/>
              <w:rPr>
                <w:sz w:val="20"/>
                <w:szCs w:val="20"/>
                <w:color w:val="auto"/>
              </w:rPr>
            </w:pPr>
            <w:r>
              <w:rPr>
                <w:rFonts w:ascii="Arial" w:cs="Arial" w:eastAsia="Arial" w:hAnsi="Arial"/>
                <w:sz w:val="18"/>
                <w:szCs w:val="18"/>
                <w:color w:val="auto"/>
              </w:rPr>
              <w:t>BREAK FUNDING PAYMENTS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2.17.</w:t>
            </w:r>
          </w:p>
        </w:tc>
        <w:tc>
          <w:tcPr>
            <w:tcW w:w="7580" w:type="dxa"/>
            <w:vAlign w:val="bottom"/>
            <w:gridSpan w:val="3"/>
          </w:tcPr>
          <w:p>
            <w:pPr>
              <w:spacing w:after="0"/>
              <w:rPr>
                <w:sz w:val="20"/>
                <w:szCs w:val="20"/>
                <w:color w:val="auto"/>
              </w:rPr>
            </w:pPr>
            <w:r>
              <w:rPr>
                <w:rFonts w:ascii="Arial" w:cs="Arial" w:eastAsia="Arial" w:hAnsi="Arial"/>
                <w:sz w:val="18"/>
                <w:szCs w:val="18"/>
                <w:color w:val="auto"/>
              </w:rPr>
              <w:t>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2.18.</w:t>
            </w:r>
          </w:p>
        </w:tc>
        <w:tc>
          <w:tcPr>
            <w:tcW w:w="7580" w:type="dxa"/>
            <w:vAlign w:val="bottom"/>
            <w:gridSpan w:val="3"/>
          </w:tcPr>
          <w:p>
            <w:pPr>
              <w:spacing w:after="0"/>
              <w:rPr>
                <w:sz w:val="20"/>
                <w:szCs w:val="20"/>
                <w:color w:val="auto"/>
              </w:rPr>
            </w:pPr>
            <w:r>
              <w:rPr>
                <w:rFonts w:ascii="Arial" w:cs="Arial" w:eastAsia="Arial" w:hAnsi="Arial"/>
                <w:sz w:val="18"/>
                <w:szCs w:val="18"/>
                <w:color w:val="auto"/>
              </w:rPr>
              <w:t>PAYMENTS GENERALLY; PRO RATA TREATMENT; SHARING OF SET-OFFS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2.19.</w:t>
            </w:r>
          </w:p>
        </w:tc>
        <w:tc>
          <w:tcPr>
            <w:tcW w:w="7580" w:type="dxa"/>
            <w:vAlign w:val="bottom"/>
            <w:gridSpan w:val="3"/>
          </w:tcPr>
          <w:p>
            <w:pPr>
              <w:spacing w:after="0"/>
              <w:rPr>
                <w:sz w:val="20"/>
                <w:szCs w:val="20"/>
                <w:color w:val="auto"/>
              </w:rPr>
            </w:pPr>
            <w:r>
              <w:rPr>
                <w:rFonts w:ascii="Arial" w:cs="Arial" w:eastAsia="Arial" w:hAnsi="Arial"/>
                <w:sz w:val="18"/>
                <w:szCs w:val="18"/>
                <w:color w:val="auto"/>
              </w:rPr>
              <w:t>MITIGATION OBLIGATIONS; REPLACEMENT OF LENDERS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2.20.</w:t>
            </w:r>
          </w:p>
        </w:tc>
        <w:tc>
          <w:tcPr>
            <w:tcW w:w="7580" w:type="dxa"/>
            <w:vAlign w:val="bottom"/>
            <w:gridSpan w:val="3"/>
          </w:tcPr>
          <w:p>
            <w:pPr>
              <w:spacing w:after="0"/>
              <w:rPr>
                <w:sz w:val="20"/>
                <w:szCs w:val="20"/>
                <w:color w:val="auto"/>
              </w:rPr>
            </w:pPr>
            <w:r>
              <w:rPr>
                <w:rFonts w:ascii="Arial" w:cs="Arial" w:eastAsia="Arial" w:hAnsi="Arial"/>
                <w:sz w:val="18"/>
                <w:szCs w:val="18"/>
                <w:color w:val="auto"/>
              </w:rPr>
              <w:t>EXPANSION OPTION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2.21.</w:t>
            </w:r>
          </w:p>
        </w:tc>
        <w:tc>
          <w:tcPr>
            <w:tcW w:w="758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2.22.</w:t>
            </w:r>
          </w:p>
        </w:tc>
        <w:tc>
          <w:tcPr>
            <w:tcW w:w="7580" w:type="dxa"/>
            <w:vAlign w:val="bottom"/>
            <w:gridSpan w:val="3"/>
          </w:tcPr>
          <w:p>
            <w:pPr>
              <w:spacing w:after="0"/>
              <w:rPr>
                <w:sz w:val="20"/>
                <w:szCs w:val="20"/>
                <w:color w:val="auto"/>
              </w:rPr>
            </w:pPr>
            <w:r>
              <w:rPr>
                <w:rFonts w:ascii="Arial" w:cs="Arial" w:eastAsia="Arial" w:hAnsi="Arial"/>
                <w:sz w:val="18"/>
                <w:szCs w:val="18"/>
                <w:color w:val="auto"/>
              </w:rPr>
              <w:t>JUDGMENT CURRENCY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2.23.</w:t>
            </w:r>
          </w:p>
        </w:tc>
        <w:tc>
          <w:tcPr>
            <w:tcW w:w="758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SECTION 2.24.</w:t>
            </w:r>
          </w:p>
        </w:tc>
        <w:tc>
          <w:tcPr>
            <w:tcW w:w="7580" w:type="dxa"/>
            <w:vAlign w:val="bottom"/>
            <w:gridSpan w:val="3"/>
          </w:tcPr>
          <w:p>
            <w:pPr>
              <w:spacing w:after="0"/>
              <w:rPr>
                <w:sz w:val="20"/>
                <w:szCs w:val="20"/>
                <w:color w:val="auto"/>
              </w:rPr>
            </w:pPr>
            <w:r>
              <w:rPr>
                <w:rFonts w:ascii="Arial" w:cs="Arial" w:eastAsia="Arial" w:hAnsi="Arial"/>
                <w:sz w:val="18"/>
                <w:szCs w:val="18"/>
                <w:color w:val="auto"/>
              </w:rPr>
              <w:t>DEFAULTING LENDERS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940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SECTION 3.01.</w:t>
            </w:r>
          </w:p>
        </w:tc>
        <w:tc>
          <w:tcPr>
            <w:tcW w:w="7580" w:type="dxa"/>
            <w:vAlign w:val="bottom"/>
            <w:gridSpan w:val="3"/>
          </w:tcPr>
          <w:p>
            <w:pPr>
              <w:spacing w:after="0"/>
              <w:rPr>
                <w:sz w:val="20"/>
                <w:szCs w:val="20"/>
                <w:color w:val="auto"/>
              </w:rPr>
            </w:pPr>
            <w:r>
              <w:rPr>
                <w:rFonts w:ascii="Arial" w:cs="Arial" w:eastAsia="Arial" w:hAnsi="Arial"/>
                <w:sz w:val="18"/>
                <w:szCs w:val="18"/>
                <w:color w:val="auto"/>
              </w:rPr>
              <w:t>ORGANIZATION; POWERS; SUBSIDIARIES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3.02.</w:t>
            </w:r>
          </w:p>
        </w:tc>
        <w:tc>
          <w:tcPr>
            <w:tcW w:w="7580" w:type="dxa"/>
            <w:vAlign w:val="bottom"/>
            <w:gridSpan w:val="3"/>
          </w:tcPr>
          <w:p>
            <w:pPr>
              <w:spacing w:after="0"/>
              <w:rPr>
                <w:sz w:val="20"/>
                <w:szCs w:val="20"/>
                <w:color w:val="auto"/>
              </w:rPr>
            </w:pPr>
            <w:r>
              <w:rPr>
                <w:rFonts w:ascii="Arial" w:cs="Arial" w:eastAsia="Arial" w:hAnsi="Arial"/>
                <w:sz w:val="18"/>
                <w:szCs w:val="18"/>
                <w:color w:val="auto"/>
              </w:rPr>
              <w:t>AUTHORIZATION; ENFORCEABILITY</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3.03.</w:t>
            </w:r>
          </w:p>
        </w:tc>
        <w:tc>
          <w:tcPr>
            <w:tcW w:w="7580" w:type="dxa"/>
            <w:vAlign w:val="bottom"/>
            <w:gridSpan w:val="3"/>
          </w:tcPr>
          <w:p>
            <w:pPr>
              <w:spacing w:after="0"/>
              <w:rPr>
                <w:sz w:val="20"/>
                <w:szCs w:val="20"/>
                <w:color w:val="auto"/>
              </w:rPr>
            </w:pPr>
            <w:r>
              <w:rPr>
                <w:rFonts w:ascii="Arial" w:cs="Arial" w:eastAsia="Arial" w:hAnsi="Arial"/>
                <w:sz w:val="18"/>
                <w:szCs w:val="18"/>
                <w:color w:val="auto"/>
              </w:rPr>
              <w:t>GOVERNMENTAL APPROVALS; NO CONFLICTS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3.04.</w:t>
            </w:r>
          </w:p>
        </w:tc>
        <w:tc>
          <w:tcPr>
            <w:tcW w:w="7580" w:type="dxa"/>
            <w:vAlign w:val="bottom"/>
            <w:gridSpan w:val="3"/>
          </w:tcPr>
          <w:p>
            <w:pPr>
              <w:spacing w:after="0"/>
              <w:rPr>
                <w:sz w:val="20"/>
                <w:szCs w:val="20"/>
                <w:color w:val="auto"/>
              </w:rPr>
            </w:pPr>
            <w:r>
              <w:rPr>
                <w:rFonts w:ascii="Arial" w:cs="Arial" w:eastAsia="Arial" w:hAnsi="Arial"/>
                <w:sz w:val="18"/>
                <w:szCs w:val="18"/>
                <w:color w:val="auto"/>
              </w:rPr>
              <w:t>FINANCIAL CONDITION; NO MATERIAL ADVERSE CHANGE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3.05.</w:t>
            </w:r>
          </w:p>
        </w:tc>
        <w:tc>
          <w:tcPr>
            <w:tcW w:w="7580" w:type="dxa"/>
            <w:vAlign w:val="bottom"/>
            <w:gridSpan w:val="3"/>
          </w:tcPr>
          <w:p>
            <w:pPr>
              <w:spacing w:after="0"/>
              <w:rPr>
                <w:sz w:val="20"/>
                <w:szCs w:val="20"/>
                <w:color w:val="auto"/>
              </w:rPr>
            </w:pPr>
            <w:r>
              <w:rPr>
                <w:rFonts w:ascii="Arial" w:cs="Arial" w:eastAsia="Arial" w:hAnsi="Arial"/>
                <w:sz w:val="18"/>
                <w:szCs w:val="18"/>
                <w:color w:val="auto"/>
              </w:rPr>
              <w:t>PROPERTIES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3.06.</w:t>
            </w:r>
          </w:p>
        </w:tc>
        <w:tc>
          <w:tcPr>
            <w:tcW w:w="7580" w:type="dxa"/>
            <w:vAlign w:val="bottom"/>
            <w:gridSpan w:val="3"/>
          </w:tcPr>
          <w:p>
            <w:pPr>
              <w:spacing w:after="0"/>
              <w:rPr>
                <w:sz w:val="20"/>
                <w:szCs w:val="20"/>
                <w:color w:val="auto"/>
              </w:rPr>
            </w:pPr>
            <w:r>
              <w:rPr>
                <w:rFonts w:ascii="Arial" w:cs="Arial" w:eastAsia="Arial" w:hAnsi="Arial"/>
                <w:sz w:val="18"/>
                <w:szCs w:val="18"/>
                <w:color w:val="auto"/>
              </w:rPr>
              <w:t>LITIGATION AND ENVIRONMENTAL MATTERS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3.07.</w:t>
            </w:r>
          </w:p>
        </w:tc>
        <w:tc>
          <w:tcPr>
            <w:tcW w:w="7580" w:type="dxa"/>
            <w:vAlign w:val="bottom"/>
            <w:gridSpan w:val="3"/>
          </w:tcPr>
          <w:p>
            <w:pPr>
              <w:spacing w:after="0"/>
              <w:rPr>
                <w:sz w:val="20"/>
                <w:szCs w:val="20"/>
                <w:color w:val="auto"/>
              </w:rPr>
            </w:pPr>
            <w:r>
              <w:rPr>
                <w:rFonts w:ascii="Arial" w:cs="Arial" w:eastAsia="Arial" w:hAnsi="Arial"/>
                <w:sz w:val="18"/>
                <w:szCs w:val="18"/>
                <w:color w:val="auto"/>
              </w:rPr>
              <w:t>COMPLIANCE WITH LAWS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3.08.</w:t>
            </w:r>
          </w:p>
        </w:tc>
        <w:tc>
          <w:tcPr>
            <w:tcW w:w="7580" w:type="dxa"/>
            <w:vAlign w:val="bottom"/>
            <w:gridSpan w:val="3"/>
          </w:tcPr>
          <w:p>
            <w:pPr>
              <w:spacing w:after="0"/>
              <w:rPr>
                <w:sz w:val="20"/>
                <w:szCs w:val="20"/>
                <w:color w:val="auto"/>
              </w:rPr>
            </w:pPr>
            <w:r>
              <w:rPr>
                <w:rFonts w:ascii="Arial" w:cs="Arial" w:eastAsia="Arial" w:hAnsi="Arial"/>
                <w:sz w:val="18"/>
                <w:szCs w:val="18"/>
                <w:color w:val="auto"/>
              </w:rPr>
              <w:t>INVESTMENT COMPANY STATUS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3.09.</w:t>
            </w:r>
          </w:p>
        </w:tc>
        <w:tc>
          <w:tcPr>
            <w:tcW w:w="7580" w:type="dxa"/>
            <w:vAlign w:val="bottom"/>
            <w:gridSpan w:val="3"/>
          </w:tcPr>
          <w:p>
            <w:pPr>
              <w:spacing w:after="0"/>
              <w:rPr>
                <w:sz w:val="20"/>
                <w:szCs w:val="20"/>
                <w:color w:val="auto"/>
              </w:rPr>
            </w:pPr>
            <w:r>
              <w:rPr>
                <w:rFonts w:ascii="Arial" w:cs="Arial" w:eastAsia="Arial" w:hAnsi="Arial"/>
                <w:sz w:val="18"/>
                <w:szCs w:val="18"/>
                <w:color w:val="auto"/>
              </w:rPr>
              <w:t>TAXES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SECTION 3.10.</w:t>
            </w:r>
          </w:p>
        </w:tc>
        <w:tc>
          <w:tcPr>
            <w:tcW w:w="7580" w:type="dxa"/>
            <w:vAlign w:val="bottom"/>
            <w:gridSpan w:val="3"/>
          </w:tcPr>
          <w:p>
            <w:pPr>
              <w:spacing w:after="0"/>
              <w:rPr>
                <w:sz w:val="20"/>
                <w:szCs w:val="20"/>
                <w:color w:val="auto"/>
              </w:rPr>
            </w:pPr>
            <w:r>
              <w:rPr>
                <w:rFonts w:ascii="Arial" w:cs="Arial" w:eastAsia="Arial" w:hAnsi="Arial"/>
                <w:sz w:val="18"/>
                <w:szCs w:val="18"/>
                <w:color w:val="auto"/>
              </w:rPr>
              <w:t>ERISA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SECTION 3.11.</w:t>
            </w:r>
          </w:p>
        </w:tc>
        <w:tc>
          <w:tcPr>
            <w:tcW w:w="7580" w:type="dxa"/>
            <w:vAlign w:val="bottom"/>
            <w:gridSpan w:val="3"/>
          </w:tcPr>
          <w:p>
            <w:pPr>
              <w:spacing w:after="0"/>
              <w:rPr>
                <w:sz w:val="20"/>
                <w:szCs w:val="20"/>
                <w:color w:val="auto"/>
              </w:rPr>
            </w:pPr>
            <w:r>
              <w:rPr>
                <w:rFonts w:ascii="Arial" w:cs="Arial" w:eastAsia="Arial" w:hAnsi="Arial"/>
                <w:sz w:val="18"/>
                <w:szCs w:val="18"/>
                <w:color w:val="auto"/>
              </w:rPr>
              <w:t>DISCLOSURE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702"/>
        </w:trPr>
        <w:tc>
          <w:tcPr>
            <w:tcW w:w="1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3.12.</w:t>
            </w:r>
          </w:p>
        </w:tc>
        <w:tc>
          <w:tcPr>
            <w:tcW w:w="7920" w:type="dxa"/>
            <w:vAlign w:val="bottom"/>
          </w:tcPr>
          <w:p>
            <w:pPr>
              <w:ind w:left="80"/>
              <w:spacing w:after="0"/>
              <w:rPr>
                <w:sz w:val="20"/>
                <w:szCs w:val="20"/>
                <w:color w:val="auto"/>
              </w:rPr>
            </w:pPr>
            <w:r>
              <w:rPr>
                <w:rFonts w:ascii="Arial" w:cs="Arial" w:eastAsia="Arial" w:hAnsi="Arial"/>
                <w:sz w:val="18"/>
                <w:szCs w:val="18"/>
                <w:color w:val="auto"/>
              </w:rPr>
              <w:t>FEDERAL RESERVE REGULATIONS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3.13.</w:t>
            </w:r>
          </w:p>
        </w:tc>
        <w:tc>
          <w:tcPr>
            <w:tcW w:w="7920" w:type="dxa"/>
            <w:vAlign w:val="bottom"/>
          </w:tcPr>
          <w:p>
            <w:pPr>
              <w:ind w:left="80"/>
              <w:spacing w:after="0"/>
              <w:rPr>
                <w:sz w:val="20"/>
                <w:szCs w:val="20"/>
                <w:color w:val="auto"/>
              </w:rPr>
            </w:pPr>
            <w:r>
              <w:rPr>
                <w:rFonts w:ascii="Arial" w:cs="Arial" w:eastAsia="Arial" w:hAnsi="Arial"/>
                <w:sz w:val="18"/>
                <w:szCs w:val="18"/>
                <w:color w:val="auto"/>
              </w:rPr>
              <w:t>NO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3.14.</w:t>
            </w:r>
          </w:p>
        </w:tc>
        <w:tc>
          <w:tcPr>
            <w:tcW w:w="7920" w:type="dxa"/>
            <w:vAlign w:val="bottom"/>
          </w:tcPr>
          <w:p>
            <w:pPr>
              <w:ind w:left="80"/>
              <w:spacing w:after="0"/>
              <w:rPr>
                <w:sz w:val="20"/>
                <w:szCs w:val="20"/>
                <w:color w:val="auto"/>
              </w:rPr>
            </w:pPr>
            <w:r>
              <w:rPr>
                <w:rFonts w:ascii="Arial" w:cs="Arial" w:eastAsia="Arial" w:hAnsi="Arial"/>
                <w:sz w:val="18"/>
                <w:szCs w:val="18"/>
                <w:color w:val="auto"/>
              </w:rPr>
              <w:t>ANTI-CORRUPTION LAWS AND SANCTIONS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3.15.</w:t>
            </w:r>
          </w:p>
        </w:tc>
        <w:tc>
          <w:tcPr>
            <w:tcW w:w="7920" w:type="dxa"/>
            <w:vAlign w:val="bottom"/>
          </w:tcPr>
          <w:p>
            <w:pPr>
              <w:ind w:left="80"/>
              <w:spacing w:after="0"/>
              <w:rPr>
                <w:sz w:val="20"/>
                <w:szCs w:val="20"/>
                <w:color w:val="auto"/>
              </w:rPr>
            </w:pPr>
            <w:r>
              <w:rPr>
                <w:rFonts w:ascii="Arial" w:cs="Arial" w:eastAsia="Arial" w:hAnsi="Arial"/>
                <w:sz w:val="18"/>
                <w:szCs w:val="18"/>
                <w:color w:val="auto"/>
              </w:rPr>
              <w:t>AFFECTED FINANCIAL INSTITUTION.</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4.01.</w:t>
            </w:r>
          </w:p>
        </w:tc>
        <w:tc>
          <w:tcPr>
            <w:tcW w:w="7920" w:type="dxa"/>
            <w:vAlign w:val="bottom"/>
          </w:tcPr>
          <w:p>
            <w:pPr>
              <w:ind w:left="80"/>
              <w:spacing w:after="0"/>
              <w:rPr>
                <w:sz w:val="20"/>
                <w:szCs w:val="20"/>
                <w:color w:val="auto"/>
              </w:rPr>
            </w:pPr>
            <w:r>
              <w:rPr>
                <w:rFonts w:ascii="Arial" w:cs="Arial" w:eastAsia="Arial" w:hAnsi="Arial"/>
                <w:sz w:val="18"/>
                <w:szCs w:val="18"/>
                <w:color w:val="auto"/>
              </w:rPr>
              <w:t>EFFECTIVE DATE</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4.02.</w:t>
            </w:r>
          </w:p>
        </w:tc>
        <w:tc>
          <w:tcPr>
            <w:tcW w:w="7920" w:type="dxa"/>
            <w:vAlign w:val="bottom"/>
          </w:tcPr>
          <w:p>
            <w:pPr>
              <w:ind w:left="80"/>
              <w:spacing w:after="0"/>
              <w:rPr>
                <w:sz w:val="20"/>
                <w:szCs w:val="20"/>
                <w:color w:val="auto"/>
              </w:rPr>
            </w:pPr>
            <w:r>
              <w:rPr>
                <w:rFonts w:ascii="Arial" w:cs="Arial" w:eastAsia="Arial" w:hAnsi="Arial"/>
                <w:sz w:val="18"/>
                <w:szCs w:val="18"/>
                <w:color w:val="auto"/>
              </w:rPr>
              <w:t>CLOSING DATE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rPr>
              <w:t>ARTICLE V</w:t>
            </w:r>
          </w:p>
        </w:tc>
        <w:tc>
          <w:tcPr>
            <w:tcW w:w="79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740" w:type="dxa"/>
            <w:vAlign w:val="bottom"/>
          </w:tcPr>
          <w:p>
            <w:pPr>
              <w:spacing w:after="0"/>
              <w:rPr>
                <w:sz w:val="20"/>
                <w:szCs w:val="20"/>
                <w:color w:val="auto"/>
              </w:rPr>
            </w:pPr>
            <w:r>
              <w:rPr>
                <w:rFonts w:ascii="Arial" w:cs="Arial" w:eastAsia="Arial" w:hAnsi="Arial"/>
                <w:sz w:val="18"/>
                <w:szCs w:val="18"/>
                <w:color w:val="auto"/>
                <w:w w:val="97"/>
              </w:rPr>
              <w:t>Affirmative Covenants</w:t>
            </w:r>
          </w:p>
        </w:tc>
        <w:tc>
          <w:tcPr>
            <w:tcW w:w="79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5.01.</w:t>
            </w:r>
          </w:p>
        </w:tc>
        <w:tc>
          <w:tcPr>
            <w:tcW w:w="7920" w:type="dxa"/>
            <w:vAlign w:val="bottom"/>
          </w:tcPr>
          <w:p>
            <w:pPr>
              <w:ind w:left="80"/>
              <w:spacing w:after="0"/>
              <w:rPr>
                <w:sz w:val="20"/>
                <w:szCs w:val="20"/>
                <w:color w:val="auto"/>
              </w:rPr>
            </w:pPr>
            <w:r>
              <w:rPr>
                <w:rFonts w:ascii="Arial" w:cs="Arial" w:eastAsia="Arial" w:hAnsi="Arial"/>
                <w:sz w:val="18"/>
                <w:szCs w:val="18"/>
                <w:color w:val="auto"/>
              </w:rPr>
              <w:t>FINANCIAL STATEMENTS AND OTHER INFORMATION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5.02.</w:t>
            </w:r>
          </w:p>
        </w:tc>
        <w:tc>
          <w:tcPr>
            <w:tcW w:w="7920" w:type="dxa"/>
            <w:vAlign w:val="bottom"/>
          </w:tcPr>
          <w:p>
            <w:pPr>
              <w:ind w:left="80"/>
              <w:spacing w:after="0"/>
              <w:rPr>
                <w:sz w:val="20"/>
                <w:szCs w:val="20"/>
                <w:color w:val="auto"/>
              </w:rPr>
            </w:pPr>
            <w:r>
              <w:rPr>
                <w:rFonts w:ascii="Arial" w:cs="Arial" w:eastAsia="Arial" w:hAnsi="Arial"/>
                <w:sz w:val="18"/>
                <w:szCs w:val="18"/>
                <w:color w:val="auto"/>
              </w:rPr>
              <w:t>NOTICES OF MATERIAL EVENTS</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5.03.</w:t>
            </w:r>
          </w:p>
        </w:tc>
        <w:tc>
          <w:tcPr>
            <w:tcW w:w="7920" w:type="dxa"/>
            <w:vAlign w:val="bottom"/>
          </w:tcPr>
          <w:p>
            <w:pPr>
              <w:ind w:left="80"/>
              <w:spacing w:after="0"/>
              <w:rPr>
                <w:sz w:val="20"/>
                <w:szCs w:val="20"/>
                <w:color w:val="auto"/>
              </w:rPr>
            </w:pPr>
            <w:r>
              <w:rPr>
                <w:rFonts w:ascii="Arial" w:cs="Arial" w:eastAsia="Arial" w:hAnsi="Arial"/>
                <w:sz w:val="18"/>
                <w:szCs w:val="18"/>
                <w:color w:val="auto"/>
              </w:rPr>
              <w:t>EXISTENCE; CONDUCT OF 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5.04.</w:t>
            </w:r>
          </w:p>
        </w:tc>
        <w:tc>
          <w:tcPr>
            <w:tcW w:w="7920" w:type="dxa"/>
            <w:vAlign w:val="bottom"/>
          </w:tcPr>
          <w:p>
            <w:pPr>
              <w:ind w:left="80"/>
              <w:spacing w:after="0"/>
              <w:rPr>
                <w:sz w:val="20"/>
                <w:szCs w:val="20"/>
                <w:color w:val="auto"/>
              </w:rPr>
            </w:pPr>
            <w:r>
              <w:rPr>
                <w:rFonts w:ascii="Arial" w:cs="Arial" w:eastAsia="Arial" w:hAnsi="Arial"/>
                <w:sz w:val="18"/>
                <w:szCs w:val="18"/>
                <w:color w:val="auto"/>
              </w:rPr>
              <w:t>PAYMENT OF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5.05.</w:t>
            </w:r>
          </w:p>
        </w:tc>
        <w:tc>
          <w:tcPr>
            <w:tcW w:w="7920" w:type="dxa"/>
            <w:vAlign w:val="bottom"/>
          </w:tcPr>
          <w:p>
            <w:pPr>
              <w:ind w:left="80"/>
              <w:spacing w:after="0"/>
              <w:rPr>
                <w:sz w:val="20"/>
                <w:szCs w:val="20"/>
                <w:color w:val="auto"/>
              </w:rPr>
            </w:pPr>
            <w:r>
              <w:rPr>
                <w:rFonts w:ascii="Arial" w:cs="Arial" w:eastAsia="Arial" w:hAnsi="Arial"/>
                <w:sz w:val="18"/>
                <w:szCs w:val="18"/>
                <w:color w:val="auto"/>
              </w:rPr>
              <w:t>MAINTENANCE OF PROPERTIES; INSURANCE</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5.06.</w:t>
            </w:r>
          </w:p>
        </w:tc>
        <w:tc>
          <w:tcPr>
            <w:tcW w:w="7920" w:type="dxa"/>
            <w:vAlign w:val="bottom"/>
          </w:tcPr>
          <w:p>
            <w:pPr>
              <w:ind w:left="80"/>
              <w:spacing w:after="0"/>
              <w:rPr>
                <w:sz w:val="20"/>
                <w:szCs w:val="20"/>
                <w:color w:val="auto"/>
              </w:rPr>
            </w:pPr>
            <w:r>
              <w:rPr>
                <w:rFonts w:ascii="Arial" w:cs="Arial" w:eastAsia="Arial" w:hAnsi="Arial"/>
                <w:sz w:val="18"/>
                <w:szCs w:val="18"/>
                <w:color w:val="auto"/>
              </w:rPr>
              <w:t>BOOKS AND RECORDS; INSPECTION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5.07.</w:t>
            </w:r>
          </w:p>
        </w:tc>
        <w:tc>
          <w:tcPr>
            <w:tcW w:w="792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5.08.</w:t>
            </w:r>
          </w:p>
        </w:tc>
        <w:tc>
          <w:tcPr>
            <w:tcW w:w="792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5.09.</w:t>
            </w:r>
          </w:p>
        </w:tc>
        <w:tc>
          <w:tcPr>
            <w:tcW w:w="7920" w:type="dxa"/>
            <w:vAlign w:val="bottom"/>
          </w:tcPr>
          <w:p>
            <w:pPr>
              <w:ind w:left="80"/>
              <w:spacing w:after="0"/>
              <w:rPr>
                <w:sz w:val="20"/>
                <w:szCs w:val="20"/>
                <w:color w:val="auto"/>
              </w:rPr>
            </w:pPr>
            <w:r>
              <w:rPr>
                <w:rFonts w:ascii="Arial" w:cs="Arial" w:eastAsia="Arial" w:hAnsi="Arial"/>
                <w:sz w:val="18"/>
                <w:szCs w:val="18"/>
                <w:color w:val="auto"/>
              </w:rPr>
              <w:t>SUBSIDIARY GUARANTY</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6.01.</w:t>
            </w:r>
          </w:p>
        </w:tc>
        <w:tc>
          <w:tcPr>
            <w:tcW w:w="7920" w:type="dxa"/>
            <w:vAlign w:val="bottom"/>
          </w:tcPr>
          <w:p>
            <w:pPr>
              <w:ind w:left="80"/>
              <w:spacing w:after="0"/>
              <w:rPr>
                <w:sz w:val="20"/>
                <w:szCs w:val="20"/>
                <w:color w:val="auto"/>
              </w:rPr>
            </w:pPr>
            <w:r>
              <w:rPr>
                <w:rFonts w:ascii="Arial" w:cs="Arial" w:eastAsia="Arial" w:hAnsi="Arial"/>
                <w:sz w:val="18"/>
                <w:szCs w:val="18"/>
                <w:color w:val="auto"/>
              </w:rPr>
              <w:t>SUBSIDIARY INDEBTEDNESS</w:t>
            </w: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6.02.</w:t>
            </w:r>
          </w:p>
        </w:tc>
        <w:tc>
          <w:tcPr>
            <w:tcW w:w="7920" w:type="dxa"/>
            <w:vAlign w:val="bottom"/>
          </w:tcPr>
          <w:p>
            <w:pPr>
              <w:ind w:left="80"/>
              <w:spacing w:after="0"/>
              <w:rPr>
                <w:sz w:val="20"/>
                <w:szCs w:val="20"/>
                <w:color w:val="auto"/>
              </w:rPr>
            </w:pPr>
            <w:r>
              <w:rPr>
                <w:rFonts w:ascii="Arial" w:cs="Arial" w:eastAsia="Arial" w:hAnsi="Arial"/>
                <w:sz w:val="18"/>
                <w:szCs w:val="18"/>
                <w:color w:val="auto"/>
              </w:rPr>
              <w:t>LIENS</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6.03.</w:t>
            </w:r>
          </w:p>
        </w:tc>
        <w:tc>
          <w:tcPr>
            <w:tcW w:w="7920" w:type="dxa"/>
            <w:vAlign w:val="bottom"/>
          </w:tcPr>
          <w:p>
            <w:pPr>
              <w:ind w:left="80"/>
              <w:spacing w:after="0"/>
              <w:rPr>
                <w:sz w:val="20"/>
                <w:szCs w:val="20"/>
                <w:color w:val="auto"/>
              </w:rPr>
            </w:pPr>
            <w:r>
              <w:rPr>
                <w:rFonts w:ascii="Arial" w:cs="Arial" w:eastAsia="Arial" w:hAnsi="Arial"/>
                <w:sz w:val="18"/>
                <w:szCs w:val="18"/>
                <w:color w:val="auto"/>
              </w:rPr>
              <w:t>FUNDAMENTAL CHANGES AND ASSET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6.04.</w:t>
            </w:r>
          </w:p>
        </w:tc>
        <w:tc>
          <w:tcPr>
            <w:tcW w:w="7920" w:type="dxa"/>
            <w:vAlign w:val="bottom"/>
          </w:tcPr>
          <w:p>
            <w:pPr>
              <w:ind w:left="80"/>
              <w:spacing w:after="0"/>
              <w:rPr>
                <w:sz w:val="20"/>
                <w:szCs w:val="20"/>
                <w:color w:val="auto"/>
              </w:rPr>
            </w:pPr>
            <w:r>
              <w:rPr>
                <w:rFonts w:ascii="Arial" w:cs="Arial" w:eastAsia="Arial" w:hAnsi="Arial"/>
                <w:sz w:val="18"/>
                <w:szCs w:val="18"/>
                <w:color w:val="auto"/>
              </w:rPr>
              <w:t>SWAP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6.05.</w:t>
            </w:r>
          </w:p>
        </w:tc>
        <w:tc>
          <w:tcPr>
            <w:tcW w:w="792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6.06.</w:t>
            </w:r>
          </w:p>
        </w:tc>
        <w:tc>
          <w:tcPr>
            <w:tcW w:w="7920" w:type="dxa"/>
            <w:vAlign w:val="bottom"/>
          </w:tcPr>
          <w:p>
            <w:pPr>
              <w:ind w:left="80"/>
              <w:spacing w:after="0"/>
              <w:rPr>
                <w:sz w:val="20"/>
                <w:szCs w:val="20"/>
                <w:color w:val="auto"/>
              </w:rPr>
            </w:pPr>
            <w:r>
              <w:rPr>
                <w:rFonts w:ascii="Arial" w:cs="Arial" w:eastAsia="Arial" w:hAnsi="Arial"/>
                <w:sz w:val="18"/>
                <w:szCs w:val="18"/>
                <w:color w:val="auto"/>
              </w:rPr>
              <w:t>RESTRICTED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6.07.</w:t>
            </w:r>
          </w:p>
        </w:tc>
        <w:tc>
          <w:tcPr>
            <w:tcW w:w="7920" w:type="dxa"/>
            <w:vAlign w:val="bottom"/>
          </w:tcPr>
          <w:p>
            <w:pPr>
              <w:ind w:left="80"/>
              <w:spacing w:after="0"/>
              <w:rPr>
                <w:sz w:val="20"/>
                <w:szCs w:val="20"/>
                <w:color w:val="auto"/>
              </w:rPr>
            </w:pPr>
            <w:r>
              <w:rPr>
                <w:rFonts w:ascii="Arial" w:cs="Arial" w:eastAsia="Arial" w:hAnsi="Arial"/>
                <w:sz w:val="18"/>
                <w:szCs w:val="18"/>
                <w:color w:val="auto"/>
              </w:rPr>
              <w:t>FINANCIAL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648"/>
        </w:trPr>
        <w:tc>
          <w:tcPr>
            <w:tcW w:w="966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8.01.</w:t>
            </w:r>
          </w:p>
        </w:tc>
        <w:tc>
          <w:tcPr>
            <w:tcW w:w="7920" w:type="dxa"/>
            <w:vAlign w:val="bottom"/>
          </w:tcPr>
          <w:p>
            <w:pPr>
              <w:ind w:left="80"/>
              <w:spacing w:after="0"/>
              <w:rPr>
                <w:sz w:val="20"/>
                <w:szCs w:val="20"/>
                <w:color w:val="auto"/>
              </w:rPr>
            </w:pPr>
            <w:r>
              <w:rPr>
                <w:rFonts w:ascii="Arial" w:cs="Arial" w:eastAsia="Arial" w:hAnsi="Arial"/>
                <w:sz w:val="18"/>
                <w:szCs w:val="18"/>
                <w:color w:val="auto"/>
              </w:rPr>
              <w:t>GENERAL</w:t>
            </w: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8.02.</w:t>
            </w:r>
          </w:p>
        </w:tc>
        <w:tc>
          <w:tcPr>
            <w:tcW w:w="7920" w:type="dxa"/>
            <w:vAlign w:val="bottom"/>
          </w:tcPr>
          <w:p>
            <w:pPr>
              <w:ind w:left="80"/>
              <w:spacing w:after="0"/>
              <w:rPr>
                <w:sz w:val="20"/>
                <w:szCs w:val="20"/>
                <w:color w:val="auto"/>
              </w:rPr>
            </w:pPr>
            <w:r>
              <w:rPr>
                <w:rFonts w:ascii="Arial" w:cs="Arial" w:eastAsia="Arial" w:hAnsi="Arial"/>
                <w:sz w:val="18"/>
                <w:szCs w:val="18"/>
                <w:color w:val="auto"/>
              </w:rPr>
              <w:t>POSTING OF COMMUNICATIONS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8.03.</w:t>
            </w:r>
          </w:p>
        </w:tc>
        <w:tc>
          <w:tcPr>
            <w:tcW w:w="7920" w:type="dxa"/>
            <w:vAlign w:val="bottom"/>
          </w:tcPr>
          <w:p>
            <w:pPr>
              <w:ind w:left="80"/>
              <w:spacing w:after="0"/>
              <w:rPr>
                <w:sz w:val="20"/>
                <w:szCs w:val="20"/>
                <w:color w:val="auto"/>
              </w:rPr>
            </w:pPr>
            <w:r>
              <w:rPr>
                <w:rFonts w:ascii="Arial" w:cs="Arial" w:eastAsia="Arial" w:hAnsi="Arial"/>
                <w:sz w:val="18"/>
                <w:szCs w:val="18"/>
                <w:color w:val="auto"/>
              </w:rPr>
              <w:t>CERTAIN ERISA MATTERS</w:t>
            </w: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SECTION 9.01.</w:t>
            </w:r>
          </w:p>
        </w:tc>
        <w:tc>
          <w:tcPr>
            <w:tcW w:w="7920" w:type="dxa"/>
            <w:vAlign w:val="bottom"/>
          </w:tcPr>
          <w:p>
            <w:pPr>
              <w:ind w:left="80"/>
              <w:spacing w:after="0"/>
              <w:rPr>
                <w:sz w:val="20"/>
                <w:szCs w:val="20"/>
                <w:color w:val="auto"/>
              </w:rPr>
            </w:pPr>
            <w:r>
              <w:rPr>
                <w:rFonts w:ascii="Arial" w:cs="Arial" w:eastAsia="Arial" w:hAnsi="Arial"/>
                <w:sz w:val="18"/>
                <w:szCs w:val="18"/>
                <w:color w:val="auto"/>
              </w:rPr>
              <w:t>NOTICES</w:t>
            </w: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9.02.</w:t>
            </w:r>
          </w:p>
        </w:tc>
        <w:tc>
          <w:tcPr>
            <w:tcW w:w="7920" w:type="dxa"/>
            <w:vAlign w:val="bottom"/>
          </w:tcPr>
          <w:p>
            <w:pPr>
              <w:ind w:left="80"/>
              <w:spacing w:after="0"/>
              <w:rPr>
                <w:sz w:val="20"/>
                <w:szCs w:val="20"/>
                <w:color w:val="auto"/>
              </w:rPr>
            </w:pPr>
            <w:r>
              <w:rPr>
                <w:rFonts w:ascii="Arial" w:cs="Arial" w:eastAsia="Arial" w:hAnsi="Arial"/>
                <w:sz w:val="18"/>
                <w:szCs w:val="18"/>
                <w:color w:val="auto"/>
              </w:rPr>
              <w:t>WAIVERS; AMENDMENTS</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9.03.</w:t>
            </w:r>
          </w:p>
        </w:tc>
        <w:tc>
          <w:tcPr>
            <w:tcW w:w="7920" w:type="dxa"/>
            <w:vAlign w:val="bottom"/>
          </w:tcPr>
          <w:p>
            <w:pPr>
              <w:ind w:left="80"/>
              <w:spacing w:after="0"/>
              <w:rPr>
                <w:sz w:val="20"/>
                <w:szCs w:val="20"/>
                <w:color w:val="auto"/>
              </w:rPr>
            </w:pPr>
            <w:r>
              <w:rPr>
                <w:rFonts w:ascii="Arial" w:cs="Arial" w:eastAsia="Arial" w:hAnsi="Arial"/>
                <w:sz w:val="18"/>
                <w:szCs w:val="18"/>
                <w:color w:val="auto"/>
              </w:rPr>
              <w:t>EXPENSES; INDEMNITY; DAMAGE WAIVER</w:t>
            </w: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9.04.</w:t>
            </w:r>
          </w:p>
        </w:tc>
        <w:tc>
          <w:tcPr>
            <w:tcW w:w="792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1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SECTION 9.05.</w:t>
            </w:r>
          </w:p>
        </w:tc>
        <w:tc>
          <w:tcPr>
            <w:tcW w:w="7920" w:type="dxa"/>
            <w:vAlign w:val="bottom"/>
          </w:tcPr>
          <w:p>
            <w:pPr>
              <w:ind w:left="80"/>
              <w:spacing w:after="0"/>
              <w:rPr>
                <w:sz w:val="20"/>
                <w:szCs w:val="20"/>
                <w:color w:val="auto"/>
              </w:rPr>
            </w:pPr>
            <w:r>
              <w:rPr>
                <w:rFonts w:ascii="Arial" w:cs="Arial" w:eastAsia="Arial" w:hAnsi="Arial"/>
                <w:sz w:val="18"/>
                <w:szCs w:val="18"/>
                <w:color w:val="auto"/>
              </w:rPr>
              <w:t>SURVIVAL</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SECTION 9.06.</w:t>
            </w:r>
          </w:p>
        </w:tc>
        <w:tc>
          <w:tcPr>
            <w:tcW w:w="7920" w:type="dxa"/>
            <w:vAlign w:val="bottom"/>
          </w:tcPr>
          <w:p>
            <w:pPr>
              <w:ind w:left="80"/>
              <w:spacing w:after="0"/>
              <w:rPr>
                <w:sz w:val="20"/>
                <w:szCs w:val="20"/>
                <w:color w:val="auto"/>
              </w:rPr>
            </w:pPr>
            <w:r>
              <w:rPr>
                <w:rFonts w:ascii="Arial" w:cs="Arial" w:eastAsia="Arial" w:hAnsi="Arial"/>
                <w:sz w:val="18"/>
                <w:szCs w:val="18"/>
                <w:color w:val="auto"/>
              </w:rPr>
              <w:t>COUNTERPARTS; INTEGRATION; EFFECTIVENESS; ELECTRONIC EXECUTION</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9.07.</w:t>
            </w:r>
          </w:p>
        </w:tc>
        <w:tc>
          <w:tcPr>
            <w:tcW w:w="87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9.08.</w:t>
            </w:r>
          </w:p>
        </w:tc>
        <w:tc>
          <w:tcPr>
            <w:tcW w:w="878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SECTION 9.09.</w:t>
            </w:r>
          </w:p>
        </w:tc>
        <w:tc>
          <w:tcPr>
            <w:tcW w:w="8780" w:type="dxa"/>
            <w:vAlign w:val="bottom"/>
          </w:tcPr>
          <w:p>
            <w:pPr>
              <w:ind w:left="300"/>
              <w:spacing w:after="0"/>
              <w:rPr>
                <w:sz w:val="20"/>
                <w:szCs w:val="20"/>
                <w:color w:val="auto"/>
              </w:rPr>
            </w:pPr>
            <w:r>
              <w:rPr>
                <w:rFonts w:ascii="Arial" w:cs="Arial" w:eastAsia="Arial" w:hAnsi="Arial"/>
                <w:sz w:val="18"/>
                <w:szCs w:val="18"/>
                <w:color w:val="auto"/>
              </w:rPr>
              <w:t>GOVERNING LAW; JURISDICTION; CONSENT TO SERVICE OF PROCESS</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0"/>
        </w:trPr>
        <w:tc>
          <w:tcPr>
            <w:tcW w:w="1520" w:type="dxa"/>
            <w:vAlign w:val="bottom"/>
          </w:tcPr>
          <w:p>
            <w:pPr>
              <w:spacing w:after="0"/>
              <w:rPr>
                <w:sz w:val="20"/>
                <w:szCs w:val="20"/>
                <w:color w:val="auto"/>
              </w:rPr>
            </w:pPr>
            <w:r>
              <w:rPr>
                <w:rFonts w:ascii="Arial" w:cs="Arial" w:eastAsia="Arial" w:hAnsi="Arial"/>
                <w:sz w:val="18"/>
                <w:szCs w:val="18"/>
                <w:b w:val="1"/>
                <w:bCs w:val="1"/>
                <w:color w:val="auto"/>
              </w:rPr>
              <w:t>SECTION 9.10.</w:t>
            </w:r>
          </w:p>
        </w:tc>
        <w:tc>
          <w:tcPr>
            <w:tcW w:w="8780" w:type="dxa"/>
            <w:vAlign w:val="bottom"/>
          </w:tcPr>
          <w:p>
            <w:pPr>
              <w:ind w:left="300"/>
              <w:spacing w:after="0"/>
              <w:rPr>
                <w:sz w:val="20"/>
                <w:szCs w:val="20"/>
                <w:color w:val="auto"/>
              </w:rPr>
            </w:pPr>
            <w:r>
              <w:rPr>
                <w:rFonts w:ascii="Arial" w:cs="Arial" w:eastAsia="Arial" w:hAnsi="Arial"/>
                <w:sz w:val="18"/>
                <w:szCs w:val="18"/>
                <w:b w:val="1"/>
                <w:bCs w:val="1"/>
                <w:color w:val="auto"/>
              </w:rPr>
              <w:t>WAIVER OF JURY TRIAL</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9.11.</w:t>
            </w:r>
          </w:p>
        </w:tc>
        <w:tc>
          <w:tcPr>
            <w:tcW w:w="8780" w:type="dxa"/>
            <w:vAlign w:val="bottom"/>
          </w:tcPr>
          <w:p>
            <w:pPr>
              <w:ind w:left="300"/>
              <w:spacing w:after="0"/>
              <w:rPr>
                <w:sz w:val="20"/>
                <w:szCs w:val="20"/>
                <w:color w:val="auto"/>
              </w:rPr>
            </w:pPr>
            <w:r>
              <w:rPr>
                <w:rFonts w:ascii="Arial" w:cs="Arial" w:eastAsia="Arial" w:hAnsi="Arial"/>
                <w:sz w:val="18"/>
                <w:szCs w:val="18"/>
                <w:color w:val="auto"/>
              </w:rPr>
              <w:t>HEADINGS</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9.12.</w:t>
            </w:r>
          </w:p>
        </w:tc>
        <w:tc>
          <w:tcPr>
            <w:tcW w:w="878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9.13.</w:t>
            </w:r>
          </w:p>
        </w:tc>
        <w:tc>
          <w:tcPr>
            <w:tcW w:w="878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9.14.</w:t>
            </w:r>
          </w:p>
        </w:tc>
        <w:tc>
          <w:tcPr>
            <w:tcW w:w="8780" w:type="dxa"/>
            <w:vAlign w:val="bottom"/>
          </w:tcPr>
          <w:p>
            <w:pPr>
              <w:ind w:left="300"/>
              <w:spacing w:after="0"/>
              <w:rPr>
                <w:sz w:val="20"/>
                <w:szCs w:val="20"/>
                <w:color w:val="auto"/>
              </w:rPr>
            </w:pPr>
            <w:r>
              <w:rPr>
                <w:rFonts w:ascii="Arial" w:cs="Arial" w:eastAsia="Arial" w:hAnsi="Arial"/>
                <w:sz w:val="18"/>
                <w:szCs w:val="18"/>
                <w:color w:val="auto"/>
              </w:rPr>
              <w:t>RELEASES OF SUBSIDIARY GUARANTORS</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9.15.</w:t>
            </w:r>
          </w:p>
        </w:tc>
        <w:tc>
          <w:tcPr>
            <w:tcW w:w="878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9.16.</w:t>
            </w:r>
          </w:p>
        </w:tc>
        <w:tc>
          <w:tcPr>
            <w:tcW w:w="8780" w:type="dxa"/>
            <w:vAlign w:val="bottom"/>
          </w:tcPr>
          <w:p>
            <w:pPr>
              <w:ind w:left="300"/>
              <w:spacing w:after="0"/>
              <w:rPr>
                <w:sz w:val="20"/>
                <w:szCs w:val="20"/>
                <w:color w:val="auto"/>
              </w:rPr>
            </w:pPr>
            <w:r>
              <w:rPr>
                <w:rFonts w:ascii="Arial" w:cs="Arial" w:eastAsia="Arial" w:hAnsi="Arial"/>
                <w:sz w:val="18"/>
                <w:szCs w:val="18"/>
                <w:color w:val="auto"/>
              </w:rPr>
              <w:t>NO ADVISORY OR FIDUCIARY RESPONSIBILITY</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9.17.</w:t>
            </w:r>
          </w:p>
        </w:tc>
        <w:tc>
          <w:tcPr>
            <w:tcW w:w="8780" w:type="dxa"/>
            <w:vAlign w:val="bottom"/>
          </w:tcPr>
          <w:p>
            <w:pPr>
              <w:ind w:left="300"/>
              <w:spacing w:after="0"/>
              <w:rPr>
                <w:sz w:val="20"/>
                <w:szCs w:val="20"/>
                <w:color w:val="auto"/>
              </w:rPr>
            </w:pPr>
            <w:r>
              <w:rPr>
                <w:rFonts w:ascii="Arial" w:cs="Arial" w:eastAsia="Arial" w:hAnsi="Arial"/>
                <w:sz w:val="18"/>
                <w:szCs w:val="18"/>
                <w:color w:val="auto"/>
              </w:rPr>
              <w:t>SWAP OBLIGATIONS AND BANKING SERVICES OBLIGATIONS</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9.18.</w:t>
            </w:r>
          </w:p>
        </w:tc>
        <w:tc>
          <w:tcPr>
            <w:tcW w:w="878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2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10020" w:type="dxa"/>
            <w:vAlign w:val="bottom"/>
          </w:tcPr>
          <w:p>
            <w:pPr>
              <w:spacing w:after="0"/>
              <w:rPr>
                <w:sz w:val="17"/>
                <w:szCs w:val="17"/>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18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 Commitments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Schedule 3.01</w:t>
            </w:r>
          </w:p>
        </w:tc>
        <w:tc>
          <w:tcPr>
            <w:tcW w:w="10020" w:type="dxa"/>
            <w:vAlign w:val="bottom"/>
          </w:tcPr>
          <w:p>
            <w:pPr>
              <w:ind w:left="140"/>
              <w:spacing w:after="0"/>
              <w:rPr>
                <w:sz w:val="20"/>
                <w:szCs w:val="20"/>
                <w:color w:val="auto"/>
              </w:rPr>
            </w:pPr>
            <w:r>
              <w:rPr>
                <w:rFonts w:ascii="Arial" w:cs="Arial" w:eastAsia="Arial" w:hAnsi="Arial"/>
                <w:sz w:val="18"/>
                <w:szCs w:val="18"/>
                <w:color w:val="auto"/>
              </w:rPr>
              <w:t>– Subsidiaries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10020" w:type="dxa"/>
            <w:vAlign w:val="bottom"/>
          </w:tcPr>
          <w:p>
            <w:pPr>
              <w:ind w:left="140"/>
              <w:spacing w:after="0"/>
              <w:rPr>
                <w:sz w:val="20"/>
                <w:szCs w:val="20"/>
                <w:color w:val="auto"/>
              </w:rPr>
            </w:pPr>
            <w:r>
              <w:rPr>
                <w:rFonts w:ascii="Arial" w:cs="Arial" w:eastAsia="Arial" w:hAnsi="Arial"/>
                <w:sz w:val="18"/>
                <w:szCs w:val="18"/>
                <w:color w:val="auto"/>
              </w:rPr>
              <w:t>– Existing Indebtedness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10020" w:type="dxa"/>
            <w:vAlign w:val="bottom"/>
          </w:tcPr>
          <w:p>
            <w:pPr>
              <w:ind w:left="140"/>
              <w:spacing w:after="0"/>
              <w:rPr>
                <w:sz w:val="20"/>
                <w:szCs w:val="20"/>
                <w:color w:val="auto"/>
              </w:rPr>
            </w:pPr>
            <w:r>
              <w:rPr>
                <w:rFonts w:ascii="Arial" w:cs="Arial" w:eastAsia="Arial" w:hAnsi="Arial"/>
                <w:sz w:val="18"/>
                <w:szCs w:val="18"/>
                <w:color w:val="auto"/>
              </w:rPr>
              <w:t>– Existing Liens</w:t>
            </w: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Schedule 10</w:t>
            </w:r>
          </w:p>
        </w:tc>
        <w:tc>
          <w:tcPr>
            <w:tcW w:w="10020" w:type="dxa"/>
            <w:vAlign w:val="bottom"/>
          </w:tcPr>
          <w:p>
            <w:pPr>
              <w:ind w:left="140"/>
              <w:spacing w:after="0"/>
              <w:rPr>
                <w:sz w:val="20"/>
                <w:szCs w:val="20"/>
                <w:color w:val="auto"/>
              </w:rPr>
            </w:pPr>
            <w:r>
              <w:rPr>
                <w:rFonts w:ascii="Arial" w:cs="Arial" w:eastAsia="Arial" w:hAnsi="Arial"/>
                <w:sz w:val="18"/>
                <w:szCs w:val="18"/>
                <w:color w:val="auto"/>
              </w:rPr>
              <w:t>– Share Repurchase</w:t>
            </w:r>
          </w:p>
        </w:tc>
      </w:tr>
      <w:tr>
        <w:trPr>
          <w:trHeight w:val="445"/>
        </w:trPr>
        <w:tc>
          <w:tcPr>
            <w:tcW w:w="12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10020" w:type="dxa"/>
            <w:vAlign w:val="bottom"/>
          </w:tcPr>
          <w:p>
            <w:pPr>
              <w:spacing w:after="0"/>
              <w:rPr>
                <w:sz w:val="24"/>
                <w:szCs w:val="24"/>
                <w:color w:val="auto"/>
              </w:rPr>
            </w:pPr>
          </w:p>
        </w:tc>
      </w:tr>
      <w:tr>
        <w:trPr>
          <w:trHeight w:val="479"/>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00" w:type="dxa"/>
            <w:vAlign w:val="bottom"/>
            <w:gridSpan w:val="2"/>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Increasing Lender Supplement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Augmenting Lender Supplement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10020" w:type="dxa"/>
            <w:vAlign w:val="bottom"/>
          </w:tcPr>
          <w:p>
            <w:pPr>
              <w:ind w:left="140"/>
              <w:spacing w:after="0"/>
              <w:rPr>
                <w:sz w:val="20"/>
                <w:szCs w:val="20"/>
                <w:color w:val="auto"/>
              </w:rPr>
            </w:pPr>
            <w:r>
              <w:rPr>
                <w:rFonts w:ascii="Arial" w:cs="Arial" w:eastAsia="Arial" w:hAnsi="Arial"/>
                <w:sz w:val="18"/>
                <w:szCs w:val="18"/>
                <w:color w:val="auto"/>
              </w:rPr>
              <w:t>– List of Closing Documents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Solvency Certificate</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Subsidiary Guaranty</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U.S. Tax Certificate (Foreign Lenders That Are Not Partnerships)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U.S. Tax Certificate (Foreign Participants That Are Not Partnerships)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U.S. Tax Certificate (Foreign Participants That Are Partnerships)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G-4</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U.S. Tax Certificate (Foreign Lenders That Are Partnerships)</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Borrowing Request</w:t>
            </w: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Interest Election Request</w:t>
            </w: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10020" w:type="dxa"/>
            <w:vAlign w:val="bottom"/>
          </w:tcPr>
          <w:p>
            <w:pPr>
              <w:ind w:left="140"/>
              <w:spacing w:after="0"/>
              <w:rPr>
                <w:sz w:val="20"/>
                <w:szCs w:val="20"/>
                <w:color w:val="auto"/>
              </w:rPr>
            </w:pPr>
            <w:r>
              <w:rPr>
                <w:rFonts w:ascii="Arial" w:cs="Arial" w:eastAsia="Arial" w:hAnsi="Arial"/>
                <w:sz w:val="18"/>
                <w:szCs w:val="18"/>
                <w:color w:val="auto"/>
              </w:rPr>
              <w:t>– Form of Note</w:t>
            </w:r>
          </w:p>
        </w:tc>
      </w:tr>
      <w:tr>
        <w:trPr>
          <w:trHeight w:val="675"/>
        </w:trPr>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34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89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25, 2020 among REGENERON PHARMACEUTICALS, INC., a New York corporation, the LENDERS from time to time party hereto and GOLDMAN SACHS BANK USA, as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1.01. </w:t>
      </w:r>
      <w:r>
        <w:rPr>
          <w:rFonts w:ascii="Arial" w:cs="Arial" w:eastAsia="Arial" w:hAnsi="Arial"/>
          <w:sz w:val="18"/>
          <w:szCs w:val="18"/>
          <w:u w:val="single" w:color="auto"/>
          <w:color w:val="000000"/>
        </w:rPr>
        <w:t>Defined Terms</w:t>
      </w:r>
      <w:r>
        <w:rPr>
          <w:rFonts w:ascii="Arial" w:cs="Arial" w:eastAsia="Arial" w:hAnsi="Arial"/>
          <w:sz w:val="18"/>
          <w:szCs w:val="18"/>
          <w:color w:val="000000"/>
        </w:rPr>
        <w:t>. As used in this Agreement, the following terms have the meanings specified below:</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(i) any acquisition (whether by purchase, merger, consolidation or otherwise) or series of related acquisitions by the Borrower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Eurocurrency Borrowing for any Interest Period, an interest rate per annum (rounded upwards, if necessary, to the next 1/100 of 1%) equal to (a) the LIBO Rate for such Interest Period multiplied by (b) the Statutory Reserve Rate.</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Goldman Sachs Bank USA (including its branches and affiliates), in its capacity as administrative agent for the Lenders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and (c) the Adjusted LIBO Rate for a one month Interest Period in Dollars on such day (or if such day is not a Business Day, the immediately preceding Business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LIBOR Screen Rate (or if the LIBOR Screen Rate is not available for such one month Interest Period, the Interpolated Rate) at approximately 11:00 a.m. London time on such day, subject to the interest rate floors set forth therein. Any change in the Alternate Base Rate due to a change in the Prime Rate, the NYFRB Rate or the Adjusted LIBO Rate, as the case may be,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clauses (a) and (b) above and shall be determined without reference to clause (c) above. For the avoidance of doubt, if the Alternate Base Rate shall be less than 1.75%, such rate shall be deemed to be 1.75%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assigned to such term in Section 2.14(a).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has the meaning assigned to it in Section 8.02(c).</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Loans or Commitments of all the Lenders represented by such Lender’s Loans or Commitment,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2.24 when a Defaulting Lender shall exist, “Applicable Percentage” shall mean the percentage of the total Loans or Commitment, as applicable (disregarding any Defaulting Lender’s Loans or Commitment), of all Lenders represented by such Lender’s Loans or Commitment, as applicable.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Loan or any ABR Loan, as the case may be, the applicable rate per annum set forth below under the caption “Eurocurrency Spread” or “ABR Spread”, as the case may be, based upon the Pricing Level applicable on such date:</w:t>
      </w:r>
    </w:p>
    <w:p>
      <w:pPr>
        <w:spacing w:after="0" w:line="178"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right w:val="single" w:sz="8" w:color="auto"/>
            </w:tcBorders>
            <w:gridSpan w:val="3"/>
          </w:tcPr>
          <w:p>
            <w:pPr>
              <w:jc w:val="center"/>
              <w:spacing w:after="0" w:line="202" w:lineRule="exact"/>
              <w:rPr>
                <w:sz w:val="20"/>
                <w:szCs w:val="20"/>
                <w:color w:val="auto"/>
              </w:rPr>
            </w:pPr>
            <w:r>
              <w:rPr>
                <w:rFonts w:ascii="Arial" w:cs="Arial" w:eastAsia="Arial" w:hAnsi="Arial"/>
                <w:sz w:val="18"/>
                <w:szCs w:val="18"/>
                <w:color w:val="auto"/>
                <w:w w:val="94"/>
              </w:rPr>
              <w:t>Pricing Level:</w:t>
            </w:r>
          </w:p>
        </w:tc>
        <w:tc>
          <w:tcPr>
            <w:tcW w:w="1280" w:type="dxa"/>
            <w:vAlign w:val="bottom"/>
            <w:tcBorders>
              <w:top w:val="single" w:sz="8" w:color="auto"/>
            </w:tcBorders>
          </w:tcPr>
          <w:p>
            <w:pPr>
              <w:spacing w:after="0"/>
              <w:rPr>
                <w:sz w:val="17"/>
                <w:szCs w:val="17"/>
                <w:color w:val="auto"/>
              </w:rPr>
            </w:pPr>
          </w:p>
        </w:tc>
        <w:tc>
          <w:tcPr>
            <w:tcW w:w="28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Eurocurrency Spread</w:t>
            </w: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ABR</w:t>
            </w: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r>
      <w:tr>
        <w:trPr>
          <w:trHeight w:val="196"/>
        </w:trPr>
        <w:tc>
          <w:tcPr>
            <w:tcW w:w="62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21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rPr>
              <w:t>Spread</w:t>
            </w:r>
          </w:p>
        </w:tc>
      </w:tr>
      <w:tr>
        <w:trPr>
          <w:trHeight w:val="21"/>
        </w:trPr>
        <w:tc>
          <w:tcPr>
            <w:tcW w:w="6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164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4"/>
              </w:rPr>
              <w:t>Level I</w:t>
            </w:r>
          </w:p>
        </w:tc>
        <w:tc>
          <w:tcPr>
            <w:tcW w:w="2800" w:type="dxa"/>
            <w:vAlign w:val="bottom"/>
            <w:gridSpan w:val="2"/>
          </w:tcPr>
          <w:p>
            <w:pPr>
              <w:jc w:val="center"/>
              <w:ind w:left="1190"/>
              <w:spacing w:after="0"/>
              <w:rPr>
                <w:sz w:val="20"/>
                <w:szCs w:val="20"/>
                <w:color w:val="auto"/>
              </w:rPr>
            </w:pPr>
            <w:r>
              <w:rPr>
                <w:rFonts w:ascii="Arial" w:cs="Arial" w:eastAsia="Arial" w:hAnsi="Arial"/>
                <w:sz w:val="18"/>
                <w:szCs w:val="18"/>
                <w:color w:val="auto"/>
                <w:w w:val="91"/>
              </w:rPr>
              <w:t>1.875%</w:t>
            </w:r>
          </w:p>
        </w:tc>
        <w:tc>
          <w:tcPr>
            <w:tcW w:w="132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1"/>
              </w:rPr>
              <w:t>0.875%</w:t>
            </w:r>
          </w:p>
        </w:tc>
      </w:tr>
      <w:tr>
        <w:trPr>
          <w:trHeight w:val="202"/>
        </w:trPr>
        <w:tc>
          <w:tcPr>
            <w:tcW w:w="62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164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9"/>
              </w:rPr>
              <w:t>Level II</w:t>
            </w:r>
          </w:p>
        </w:tc>
        <w:tc>
          <w:tcPr>
            <w:tcW w:w="2800" w:type="dxa"/>
            <w:vAlign w:val="bottom"/>
            <w:gridSpan w:val="2"/>
          </w:tcPr>
          <w:p>
            <w:pPr>
              <w:jc w:val="center"/>
              <w:ind w:left="1210"/>
              <w:spacing w:after="0"/>
              <w:rPr>
                <w:sz w:val="20"/>
                <w:szCs w:val="20"/>
                <w:color w:val="auto"/>
              </w:rPr>
            </w:pPr>
            <w:r>
              <w:rPr>
                <w:rFonts w:ascii="Arial" w:cs="Arial" w:eastAsia="Arial" w:hAnsi="Arial"/>
                <w:sz w:val="18"/>
                <w:szCs w:val="18"/>
                <w:color w:val="auto"/>
                <w:w w:val="90"/>
              </w:rPr>
              <w:t>2.00%</w:t>
            </w:r>
          </w:p>
        </w:tc>
        <w:tc>
          <w:tcPr>
            <w:tcW w:w="132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90"/>
              </w:rPr>
              <w:t>1.00%</w:t>
            </w:r>
          </w:p>
        </w:tc>
      </w:tr>
      <w:tr>
        <w:trPr>
          <w:trHeight w:val="202"/>
        </w:trPr>
        <w:tc>
          <w:tcPr>
            <w:tcW w:w="62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164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8"/>
              </w:rPr>
              <w:t>Level III</w:t>
            </w:r>
          </w:p>
        </w:tc>
        <w:tc>
          <w:tcPr>
            <w:tcW w:w="2800" w:type="dxa"/>
            <w:vAlign w:val="bottom"/>
            <w:gridSpan w:val="2"/>
          </w:tcPr>
          <w:p>
            <w:pPr>
              <w:jc w:val="center"/>
              <w:ind w:left="1190"/>
              <w:spacing w:after="0"/>
              <w:rPr>
                <w:sz w:val="20"/>
                <w:szCs w:val="20"/>
                <w:color w:val="auto"/>
              </w:rPr>
            </w:pPr>
            <w:r>
              <w:rPr>
                <w:rFonts w:ascii="Arial" w:cs="Arial" w:eastAsia="Arial" w:hAnsi="Arial"/>
                <w:sz w:val="18"/>
                <w:szCs w:val="18"/>
                <w:color w:val="auto"/>
                <w:w w:val="91"/>
              </w:rPr>
              <w:t>2.125%</w:t>
            </w:r>
          </w:p>
        </w:tc>
        <w:tc>
          <w:tcPr>
            <w:tcW w:w="132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8"/>
                <w:szCs w:val="18"/>
                <w:color w:val="auto"/>
                <w:w w:val="91"/>
              </w:rPr>
              <w:t>1.125%</w:t>
            </w:r>
          </w:p>
        </w:tc>
      </w:tr>
      <w:tr>
        <w:trPr>
          <w:trHeight w:val="202"/>
        </w:trPr>
        <w:tc>
          <w:tcPr>
            <w:tcW w:w="62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164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rPr>
              <w:t>Level IV</w:t>
            </w:r>
          </w:p>
        </w:tc>
        <w:tc>
          <w:tcPr>
            <w:tcW w:w="2800" w:type="dxa"/>
            <w:vAlign w:val="bottom"/>
            <w:gridSpan w:val="2"/>
          </w:tcPr>
          <w:p>
            <w:pPr>
              <w:jc w:val="center"/>
              <w:ind w:left="1190"/>
              <w:spacing w:after="0"/>
              <w:rPr>
                <w:sz w:val="20"/>
                <w:szCs w:val="20"/>
                <w:color w:val="auto"/>
              </w:rPr>
            </w:pPr>
            <w:r>
              <w:rPr>
                <w:rFonts w:ascii="Arial" w:cs="Arial" w:eastAsia="Arial" w:hAnsi="Arial"/>
                <w:sz w:val="18"/>
                <w:szCs w:val="18"/>
                <w:color w:val="auto"/>
                <w:w w:val="92"/>
              </w:rPr>
              <w:t>2.25 %</w:t>
            </w:r>
          </w:p>
        </w:tc>
        <w:tc>
          <w:tcPr>
            <w:tcW w:w="132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8"/>
                <w:szCs w:val="18"/>
                <w:color w:val="auto"/>
                <w:w w:val="90"/>
              </w:rPr>
              <w:t>1.25%</w:t>
            </w:r>
          </w:p>
        </w:tc>
      </w:tr>
      <w:tr>
        <w:trPr>
          <w:trHeight w:val="209"/>
        </w:trPr>
        <w:tc>
          <w:tcPr>
            <w:tcW w:w="62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4"/>
        <w:spacing w:after="0" w:line="263" w:lineRule="auto"/>
        <w:tabs>
          <w:tab w:leader="none" w:pos="75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Rate for Eurocurrency Loans and ABR Loans at each Pricing Level shall be increased by (a) 0.25% on September 18, 2020, (b) an additional 0.25% per annum on the date that is 180 days after the Closing Date and (c) an additional 0.25% per annum on the date that is 270 days after the Closing Date.</w:t>
      </w:r>
    </w:p>
    <w:p>
      <w:pPr>
        <w:spacing w:after="0" w:line="18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660"/>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53" w:lineRule="exact"/>
        <w:rPr>
          <w:sz w:val="20"/>
          <w:szCs w:val="20"/>
          <w:color w:val="auto"/>
        </w:rPr>
      </w:pPr>
    </w:p>
    <w:tbl>
      <w:tblPr>
        <w:tblLayout w:type="fixed"/>
        <w:tblInd w:w="283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Leverage Level Determination</w:t>
            </w:r>
          </w:p>
        </w:tc>
      </w:tr>
      <w:tr>
        <w:trPr>
          <w:trHeight w:val="237"/>
        </w:trPr>
        <w:tc>
          <w:tcPr>
            <w:tcW w:w="170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Borders>
              <w:left w:val="single" w:sz="8" w:color="auto"/>
            </w:tcBorders>
          </w:tcPr>
          <w:p>
            <w:pPr>
              <w:jc w:val="center"/>
              <w:ind w:left="290"/>
              <w:spacing w:after="0"/>
              <w:rPr>
                <w:sz w:val="20"/>
                <w:szCs w:val="20"/>
                <w:color w:val="auto"/>
              </w:rPr>
            </w:pPr>
            <w:r>
              <w:rPr>
                <w:rFonts w:ascii="Arial" w:cs="Arial" w:eastAsia="Arial" w:hAnsi="Arial"/>
                <w:sz w:val="18"/>
                <w:szCs w:val="18"/>
                <w:color w:val="auto"/>
                <w:w w:val="90"/>
              </w:rPr>
              <w:t>Leverage Level</w:t>
            </w:r>
          </w:p>
        </w:tc>
        <w:tc>
          <w:tcPr>
            <w:tcW w:w="4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Total Leverage Ratio</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1700" w:type="dxa"/>
            <w:vAlign w:val="bottom"/>
            <w:tcBorders>
              <w:left w:val="single" w:sz="8" w:color="auto"/>
            </w:tcBorders>
          </w:tcPr>
          <w:p>
            <w:pPr>
              <w:ind w:left="740"/>
              <w:spacing w:after="0"/>
              <w:rPr>
                <w:sz w:val="20"/>
                <w:szCs w:val="20"/>
                <w:color w:val="auto"/>
              </w:rPr>
            </w:pPr>
            <w:r>
              <w:rPr>
                <w:rFonts w:ascii="Arial" w:cs="Arial" w:eastAsia="Arial" w:hAnsi="Arial"/>
                <w:sz w:val="18"/>
                <w:szCs w:val="18"/>
                <w:color w:val="auto"/>
              </w:rPr>
              <w:t>Level 2</w:t>
            </w:r>
          </w:p>
        </w:tc>
        <w:tc>
          <w:tcPr>
            <w:tcW w:w="4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 1.00 to 1.00</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195"/>
        </w:trPr>
        <w:tc>
          <w:tcPr>
            <w:tcW w:w="1700" w:type="dxa"/>
            <w:vAlign w:val="bottom"/>
            <w:tcBorders>
              <w:left w:val="single" w:sz="8" w:color="auto"/>
            </w:tcBorders>
          </w:tcPr>
          <w:p>
            <w:pPr>
              <w:jc w:val="center"/>
              <w:ind w:left="310"/>
              <w:spacing w:after="0" w:line="195" w:lineRule="exact"/>
              <w:rPr>
                <w:sz w:val="20"/>
                <w:szCs w:val="20"/>
                <w:color w:val="auto"/>
              </w:rPr>
            </w:pPr>
            <w:r>
              <w:rPr>
                <w:rFonts w:ascii="Arial" w:cs="Arial" w:eastAsia="Arial" w:hAnsi="Arial"/>
                <w:sz w:val="18"/>
                <w:szCs w:val="18"/>
                <w:color w:val="auto"/>
                <w:w w:val="92"/>
              </w:rPr>
              <w:t>Level 3</w:t>
            </w:r>
          </w:p>
        </w:tc>
        <w:tc>
          <w:tcPr>
            <w:tcW w:w="4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0"/>
              </w:rPr>
              <w:t>&gt; 1.00 to 1.00 but</w:t>
            </w:r>
          </w:p>
        </w:tc>
      </w:tr>
      <w:tr>
        <w:trPr>
          <w:trHeight w:val="230"/>
        </w:trPr>
        <w:tc>
          <w:tcPr>
            <w:tcW w:w="17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&lt; 2.00 to 1.00</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r>
      <w:tr>
        <w:trPr>
          <w:trHeight w:val="224"/>
        </w:trPr>
        <w:tc>
          <w:tcPr>
            <w:tcW w:w="1700" w:type="dxa"/>
            <w:vAlign w:val="bottom"/>
            <w:tcBorders>
              <w:left w:val="single" w:sz="8" w:color="auto"/>
            </w:tcBorders>
          </w:tcPr>
          <w:p>
            <w:pPr>
              <w:ind w:left="740"/>
              <w:spacing w:after="0"/>
              <w:rPr>
                <w:sz w:val="20"/>
                <w:szCs w:val="20"/>
                <w:color w:val="auto"/>
              </w:rPr>
            </w:pPr>
            <w:r>
              <w:rPr>
                <w:rFonts w:ascii="Arial" w:cs="Arial" w:eastAsia="Arial" w:hAnsi="Arial"/>
                <w:sz w:val="18"/>
                <w:szCs w:val="18"/>
                <w:color w:val="auto"/>
              </w:rPr>
              <w:t>Level 4</w:t>
            </w:r>
          </w:p>
        </w:tc>
        <w:tc>
          <w:tcPr>
            <w:tcW w:w="4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0"/>
              </w:rPr>
              <w:t>≥ 2.00 to 1.00</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Unless Ratings Level A is then in effect, if at any time the Borrower fails to deliver the Financials on or before the date such Financials are due pursuant to Section 5.01,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Notwithstanding anything to the contrary set forth in this definition, Pricing Level II shall be deemed to be applicable until the Administrative Agent’s receipt of the applicable financial statements for the Borrower’s first full fiscal quarter ending after the Effective Date and adjustments to the Leverage Level then in effect shall thereafter be effected in accordance with the terms of this definition.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60" w:type="dxa"/>
            <w:vAlign w:val="bottom"/>
            <w:gridSpan w:val="4"/>
          </w:tcPr>
          <w:p>
            <w:pPr>
              <w:jc w:val="center"/>
              <w:ind w:right="1680"/>
              <w:spacing w:after="0"/>
              <w:rPr>
                <w:sz w:val="20"/>
                <w:szCs w:val="20"/>
                <w:color w:val="auto"/>
              </w:rPr>
            </w:pPr>
            <w:r>
              <w:rPr>
                <w:rFonts w:ascii="Arial" w:cs="Arial" w:eastAsia="Arial" w:hAnsi="Arial"/>
                <w:sz w:val="18"/>
                <w:szCs w:val="18"/>
                <w:color w:val="auto"/>
                <w:w w:val="91"/>
              </w:rPr>
              <w:t>Ratings Level Determination</w:t>
            </w:r>
          </w:p>
        </w:tc>
        <w:tc>
          <w:tcPr>
            <w:tcW w:w="2800" w:type="dxa"/>
            <w:vAlign w:val="bottom"/>
          </w:tcPr>
          <w:p>
            <w:pPr>
              <w:spacing w:after="0"/>
              <w:rPr>
                <w:sz w:val="18"/>
                <w:szCs w:val="18"/>
                <w:color w:val="auto"/>
              </w:rPr>
            </w:pPr>
          </w:p>
        </w:tc>
      </w:tr>
      <w:tr>
        <w:trPr>
          <w:trHeight w:val="237"/>
        </w:trPr>
        <w:tc>
          <w:tcPr>
            <w:tcW w:w="28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195"/>
        </w:trPr>
        <w:tc>
          <w:tcPr>
            <w:tcW w:w="2840" w:type="dxa"/>
            <w:vAlign w:val="bottom"/>
            <w:tcBorders>
              <w:right w:val="single" w:sz="8" w:color="auto"/>
            </w:tcBorders>
          </w:tcPr>
          <w:p>
            <w:pPr>
              <w:spacing w:after="0"/>
              <w:rPr>
                <w:sz w:val="16"/>
                <w:szCs w:val="16"/>
                <w:color w:val="auto"/>
              </w:rPr>
            </w:pPr>
          </w:p>
        </w:tc>
        <w:tc>
          <w:tcPr>
            <w:tcW w:w="1640" w:type="dxa"/>
            <w:vAlign w:val="bottom"/>
          </w:tcPr>
          <w:p>
            <w:pPr>
              <w:jc w:val="center"/>
              <w:ind w:left="370"/>
              <w:spacing w:after="0" w:line="195" w:lineRule="exact"/>
              <w:rPr>
                <w:sz w:val="20"/>
                <w:szCs w:val="20"/>
                <w:color w:val="auto"/>
              </w:rPr>
            </w:pPr>
            <w:r>
              <w:rPr>
                <w:rFonts w:ascii="Arial" w:cs="Arial" w:eastAsia="Arial" w:hAnsi="Arial"/>
                <w:sz w:val="18"/>
                <w:szCs w:val="18"/>
                <w:color w:val="auto"/>
                <w:w w:val="93"/>
              </w:rPr>
              <w:t>Ratings Level</w:t>
            </w:r>
          </w:p>
        </w:tc>
        <w:tc>
          <w:tcPr>
            <w:tcW w:w="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348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Index Debt Ratings</w:t>
            </w:r>
          </w:p>
        </w:tc>
        <w:tc>
          <w:tcPr>
            <w:tcW w:w="2800" w:type="dxa"/>
            <w:vAlign w:val="bottom"/>
          </w:tcPr>
          <w:p>
            <w:pPr>
              <w:spacing w:after="0"/>
              <w:rPr>
                <w:sz w:val="16"/>
                <w:szCs w:val="16"/>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(S&amp;P/Moody’s)</w:t>
            </w:r>
          </w:p>
        </w:tc>
        <w:tc>
          <w:tcPr>
            <w:tcW w:w="2800" w:type="dxa"/>
            <w:vAlign w:val="bottom"/>
          </w:tcPr>
          <w:p>
            <w:pPr>
              <w:spacing w:after="0"/>
              <w:rPr>
                <w:sz w:val="20"/>
                <w:szCs w:val="20"/>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800" w:type="dxa"/>
            <w:vAlign w:val="bottom"/>
          </w:tcPr>
          <w:p>
            <w:pPr>
              <w:spacing w:after="0"/>
              <w:rPr>
                <w:sz w:val="18"/>
                <w:szCs w:val="18"/>
                <w:color w:val="auto"/>
              </w:rPr>
            </w:pPr>
          </w:p>
        </w:tc>
      </w:tr>
      <w:tr>
        <w:trPr>
          <w:trHeight w:val="224"/>
        </w:trPr>
        <w:tc>
          <w:tcPr>
            <w:tcW w:w="2840" w:type="dxa"/>
            <w:vAlign w:val="bottom"/>
            <w:tcBorders>
              <w:right w:val="single" w:sz="8" w:color="auto"/>
            </w:tcBorders>
          </w:tcPr>
          <w:p>
            <w:pPr>
              <w:spacing w:after="0"/>
              <w:rPr>
                <w:sz w:val="19"/>
                <w:szCs w:val="19"/>
                <w:color w:val="auto"/>
              </w:rPr>
            </w:pPr>
          </w:p>
        </w:tc>
        <w:tc>
          <w:tcPr>
            <w:tcW w:w="1640" w:type="dxa"/>
            <w:vAlign w:val="bottom"/>
          </w:tcPr>
          <w:p>
            <w:pPr>
              <w:jc w:val="center"/>
              <w:ind w:left="370"/>
              <w:spacing w:after="0"/>
              <w:rPr>
                <w:sz w:val="20"/>
                <w:szCs w:val="20"/>
                <w:color w:val="auto"/>
              </w:rPr>
            </w:pPr>
            <w:r>
              <w:rPr>
                <w:rFonts w:ascii="Arial" w:cs="Arial" w:eastAsia="Arial" w:hAnsi="Arial"/>
                <w:sz w:val="18"/>
                <w:szCs w:val="18"/>
                <w:color w:val="auto"/>
                <w:w w:val="96"/>
              </w:rPr>
              <w:t>Level A</w:t>
            </w:r>
          </w:p>
        </w:tc>
        <w:tc>
          <w:tcPr>
            <w:tcW w:w="1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BBB+/Baa1 or higher</w:t>
            </w:r>
          </w:p>
        </w:tc>
        <w:tc>
          <w:tcPr>
            <w:tcW w:w="2800" w:type="dxa"/>
            <w:vAlign w:val="bottom"/>
          </w:tcPr>
          <w:p>
            <w:pPr>
              <w:spacing w:after="0"/>
              <w:rPr>
                <w:sz w:val="19"/>
                <w:szCs w:val="19"/>
                <w:color w:val="auto"/>
              </w:rPr>
            </w:pPr>
          </w:p>
        </w:tc>
      </w:tr>
      <w:tr>
        <w:trPr>
          <w:trHeight w:val="202"/>
        </w:trPr>
        <w:tc>
          <w:tcPr>
            <w:tcW w:w="2840" w:type="dxa"/>
            <w:vAlign w:val="bottom"/>
            <w:tcBorders>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24"/>
        </w:trPr>
        <w:tc>
          <w:tcPr>
            <w:tcW w:w="2840" w:type="dxa"/>
            <w:vAlign w:val="bottom"/>
            <w:tcBorders>
              <w:right w:val="single" w:sz="8" w:color="auto"/>
            </w:tcBorders>
          </w:tcPr>
          <w:p>
            <w:pPr>
              <w:spacing w:after="0"/>
              <w:rPr>
                <w:sz w:val="19"/>
                <w:szCs w:val="19"/>
                <w:color w:val="auto"/>
              </w:rPr>
            </w:pPr>
          </w:p>
        </w:tc>
        <w:tc>
          <w:tcPr>
            <w:tcW w:w="1640" w:type="dxa"/>
            <w:vAlign w:val="bottom"/>
          </w:tcPr>
          <w:p>
            <w:pPr>
              <w:jc w:val="center"/>
              <w:ind w:left="370"/>
              <w:spacing w:after="0"/>
              <w:rPr>
                <w:sz w:val="20"/>
                <w:szCs w:val="20"/>
                <w:color w:val="auto"/>
              </w:rPr>
            </w:pPr>
            <w:r>
              <w:rPr>
                <w:rFonts w:ascii="Arial" w:cs="Arial" w:eastAsia="Arial" w:hAnsi="Arial"/>
                <w:sz w:val="18"/>
                <w:szCs w:val="18"/>
                <w:color w:val="auto"/>
                <w:w w:val="96"/>
              </w:rPr>
              <w:t>Level B</w:t>
            </w:r>
          </w:p>
        </w:tc>
        <w:tc>
          <w:tcPr>
            <w:tcW w:w="1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BBB/Baa2</w:t>
            </w:r>
          </w:p>
        </w:tc>
        <w:tc>
          <w:tcPr>
            <w:tcW w:w="2800" w:type="dxa"/>
            <w:vAlign w:val="bottom"/>
          </w:tcPr>
          <w:p>
            <w:pPr>
              <w:spacing w:after="0"/>
              <w:rPr>
                <w:sz w:val="19"/>
                <w:szCs w:val="19"/>
                <w:color w:val="auto"/>
              </w:rPr>
            </w:pPr>
          </w:p>
        </w:tc>
      </w:tr>
      <w:tr>
        <w:trPr>
          <w:trHeight w:val="202"/>
        </w:trPr>
        <w:tc>
          <w:tcPr>
            <w:tcW w:w="2840" w:type="dxa"/>
            <w:vAlign w:val="bottom"/>
            <w:tcBorders>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24"/>
        </w:trPr>
        <w:tc>
          <w:tcPr>
            <w:tcW w:w="2840" w:type="dxa"/>
            <w:vAlign w:val="bottom"/>
            <w:tcBorders>
              <w:right w:val="single" w:sz="8" w:color="auto"/>
            </w:tcBorders>
          </w:tcPr>
          <w:p>
            <w:pPr>
              <w:spacing w:after="0"/>
              <w:rPr>
                <w:sz w:val="19"/>
                <w:szCs w:val="19"/>
                <w:color w:val="auto"/>
              </w:rPr>
            </w:pPr>
          </w:p>
        </w:tc>
        <w:tc>
          <w:tcPr>
            <w:tcW w:w="1640" w:type="dxa"/>
            <w:vAlign w:val="bottom"/>
          </w:tcPr>
          <w:p>
            <w:pPr>
              <w:jc w:val="center"/>
              <w:ind w:left="370"/>
              <w:spacing w:after="0"/>
              <w:rPr>
                <w:sz w:val="20"/>
                <w:szCs w:val="20"/>
                <w:color w:val="auto"/>
              </w:rPr>
            </w:pPr>
            <w:r>
              <w:rPr>
                <w:rFonts w:ascii="Arial" w:cs="Arial" w:eastAsia="Arial" w:hAnsi="Arial"/>
                <w:sz w:val="18"/>
                <w:szCs w:val="18"/>
                <w:color w:val="auto"/>
                <w:w w:val="94"/>
              </w:rPr>
              <w:t>Level C</w:t>
            </w:r>
          </w:p>
        </w:tc>
        <w:tc>
          <w:tcPr>
            <w:tcW w:w="1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BBB-/Baa3</w:t>
            </w:r>
          </w:p>
        </w:tc>
        <w:tc>
          <w:tcPr>
            <w:tcW w:w="2800" w:type="dxa"/>
            <w:vAlign w:val="bottom"/>
          </w:tcPr>
          <w:p>
            <w:pPr>
              <w:spacing w:after="0"/>
              <w:rPr>
                <w:sz w:val="19"/>
                <w:szCs w:val="19"/>
                <w:color w:val="auto"/>
              </w:rPr>
            </w:pPr>
          </w:p>
        </w:tc>
      </w:tr>
      <w:tr>
        <w:trPr>
          <w:trHeight w:val="215"/>
        </w:trPr>
        <w:tc>
          <w:tcPr>
            <w:tcW w:w="2840" w:type="dxa"/>
            <w:vAlign w:val="bottom"/>
            <w:tcBorders>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800" w:type="dxa"/>
            <w:vAlign w:val="bottom"/>
          </w:tcPr>
          <w:p>
            <w:pPr>
              <w:spacing w:after="0"/>
              <w:rPr>
                <w:sz w:val="18"/>
                <w:szCs w:val="18"/>
                <w:color w:val="auto"/>
              </w:rPr>
            </w:pPr>
          </w:p>
        </w:tc>
      </w:tr>
      <w:tr>
        <w:trPr>
          <w:trHeight w:val="224"/>
        </w:trPr>
        <w:tc>
          <w:tcPr>
            <w:tcW w:w="2840" w:type="dxa"/>
            <w:vAlign w:val="bottom"/>
            <w:tcBorders>
              <w:right w:val="single" w:sz="8" w:color="auto"/>
            </w:tcBorders>
          </w:tcPr>
          <w:p>
            <w:pPr>
              <w:spacing w:after="0"/>
              <w:rPr>
                <w:sz w:val="19"/>
                <w:szCs w:val="19"/>
                <w:color w:val="auto"/>
              </w:rPr>
            </w:pPr>
          </w:p>
        </w:tc>
        <w:tc>
          <w:tcPr>
            <w:tcW w:w="1640" w:type="dxa"/>
            <w:vAlign w:val="bottom"/>
          </w:tcPr>
          <w:p>
            <w:pPr>
              <w:jc w:val="center"/>
              <w:ind w:left="370"/>
              <w:spacing w:after="0"/>
              <w:rPr>
                <w:sz w:val="20"/>
                <w:szCs w:val="20"/>
                <w:color w:val="auto"/>
              </w:rPr>
            </w:pPr>
            <w:r>
              <w:rPr>
                <w:rFonts w:ascii="Arial" w:cs="Arial" w:eastAsia="Arial" w:hAnsi="Arial"/>
                <w:sz w:val="18"/>
                <w:szCs w:val="18"/>
                <w:color w:val="auto"/>
                <w:w w:val="94"/>
              </w:rPr>
              <w:t>Level D</w:t>
            </w:r>
          </w:p>
        </w:tc>
        <w:tc>
          <w:tcPr>
            <w:tcW w:w="10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3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5"/>
              </w:rPr>
              <w:t>BB+/Ba1 or lower</w:t>
            </w:r>
          </w:p>
        </w:tc>
        <w:tc>
          <w:tcPr>
            <w:tcW w:w="2800" w:type="dxa"/>
            <w:vAlign w:val="bottom"/>
          </w:tcPr>
          <w:p>
            <w:pPr>
              <w:spacing w:after="0"/>
              <w:rPr>
                <w:sz w:val="19"/>
                <w:szCs w:val="19"/>
                <w:color w:val="auto"/>
              </w:rPr>
            </w:pPr>
          </w:p>
        </w:tc>
      </w:tr>
      <w:tr>
        <w:trPr>
          <w:trHeight w:val="202"/>
        </w:trPr>
        <w:tc>
          <w:tcPr>
            <w:tcW w:w="2840" w:type="dxa"/>
            <w:vAlign w:val="bottom"/>
            <w:tcBorders>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642"/>
        </w:trPr>
        <w:tc>
          <w:tcPr>
            <w:tcW w:w="2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3</w:t>
            </w:r>
          </w:p>
        </w:tc>
        <w:tc>
          <w:tcPr>
            <w:tcW w:w="1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9" w:name="page60"/>
    <w:bookmarkEnd w:id="59"/>
    <w:p>
      <w:pPr>
        <w:jc w:val="both"/>
        <w:ind w:left="660"/>
        <w:spacing w:after="0" w:line="268"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Borrower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 any sale, transfer, lease or other disposition or Casualty Event with respect to any assets of the Borrower or any of its Subsidiaries, except any Excluded Asset Sale.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use of an electronic platform) approved by the Administrative Agent.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Affected Financial Institution.</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 Agreement</w:t>
      </w:r>
      <w:r>
        <w:rPr>
          <w:rFonts w:ascii="Arial" w:cs="Arial" w:eastAsia="Arial" w:hAnsi="Arial"/>
          <w:sz w:val="17"/>
          <w:szCs w:val="17"/>
          <w:color w:val="auto"/>
        </w:rPr>
        <w:t>” means any agreement entered into by the Borrower or any Subsidiary in connection with Banking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9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 for U.S.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0.75%, the Benchmark Replacement will be deemed to be 0.75% for the purposes of this Agreement.</w:t>
      </w:r>
    </w:p>
    <w:p>
      <w:pPr>
        <w:spacing w:after="0" w:line="19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LIBO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LIBO with the applicable Unadjusted Benchmark Replacement by the Relevant Governmental Body or (ii) any evolving or then-prevailing market convention for determining a spread adjustment, or method for calculating or determining such spread adjustment, for the replacement of LIBO with the applicable Unadjusted Benchmark Replacement for U.S. dollar- denominated syndicated credit facilities at such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“Alternative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earlier to occur of the following events with respect to the LIBO Rate:</w:t>
      </w:r>
    </w:p>
    <w:p>
      <w:pPr>
        <w:spacing w:after="0" w:line="225" w:lineRule="exact"/>
        <w:rPr>
          <w:sz w:val="20"/>
          <w:szCs w:val="20"/>
          <w:color w:val="auto"/>
        </w:rPr>
      </w:pPr>
    </w:p>
    <w:p>
      <w:pPr>
        <w:jc w:val="both"/>
        <w:ind w:left="1060" w:hanging="323"/>
        <w:spacing w:after="0" w:line="263"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the LIBO Rate permanently or indefinitely ceases to provide the LIBO Rate; or</w:t>
      </w:r>
    </w:p>
    <w:p>
      <w:pPr>
        <w:spacing w:after="0" w:line="183"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LIBO Rate:</w:t>
      </w:r>
    </w:p>
    <w:p>
      <w:pPr>
        <w:spacing w:after="0" w:line="225" w:lineRule="exact"/>
        <w:rPr>
          <w:sz w:val="20"/>
          <w:szCs w:val="20"/>
          <w:color w:val="auto"/>
        </w:rPr>
      </w:pPr>
    </w:p>
    <w:p>
      <w:pPr>
        <w:jc w:val="both"/>
        <w:ind w:left="1060" w:right="120" w:hanging="323"/>
        <w:spacing w:after="0" w:line="263"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the LIBO Rate announcing that such administrator has ceased or will cease to provide the LIBO Rate,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LIBO Rate;</w:t>
      </w:r>
    </w:p>
    <w:p>
      <w:pPr>
        <w:spacing w:after="0" w:line="183" w:lineRule="exact"/>
        <w:rPr>
          <w:rFonts w:ascii="Arial" w:cs="Arial" w:eastAsia="Arial" w:hAnsi="Arial"/>
          <w:sz w:val="18"/>
          <w:szCs w:val="18"/>
          <w:color w:val="auto"/>
        </w:rPr>
      </w:pPr>
    </w:p>
    <w:p>
      <w:pPr>
        <w:jc w:val="both"/>
        <w:ind w:left="1060" w:right="100" w:hanging="323"/>
        <w:spacing w:after="0" w:line="255"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LIBO Rate; or</w:t>
      </w:r>
    </w:p>
    <w:p>
      <w:pPr>
        <w:spacing w:after="0" w:line="192"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LIBO Rate announcing that the LIBO Rate is no longer representative.</w:t>
      </w:r>
    </w:p>
    <w:p>
      <w:pPr>
        <w:spacing w:after="0" w:line="170" w:lineRule="exact"/>
        <w:rPr>
          <w:sz w:val="20"/>
          <w:szCs w:val="20"/>
          <w:color w:val="auto"/>
        </w:rPr>
      </w:pPr>
    </w:p>
    <w:p>
      <w:pPr>
        <w:jc w:val="both"/>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207"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the Section 2.14 and (y) ending at the time that a Benchmark Replacement has replaced the LIBO Rate for all purposes hereunder pursuant to Section 2.14.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Bookrunner</w:t>
      </w:r>
      <w:r>
        <w:rPr>
          <w:rFonts w:ascii="Arial" w:cs="Arial" w:eastAsia="Arial" w:hAnsi="Arial"/>
          <w:sz w:val="18"/>
          <w:szCs w:val="18"/>
          <w:color w:val="auto"/>
        </w:rPr>
        <w:t>” means Goldman Sachs Bank USA, in its capacity as sole bookrunner and sole lead arranger for the credit facility evidenced by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Regeneron Pharmaceuticals, Inc., a New York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borrowing consisting of Loans of the same Type and, in the case of Eurocurrency Loans, having the same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Section 2.03, substantially in the form attached hereto as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Dollars in the London interbank market.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Cancellation Date</w:t>
      </w:r>
      <w:r>
        <w:rPr>
          <w:rFonts w:ascii="Arial" w:cs="Arial" w:eastAsia="Arial" w:hAnsi="Arial"/>
          <w:sz w:val="18"/>
          <w:szCs w:val="18"/>
          <w:color w:val="auto"/>
        </w:rPr>
        <w:t>” means the date of cancellation of any Equity Interests purchased pursuant to the Share Repurchase.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Section 1.04(a).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660" w:right="540" w:firstLine="644"/>
        <w:spacing w:after="0" w:line="277" w:lineRule="auto"/>
        <w:tabs>
          <w:tab w:leader="none" w:pos="182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Dollars, and, with respect to any Foreign Subsidiaries, other currencies held by such Foreign Subsidiary, in each case in the ordinary course of business;</w:t>
      </w:r>
    </w:p>
    <w:p>
      <w:pPr>
        <w:spacing w:after="0" w:line="170" w:lineRule="exact"/>
        <w:rPr>
          <w:rFonts w:ascii="Arial" w:cs="Arial" w:eastAsia="Arial" w:hAnsi="Arial"/>
          <w:sz w:val="18"/>
          <w:szCs w:val="18"/>
          <w:color w:val="auto"/>
        </w:rPr>
      </w:pPr>
    </w:p>
    <w:p>
      <w:pPr>
        <w:jc w:val="both"/>
        <w:ind w:left="660" w:firstLine="644"/>
        <w:spacing w:after="0" w:line="311" w:lineRule="auto"/>
        <w:tabs>
          <w:tab w:leader="none" w:pos="1851"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investment in marketable debt obligations issued or guaranteed by the government of the United States of America which has a credit rating of A- or higher by S&amp;P or A3 or higher by Moody’s or by an instrumentality or agency of any of them having an equivalent credit rating, maturing within one (1) year after the relevant date of calculation and not convertible or exchangeable to any other security;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660" w:firstLine="644"/>
        <w:spacing w:after="0" w:line="301" w:lineRule="auto"/>
        <w:tabs>
          <w:tab w:leader="none" w:pos="1899" w:val="left"/>
        </w:tabs>
        <w:numPr>
          <w:ilvl w:val="1"/>
          <w:numId w:val="60"/>
        </w:numPr>
        <w:rPr>
          <w:rFonts w:ascii="Arial" w:cs="Arial" w:eastAsia="Arial" w:hAnsi="Arial"/>
          <w:sz w:val="16"/>
          <w:szCs w:val="16"/>
          <w:color w:val="auto"/>
        </w:rPr>
      </w:pPr>
      <w:r>
        <w:rPr>
          <w:rFonts w:ascii="Arial" w:cs="Arial" w:eastAsia="Arial" w:hAnsi="Arial"/>
          <w:sz w:val="16"/>
          <w:szCs w:val="16"/>
          <w:color w:val="auto"/>
        </w:rPr>
        <w:t>securities issued by any state, commonwealth or territory of the United States of America or any political subdivision or taxing authority of any such state, commonwealth or territory or any public instrumentality thereof or any political subdivision or taxing authority of any such state, commonwealth or territory or any public instrumentality thereof having maturities of not more than one (1) year from the date of acquisition thereof and, at the time of acquisition, having an investment grade rating generally obtainable from S&amp;P or Moody’s;</w:t>
      </w:r>
    </w:p>
    <w:p>
      <w:pPr>
        <w:spacing w:after="0" w:line="157" w:lineRule="exact"/>
        <w:rPr>
          <w:rFonts w:ascii="Arial" w:cs="Arial" w:eastAsia="Arial" w:hAnsi="Arial"/>
          <w:sz w:val="16"/>
          <w:szCs w:val="16"/>
          <w:color w:val="auto"/>
        </w:rPr>
      </w:pPr>
    </w:p>
    <w:p>
      <w:pPr>
        <w:jc w:val="both"/>
        <w:ind w:left="660" w:firstLine="644"/>
        <w:spacing w:after="0" w:line="291" w:lineRule="auto"/>
        <w:tabs>
          <w:tab w:leader="none" w:pos="1965" w:val="left"/>
        </w:tabs>
        <w:numPr>
          <w:ilvl w:val="1"/>
          <w:numId w:val="60"/>
        </w:numPr>
        <w:rPr>
          <w:rFonts w:ascii="Arial" w:cs="Arial" w:eastAsia="Arial" w:hAnsi="Arial"/>
          <w:sz w:val="16"/>
          <w:szCs w:val="16"/>
          <w:color w:val="auto"/>
        </w:rPr>
      </w:pPr>
      <w:r>
        <w:rPr>
          <w:rFonts w:ascii="Arial" w:cs="Arial" w:eastAsia="Arial" w:hAnsi="Arial"/>
          <w:sz w:val="16"/>
          <w:szCs w:val="16"/>
          <w:color w:val="auto"/>
        </w:rPr>
        <w:t>commercial paper not convertible or exchangeable to any other security (i) for which a recognized trading market exists, (ii) issued by an issuer incorporated in the United States of America, (iii) which matures within one (1) year after the relevant date of calculation, and</w:t>
      </w:r>
    </w:p>
    <w:p>
      <w:pPr>
        <w:ind w:left="660" w:right="20" w:hanging="4"/>
        <w:spacing w:after="0" w:line="290" w:lineRule="auto"/>
        <w:tabs>
          <w:tab w:leader="none" w:pos="965"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which has a credit rating of A-1 or higher by S&amp;P or P-1 or higher by Moody’s, or, if no rating is available in respect of the commercial paper, the issuer of which has, in respect of its long term unsecured and non-credit enhanced debt obligations, an equivalent rating;</w:t>
      </w:r>
    </w:p>
    <w:p>
      <w:pPr>
        <w:spacing w:after="0" w:line="161" w:lineRule="exact"/>
        <w:rPr>
          <w:rFonts w:ascii="Arial" w:cs="Arial" w:eastAsia="Arial" w:hAnsi="Arial"/>
          <w:sz w:val="17"/>
          <w:szCs w:val="17"/>
          <w:color w:val="auto"/>
        </w:rPr>
      </w:pPr>
    </w:p>
    <w:p>
      <w:pPr>
        <w:jc w:val="both"/>
        <w:ind w:left="660" w:firstLine="644"/>
        <w:spacing w:after="0" w:line="263" w:lineRule="auto"/>
        <w:tabs>
          <w:tab w:leader="none" w:pos="20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certificates of deposit maturing within one (1) year after the relevant date of calculation and issued by a bank or financial institution which has a rating for its long-term unsecured and non credit enhancing debt obligations of BBB+ or higher by S&amp;P or Baa1 or higher by Moody’s;</w:t>
      </w:r>
    </w:p>
    <w:p>
      <w:pPr>
        <w:spacing w:after="0" w:line="183" w:lineRule="exact"/>
        <w:rPr>
          <w:rFonts w:ascii="Arial" w:cs="Arial" w:eastAsia="Arial" w:hAnsi="Arial"/>
          <w:sz w:val="18"/>
          <w:szCs w:val="18"/>
          <w:color w:val="auto"/>
        </w:rPr>
      </w:pPr>
    </w:p>
    <w:p>
      <w:pPr>
        <w:ind w:left="1840" w:hanging="536"/>
        <w:spacing w:after="0"/>
        <w:tabs>
          <w:tab w:leader="none" w:pos="18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repurchase agreements with a term of not more than 30 days for underlying securities of the type described in clauses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660"/>
        <w:spacing w:after="0" w:line="290" w:lineRule="auto"/>
        <w:rPr>
          <w:rFonts w:ascii="Arial" w:cs="Arial" w:eastAsia="Arial" w:hAnsi="Arial"/>
          <w:sz w:val="16"/>
          <w:szCs w:val="16"/>
          <w:color w:val="auto"/>
        </w:rPr>
      </w:pP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definition entered into with any bank or financial institution which has a rating for its long-term unsecured and non credit enhancing debt obligations of BBB+ or higher by S&amp;P or Baa1 or higher by Moody’s or securities dealers of recognized national standing;</w:t>
      </w:r>
    </w:p>
    <w:p>
      <w:pPr>
        <w:spacing w:after="0" w:line="161" w:lineRule="exact"/>
        <w:rPr>
          <w:rFonts w:ascii="Arial" w:cs="Arial" w:eastAsia="Arial" w:hAnsi="Arial"/>
          <w:sz w:val="16"/>
          <w:szCs w:val="16"/>
          <w:color w:val="auto"/>
        </w:rPr>
      </w:pPr>
    </w:p>
    <w:p>
      <w:pPr>
        <w:jc w:val="both"/>
        <w:ind w:left="660" w:firstLine="644"/>
        <w:spacing w:after="0" w:line="263" w:lineRule="auto"/>
        <w:tabs>
          <w:tab w:leader="none" w:pos="19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investment in money market funds which (i) have assets with a credit rating of A-1 or higher by S&amp;P or P-1 or higher by Moody’s, (ii) which invest substantially all their assets in securities of the types described in clauses (b), (d) and (e) above and (iii) can be turned into cash on not more than thirty (30) calendar days’ notice; or</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loan made to an entity which has a credit rating of A+ or higher by S&amp;P or A1 or higher by Moody’s;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each case under clauses (b) through (i), denominated in Dollars or in any other currency which is freely convertible into Dollars and to which the Borrower or any of its Subsidiaries is alone (or together with Borrower or any other Subsidiary) beneficially entitled at that time and which is not issued or guaranteed by Borrower or any of its Subsidiaries or subject to any security (other than the normal security arising in favor of a clearing system due to the relevant investment being held in such clearing system).</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Casualty Event</w:t>
      </w:r>
      <w:r>
        <w:rPr>
          <w:rFonts w:ascii="Arial" w:cs="Arial" w:eastAsia="Arial" w:hAnsi="Arial"/>
          <w:sz w:val="17"/>
          <w:szCs w:val="17"/>
          <w:color w:val="auto"/>
        </w:rPr>
        <w:t>” means any loss, damage, destruction or condemnation of any asset of the Borrower or any of its Subsidiaries.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within the meaning of section 957 of the Code.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Debt</w:t>
      </w:r>
      <w:r>
        <w:rPr>
          <w:rFonts w:ascii="Arial" w:cs="Arial" w:eastAsia="Arial" w:hAnsi="Arial"/>
          <w:sz w:val="18"/>
          <w:szCs w:val="18"/>
          <w:color w:val="auto"/>
        </w:rPr>
        <w:t>” means, with respect to any Person, any Indebtedness or accounts receivable that is owed, or treated as owed for United States federal income tax purposes, by any CFC to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each as in effect on the Effective Date) of Equity Interests representing more than 50% of the aggregate ordinary voting power represented by the issued and outstanding Equity Interests of the Borrower or (b) within any period of 24 consecutive months, occupation of a majority of the seats (other than vacant seats) on the board of directors of the Borrower other than by individuals who were (i) directors at the beginning of such period, (ii) nominated or approved by the board of directors of the Borrower or</w:t>
      </w:r>
    </w:p>
    <w:p>
      <w:pPr>
        <w:spacing w:after="0" w:line="2" w:lineRule="exact"/>
        <w:rPr>
          <w:sz w:val="20"/>
          <w:szCs w:val="20"/>
          <w:color w:val="auto"/>
        </w:rPr>
      </w:pPr>
    </w:p>
    <w:p>
      <w:pPr>
        <w:jc w:val="both"/>
        <w:ind w:firstLine="8"/>
        <w:spacing w:after="0" w:line="277" w:lineRule="auto"/>
        <w:tabs>
          <w:tab w:leader="none" w:pos="344" w:val="left"/>
        </w:tabs>
        <w:numPr>
          <w:ilvl w:val="0"/>
          <w:numId w:val="62"/>
        </w:numPr>
        <w:rPr>
          <w:rFonts w:ascii="Arial" w:cs="Arial" w:eastAsia="Arial" w:hAnsi="Arial"/>
          <w:sz w:val="17"/>
          <w:szCs w:val="17"/>
          <w:color w:val="auto"/>
        </w:rPr>
      </w:pPr>
      <w:r>
        <w:rPr>
          <w:rFonts w:ascii="Arial" w:cs="Arial" w:eastAsia="Arial" w:hAnsi="Arial"/>
          <w:sz w:val="17"/>
          <w:szCs w:val="17"/>
          <w:color w:val="auto"/>
        </w:rPr>
        <w:t>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w:t>
      </w:r>
    </w:p>
    <w:p>
      <w:pPr>
        <w:spacing w:after="0" w:line="17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all conditions precedent in Section 4.02 are satisfied or waived in accordance with Section 9.02 and the Loans are funded under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Collaboration Arrangement</w:t>
      </w:r>
      <w:r>
        <w:rPr>
          <w:rFonts w:ascii="Arial" w:cs="Arial" w:eastAsia="Arial" w:hAnsi="Arial"/>
          <w:sz w:val="18"/>
          <w:szCs w:val="18"/>
          <w:color w:val="auto"/>
        </w:rPr>
        <w:t>” means any license, sublicense, lease, sublease, collaboration agreement or other profit-loss sharing arrangement relating to the discovery, research, development, manufacture or commercialization of any drug, product line or service.</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commitment of such Lender to make a Loan to the Borrower on the Closing Date, as such commitment may be reduced, terminated or increased from time to time in accordance with the terms of this Agreement. The initial amount of each Lender’s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or in the Assignment and Assumption or record (as such term is defined in Section 9-102(a)</w:t>
      </w:r>
    </w:p>
    <w:p>
      <w:pPr>
        <w:spacing w:after="0" w:line="2" w:lineRule="exact"/>
        <w:rPr>
          <w:sz w:val="20"/>
          <w:szCs w:val="20"/>
          <w:color w:val="auto"/>
        </w:rPr>
      </w:pPr>
    </w:p>
    <w:p>
      <w:pPr>
        <w:jc w:val="both"/>
        <w:ind w:right="20" w:firstLine="8"/>
        <w:spacing w:after="0" w:line="255" w:lineRule="auto"/>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of the New York Uniform Commercial Code) as provided in Section 9.04(b)(ii)(C) or other documentation contemplated hereby pursuant to which such Lender shall have assumed its Commitment, as applicable. As of the Effective Date, the aggregate principal amount of the Commitments of all Lenders is $1,500,000,000.</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Time</w:t>
      </w:r>
      <w:r>
        <w:rPr>
          <w:rFonts w:ascii="Arial" w:cs="Arial" w:eastAsia="Arial" w:hAnsi="Arial"/>
          <w:sz w:val="18"/>
          <w:szCs w:val="18"/>
          <w:color w:val="auto"/>
        </w:rPr>
        <w:t>” means 11:59 p.m. (New York City time) on June 1, 2020.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successor statute.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Section 8.02(c), including through an Approved Electronic Platform.</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with reference to any period and without duplication, an amount equal to (a)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to the extent deducted in determining Consolidated Net Income, (i) Consolidated Interest Expense, (ii) income tax expenses, (iii) depreciation,</w:t>
      </w:r>
    </w:p>
    <w:p>
      <w:pPr>
        <w:jc w:val="both"/>
        <w:ind w:firstLine="8"/>
        <w:spacing w:after="0" w:line="281" w:lineRule="auto"/>
        <w:tabs>
          <w:tab w:leader="none" w:pos="3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$75,000,000 during any such period, (vii) losses due to fluctuations in currency exchange rates, (viii) unrealized losses under Swap Agreements, (ix) net after-tax losses (including all fees and expenses or charges relating thereto) on any sale or disposition of any asset of the Borrower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mergers, joint ventures, Collaboration Arrangements, other investments, sales or dispositions of assets, incurrence of indebtedness and issuance of Equity Interests or other securities by the Borrower or any of its Subsidiaries, in each case, to the extent incurred within twelve (12) months of the completion or abandonment (as applicable) of such transactions and so long as such transactions are not prohibited under the Loan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Borrower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(xv) unrealized non-cash losses arising from the revaluation of equity securities, and (xvi) Milestone Payments and one-time Upfront Payments,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to the extent included in Consolidated Net Income, (1) interest income, (2) income tax credits and refunds (to the extent not netted from income tax expense), (3) any cash payments made during such period in respect of items described in clauses (v) or (xi) above subsequent to the fiscal quarter in which the relevant non-cash expenses or losses were incurred, (4) non-cash or extraordinary, unusual or non-recurring income or gains, (5) gains due to fluctuations in currency exchange rates,</w:t>
      </w:r>
    </w:p>
    <w:p>
      <w:pPr>
        <w:spacing w:after="0" w:line="12"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color w:val="auto"/>
        </w:rPr>
        <w:t>(6) unrealized gains under Swap Agreements, (7) net after-tax gains (less all fees and expenses or charges relating thereto) on any sale or disposition of any asset of the Borrower or any of its Subsidiaries outside of the ordinary course of business and net after-tax gains from discontinued operations (without reduction on account of any amounts added back in clause (b)(ii) of this definition), (8) any net after-tax gains (less and fees and expenses or charges related thereto) on the retirement or extinguishment of debt and (9) unrealized non-cash gains arising from the revaluation of equity securities, all calculated for the Borrower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by the Borrower or any Subsidiary that (a) constitutes (i) assets comprising all or substantially all or any significant portion of a business or operating unit of a business, or (ii) all or substantially all of the common stock or other Equity Interests of a Person, and (b) involves the payment of consideration by the Borrower and its Subsidiaries in excess of $25,000,000 (calculated to include the aggregate amount of Indebtedness assumed in connection with such acquisition);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of the Borrower or any Subsidiary or series of related sales, transfers, or dispositions of property of the Borrower or such Subsidiary (other than any Exclusive License or transactions between or among any of the Loan Parties or any of their Subsidiaries (or any combination thereof)) that yields gross cash proceeds to the Borrower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excess of (a) the interest expense (including without limitation interest expense under Capital Lease Obligations that is treated as interest in accordance with GAAP) of the Borrower and its Subsidiaries calculated on a consolidated basis for such period with respect to all outstanding Indebtedness of the Borrower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Section 2.16, and (iv) any interest expense in respect of any Operating Lease, including any interest, yield, rent or break funding payment (or similar obligations) paid or payable pursuant to any Corporate Campus Facility Financing Documents. In the event that the Borrower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any income (or loss) of any Person other than the Borrower or a Subsidiary, but any such income so excluded may be included in such period or any later period to the extent of any dividends, distributions or other payments actually paid in cash (or to the extent converted into cash) in the relevant period to the Borrower or any wholly-owned Subsidiary of the Borrower.</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as of the date of any determination thereof, the consolidated stockholders’ equity of the Borrower and its Subsidiaries calculated on a consolidated basis in accordance with GAAP.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date the sum, without duplication, of (a) the aggregate Indebtedness of the Borrower and its Subsidiaries (other than intercompany Indebtedness among the Borrower and its Subsidiaries) that is of a type that would be reflected on a consolidated balance sheet of the Borrower prepared as of such date in accordance with GAAP, (b) the aggregate amount of Indebtedness of the Borrower and its Subsidiaries constituting drawn and unreimbursed amounts under all letters of credit, bankers acceptances, bank guarantees and letters of guaranty issued by banks or other financial institutions for the account of the Borrower or any Subsidiary and (c) Indebtedness of the type referred to in clauses (a) or</w:t>
      </w:r>
    </w:p>
    <w:p>
      <w:pPr>
        <w:spacing w:after="0" w:line="2" w:lineRule="exact"/>
        <w:rPr>
          <w:sz w:val="20"/>
          <w:szCs w:val="20"/>
          <w:color w:val="auto"/>
        </w:rPr>
      </w:pPr>
    </w:p>
    <w:p>
      <w:pPr>
        <w:jc w:val="both"/>
        <w:ind w:firstLine="8"/>
        <w:spacing w:after="0" w:line="271" w:lineRule="auto"/>
        <w:tabs>
          <w:tab w:leader="none" w:pos="257" w:val="left"/>
        </w:tabs>
        <w:numPr>
          <w:ilvl w:val="0"/>
          <w:numId w:val="65"/>
        </w:numPr>
        <w:rPr>
          <w:rFonts w:ascii="Arial" w:cs="Arial" w:eastAsia="Arial" w:hAnsi="Arial"/>
          <w:sz w:val="17"/>
          <w:szCs w:val="17"/>
          <w:color w:val="auto"/>
        </w:rPr>
      </w:pPr>
      <w:r>
        <w:rPr>
          <w:rFonts w:ascii="Arial" w:cs="Arial" w:eastAsia="Arial" w:hAnsi="Arial"/>
          <w:sz w:val="17"/>
          <w:szCs w:val="17"/>
          <w:color w:val="auto"/>
        </w:rPr>
        <w:t>hereof of another Person (other than the Borrower or any Subsidiary) guaranteed by the Borrower or any of its Subsidiaries; provided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Borrower or any Subsidiary and (ii) shall be subject, in all respects, to the limitations and exclusions set forth in the definition of Indebtedness, including as to the calculation of the amount of any limited recourse guarantee under clause (c) above.</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Related Party</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Campus Facility</w:t>
      </w:r>
      <w:r>
        <w:rPr>
          <w:rFonts w:ascii="Arial" w:cs="Arial" w:eastAsia="Arial" w:hAnsi="Arial"/>
          <w:sz w:val="17"/>
          <w:szCs w:val="17"/>
          <w:color w:val="auto"/>
        </w:rPr>
        <w:t>” means the Borrower’s corporate headquarters and other rentable area consisting of approximately 150 acres of predominately office buildings and laboratory space located in the towns of Mount Pleasant and Greenburgh, New York, acquired by the Borrower pursuant to the Corporate Campus Facility Purchase Agreement, together with assets related thereto, improvements thereon, replacements and products thereof, additions and accessions thereto or proceeds from the disposition of such property or assets and customary security deposits.</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Documents</w:t>
      </w:r>
      <w:r>
        <w:rPr>
          <w:rFonts w:ascii="Arial" w:cs="Arial" w:eastAsia="Arial" w:hAnsi="Arial"/>
          <w:sz w:val="18"/>
          <w:szCs w:val="18"/>
          <w:color w:val="auto"/>
        </w:rPr>
        <w:t>” means the definitive documentation to which the Borrower and/or any Subsidiary is a party governing or otherwise evidencing the Corporate Campus Facility Lease Financing (including, if applicable, any participation agreement, lease agreement, other finance documents, related security documents and similar or related agreements or documents), in each case, as amended, restated, supplemented, modified, extended, refinanced, renewed or replaced from time to time.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Financing Obligations</w:t>
      </w:r>
      <w:r>
        <w:rPr>
          <w:rFonts w:ascii="Arial" w:cs="Arial" w:eastAsia="Arial" w:hAnsi="Arial"/>
          <w:sz w:val="18"/>
          <w:szCs w:val="18"/>
          <w:color w:val="auto"/>
        </w:rPr>
        <w:t>” means all obligations (monetary or otherwise) of the Borrower and any of its Subsidiaries arising under or in connection with any of the Corporate Campus Facility Financing Documents.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Lease Financing</w:t>
      </w:r>
      <w:r>
        <w:rPr>
          <w:rFonts w:ascii="Arial" w:cs="Arial" w:eastAsia="Arial" w:hAnsi="Arial"/>
          <w:sz w:val="18"/>
          <w:szCs w:val="18"/>
          <w:color w:val="auto"/>
        </w:rPr>
        <w:t>” means the financing of the Borrower’s acquisition of the Corporate Campus Facility pursuant to the Corporate Campus Facility Financing Documents, as such financing may be amended, restated, supplemented, modified, extended, refinanced, renewed or replaced from time to time.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Campus Facility Purchase Agreement</w:t>
      </w:r>
      <w:r>
        <w:rPr>
          <w:rFonts w:ascii="Arial" w:cs="Arial" w:eastAsia="Arial" w:hAnsi="Arial"/>
          <w:sz w:val="18"/>
          <w:szCs w:val="18"/>
          <w:color w:val="auto"/>
        </w:rPr>
        <w:t>” means that certain Purchase Agreement, dated as of December 30, 2016, among BMR-Landmark at Eastview LLC and BMR-Landmark at Eastview IV LLC, as the sellers, and the Borrower, as the buyer, as amended, restated, supplemented or otherwise modified from time to time.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or any other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means the borrowing, issuance or other incurrence of Indebtedness for borrowed money (including hybrid securities and debt securities convertible into equity), in each case, by the Borrower or its Subsidiaries, except Excluded Debt.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within two (2) Business Days of the date required to be funded or paid, to</w:t>
      </w:r>
    </w:p>
    <w:p>
      <w:pPr>
        <w:spacing w:after="0" w:line="35" w:lineRule="exact"/>
        <w:rPr>
          <w:sz w:val="20"/>
          <w:szCs w:val="20"/>
          <w:color w:val="auto"/>
        </w:rPr>
      </w:pPr>
    </w:p>
    <w:p>
      <w:pPr>
        <w:jc w:val="both"/>
        <w:ind w:firstLine="8"/>
        <w:spacing w:after="0" w:line="281" w:lineRule="auto"/>
        <w:tabs>
          <w:tab w:leader="none" w:pos="223" w:val="left"/>
        </w:tabs>
        <w:numPr>
          <w:ilvl w:val="0"/>
          <w:numId w:val="66"/>
        </w:numPr>
        <w:rPr>
          <w:rFonts w:ascii="Arial" w:cs="Arial" w:eastAsia="Arial" w:hAnsi="Arial"/>
          <w:sz w:val="16"/>
          <w:szCs w:val="16"/>
          <w:color w:val="auto"/>
        </w:rPr>
      </w:pPr>
      <w:r>
        <w:rPr>
          <w:rFonts w:ascii="Arial" w:cs="Arial" w:eastAsia="Arial" w:hAnsi="Arial"/>
          <w:sz w:val="16"/>
          <w:szCs w:val="16"/>
          <w:color w:val="auto"/>
        </w:rPr>
        <w:t>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w:t>
      </w:r>
    </w:p>
    <w:p>
      <w:pPr>
        <w:spacing w:after="0" w:line="5" w:lineRule="exact"/>
        <w:rPr>
          <w:rFonts w:ascii="Arial" w:cs="Arial" w:eastAsia="Arial" w:hAnsi="Arial"/>
          <w:sz w:val="16"/>
          <w:szCs w:val="16"/>
          <w:color w:val="auto"/>
        </w:rPr>
      </w:pPr>
    </w:p>
    <w:p>
      <w:pPr>
        <w:ind w:firstLine="8"/>
        <w:spacing w:after="0" w:line="290" w:lineRule="auto"/>
        <w:tabs>
          <w:tab w:leader="none" w:pos="259" w:val="left"/>
        </w:tabs>
        <w:numPr>
          <w:ilvl w:val="0"/>
          <w:numId w:val="67"/>
        </w:numPr>
        <w:rPr>
          <w:rFonts w:ascii="Arial" w:cs="Arial" w:eastAsia="Arial" w:hAnsi="Arial"/>
          <w:sz w:val="17"/>
          <w:szCs w:val="17"/>
          <w:color w:val="auto"/>
        </w:rPr>
      </w:pPr>
      <w:r>
        <w:rPr>
          <w:rFonts w:ascii="Arial" w:cs="Arial" w:eastAsia="Arial" w:hAnsi="Arial"/>
          <w:sz w:val="17"/>
          <w:szCs w:val="17"/>
          <w:color w:val="auto"/>
        </w:rPr>
        <w:t>upon such Credit Party’s receipt of such certification in form and substance satisfactory to it and the Administrative Agent or (d) (i) has become the subject of a Bankruptcy Event or (ii) has become subject to a Bail-In Action or has a parent company that has become subject to a Bail-In Action.</w:t>
      </w:r>
    </w:p>
    <w:p>
      <w:pPr>
        <w:spacing w:after="0" w:line="16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any event, circumstance, condition or other matter disclosed in the reports and other documents furnished to or filed with the SEC by the Borrower or posted by the Borrower on http://www.regeneron.com or https://investor.regeneron.com, in any such case, that are publicly available on or prior to the Effective Date.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any Person and transaction, a member of the board of directors (or similar governing body) of such 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Disregarded Entity</w:t>
      </w:r>
      <w:r>
        <w:rPr>
          <w:rFonts w:ascii="Arial" w:cs="Arial" w:eastAsia="Arial" w:hAnsi="Arial"/>
          <w:sz w:val="16"/>
          <w:szCs w:val="16"/>
          <w:color w:val="auto"/>
        </w:rPr>
        <w:t>” means any entity treated as disregarded as an entity separate from its owner under Treasury Regulations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301.7701-3.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Foreign Holdco Subsidiary</w:t>
      </w:r>
      <w:r>
        <w:rPr>
          <w:rFonts w:ascii="Arial" w:cs="Arial" w:eastAsia="Arial" w:hAnsi="Arial"/>
          <w:sz w:val="16"/>
          <w:szCs w:val="16"/>
          <w:color w:val="auto"/>
        </w:rPr>
        <w:t>” means a Domestic Subsidiary (a) substantially all of the assets of which consist of the Equity Interests of one or more CFCs and, if any, CFC Debt or (b) that is a Disregarded Entity that holds no material assets other than Equity Interests of one or more CFCs and, if any, CFC Debt, in the case of clause (a) above, so long as such Domestic Subsidiary (i) does not conduct any substantial business or activities other than the ownership of such Equity Interests and, if any, CFC Debt (except for immaterial assets and activities reasonably related or ancillary thereto) and (ii) does not incur, and is not otherwise liable for, any material Indebtedness or other material liabilities (other than intercompany indebtedness permitted pursuant to Section 6.01(c) and, if such Domestic Subsidiary is a Borrower hereunder, Indebtedness permitted pursuant to Section 6.01(a)).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Acquisition</w:t>
      </w:r>
      <w:r>
        <w:rPr>
          <w:rFonts w:ascii="Arial" w:cs="Arial" w:eastAsia="Arial" w:hAnsi="Arial"/>
          <w:sz w:val="18"/>
          <w:szCs w:val="18"/>
          <w:color w:val="auto"/>
        </w:rPr>
        <w:t>” means any acquisition (including any license or any acquisition of any license) solely or primarily of all or any portion of the rights in respect of one or more drugs or pharmaceutical products, whether in development or on the market (including related intellectual property), but not of Equity Interests in any Person or any operating business unit.</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060" w:right="100" w:hanging="323"/>
        <w:spacing w:after="0" w:line="279"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this Section titled “Effect of Benchmark Transition Event,” are being executed or amended, as applicable, to incorporate or adopt a new benchmark interest rate to replace the LIBO Rate, and</w:t>
      </w:r>
    </w:p>
    <w:p>
      <w:pPr>
        <w:spacing w:after="0" w:line="171" w:lineRule="exact"/>
        <w:rPr>
          <w:rFonts w:ascii="Arial" w:cs="Arial" w:eastAsia="Arial" w:hAnsi="Arial"/>
          <w:sz w:val="17"/>
          <w:szCs w:val="17"/>
          <w:color w:val="auto"/>
        </w:rPr>
      </w:pPr>
    </w:p>
    <w:p>
      <w:pPr>
        <w:jc w:val="both"/>
        <w:ind w:left="1060" w:right="100" w:hanging="323"/>
        <w:spacing w:after="0" w:line="263"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9.02).</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 binding orders, decrees, judgments, injunctions, written notices or agreements issued, promulgated or entered into by any Governmental Authority, relating to pollution or protection of the environment, preservation or reclamation of natural resources, the management, release or threatened release of any Hazardous Material, or to the protection of human health and safety in respect of Hazardous Materials.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Issuance</w:t>
      </w:r>
      <w:r>
        <w:rPr>
          <w:rFonts w:ascii="Arial" w:cs="Arial" w:eastAsia="Arial" w:hAnsi="Arial"/>
          <w:sz w:val="18"/>
          <w:szCs w:val="18"/>
          <w:color w:val="auto"/>
        </w:rPr>
        <w:t>” means the issuance of any Equity Interest (including equity-linked securities) of the Borrower or any of its Subsidiaries to any Person, except any Excluded Equity Issuance.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written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written notice, or the receipt by any Multiemployer Plan from the Borrower or any ERISA Affiliate of any written notice, concerning the imposition upon the Borrower or any of its ERISA Affiliates of Withdrawal Liability or a determination that a Multiemployer Plan is, or is expected to be, insolvent within the meaning of Title IV of ERISA, or in endangered or critical status (within the meaning of Section 432 of the Code or Section 305 of ERISA).</w:t>
      </w:r>
    </w:p>
    <w:p>
      <w:pPr>
        <w:spacing w:after="0" w:line="17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means that such Loan, bears interest at a rate determined by reference to the Adjusted LIBO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 Sale</w:t>
      </w:r>
      <w:r>
        <w:rPr>
          <w:rFonts w:ascii="Arial" w:cs="Arial" w:eastAsia="Arial" w:hAnsi="Arial"/>
          <w:sz w:val="17"/>
          <w:szCs w:val="17"/>
          <w:color w:val="auto"/>
        </w:rPr>
        <w:t>” means (a) sales, transfers, leases or other dispositions in the ordinary course of business, (b) sales, transfers, leases or other dispositions among the Borrower and/or its Subsidiaries, (c) any Collaboration Arrangement, (d) sales of Margin Stock pursuant to Section 6.03(a) (x) and (e) other Asset Sales the Net Cash Proceeds of which do not exceed $100,000,000 in the aggregate.</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Debt</w:t>
      </w:r>
      <w:r>
        <w:rPr>
          <w:rFonts w:ascii="Arial" w:cs="Arial" w:eastAsia="Arial" w:hAnsi="Arial"/>
          <w:sz w:val="16"/>
          <w:szCs w:val="16"/>
          <w:color w:val="auto"/>
        </w:rPr>
        <w:t>” means (a) Indebtedness between or among the Borrower and/or any of its Subsidiaries, (b) Indebtedness under the Existing Credit Agreement, including any amendment, restatement, amendment and restatement, extension or replacement thereof, in an aggregate principal amount not to exceed $750,000,000, (c) Indebtedness incurred in the ordinary course of business in respect of each of the following: trade or customer related financing, deferred purchase price programs, purchase money and equipment financings, capital leases, and Banking Services Obligations,</w:t>
      </w:r>
    </w:p>
    <w:p>
      <w:pPr>
        <w:spacing w:after="0" w:line="1" w:lineRule="exact"/>
        <w:rPr>
          <w:sz w:val="20"/>
          <w:szCs w:val="20"/>
          <w:color w:val="auto"/>
        </w:rPr>
      </w:pPr>
    </w:p>
    <w:p>
      <w:pPr>
        <w:jc w:val="both"/>
        <w:ind w:firstLine="8"/>
        <w:spacing w:after="0" w:line="255" w:lineRule="auto"/>
        <w:tabs>
          <w:tab w:leader="none" w:pos="261" w:val="left"/>
        </w:tabs>
        <w:numPr>
          <w:ilvl w:val="0"/>
          <w:numId w:val="69"/>
        </w:numPr>
        <w:rPr>
          <w:rFonts w:ascii="Arial" w:cs="Arial" w:eastAsia="Arial" w:hAnsi="Arial"/>
          <w:sz w:val="18"/>
          <w:szCs w:val="18"/>
          <w:color w:val="auto"/>
        </w:rPr>
      </w:pPr>
      <w:r>
        <w:rPr>
          <w:rFonts w:ascii="Arial" w:cs="Arial" w:eastAsia="Arial" w:hAnsi="Arial"/>
          <w:sz w:val="18"/>
          <w:szCs w:val="18"/>
          <w:color w:val="auto"/>
        </w:rPr>
        <w:t>bilateral credit lines of Subsidiaries organized under the laws of a jurisdiction outside of the United States, (e) letters of credit, bank guarantees, letters of guaranty, similar instruments and facilities for the foregoing, and (f) other Indebtedness (except other Indebtedness incurred to finance the Transactions) in an aggregate principal amount not to exceed $100,000,000.</w:t>
      </w:r>
    </w:p>
    <w:p>
      <w:pPr>
        <w:spacing w:after="0" w:line="190"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Equity Issuance</w:t>
      </w:r>
      <w:r>
        <w:rPr>
          <w:rFonts w:ascii="Arial" w:cs="Arial" w:eastAsia="Arial" w:hAnsi="Arial"/>
          <w:sz w:val="16"/>
          <w:szCs w:val="16"/>
          <w:color w:val="auto"/>
        </w:rPr>
        <w:t>” means Equity Issuances (a) pursuant to any employee equity compensation plan or agreement or other employee equity compensation arrangement, any employee benefit plan or agreement or other employee benefit arrangement or any non-employee director equity compensation plan or agreement or other non-employee director equity compensation arrangement or pursuant to the exercise or vesting of any employee or director stock options, restricted stock units, warrants or other equity awards, (b) securities or interests issued or transferred directly (and not constituting cash proceeds of any issuance of such securities or interests) as consideration in connection with any acquisition, divestiture or joint venture arrangement, (c) to or by any Subsidiary of the Borrower to the Borrower or any other Subsidiary of the Borrower, (d) of directors’ qualifying shares and shares issued to foreign nationals to the extent required by applicable law, (e) shares held by a Person on trust for, or otherwise where the beneficial interest is held by, the Borrower (directly or indirectly) and (f) direct stock purchase and dividend reinvestment plans.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any Domestic Foreign Holdco Subsidiary, (b) any Domestic Subsidiary whose Equity Interests are owned directly or indirectly by a CFC, (c) any Subsidiary that is prohibited by applicable law or contractual obligations (other than any contractual obligation in favor of the Borrower or any of its Subsidiaries) existing on the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and (d) any captive insurance company.</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(including a Participant treated as a Lender pursuant to Section 9.04(c)),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withholding Taxes imposed under FATCA.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Exclusive License</w:t>
      </w:r>
      <w:r>
        <w:rPr>
          <w:rFonts w:ascii="Arial" w:cs="Arial" w:eastAsia="Arial" w:hAnsi="Arial"/>
          <w:sz w:val="18"/>
          <w:szCs w:val="18"/>
          <w:color w:val="auto"/>
        </w:rPr>
        <w:t>” means any license to develop and commercialize a drug or other product line of any Person with a term greater than five (5) years and made on an exclusive basis.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December 14, 2018, among the Borrower, as borrower, the subsidiary borrowers (as defined therein) party thereto, the lenders from time to time party thereto and JPMorgan Chase Bank, N.A., as administrative agent, as amended, restated, supplemented or otherwise modified prior to the Effective Date.</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assistant treasurer, senior vice president-finance or controller of the Borrower.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of the Borrower and its consolidated Subsidiaries required to be delivered pursuant to Section 5.01(a) or 5.01(b) and accompanying certificates required to be delivered pursuant to Section 5.01(c).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w:t>
      </w:r>
    </w:p>
    <w:p>
      <w:pPr>
        <w:spacing w:after="0" w:line="1" w:lineRule="exact"/>
        <w:rPr>
          <w:sz w:val="20"/>
          <w:szCs w:val="20"/>
          <w:color w:val="auto"/>
        </w:rPr>
      </w:pPr>
    </w:p>
    <w:p>
      <w:pPr>
        <w:jc w:val="both"/>
        <w:ind w:firstLine="8"/>
        <w:spacing w:after="0" w:line="286" w:lineRule="auto"/>
        <w:tabs>
          <w:tab w:leader="none" w:pos="276"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Borrower in good faith.</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 and applicable accounting requirements (as issued by the International Accounting Standards Board and the International Financial Reporting Standards Interpretations Committee and/or adopted by the European Union) or other generally accepted accounting principles applicable to a Person in a particular country.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Borrower’s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w:t>
      </w:r>
    </w:p>
    <w:p>
      <w:pPr>
        <w:jc w:val="both"/>
        <w:ind w:firstLine="8"/>
        <w:spacing w:after="0" w:line="287" w:lineRule="auto"/>
        <w:tabs>
          <w:tab w:leader="none" w:pos="2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 (vi) all obligations of such Person arising under any Tax Abatement Transaction, (vii) the Corporate Campus Facility Financing Obligations and (viii) all obligations of such Person under or relating to any Operating Lease.</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specified in Section 9.03(b).</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Borrower that is not guaranteed by any other person or entity or subject to any other credit enhancement.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Section 2.08, which shall be substantially in the form attached hereto as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day of each March, June, September and December and the Maturity Date and (b) with respect to any Eurocurrency Loan, the last day of the Interest Period applicable to the Loan and, in the case of a Eurocurrency Loan with an Interest Period of more than three months’ duration, each day prior to the last day of such Interest Period that occurs at intervals of three months’ duration after the first day of such Interest Period and the Maturity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(or, if reasonably satisfactory to the Administrative Agent and each of the Lenders, such other period) thereafter,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xml:space="preserve">” means, at any time, for any Interest Period, the rate per annum determined by the Administrative Agent (which determination shall be conclusive and binding absent manifest error) to be equal to the rate that results from interpolating on a linear basis between: (a) the LIBOR Screen Rate for the longest period that is shorter than the Impacted Interest Period and (b) the LIBOR Screen Rate for the shortest period that exceeds the Impacted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Interpolated Rate shall be less than zero, such rate shall be deemed to be zero for purposes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Parent</w:t>
      </w:r>
      <w:r>
        <w:rPr>
          <w:rFonts w:ascii="Arial" w:cs="Arial" w:eastAsia="Arial" w:hAnsi="Arial"/>
          <w:sz w:val="17"/>
          <w:szCs w:val="17"/>
          <w:color w:val="auto"/>
        </w:rPr>
        <w:t>” means, with respect to any Lender, any Person as to which such Lender is, directly or indirectly, a subsidiary.</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2.19 or 2.20 or pursuant to an Assignment and Assumption or other documentation contemplated hereby, other than any such Person that ceases to be a party hereto pursuant to an Assignment and Assumption or other documentation contemplated hereby.</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for any date and time, with respect to any Eurocurrency Borrowing for any applicable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as shall be selected by the Administrative Agent from time to time in its reasonable discretion (in each case the “</w:t>
      </w:r>
      <w:r>
        <w:rPr>
          <w:rFonts w:ascii="Arial" w:cs="Arial" w:eastAsia="Arial" w:hAnsi="Arial"/>
          <w:sz w:val="17"/>
          <w:szCs w:val="17"/>
          <w:u w:val="single" w:color="auto"/>
          <w:color w:val="auto"/>
        </w:rPr>
        <w:t>LIBOR Screen Rate</w:t>
      </w:r>
      <w:r>
        <w:rPr>
          <w:rFonts w:ascii="Arial" w:cs="Arial" w:eastAsia="Arial" w:hAnsi="Arial"/>
          <w:sz w:val="17"/>
          <w:szCs w:val="17"/>
          <w:color w:val="auto"/>
        </w:rPr>
        <w:t xml:space="preserve">”) at approximately 11:00 a.m., London time, on the date two Business Days prior to the first day of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LIBOR Screen Rate as so determined would be less than 0.75%, such rate shall be deemed to be 0.75% for the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 LIBOR Screen Rate shall not be available at such time for such Interest Period (the “</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xml:space="preserve">”), then the LIBO Rate for such Interest Period shall be the Interpolated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Interpolated Rate shall be less than 0.75%, such rate shall be deemed to be 0.75% for the purposes of this Agreement. It is understood and agreed that all of the terms and conditions of this definition of “LIBO Rate” shall be subject to Section 2.14.</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to such term in the definition of “LIBO Rate”.</w:t>
      </w:r>
    </w:p>
    <w:p>
      <w:pPr>
        <w:spacing w:after="0" w:line="225"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Subsidiary Guaranty and any promissory notes issued pursuant to Section 2.10(e) of this Agreement.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results of operations or financial condition of the Borrower and the Subsidiaries taken as a whole, (b) the ability of (i) the Borrower to perform its payment obligations under this Agreement or (ii) the Loan Parties (taken as a whole) to perform their payment obligations under the Loan Documents (taken as a whole) or (c) the material rights or remedies of the Administrative Agent and the Lenders under the Loan Documents (taken as a whole).</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(other than the Loans and other than any intercompany indebtedness), or obligations in respect of one or more Swap Agreements, of any one or more of the Borrower or any Material Subsidiary in an aggregate principal amount exceeding $100,000,000. For purposes of determining Material Indebtedness, the “principal amount” of the obligations of the Borrower or any Material Subsidiary in respect of any Swap Agreement at any time shall be the maximum aggregate amount (giving effect to any netting agreements) that the Borrower or such Material Subsidiary would be required to pay if such Swap Agreement were terminated at such time.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means each Material Subsidiary that is a Domestic Subsidiary and not an Excluded Subsidiary.</w:t>
      </w:r>
    </w:p>
    <w:p>
      <w:pPr>
        <w:spacing w:after="0" w:line="23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at any time of determination, each wholly-owned Subsidiary which, as of the most recent fiscal year of the Borrower, for the period of four consecutive fiscal quarters then ended, for which financial statements have been delivered pursuant to Section 5.01(a) (or, prior to the delivery of any such financial statements, the last fiscal year of the Borrower included in the financial statements referred to in Section 3.04(a)), contributed greater than ten percent (10%) of Consolidated EBITDA for such period; provided that, other than for purposes of </w:t>
      </w:r>
      <w:r>
        <w:rPr>
          <w:rFonts w:ascii="Arial" w:cs="Arial" w:eastAsia="Arial" w:hAnsi="Arial"/>
          <w:sz w:val="18"/>
          <w:szCs w:val="18"/>
          <w:u w:val="single" w:color="auto"/>
          <w:color w:val="auto"/>
        </w:rPr>
        <w:t>Section 5.09(a)</w:t>
      </w:r>
      <w:r>
        <w:rPr>
          <w:rFonts w:ascii="Arial" w:cs="Arial" w:eastAsia="Arial" w:hAnsi="Arial"/>
          <w:sz w:val="18"/>
          <w:szCs w:val="18"/>
          <w:color w:val="auto"/>
        </w:rPr>
        <w:t>, each “Subsidiary Borrower” under the Existing Credit Agreement shall be deemed a “Material Subsidiary” hereunder for so long as such Subsidiary remains a “Subsidiary Borrower” thereunder.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date that is 364 days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9.15.</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Payments</w:t>
      </w:r>
      <w:r>
        <w:rPr>
          <w:rFonts w:ascii="Arial" w:cs="Arial" w:eastAsia="Arial" w:hAnsi="Arial"/>
          <w:sz w:val="18"/>
          <w:szCs w:val="18"/>
          <w:color w:val="auto"/>
        </w:rPr>
        <w:t>” means payments based on the achievement of specified revenue, profit or other performance targets (financial or otherwise), in any such case, that are made pursuant to contractual arrangements during the period of twelve months ending on the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jc w:val="both"/>
        <w:ind w:firstLine="1385"/>
        <w:spacing w:after="0" w:line="267" w:lineRule="auto"/>
        <w:tabs>
          <w:tab w:leader="none" w:pos="2202"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 respect to any Asset Sale, the aggregate amount of all cash (which term, for the purpose of this definition, shall include Cash Equivalents) proceeds (including any cash or proceeds of Cash Equivalents received by way of deferred payment of principal pursuant to a note or installment receivable or purchase price adjustment or otherwise, but only as and when received) actually received in respect of such Asset Sale, including property insurance or condemnation proceeds paid on account of any Casualty Event, net of (i) all reasonable attorneys’ fees, accountants’ fees, brokerage, consultant and other customary fees and commissions, title and recording tax expenses and other reasonable fees and expenses incurred in connection therewith, (ii) all Taxes paid or reasonably estimated to be payable as a result thereof (including taxes resulting from the repatriation of such cash proceeds from a Subsidiary organized outside of the United States), (iii) all payments required to be made, with respect to any obligation that is secured by any assets subject to such Asset Sale in accordance with the terms of any Lien upon such assets, (iv) all distributions and other payments required to be made to minority interest holders in Subsidiaries or joint ventures as a result of such Asset Sale, or to any other Person (other than the Borrower or any of its Subsidiaries) owning a beneficial interest in the assets disposed of in such Asset Sale, (v) the amount of any reserves established by the Borrower or any of its Subsidiaries in accordance with generally accepted accounting principles to fund purchase price or similar adjustments, indemnities or liabilities, contingent or otherwise, reasonably estimated to be payable in connection with such Asset Sale (provided, that to the extent and at the time any such amounts are released from such reserve, such amounts shall constitute Net Cash Proceeds), (vi) any funded escrow established pursuant to the documents evidencing any such Asset Sale to secure any indemnification obligations or adjustments to the purchase price associated with any such Asset Sale (provided, that to the extent that any amounts are released from such escrow to the Borrower or a Subsidiary, such amounts net of any related expenses shall constitute Net Cash Proceeds) and (vii) any cash proceeds arising from an Asset Sale by a Subsidiary organized outside of the United States to the extent that (x) the repatriation thereof would be unlawful, as reasonably determined by the Borrower or (y) material adverse tax consequences would result from the repatriation thereof; and</w:t>
      </w:r>
    </w:p>
    <w:p>
      <w:pPr>
        <w:spacing w:after="0" w:line="189" w:lineRule="exact"/>
        <w:rPr>
          <w:rFonts w:ascii="Arial" w:cs="Arial" w:eastAsia="Arial" w:hAnsi="Arial"/>
          <w:sz w:val="17"/>
          <w:szCs w:val="17"/>
          <w:color w:val="auto"/>
        </w:rPr>
      </w:pPr>
    </w:p>
    <w:p>
      <w:pPr>
        <w:jc w:val="both"/>
        <w:ind w:firstLine="1466"/>
        <w:spacing w:after="0" w:line="263" w:lineRule="auto"/>
        <w:tabs>
          <w:tab w:leader="none" w:pos="2171"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 respect to any Equity Issuance or Debt Issuance, the aggregate amount of all cash proceeds actually received in respect of such Equity Issuance or Debt Issuance, net of reasonable fees, expenses, costs, underwriting discounts and commissions incurred in connection therewith and net of taxes paid or reasonably estimated to be payable as a result thereof.</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zero, such rate shall be deemed to be zero for purposes of this Agreement.</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unpaid principal of and accrued and unpaid interest on the Loans, all accrued and unpaid fees and all expenses, reimbursements, indemnities and other obligations and indebtedness (including interest and fees accruing during the pendency of any bankruptcy, insolvency, examinership, receivership or other similar proceeding, regardless of whether allowed or allowable in such proceeding), obligations and liabilities of any of the Borrower and its Subsidiaries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other instruments at any time evidencing any thereof.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Loan Documents pursuant to Section 1.04.</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Call Spread Swap Agreement</w:t>
      </w:r>
      <w:r>
        <w:rPr>
          <w:rFonts w:ascii="Arial" w:cs="Arial" w:eastAsia="Arial" w:hAnsi="Arial"/>
          <w:sz w:val="17"/>
          <w:szCs w:val="17"/>
          <w:color w:val="auto"/>
        </w:rPr>
        <w:t xml:space="preserve">” means (a) any Swap Agreement (including, but not limited to, any bond hedge transaction or capped call transaction) pursuant to which the Borrower acquires an option requiring the counterparty thereto to deliver to the Borrower shares of common stock of the Borrower, the cash value of such shares or a combination thereof from time to time upon exercise of such option and (b) any Swap Agreement pursuant to which the Borrower issues to the counterparty thereto warrants to acquire common stock of the Borrower (whether such warrant is settled in shares, cash or a combination thereof), in each case entered into by the Borrower in connection with the issuance of Permitted Convertible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conditions and covenants of each such Swap Agreement shall be such as are customary for Swap Agreements of such type (as determined by the Board of Directors of the Borrower in good faith). For the avoidance of doubt, “Permitted Call Spread Swap Agreement” includes any convertible note hedge and warrant transaction similar to any such transaction that was previously entered into by the Borrower in connection with the Borrower’s 1.875% convertible senior notes due October 1, 2016.</w:t>
      </w:r>
    </w:p>
    <w:p>
      <w:pPr>
        <w:spacing w:after="0" w:line="18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notes issued by the Borrower that are convertible into common stock of the Borrower, cash or any combination thereof. For the avoidance of doubt, “Permitted Convertible Notes” includes any such notes similar to the Borrower’s 1.875% convertible senior notes due October 1, 2016.</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firstLine="1304"/>
        <w:spacing w:after="0" w:line="277" w:lineRule="auto"/>
        <w:tabs>
          <w:tab w:leader="none" w:pos="15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5.04) or are being contested in compliance with Section 5.04, and Liens for unpaid utility charges;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and other like Liens imposed by law, arising in the ordinary course of business and securing obligations that are not overdue by more than sixty (60) days (or if more than 60 days overdue, are unfiled and no other action has been taken to enforce such Liens) or are being contested in compliance with Section 5.04;</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8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997" w:val="left"/>
        </w:tabs>
        <w:numPr>
          <w:ilvl w:val="0"/>
          <w:numId w:val="73"/>
        </w:numPr>
        <w:rPr>
          <w:rFonts w:ascii="Arial" w:cs="Arial" w:eastAsia="Arial" w:hAnsi="Arial"/>
          <w:sz w:val="17"/>
          <w:szCs w:val="17"/>
          <w:color w:val="auto"/>
        </w:rPr>
      </w:pPr>
      <w:r>
        <w:rPr>
          <w:rFonts w:ascii="Arial" w:cs="Arial" w:eastAsia="Arial" w:hAnsi="Arial"/>
          <w:sz w:val="17"/>
          <w:szCs w:val="17"/>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65" w:lineRule="exact"/>
        <w:rPr>
          <w:rFonts w:ascii="Arial" w:cs="Arial" w:eastAsia="Arial" w:hAnsi="Arial"/>
          <w:sz w:val="17"/>
          <w:szCs w:val="17"/>
          <w:color w:val="auto"/>
        </w:rPr>
      </w:pPr>
    </w:p>
    <w:p>
      <w:pPr>
        <w:ind w:right="20" w:firstLine="1304"/>
        <w:spacing w:after="0" w:line="342" w:lineRule="auto"/>
        <w:tabs>
          <w:tab w:leader="none" w:pos="18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Lien granted or arising in connection with any legal proceeding (including judgment Liens) to the extent such proceeding has not resulted in an Event of Default under clause (k) of Article VII or Liens securing appeal or surety bonds related to such legal proceedings or judgments;</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8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83" w:lineRule="exact"/>
        <w:rPr>
          <w:rFonts w:ascii="Arial" w:cs="Arial" w:eastAsia="Arial" w:hAnsi="Arial"/>
          <w:sz w:val="18"/>
          <w:szCs w:val="18"/>
          <w:color w:val="auto"/>
        </w:rPr>
      </w:pPr>
    </w:p>
    <w:p>
      <w:pPr>
        <w:ind w:firstLine="1304"/>
        <w:spacing w:after="0" w:line="277" w:lineRule="auto"/>
        <w:tabs>
          <w:tab w:leader="none" w:pos="18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interest or title of, and other statutory and common law liens of, a landlord, lessor or sublessor under any lease or sublease or any Lien affecting solely the interest of the landlord, lessor or sublessor;</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873" w:val="left"/>
        </w:tabs>
        <w:numPr>
          <w:ilvl w:val="0"/>
          <w:numId w:val="73"/>
        </w:numPr>
        <w:rPr>
          <w:rFonts w:ascii="Arial" w:cs="Arial" w:eastAsia="Arial" w:hAnsi="Arial"/>
          <w:sz w:val="17"/>
          <w:szCs w:val="17"/>
          <w:color w:val="auto"/>
        </w:rPr>
      </w:pPr>
      <w:r>
        <w:rPr>
          <w:rFonts w:ascii="Arial" w:cs="Arial" w:eastAsia="Arial" w:hAnsi="Arial"/>
          <w:sz w:val="17"/>
          <w:szCs w:val="17"/>
          <w:color w:val="auto"/>
        </w:rPr>
        <w:t>leases, licenses, subleases or sublicenses (i) that are granted to others and do not adversely interfere in any material respect with the business of the Borrower and its Subsidiaries as conducted at the time granted, taken as a whole, (ii) between or among any of the Loan Parties or any of their Subsidiaries (or any combination thereof) or (iii) granted to other Persons and not prohibited under Section 6.03;</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firstLine="1304"/>
        <w:spacing w:after="0" w:line="277" w:lineRule="auto"/>
        <w:tabs>
          <w:tab w:leader="none" w:pos="1784"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Borrower or any of its Subsidiaries in the ordinary course of business;</w:t>
      </w:r>
    </w:p>
    <w:p>
      <w:pPr>
        <w:spacing w:after="0" w:line="170" w:lineRule="exact"/>
        <w:rPr>
          <w:rFonts w:ascii="Arial" w:cs="Arial" w:eastAsia="Arial" w:hAnsi="Arial"/>
          <w:sz w:val="18"/>
          <w:szCs w:val="18"/>
          <w:color w:val="auto"/>
        </w:rPr>
      </w:pPr>
    </w:p>
    <w:p>
      <w:pPr>
        <w:ind w:firstLine="1304"/>
        <w:spacing w:after="0" w:line="308" w:lineRule="auto"/>
        <w:tabs>
          <w:tab w:leader="none" w:pos="184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interest or title of a licensor under any license or sublicense entered into by the Borrower or any Subsidiary as a licensee or sublicensee (i) existing on the Effective Date, (ii) in the ordinary course of its business or (iii) not otherwise prohibited by this Agreement;</w:t>
      </w:r>
    </w:p>
    <w:p>
      <w:pPr>
        <w:spacing w:after="0" w:line="146" w:lineRule="exact"/>
        <w:rPr>
          <w:rFonts w:ascii="Arial" w:cs="Arial" w:eastAsia="Arial" w:hAnsi="Arial"/>
          <w:sz w:val="17"/>
          <w:szCs w:val="17"/>
          <w:color w:val="auto"/>
        </w:rPr>
      </w:pPr>
    </w:p>
    <w:p>
      <w:pPr>
        <w:ind w:left="2000" w:hanging="696"/>
        <w:spacing w:after="0"/>
        <w:tabs>
          <w:tab w:leader="none" w:pos="2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with respect to any real property, immaterial title defects or irregularities that do not materially impair the use of such real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ind w:firstLine="1304"/>
        <w:spacing w:after="0" w:line="277" w:lineRule="auto"/>
        <w:tabs>
          <w:tab w:leader="none" w:pos="21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Restructurings</w:t>
      </w:r>
      <w:r>
        <w:rPr>
          <w:rFonts w:ascii="Arial" w:cs="Arial" w:eastAsia="Arial" w:hAnsi="Arial"/>
          <w:sz w:val="16"/>
          <w:szCs w:val="16"/>
          <w:color w:val="auto"/>
        </w:rPr>
        <w:t>” means a transaction or series of transactions pursuant to which direct and indirect Subsidiaries of the Borrower are converted, restructured or reorganized for tax planning or due to changes or potential changes in any relevant legal or regulatory framework, whether by (i) transfer, (ii) acquisition, (iii) contribution, (iv) merger, (v) consolidation, (vi) voluntary dissolution, (vii) liquidation, (viii) recapitalization,</w:t>
      </w:r>
    </w:p>
    <w:p>
      <w:pPr>
        <w:spacing w:after="0" w:line="2" w:lineRule="exact"/>
        <w:rPr>
          <w:sz w:val="20"/>
          <w:szCs w:val="20"/>
          <w:color w:val="auto"/>
        </w:rPr>
      </w:pPr>
    </w:p>
    <w:p>
      <w:pPr>
        <w:jc w:val="both"/>
        <w:ind w:firstLine="8"/>
        <w:spacing w:after="0" w:line="273" w:lineRule="auto"/>
        <w:tabs>
          <w:tab w:leader="none" w:pos="3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change in identity, form, place of organization, incorporation, domicile or, to the extent relevant and subject to Section 5.03(b), centre of main interests (as that term is used in Article 3(1) of the Regulation), or (x) otherwise, in each case the result of which may cause a direct or indirect sale, assignment or transfer of Equity Interests and/or other assets between and among the Borrower and/or various Subsidiaries of the Borrower, and in each case to the extent the Administrative Agent (acting in its reasonable credit judgment) approves such Permitted Restructuring.</w:t>
      </w:r>
    </w:p>
    <w:p>
      <w:pPr>
        <w:spacing w:after="0" w:line="17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xml:space="preserve">” means 29 CFR § 2510.3-101 </w:t>
      </w:r>
      <w:r>
        <w:rPr>
          <w:rFonts w:ascii="Arial" w:cs="Arial" w:eastAsia="Arial" w:hAnsi="Arial"/>
          <w:sz w:val="16"/>
          <w:szCs w:val="16"/>
          <w:i w:val="1"/>
          <w:iCs w:val="1"/>
          <w:color w:val="auto"/>
        </w:rPr>
        <w:t>et seq.</w:t>
      </w:r>
      <w:r>
        <w:rPr>
          <w:rFonts w:ascii="Arial" w:cs="Arial" w:eastAsia="Arial" w:hAnsi="Arial"/>
          <w:sz w:val="16"/>
          <w:szCs w:val="16"/>
          <w:color w:val="auto"/>
        </w:rPr>
        <w:t>, as modified by Section 3(42) of ERISA, as amended from time to time.</w:t>
      </w:r>
    </w:p>
    <w:p>
      <w:pPr>
        <w:spacing w:after="0" w:line="24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Corporate Campus Facility Leases</w:t>
      </w:r>
      <w:r>
        <w:rPr>
          <w:rFonts w:ascii="Arial" w:cs="Arial" w:eastAsia="Arial" w:hAnsi="Arial"/>
          <w:sz w:val="18"/>
          <w:szCs w:val="18"/>
          <w:color w:val="auto"/>
        </w:rPr>
        <w:t>” means the leases dated as of December 21, 2006 and April 3, 2013, respectively, by and between BMR-Landmark at Eastview LLC, as landlord, and the Borrower, as tenant, each as amended and in effect immediately prior to the date of the Corporate Campus Facility Purchase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Indebtedness</w:t>
      </w:r>
      <w:r>
        <w:rPr>
          <w:rFonts w:ascii="Arial" w:cs="Arial" w:eastAsia="Arial" w:hAnsi="Arial"/>
          <w:sz w:val="18"/>
          <w:szCs w:val="18"/>
          <w:color w:val="auto"/>
        </w:rPr>
        <w:t>” means (a) Indebtedness of the Borrower or any Subsidiary secured by any Lien on any asset(s) of the Borrower or any Subsidiary and (b) unsecured Indebtedness of any Subsidiary that is not a Borrower or a Subsidiary Guarantor, in each case owing to a Person other than the Borrower or any Subsidiary.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and (b) any Lender,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means the regulation (EU) 2015/848 of the European Parliament and of the Council of 20 May 2015 on insolvency proceedings (recast).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Municipal Party</w:t>
      </w:r>
      <w:r>
        <w:rPr>
          <w:rFonts w:ascii="Arial" w:cs="Arial" w:eastAsia="Arial" w:hAnsi="Arial"/>
          <w:sz w:val="18"/>
          <w:szCs w:val="18"/>
          <w:color w:val="auto"/>
        </w:rPr>
        <w:t>” means the industrial development agency or other Governmental Authority party to a Tax Abatement Transaction and, if applicable, any trustee or agent with respect to such Tax Abatement Transaction.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managers, employees, agents and advisors of such Person and such Person’s Affiliates.</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at any time, Lenders having Commitments or Loans representing more than 50% of the sum of the total Commitments or the total outstanding Loans (as applicable) of all Lenders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a Financial Officer or chief legal officer of the Borrower or any other Person designated by any such Person in writing to the Administrative Agent and reasonably acceptable to the Administrative Agent.</w:t>
      </w:r>
    </w:p>
    <w:p>
      <w:pPr>
        <w:spacing w:after="0" w:line="14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(whether in cash, securities or other property) with respect to any Equity Interests in the Borrower or any Subsidiary, and (b) any payment (whether in cash, securities or other property), including any sinking fund or similar deposit, on account of the purchase, redemption, retirement, acquisition, cancellation or termination of any Equity Interests in the Borrower or any option, warrant or other similar right to acquire any such Equity Interests in the Borrower. Notwithstanding the foregoing, and for the avoidance of doubt, any of the foregoing directly on account of any Permitted Convertible Notes or any Permitted Call Spread Swap Agreement, including (i) any issuance of, conversion of (including any cash payment upon conversion), or payment of any principal or premium on, or payment of any interest with respect to, or any other exercise of rights or performance of obligations under any Permitted Convertible Notes and (ii) any entry into, payment with respect to, or early unwind or settlement of, or any other exercise of rights or performance of obligations under any Permitted Call Spread Swap Agreement, in any such case, shall not constitute a Restricted Payment.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any property or asset by any Person with the intent to lease such property or asset as lessee.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region or territory which is itself the subject or target of any comprehensive Sanctions (which for purposes of illustration and clarification includes, at the time of this Agreement, Crimea, Cuba, Iran, North Korea and Syria).</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or Her Majesty’s Treasury of the United Kingdom, (b) any Person located, organized or resident in a Sanctioned Country, or (c) any Person owned 50% or more or controlled by any such Person or Persons described in the foregoing clauses (a) or (b).</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Governmental Authority succeeding to any of its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Repurchase</w:t>
      </w:r>
      <w:r>
        <w:rPr>
          <w:rFonts w:ascii="Arial" w:cs="Arial" w:eastAsia="Arial" w:hAnsi="Arial"/>
          <w:sz w:val="18"/>
          <w:szCs w:val="18"/>
          <w:color w:val="auto"/>
        </w:rPr>
        <w:t>” the repurchase or redemption by the Borrower of certain Equity Interests of the Borrower as described on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hereto.</w:t>
      </w:r>
    </w:p>
    <w:p>
      <w:pPr>
        <w:spacing w:after="0" w:line="211"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Ancillary Obligations</w:t>
      </w:r>
      <w:r>
        <w:rPr>
          <w:rFonts w:ascii="Arial" w:cs="Arial" w:eastAsia="Arial" w:hAnsi="Arial"/>
          <w:sz w:val="18"/>
          <w:szCs w:val="18"/>
          <w:color w:val="auto"/>
        </w:rPr>
        <w:t>” means all obligations and liabilities (including interest and fees accruing during the pendency of any bankruptcy, insolvency, examinership,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Lease Arrangements</w:t>
      </w:r>
      <w:r>
        <w:rPr>
          <w:rFonts w:ascii="Arial" w:cs="Arial" w:eastAsia="Arial" w:hAnsi="Arial"/>
          <w:sz w:val="18"/>
          <w:szCs w:val="18"/>
          <w:color w:val="auto"/>
        </w:rPr>
        <w:t>” means to the extent any of the following constitute Capital Lease Obligations (but for the provisions set forth in Section 1.04) or other obligations reflected as a liability on the consolidated balance sheet of the Borrower, (a) any obligations of the Borrower and its Subsidiaries owed to any Affiliates of the Borrower related to leases of assets (whether pursuant to a Sale and Leaseback Transaction or otherwise), (b) any arrangement similar to either of the Prior Corporate Campus Facility Leases, (c) any of the Corporate Campus Facility Financing Obligations and (d) any lease or other obligation that was or would have been categorized as “facility lease obligations” or “facility financing obligations” on the Borrower’s consolidated balance sheet as of the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83" w:name="page84"/>
    <w:bookmarkEnd w:id="8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each of the representations set out in the first sentence of Section 3.01, Section 3.02, Section 3.03, Section 3.08, Section 3.12, and Section 3.14 in so far as they relate to the Borrower.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9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each Material Domestic Subsidiary that is a party to the Subsidiary Guaranty. The Subsidiary Guarantors on the Effective Date (if any) are identified as such in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that certain Guaranty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(including any and all supplements thereto) and executed by each Subsidiary Guarantor party thereto, as amended, restated, supplemented or otherwise modified from time to time.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not prohibited hereunder with a Lender or an Affiliate of a Lender, and (b) any and all cancellations, buy backs, reversals, terminations or assignments of any such Swap Agreement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Abatement Transactions</w:t>
      </w:r>
      <w:r>
        <w:rPr>
          <w:rFonts w:ascii="Arial" w:cs="Arial" w:eastAsia="Arial" w:hAnsi="Arial"/>
          <w:sz w:val="16"/>
          <w:szCs w:val="16"/>
          <w:color w:val="auto"/>
        </w:rPr>
        <w:t>” means a transaction between the Borrower or any of its Subsidiaries, on the one hand, and a Related Municipal Party, on the other hand (and, if applicable, other Person(s)), entered into for the purposes of reducing certain of the Borrower’s or any Subsidiary’s Tax liabilities through (a) the sale, other transfer, lease or license to such Related Municipal Party of title to or an interest in real property, fixtures, equipment, other fixed or capital assets or other related assets of the Borrower or such Subsidiary, (b) the granting to such Related Municipal Party of Liens on real property, fixtures, equipment, other fixed or capital assets or other related assets of the Borrower or such Subsidiary, (c) a Sale and Leaseback Transaction or other transfer and licensing arrangement between the Borrower or such Subsidiary and such Related Municipal Party (and, if applicable, such other Person(s)) with respect to real property, fixtures, equipment, other fixed or capital assets or other related assets of the Borrower or such Subsidiary, (d) PILOT agreements or (e) any combination of the foregoing or through arrangements similar thereto.</w:t>
      </w:r>
    </w:p>
    <w:p>
      <w:pPr>
        <w:spacing w:after="0" w:line="16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the forward-looking term rate based on SOFR that has been selected or recommended by the Relevant Governmental Body.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6.07(a).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Loan Parties of this Agreement and the other Loan Documents, the borrowing of Loans and other credit extensions, and the use of the proceeds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shall mean Equity Interests of the Borrower that are purchased, redeemed, repurchased, defeased or otherwise acquired or retired, in each case by the Borrower and thereafter held by the Borrower.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 or any other laws of any jurisdiction which are required to be applied in connection with the issue of creation, perfection or priority of security interests.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Benchmark Replacement excluding the Benchmark Replacement Adjustment.</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Upfront Payments</w:t>
      </w:r>
      <w:r>
        <w:rPr>
          <w:rFonts w:ascii="Arial" w:cs="Arial" w:eastAsia="Arial" w:hAnsi="Arial"/>
          <w:sz w:val="18"/>
          <w:szCs w:val="18"/>
          <w:color w:val="auto"/>
        </w:rPr>
        <w:t>” means any upfront or similar payments made during the period of twelve months ending on the 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 Subsidiary with respect to which 100% of the issued and outstanding Equity Interests are owned directly or indirectly by the Borrower (other than (x) directors’ qualifying shares; (y) shares issued to foreign nationals to the extent required by applicable law; and (z) shares held by a Person on trust for, or otherwise where the beneficial interest is held by, the Borrower (directly or indirectly)).</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00000"/>
        </w:rPr>
        <w:t>Classification of Loans and Borrowings</w:t>
      </w:r>
      <w:r>
        <w:rPr>
          <w:rFonts w:ascii="Arial" w:cs="Arial" w:eastAsia="Arial" w:hAnsi="Arial"/>
          <w:sz w:val="18"/>
          <w:szCs w:val="18"/>
          <w:color w:val="000000"/>
        </w:rPr>
        <w:t>. For purposes of this Agreement, Loans may be classified and referred to by</w:t>
      </w:r>
      <w:r>
        <w:rPr>
          <w:rFonts w:ascii="Arial" w:cs="Arial" w:eastAsia="Arial" w:hAnsi="Arial"/>
          <w:sz w:val="18"/>
          <w:szCs w:val="18"/>
          <w:color w:val="010000"/>
        </w:rPr>
        <w:t xml:space="preserve"> </w:t>
      </w:r>
      <w:r>
        <w:rPr>
          <w:rFonts w:ascii="Arial" w:cs="Arial" w:eastAsia="Arial" w:hAnsi="Arial"/>
          <w:sz w:val="18"/>
          <w:szCs w:val="18"/>
          <w:color w:val="000000"/>
        </w:rPr>
        <w:t>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Eurocurrency Loan</w:t>
      </w:r>
      <w:r>
        <w:rPr>
          <w:rFonts w:ascii="Arial" w:cs="Arial" w:eastAsia="Arial" w:hAnsi="Arial"/>
          <w:sz w:val="18"/>
          <w:szCs w:val="18"/>
          <w:color w:val="000000"/>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1296"/>
        <w:spacing w:after="0" w:line="284" w:lineRule="auto"/>
        <w:rPr>
          <w:sz w:val="20"/>
          <w:szCs w:val="20"/>
          <w:color w:val="auto"/>
        </w:rPr>
      </w:pPr>
      <w:r>
        <w:rPr>
          <w:rFonts w:ascii="Arial" w:cs="Arial" w:eastAsia="Arial" w:hAnsi="Arial"/>
          <w:sz w:val="16"/>
          <w:szCs w:val="16"/>
          <w:color w:val="010000"/>
        </w:rPr>
        <w:t xml:space="preserve">SECTION 1.03. </w:t>
      </w:r>
      <w:r>
        <w:rPr>
          <w:rFonts w:ascii="Arial" w:cs="Arial" w:eastAsia="Arial" w:hAnsi="Arial"/>
          <w:sz w:val="16"/>
          <w:szCs w:val="16"/>
          <w:u w:val="single" w:color="auto"/>
          <w:color w:val="000000"/>
        </w:rPr>
        <w:t>Terms Generally</w:t>
      </w:r>
      <w:r>
        <w:rPr>
          <w:rFonts w:ascii="Arial" w:cs="Arial" w:eastAsia="Arial" w:hAnsi="Arial"/>
          <w:sz w:val="16"/>
          <w:szCs w:val="16"/>
          <w:color w:val="000000"/>
        </w:rPr>
        <w:t>. The definitions of terms herein shall apply equally to the singular and plural forms of the terms</w:t>
      </w:r>
      <w:r>
        <w:rPr>
          <w:rFonts w:ascii="Arial" w:cs="Arial" w:eastAsia="Arial" w:hAnsi="Arial"/>
          <w:sz w:val="16"/>
          <w:szCs w:val="16"/>
          <w:color w:val="010000"/>
        </w:rPr>
        <w:t xml:space="preserve"> </w:t>
      </w:r>
      <w:r>
        <w:rPr>
          <w:rFonts w:ascii="Arial" w:cs="Arial" w:eastAsia="Arial" w:hAnsi="Arial"/>
          <w:sz w:val="16"/>
          <w:szCs w:val="16"/>
          <w:color w:val="000000"/>
        </w:rPr>
        <w:t>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any and all tangible and intangible assets and properties, including cash, securities, accounts and contract rights and (g)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SECTION 1.04. </w:t>
      </w:r>
      <w:r>
        <w:rPr>
          <w:rFonts w:ascii="Arial" w:cs="Arial" w:eastAsia="Arial" w:hAnsi="Arial"/>
          <w:sz w:val="16"/>
          <w:szCs w:val="16"/>
          <w:u w:val="single" w:color="auto"/>
          <w:color w:val="000000"/>
        </w:rPr>
        <w:t>Accounting Terms; GAAP; Pro Forma Calculations</w:t>
      </w:r>
      <w:r>
        <w:rPr>
          <w:rFonts w:ascii="Arial" w:cs="Arial" w:eastAsia="Arial" w:hAnsi="Arial"/>
          <w:sz w:val="16"/>
          <w:szCs w:val="16"/>
          <w:color w:val="000000"/>
        </w:rPr>
        <w:t>. (a) Except as otherwise expressly provided herein, all terms of an</w:t>
      </w:r>
      <w:r>
        <w:rPr>
          <w:rFonts w:ascii="Arial" w:cs="Arial" w:eastAsia="Arial" w:hAnsi="Arial"/>
          <w:sz w:val="16"/>
          <w:szCs w:val="16"/>
          <w:color w:val="010000"/>
        </w:rPr>
        <w:t xml:space="preserve"> </w:t>
      </w:r>
      <w:r>
        <w:rPr>
          <w:rFonts w:ascii="Arial" w:cs="Arial" w:eastAsia="Arial" w:hAnsi="Arial"/>
          <w:sz w:val="16"/>
          <w:szCs w:val="16"/>
          <w:color w:val="000000"/>
        </w:rPr>
        <w:t xml:space="preserve">accounting or financial nature shall be construed in accordance with GAAP, as in effect from time to time;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(a)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(b)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notwithstanding any modification or interpretative change to GAAP after the Effective Date (including any such modification or change as a result of any treatment of leases under Accounting Standards Codification 842 (or any other Accounting Standards Codification or Financial Accounting Standard having a similar result or effect)), any obligations relating to any of the following shall be deemed to be obligations relating to an operating lease and shall not constitute Capital Lease Obligations under the Loan Documents: (x) a lease that was or would have been accounted for by such Person as an operating lease as of the Effective Date, (y) any Specified Lease Arrangements of such Person or (z) any lease or arrangement similar to any of the foregoing entered into after the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1304"/>
        <w:spacing w:after="0" w:line="286" w:lineRule="auto"/>
        <w:tabs>
          <w:tab w:leader="none" w:pos="15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pro forma computations required to be made hereunder giving effect to any Acquisition or disposition</w:t>
      </w:r>
      <w:r>
        <w:rPr>
          <w:rFonts w:ascii="Arial" w:cs="Arial" w:eastAsia="Arial" w:hAnsi="Arial"/>
          <w:sz w:val="16"/>
          <w:szCs w:val="16"/>
          <w:color w:val="002060"/>
        </w:rPr>
        <w:t>,</w:t>
      </w:r>
      <w:r>
        <w:rPr>
          <w:rFonts w:ascii="Arial" w:cs="Arial" w:eastAsia="Arial" w:hAnsi="Arial"/>
          <w:sz w:val="16"/>
          <w:szCs w:val="16"/>
          <w:color w:val="auto"/>
        </w:rPr>
        <w:t xml:space="preserve"> or issuance, incurrence or assumption of Indebtedness, or other transaction shall in each case be calculated after giving pro forma effect thereto (and, in the case of any pro forma computation made hereunder, to determine whether such Acquisition, disposition or issuance, incurrence or assumption of Indebtedness or other transaction is not prohibited to be consummated hereunder)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fiscal quarter ended March 31, 2020),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pro forma computation required to be made hereunder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SECTION 1.05. </w:t>
      </w:r>
      <w:r>
        <w:rPr>
          <w:rFonts w:ascii="Arial" w:cs="Arial" w:eastAsia="Arial" w:hAnsi="Arial"/>
          <w:sz w:val="16"/>
          <w:szCs w:val="16"/>
          <w:u w:val="single" w:color="auto"/>
          <w:color w:val="000000"/>
        </w:rPr>
        <w:t>Interest Rates; LIBOR Notification</w:t>
      </w:r>
      <w:r>
        <w:rPr>
          <w:rFonts w:ascii="Arial" w:cs="Arial" w:eastAsia="Arial" w:hAnsi="Arial"/>
          <w:sz w:val="16"/>
          <w:szCs w:val="16"/>
          <w:color w:val="000000"/>
        </w:rPr>
        <w:t>. The interest rate on Eurocurrency Loans is determined by reference to the</w:t>
      </w:r>
      <w:r>
        <w:rPr>
          <w:rFonts w:ascii="Arial" w:cs="Arial" w:eastAsia="Arial" w:hAnsi="Arial"/>
          <w:sz w:val="16"/>
          <w:szCs w:val="16"/>
          <w:color w:val="010000"/>
        </w:rPr>
        <w:t xml:space="preserve"> </w:t>
      </w:r>
      <w:r>
        <w:rPr>
          <w:rFonts w:ascii="Arial" w:cs="Arial" w:eastAsia="Arial" w:hAnsi="Arial"/>
          <w:sz w:val="16"/>
          <w:szCs w:val="16"/>
          <w:color w:val="000000"/>
        </w:rPr>
        <w:t>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Administration, the “</w:t>
      </w:r>
      <w:r>
        <w:rPr>
          <w:rFonts w:ascii="Arial" w:cs="Arial" w:eastAsia="Arial" w:hAnsi="Arial"/>
          <w:sz w:val="16"/>
          <w:szCs w:val="16"/>
          <w:u w:val="single" w:color="auto"/>
          <w:color w:val="000000"/>
        </w:rPr>
        <w:t>IBA</w:t>
      </w:r>
      <w:r>
        <w:rPr>
          <w:rFonts w:ascii="Arial" w:cs="Arial" w:eastAsia="Arial" w:hAnsi="Arial"/>
          <w:sz w:val="16"/>
          <w:szCs w:val="16"/>
          <w:color w:val="000000"/>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2.14 of this Agreement, such Section 2.14 provides a mechanism for determining an alternative rate of interest. The Administrative Agent will notify the Borrower, pursuant to Section 2.14, in advance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whether the composition or characteristics of any such alternative, successor or replacement reference rate, as it may or may not be adjusted pursuant to Section 2.14, will be similar to, or produce the same value or economic equivalence of, the LIBO Rate or have the same volume or liquidity as did the London interbank offered rate prior to its discontinuance or unavailability.</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 xml:space="preserve">SECTION 1.06. </w:t>
      </w:r>
      <w:r>
        <w:rPr>
          <w:rFonts w:ascii="Arial" w:cs="Arial" w:eastAsia="Arial" w:hAnsi="Arial"/>
          <w:sz w:val="16"/>
          <w:szCs w:val="16"/>
          <w:u w:val="single" w:color="auto"/>
          <w:color w:val="000000"/>
        </w:rPr>
        <w:t>Divisions</w:t>
      </w:r>
      <w:r>
        <w:rPr>
          <w:rFonts w:ascii="Arial" w:cs="Arial" w:eastAsia="Arial" w:hAnsi="Arial"/>
          <w:sz w:val="16"/>
          <w:szCs w:val="16"/>
          <w:color w:val="000000"/>
        </w:rPr>
        <w:t>. For all purposes under the Loan Documents, in connection with any division or plan of division under</w:t>
      </w:r>
      <w:r>
        <w:rPr>
          <w:rFonts w:ascii="Arial" w:cs="Arial" w:eastAsia="Arial" w:hAnsi="Arial"/>
          <w:sz w:val="16"/>
          <w:szCs w:val="16"/>
          <w:color w:val="010000"/>
        </w:rPr>
        <w:t xml:space="preserve"> </w:t>
      </w:r>
      <w:r>
        <w:rPr>
          <w:rFonts w:ascii="Arial" w:cs="Arial" w:eastAsia="Arial" w:hAnsi="Arial"/>
          <w:sz w:val="16"/>
          <w:szCs w:val="16"/>
          <w:color w:val="000000"/>
        </w:rPr>
        <w:t>Delaware Law (or any comparable event under a different jurisdictions’ laws): (a) if any asset, right, obligation or liability of any Person becomes the asset, right, obligation or liability of a different Person, then it shall be deemed to have been transformed from the original Person to the subsequent Person, and</w:t>
      </w:r>
    </w:p>
    <w:p>
      <w:pPr>
        <w:spacing w:after="0" w:line="2" w:lineRule="exact"/>
        <w:rPr>
          <w:sz w:val="20"/>
          <w:szCs w:val="20"/>
          <w:color w:val="auto"/>
        </w:rPr>
      </w:pPr>
    </w:p>
    <w:p>
      <w:pPr>
        <w:ind w:firstLine="8"/>
        <w:spacing w:after="0" w:line="260"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if any new Person comes into existence, such new Person </w:t>
      </w:r>
      <w:r>
        <w:rPr>
          <w:rFonts w:ascii="Arial" w:cs="Arial" w:eastAsia="Arial" w:hAnsi="Arial"/>
          <w:sz w:val="18"/>
          <w:szCs w:val="18"/>
          <w:u w:val="single" w:color="auto"/>
          <w:color w:val="auto"/>
        </w:rPr>
        <w:t>shall be deemed to have been organized on the first date of its existence by the holders of 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Interests at such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Commitments</w:t>
      </w:r>
      <w:r>
        <w:rPr>
          <w:rFonts w:ascii="Arial" w:cs="Arial" w:eastAsia="Arial" w:hAnsi="Arial"/>
          <w:sz w:val="18"/>
          <w:szCs w:val="18"/>
          <w:color w:val="000000"/>
        </w:rPr>
        <w:t>. Subject to the terms and conditions set forth herein, each Lender (severally and not jointly) agrees to</w:t>
      </w:r>
      <w:r>
        <w:rPr>
          <w:rFonts w:ascii="Arial" w:cs="Arial" w:eastAsia="Arial" w:hAnsi="Arial"/>
          <w:sz w:val="18"/>
          <w:szCs w:val="18"/>
          <w:color w:val="010000"/>
        </w:rPr>
        <w:t xml:space="preserve"> </w:t>
      </w:r>
      <w:r>
        <w:rPr>
          <w:rFonts w:ascii="Arial" w:cs="Arial" w:eastAsia="Arial" w:hAnsi="Arial"/>
          <w:sz w:val="18"/>
          <w:szCs w:val="18"/>
          <w:color w:val="000000"/>
        </w:rPr>
        <w:t>make a single Loan to the Borrower on the Closing Date in Dollars in an aggregate principal amount not to exceed such Lender’s Commitment. Amounts repaid or prepaid in respect of Loans may not be reborrowed.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Loans and Borrowings</w:t>
      </w:r>
      <w:r>
        <w:rPr>
          <w:rFonts w:ascii="Arial" w:cs="Arial" w:eastAsia="Arial" w:hAnsi="Arial"/>
          <w:sz w:val="18"/>
          <w:szCs w:val="18"/>
          <w:color w:val="000000"/>
        </w:rPr>
        <w:t>. (a) The Loans shall be made as part of a single Borrowing on the Closing Date made by the</w:t>
      </w:r>
      <w:r>
        <w:rPr>
          <w:rFonts w:ascii="Arial" w:cs="Arial" w:eastAsia="Arial" w:hAnsi="Arial"/>
          <w:sz w:val="18"/>
          <w:szCs w:val="18"/>
          <w:color w:val="010000"/>
        </w:rPr>
        <w:t xml:space="preserve"> </w:t>
      </w:r>
      <w:r>
        <w:rPr>
          <w:rFonts w:ascii="Arial" w:cs="Arial" w:eastAsia="Arial" w:hAnsi="Arial"/>
          <w:sz w:val="18"/>
          <w:szCs w:val="18"/>
          <w:color w:val="000000"/>
        </w:rPr>
        <w:t xml:space="preserve">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Commitments of the Lenders are several and no Lender shall be responsible for any other Lender’s failure to make Loans as required.</w:t>
      </w:r>
    </w:p>
    <w:p>
      <w:pPr>
        <w:spacing w:after="0" w:line="187" w:lineRule="exact"/>
        <w:rPr>
          <w:sz w:val="20"/>
          <w:szCs w:val="20"/>
          <w:color w:val="auto"/>
        </w:rPr>
      </w:pPr>
    </w:p>
    <w:p>
      <w:pPr>
        <w:jc w:val="both"/>
        <w:ind w:left="660" w:firstLine="644"/>
        <w:spacing w:after="0" w:line="257" w:lineRule="auto"/>
        <w:tabs>
          <w:tab w:leader="none" w:pos="2399"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Subject to Section 2.14, each Borrowing shall be comprised of ABR Loans or Eurocurrency Loans as the Borrower may request in accordance herewith.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Arial" w:cs="Arial" w:eastAsia="Arial" w:hAnsi="Arial"/>
          <w:sz w:val="18"/>
          <w:szCs w:val="18"/>
          <w:color w:val="010000"/>
        </w:rPr>
      </w:pPr>
    </w:p>
    <w:p>
      <w:pPr>
        <w:jc w:val="both"/>
        <w:ind w:left="660" w:firstLine="644"/>
        <w:spacing w:after="0" w:line="263" w:lineRule="auto"/>
        <w:tabs>
          <w:tab w:leader="none" w:pos="2376"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At the commencement of each Interest Period for any Eurocurrency Borrowing, such Borrowing shall be in an aggregate amount that is an integral multiple of $1,000,000 and not less than $10,000,000. At the time that any ABR Borrowing is made, such Borrowing shall be in an aggregate amount that is an integral multiple of $1,000,000 and not less than $10,000,000.</w:t>
      </w:r>
    </w:p>
    <w:p>
      <w:pPr>
        <w:spacing w:after="0" w:line="183" w:lineRule="exact"/>
        <w:rPr>
          <w:rFonts w:ascii="Arial" w:cs="Arial" w:eastAsia="Arial" w:hAnsi="Arial"/>
          <w:sz w:val="18"/>
          <w:szCs w:val="18"/>
          <w:color w:val="010000"/>
        </w:rPr>
      </w:pPr>
    </w:p>
    <w:p>
      <w:pPr>
        <w:ind w:left="660" w:right="20" w:firstLine="644"/>
        <w:spacing w:after="0" w:line="277" w:lineRule="auto"/>
        <w:tabs>
          <w:tab w:leader="none" w:pos="2237"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Notwithstanding any other provision of this Agreement, the Borrower shall not be entitled to elect to convert or continue any Borrowing if the Interest Period requested with respect thereto would end after the Maturity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 xml:space="preserve">SECTION 2.03. </w:t>
      </w:r>
      <w:r>
        <w:rPr>
          <w:rFonts w:ascii="Arial" w:cs="Arial" w:eastAsia="Arial" w:hAnsi="Arial"/>
          <w:sz w:val="16"/>
          <w:szCs w:val="16"/>
          <w:u w:val="single" w:color="auto"/>
          <w:color w:val="000000"/>
        </w:rPr>
        <w:t>Requests for Borrowings</w:t>
      </w:r>
      <w:r>
        <w:rPr>
          <w:rFonts w:ascii="Arial" w:cs="Arial" w:eastAsia="Arial" w:hAnsi="Arial"/>
          <w:sz w:val="16"/>
          <w:szCs w:val="16"/>
          <w:color w:val="000000"/>
        </w:rPr>
        <w:t>. To request a Borrowing, the Borrower shall notify the Administrative Agent of such request</w:t>
      </w:r>
    </w:p>
    <w:p>
      <w:pPr>
        <w:spacing w:after="0" w:line="46" w:lineRule="exact"/>
        <w:rPr>
          <w:sz w:val="20"/>
          <w:szCs w:val="20"/>
          <w:color w:val="auto"/>
        </w:rPr>
      </w:pPr>
    </w:p>
    <w:p>
      <w:pPr>
        <w:jc w:val="both"/>
        <w:ind w:firstLine="8"/>
        <w:spacing w:after="0" w:line="292"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by irrevocable written notice (via a written Borrowing Request signed by the Borrower, promptly followed by telephonic confirmation of such request) in the case of a Eurocurrency Loan, not later than 12:00 noon, New York City time, one (1) Business Day prior to the proposed Borrowing or (b) by telephone in the case of an ABR Loan, not later than 11:00 a.m., New York City time, on the date of the proposed Borrowing. Such telephonic Borrowing Request shall be irrevocable and shall be confirmed promptly by hand delivery or telecopy to the Administrative Agent of a written Borrowing Request signed by the Borrower. Each such telephonic and written Borrowing Request shall specify the following information in compliance with Section 2.02:</w:t>
      </w:r>
    </w:p>
    <w:p>
      <w:pPr>
        <w:spacing w:after="0" w:line="162" w:lineRule="exact"/>
        <w:rPr>
          <w:rFonts w:ascii="Arial" w:cs="Arial" w:eastAsia="Arial" w:hAnsi="Arial"/>
          <w:sz w:val="16"/>
          <w:szCs w:val="16"/>
          <w:color w:val="auto"/>
        </w:rPr>
      </w:pPr>
    </w:p>
    <w:p>
      <w:pPr>
        <w:ind w:left="2880" w:hanging="928"/>
        <w:spacing w:after="0"/>
        <w:tabs>
          <w:tab w:leader="none" w:pos="288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the aggregate principal amount of the requested Borrowing;</w:t>
      </w:r>
    </w:p>
    <w:p>
      <w:pPr>
        <w:spacing w:after="0" w:line="225" w:lineRule="exact"/>
        <w:rPr>
          <w:rFonts w:ascii="Arial" w:cs="Arial" w:eastAsia="Arial" w:hAnsi="Arial"/>
          <w:sz w:val="18"/>
          <w:szCs w:val="18"/>
          <w:color w:val="010000"/>
        </w:rPr>
      </w:pPr>
    </w:p>
    <w:p>
      <w:pPr>
        <w:ind w:left="2840" w:hanging="888"/>
        <w:spacing w:after="0"/>
        <w:tabs>
          <w:tab w:leader="none" w:pos="284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010000"/>
        </w:rPr>
      </w:pPr>
    </w:p>
    <w:p>
      <w:pPr>
        <w:ind w:left="2800" w:hanging="848"/>
        <w:spacing w:after="0"/>
        <w:tabs>
          <w:tab w:leader="none" w:pos="28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whether such Borrowing is to be an ABR Borrowing or a Eurocurrency Borrowing;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1300" w:firstLine="652"/>
        <w:spacing w:after="0" w:line="277" w:lineRule="auto"/>
        <w:tabs>
          <w:tab w:leader="none" w:pos="2878"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in the case of a Eurocurrency Borrowing, the initial Interest Period to be applicable thereto, which shall be a period contemplated by the definition of the term “Interest Period”; and</w:t>
      </w:r>
    </w:p>
    <w:p>
      <w:pPr>
        <w:spacing w:after="0" w:line="170" w:lineRule="exact"/>
        <w:rPr>
          <w:rFonts w:ascii="Arial" w:cs="Arial" w:eastAsia="Arial" w:hAnsi="Arial"/>
          <w:sz w:val="18"/>
          <w:szCs w:val="18"/>
          <w:color w:val="010000"/>
        </w:rPr>
      </w:pPr>
    </w:p>
    <w:p>
      <w:pPr>
        <w:ind w:left="1300" w:firstLine="652"/>
        <w:spacing w:after="0" w:line="277" w:lineRule="auto"/>
        <w:tabs>
          <w:tab w:leader="none" w:pos="2891"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the location and number of the Borrower’s account to which funds are to be disbursed, which shall comply with the requirements of Section 2.07.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no election as to the Type of Borrowing is specified,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[Reserved]</w:t>
      </w:r>
      <w:r>
        <w:rPr>
          <w:rFonts w:ascii="Arial" w:cs="Arial" w:eastAsia="Arial" w:hAnsi="Arial"/>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2.05. </w:t>
      </w:r>
      <w:r>
        <w:rPr>
          <w:rFonts w:ascii="Arial" w:cs="Arial" w:eastAsia="Arial" w:hAnsi="Arial"/>
          <w:sz w:val="18"/>
          <w:szCs w:val="18"/>
          <w:u w:val="single" w:color="auto"/>
          <w:color w:val="000000"/>
        </w:rPr>
        <w:t>[Reserved]</w:t>
      </w:r>
      <w:r>
        <w:rPr>
          <w:rFonts w:ascii="Arial" w:cs="Arial" w:eastAsia="Arial" w:hAnsi="Arial"/>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2.06. </w:t>
      </w:r>
      <w:r>
        <w:rPr>
          <w:rFonts w:ascii="Arial" w:cs="Arial" w:eastAsia="Arial" w:hAnsi="Arial"/>
          <w:sz w:val="18"/>
          <w:szCs w:val="18"/>
          <w:u w:val="single" w:color="auto"/>
          <w:color w:val="000000"/>
        </w:rPr>
        <w:t>[Reserved]</w:t>
      </w:r>
      <w:r>
        <w:rPr>
          <w:rFonts w:ascii="Arial" w:cs="Arial" w:eastAsia="Arial" w:hAnsi="Arial"/>
          <w:sz w:val="18"/>
          <w:szCs w:val="18"/>
          <w:color w:val="000000"/>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u w:val="single" w:color="auto"/>
          <w:color w:val="000000"/>
        </w:rPr>
        <w:t>Funding of Borrowings.</w:t>
      </w:r>
      <w:r>
        <w:rPr>
          <w:rFonts w:ascii="Arial" w:cs="Arial" w:eastAsia="Arial" w:hAnsi="Arial"/>
          <w:sz w:val="17"/>
          <w:szCs w:val="17"/>
          <w:color w:val="010000"/>
        </w:rPr>
        <w:t xml:space="preserve"> </w:t>
      </w:r>
      <w:r>
        <w:rPr>
          <w:rFonts w:ascii="Arial" w:cs="Arial" w:eastAsia="Arial" w:hAnsi="Arial"/>
          <w:sz w:val="17"/>
          <w:szCs w:val="17"/>
          <w:color w:val="000000"/>
        </w:rPr>
        <w:t>(a) Each Lender shall make each Loan to be made by it hereunder on the Closing Date solely by</w:t>
      </w:r>
      <w:r>
        <w:rPr>
          <w:rFonts w:ascii="Arial" w:cs="Arial" w:eastAsia="Arial" w:hAnsi="Arial"/>
          <w:sz w:val="17"/>
          <w:szCs w:val="17"/>
          <w:color w:val="010000"/>
        </w:rPr>
        <w:t xml:space="preserve"> </w:t>
      </w:r>
      <w:r>
        <w:rPr>
          <w:rFonts w:ascii="Arial" w:cs="Arial" w:eastAsia="Arial" w:hAnsi="Arial"/>
          <w:sz w:val="17"/>
          <w:szCs w:val="17"/>
          <w:color w:val="000000"/>
        </w:rPr>
        <w:t>wire transfer of immediately available funds by 12:00 noon, New York City time, to the account of the Administrative Agent designated by it for such purpose by notice to the Lenders. The Administrative Agent will make such Loans available to the Borrower by promptly crediting the funds so received in the aforesaid account of the Administrative Agent to an account designated by the Borrower in the Borrowing Request.</w:t>
      </w:r>
    </w:p>
    <w:p>
      <w:pPr>
        <w:spacing w:after="0" w:line="171" w:lineRule="exact"/>
        <w:rPr>
          <w:sz w:val="20"/>
          <w:szCs w:val="20"/>
          <w:color w:val="auto"/>
        </w:rPr>
      </w:pPr>
    </w:p>
    <w:p>
      <w:pPr>
        <w:jc w:val="both"/>
        <w:ind w:left="660" w:firstLine="644"/>
        <w:spacing w:after="0" w:line="269" w:lineRule="auto"/>
        <w:tabs>
          <w:tab w:leader="none" w:pos="2251"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Unless the Administrative Agent shall have received notice from a Lender prior to the proposed date of the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SECTION 2.08. </w:t>
      </w:r>
      <w:r>
        <w:rPr>
          <w:rFonts w:ascii="Arial" w:cs="Arial" w:eastAsia="Arial" w:hAnsi="Arial"/>
          <w:sz w:val="18"/>
          <w:szCs w:val="18"/>
          <w:u w:val="single" w:color="auto"/>
          <w:color w:val="000000"/>
        </w:rPr>
        <w:t>Interest Elections</w:t>
      </w:r>
      <w:r>
        <w:rPr>
          <w:rFonts w:ascii="Arial" w:cs="Arial" w:eastAsia="Arial" w:hAnsi="Arial"/>
          <w:sz w:val="18"/>
          <w:szCs w:val="18"/>
          <w:color w:val="000000"/>
        </w:rPr>
        <w:t>. (a) The Borrowing initially shall be of the Type specified in the Borrowing Request and, in the case of</w:t>
      </w:r>
      <w:r>
        <w:rPr>
          <w:rFonts w:ascii="Arial" w:cs="Arial" w:eastAsia="Arial" w:hAnsi="Arial"/>
          <w:sz w:val="18"/>
          <w:szCs w:val="18"/>
          <w:color w:val="010000"/>
        </w:rPr>
        <w:t xml:space="preserve"> </w:t>
      </w:r>
      <w:r>
        <w:rPr>
          <w:rFonts w:ascii="Arial" w:cs="Arial" w:eastAsia="Arial" w:hAnsi="Arial"/>
          <w:sz w:val="18"/>
          <w:szCs w:val="18"/>
          <w:color w:val="000000"/>
        </w:rPr>
        <w:t>a Eurocurrency Borrowing, shall have an initial Interest Period as specified in such Borrowing Request. Thereafter, the Borrower may elect to convert such Borrowing to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left="660" w:firstLine="644"/>
        <w:spacing w:after="0" w:line="254" w:lineRule="auto"/>
        <w:tabs>
          <w:tab w:leader="none" w:pos="249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make an election pursuant to this Section, the Borrower shall notify the Administrative Agent of such election (by telephone or irrevocable written notice from Borrower by the time that a Borrowing Request would be required under Section 2.03 if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Borrower. Notwithstanding any contrary provision herein, this Section shall not be construed to permit Borrower to (i) elect an Interest Period for Eurocurrency Loans that does not comply with Section 2.02(d) or (ii) convert any Borrowing to a Borrowing of a Type not available under such Borrowing.</w:t>
      </w:r>
    </w:p>
    <w:p>
      <w:pPr>
        <w:spacing w:after="0" w:line="194" w:lineRule="exact"/>
        <w:rPr>
          <w:rFonts w:ascii="Arial" w:cs="Arial" w:eastAsia="Arial" w:hAnsi="Arial"/>
          <w:sz w:val="18"/>
          <w:szCs w:val="18"/>
          <w:color w:val="010000"/>
        </w:rPr>
      </w:pPr>
    </w:p>
    <w:p>
      <w:pPr>
        <w:ind w:left="2680" w:hanging="1376"/>
        <w:spacing w:after="0"/>
        <w:tabs>
          <w:tab w:leader="none" w:pos="2680"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Each telephonic and written Interest Election Request shall specify the following information in compliance with</w:t>
      </w:r>
    </w:p>
    <w:p>
      <w:pPr>
        <w:spacing w:after="0" w:line="34" w:lineRule="exact"/>
        <w:rPr>
          <w:rFonts w:ascii="Arial" w:cs="Arial" w:eastAsia="Arial" w:hAnsi="Arial"/>
          <w:sz w:val="17"/>
          <w:szCs w:val="17"/>
          <w:color w:val="010000"/>
        </w:rPr>
      </w:pPr>
    </w:p>
    <w:p>
      <w:pPr>
        <w:ind w:left="660"/>
        <w:spacing w:after="0"/>
        <w:rPr>
          <w:rFonts w:ascii="Arial" w:cs="Arial" w:eastAsia="Arial" w:hAnsi="Arial"/>
          <w:sz w:val="17"/>
          <w:szCs w:val="17"/>
          <w:color w:val="010000"/>
        </w:rPr>
      </w:pPr>
      <w:r>
        <w:rPr>
          <w:rFonts w:ascii="Arial" w:cs="Arial" w:eastAsia="Arial" w:hAnsi="Arial"/>
          <w:sz w:val="18"/>
          <w:szCs w:val="18"/>
          <w:color w:val="auto"/>
        </w:rPr>
        <w:t>Section 2.02:</w:t>
      </w:r>
    </w:p>
    <w:p>
      <w:pPr>
        <w:spacing w:after="0" w:line="210" w:lineRule="exact"/>
        <w:rPr>
          <w:rFonts w:ascii="Arial" w:cs="Arial" w:eastAsia="Arial" w:hAnsi="Arial"/>
          <w:sz w:val="17"/>
          <w:szCs w:val="17"/>
          <w:color w:val="010000"/>
        </w:rPr>
      </w:pPr>
    </w:p>
    <w:p>
      <w:pPr>
        <w:jc w:val="both"/>
        <w:ind w:left="1300" w:firstLine="652"/>
        <w:spacing w:after="0" w:line="311" w:lineRule="auto"/>
        <w:tabs>
          <w:tab w:leader="none" w:pos="3125"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the name of the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8" w:lineRule="exact"/>
        <w:rPr>
          <w:rFonts w:ascii="Arial" w:cs="Arial" w:eastAsia="Arial" w:hAnsi="Arial"/>
          <w:sz w:val="16"/>
          <w:szCs w:val="16"/>
          <w:color w:val="010000"/>
        </w:rPr>
      </w:pPr>
    </w:p>
    <w:p>
      <w:pPr>
        <w:ind w:left="2840" w:hanging="888"/>
        <w:spacing w:after="0"/>
        <w:tabs>
          <w:tab w:leader="none" w:pos="2840"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the effective date of the election made pursuant to such Interest Election Request, which shall be a Business Day;</w:t>
      </w:r>
    </w:p>
    <w:p>
      <w:pPr>
        <w:spacing w:after="0" w:line="248" w:lineRule="exact"/>
        <w:rPr>
          <w:rFonts w:ascii="Arial" w:cs="Arial" w:eastAsia="Arial" w:hAnsi="Arial"/>
          <w:sz w:val="16"/>
          <w:szCs w:val="16"/>
          <w:color w:val="010000"/>
        </w:rPr>
      </w:pPr>
    </w:p>
    <w:p>
      <w:pPr>
        <w:ind w:left="2800" w:hanging="848"/>
        <w:spacing w:after="0"/>
        <w:tabs>
          <w:tab w:leader="none" w:pos="2800"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whether the resulting Borrowing is to be an ABR Borrowing or a Eurocurrency Borrowing; and</w:t>
      </w:r>
    </w:p>
    <w:p>
      <w:pPr>
        <w:spacing w:after="0" w:line="225" w:lineRule="exact"/>
        <w:rPr>
          <w:rFonts w:ascii="Arial" w:cs="Arial" w:eastAsia="Arial" w:hAnsi="Arial"/>
          <w:sz w:val="18"/>
          <w:szCs w:val="18"/>
          <w:color w:val="010000"/>
        </w:rPr>
      </w:pPr>
    </w:p>
    <w:p>
      <w:pPr>
        <w:ind w:left="1300" w:firstLine="652"/>
        <w:spacing w:after="0" w:line="308" w:lineRule="auto"/>
        <w:tabs>
          <w:tab w:leader="none" w:pos="2999" w:val="left"/>
        </w:tabs>
        <w:numPr>
          <w:ilvl w:val="1"/>
          <w:numId w:val="82"/>
        </w:numPr>
        <w:rPr>
          <w:rFonts w:ascii="Arial" w:cs="Arial" w:eastAsia="Arial" w:hAnsi="Arial"/>
          <w:sz w:val="17"/>
          <w:szCs w:val="17"/>
          <w:color w:val="010000"/>
        </w:rPr>
      </w:pPr>
      <w:r>
        <w:rPr>
          <w:rFonts w:ascii="Arial" w:cs="Arial" w:eastAsia="Arial" w:hAnsi="Arial"/>
          <w:sz w:val="17"/>
          <w:szCs w:val="17"/>
          <w:color w:val="auto"/>
        </w:rPr>
        <w:t>if the resulting Borrowing is a Eurocurrency Borrowing, the Interest Period to be applicable thereto after giving effect to such election, which Interest Period shall be a period contemplated by the definition of the term “Interest Period”.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Borrower shall be deemed to have selected an Interest Period of one month’s duration.</w:t>
      </w:r>
    </w:p>
    <w:p>
      <w:pPr>
        <w:spacing w:after="0" w:line="170" w:lineRule="exact"/>
        <w:rPr>
          <w:sz w:val="20"/>
          <w:szCs w:val="20"/>
          <w:color w:val="auto"/>
        </w:rPr>
      </w:pPr>
    </w:p>
    <w:p>
      <w:pPr>
        <w:ind w:left="660" w:firstLine="644"/>
        <w:spacing w:after="0" w:line="277" w:lineRule="auto"/>
        <w:tabs>
          <w:tab w:leader="none" w:pos="2264"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010000"/>
        </w:rPr>
      </w:pPr>
    </w:p>
    <w:p>
      <w:pPr>
        <w:jc w:val="both"/>
        <w:ind w:left="660" w:firstLine="644"/>
        <w:spacing w:after="0" w:line="254" w:lineRule="auto"/>
        <w:tabs>
          <w:tab w:leader="none" w:pos="2268"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If the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Eurocurrency Borrowing and (ii) unless repaid, each Eurocurrency Borrowing shall be converted to an ABR Borrowing at the end of the Interest Period applicable thereto, but without duplication for interest payments made by the Borrower on such amount.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right="20" w:firstLine="1296"/>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 (a) The Commitment of each Lender shall automatically terminate on the earlier of (x) the Closing Date (after giving effect to the Borrowing on such date) and (y) the Commitment Termination Time.</w:t>
      </w:r>
    </w:p>
    <w:p>
      <w:pPr>
        <w:spacing w:after="0" w:line="170" w:lineRule="exact"/>
        <w:rPr>
          <w:sz w:val="20"/>
          <w:szCs w:val="20"/>
          <w:color w:val="auto"/>
        </w:rPr>
      </w:pPr>
    </w:p>
    <w:p>
      <w:pPr>
        <w:jc w:val="both"/>
        <w:ind w:left="660" w:firstLine="644"/>
        <w:spacing w:after="0" w:line="259" w:lineRule="auto"/>
        <w:tabs>
          <w:tab w:leader="none" w:pos="2278"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Mandatory</w:t>
      </w:r>
      <w:r>
        <w:rPr>
          <w:rFonts w:ascii="Arial" w:cs="Arial" w:eastAsia="Arial" w:hAnsi="Arial"/>
          <w:sz w:val="18"/>
          <w:szCs w:val="18"/>
          <w:color w:val="auto"/>
        </w:rPr>
        <w:t>. The Commitments shall automatically and immediately be reduced by 100% of the Net Cash Proceeds received by the Borrower or any Subsidiary from any Debt Issuance, Equity Issuance or Asset Sale on or after the Effective Date but prior to the Closing Date. The Borrower shall give prompt written notice to the Administrative Agent upon the receipt by the Borrower or any Subsidiary of such Net Cash Proceeds.</w:t>
      </w:r>
    </w:p>
    <w:p>
      <w:pPr>
        <w:spacing w:after="0" w:line="186" w:lineRule="exact"/>
        <w:rPr>
          <w:rFonts w:ascii="Arial" w:cs="Arial" w:eastAsia="Arial" w:hAnsi="Arial"/>
          <w:sz w:val="18"/>
          <w:szCs w:val="18"/>
          <w:color w:val="010000"/>
        </w:rPr>
      </w:pPr>
    </w:p>
    <w:p>
      <w:pPr>
        <w:ind w:left="660" w:firstLine="644"/>
        <w:spacing w:after="0" w:line="308" w:lineRule="auto"/>
        <w:tabs>
          <w:tab w:leader="none" w:pos="2416"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Voluntary</w:t>
      </w:r>
      <w:r>
        <w:rPr>
          <w:rFonts w:ascii="Arial" w:cs="Arial" w:eastAsia="Arial" w:hAnsi="Arial"/>
          <w:sz w:val="17"/>
          <w:szCs w:val="17"/>
          <w:color w:val="auto"/>
        </w:rPr>
        <w:t xml:space="preserve">. The Borrower may at any time terminate, or from time to time reduce, the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reduction of the Commitments shall be in an amount that is an integral multiple of $1,000,000 and not less than $10,000,000.</w:t>
      </w:r>
    </w:p>
    <w:p>
      <w:pPr>
        <w:spacing w:after="0" w:line="146" w:lineRule="exact"/>
        <w:rPr>
          <w:rFonts w:ascii="Arial" w:cs="Arial" w:eastAsia="Arial" w:hAnsi="Arial"/>
          <w:sz w:val="17"/>
          <w:szCs w:val="17"/>
          <w:color w:val="010000"/>
        </w:rPr>
      </w:pPr>
    </w:p>
    <w:p>
      <w:pPr>
        <w:jc w:val="both"/>
        <w:ind w:left="660" w:firstLine="644"/>
        <w:spacing w:after="0" w:line="271" w:lineRule="auto"/>
        <w:tabs>
          <w:tab w:leader="none" w:pos="2602"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 xml:space="preserve">The Borrower shall notify the Administrative Agent of any election to terminate or reduce the Commitments under paragraph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delivered by the Borrower may state that such notice is conditioned upon the effectiveness of other credit facilities or one or more other events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78"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010000"/>
        </w:rPr>
        <w:t xml:space="preserve">SECTION 2.10. </w:t>
      </w:r>
      <w:r>
        <w:rPr>
          <w:rFonts w:ascii="Arial" w:cs="Arial" w:eastAsia="Arial" w:hAnsi="Arial"/>
          <w:sz w:val="18"/>
          <w:szCs w:val="18"/>
          <w:u w:val="single" w:color="auto"/>
          <w:color w:val="000000"/>
        </w:rPr>
        <w:t>Repayment of Loans; Evidence of Indebtedness</w:t>
      </w:r>
      <w:r>
        <w:rPr>
          <w:rFonts w:ascii="Arial" w:cs="Arial" w:eastAsia="Arial" w:hAnsi="Arial"/>
          <w:sz w:val="18"/>
          <w:szCs w:val="18"/>
          <w:color w:val="000000"/>
        </w:rPr>
        <w:t>. (a) Borrower hereby unconditionally promises to pay to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for the account of each Lender the then unpaid principal amount of each Loan made on the Maturity Date.</w:t>
      </w:r>
    </w:p>
    <w:p>
      <w:pPr>
        <w:spacing w:after="0" w:line="170" w:lineRule="exact"/>
        <w:rPr>
          <w:sz w:val="20"/>
          <w:szCs w:val="20"/>
          <w:color w:val="auto"/>
        </w:rPr>
      </w:pPr>
    </w:p>
    <w:p>
      <w:pPr>
        <w:jc w:val="both"/>
        <w:ind w:left="660" w:firstLine="644"/>
        <w:spacing w:after="0" w:line="263" w:lineRule="auto"/>
        <w:tabs>
          <w:tab w:leader="none" w:pos="2305"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010000"/>
        </w:rPr>
      </w:pPr>
    </w:p>
    <w:p>
      <w:pPr>
        <w:jc w:val="both"/>
        <w:ind w:left="660" w:firstLine="644"/>
        <w:spacing w:after="0" w:line="259" w:lineRule="auto"/>
        <w:tabs>
          <w:tab w:leader="none" w:pos="228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010000"/>
        </w:rPr>
      </w:pPr>
    </w:p>
    <w:p>
      <w:pPr>
        <w:jc w:val="both"/>
        <w:ind w:left="660" w:firstLine="644"/>
        <w:spacing w:after="0" w:line="263" w:lineRule="auto"/>
        <w:tabs>
          <w:tab w:leader="none" w:pos="2264"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w:t>
      </w:r>
    </w:p>
    <w:p>
      <w:pPr>
        <w:spacing w:after="0" w:line="183" w:lineRule="exact"/>
        <w:rPr>
          <w:rFonts w:ascii="Arial" w:cs="Arial" w:eastAsia="Arial" w:hAnsi="Arial"/>
          <w:sz w:val="18"/>
          <w:szCs w:val="18"/>
          <w:color w:val="010000"/>
        </w:rPr>
      </w:pPr>
    </w:p>
    <w:p>
      <w:pPr>
        <w:jc w:val="both"/>
        <w:ind w:left="660" w:firstLine="644"/>
        <w:spacing w:after="0" w:line="257" w:lineRule="auto"/>
        <w:tabs>
          <w:tab w:leader="none" w:pos="2254"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 xml:space="preserve">Any Lender may request that Loans made by it to Borrower be evidenced by a promissory note. In such event, the Borrower shall prepare, execute and deliver to such Lender a promissory note payable to such Lender and its registered assigns and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Thereafter, the Loans evidenced by such promissory note and interest thereon shall at all times (including after assignment pursuant to Section 9.04) be represented by one or more promissory notes in such form payable to the payee named therein and its registered assigns.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180"/>
        <w:spacing w:after="0"/>
        <w:rPr>
          <w:sz w:val="20"/>
          <w:szCs w:val="20"/>
          <w:color w:val="auto"/>
        </w:rPr>
      </w:pPr>
      <w:r>
        <w:rPr>
          <w:rFonts w:ascii="Arial" w:cs="Arial" w:eastAsia="Arial" w:hAnsi="Arial"/>
          <w:sz w:val="18"/>
          <w:szCs w:val="18"/>
          <w:color w:val="010000"/>
        </w:rPr>
        <w:t xml:space="preserve">SECTION 2.11. </w:t>
      </w:r>
      <w:r>
        <w:rPr>
          <w:rFonts w:ascii="Arial" w:cs="Arial" w:eastAsia="Arial" w:hAnsi="Arial"/>
          <w:sz w:val="18"/>
          <w:szCs w:val="18"/>
          <w:u w:val="single" w:color="auto"/>
          <w:color w:val="000000"/>
        </w:rPr>
        <w:t>Prepayment of Loans</w:t>
      </w:r>
      <w:r>
        <w:rPr>
          <w:rFonts w:ascii="Arial" w:cs="Arial" w:eastAsia="Arial" w:hAnsi="Arial"/>
          <w:sz w:val="18"/>
          <w:szCs w:val="18"/>
          <w:color w:val="000000"/>
        </w:rPr>
        <w:t>.</w:t>
      </w:r>
    </w:p>
    <w:p>
      <w:pPr>
        <w:spacing w:after="0" w:line="225" w:lineRule="exact"/>
        <w:rPr>
          <w:sz w:val="20"/>
          <w:szCs w:val="20"/>
          <w:color w:val="auto"/>
        </w:rPr>
      </w:pPr>
    </w:p>
    <w:p>
      <w:pPr>
        <w:ind w:left="840" w:hanging="656"/>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Mandatory.</w:t>
      </w:r>
    </w:p>
    <w:p>
      <w:pPr>
        <w:spacing w:after="0" w:line="225" w:lineRule="exact"/>
        <w:rPr>
          <w:rFonts w:ascii="Arial" w:cs="Arial" w:eastAsia="Arial" w:hAnsi="Arial"/>
          <w:sz w:val="18"/>
          <w:szCs w:val="18"/>
          <w:color w:val="auto"/>
        </w:rPr>
      </w:pPr>
    </w:p>
    <w:p>
      <w:pPr>
        <w:jc w:val="both"/>
        <w:ind w:left="840" w:hanging="332"/>
        <w:spacing w:after="0" w:line="273" w:lineRule="auto"/>
        <w:tabs>
          <w:tab w:leader="none" w:pos="8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In the event that the Borrower or any of its Subsidiaries receives any Net Cash Proceeds arising from any Debt Issuance, Equity Issuance or Asset Sale consummated on or after the Closing Date, then the Borrower shall prepay the outstanding Loans in an amount equal to 100% of such Net Cash Proceeds not later than two Business Days following the receipt by the Borrower or such Subsidiary of such Net Cash Proceeds. The Borrower shall promptly (and in any event within one (1) Business Day of receipt) notify the Administrative Agent of the receipt by the Borrower or such Subsidiary of any such Net Cash Proceeds and the Administrative Agent will promptly notify each Lender of its receipt of each such notice.</w:t>
      </w:r>
    </w:p>
    <w:p>
      <w:pPr>
        <w:spacing w:after="0" w:line="177" w:lineRule="exact"/>
        <w:rPr>
          <w:rFonts w:ascii="Arial" w:cs="Arial" w:eastAsia="Arial" w:hAnsi="Arial"/>
          <w:sz w:val="17"/>
          <w:szCs w:val="17"/>
          <w:color w:val="auto"/>
        </w:rPr>
      </w:pPr>
    </w:p>
    <w:p>
      <w:pPr>
        <w:jc w:val="both"/>
        <w:ind w:left="840" w:hanging="332"/>
        <w:spacing w:after="0" w:line="263" w:lineRule="auto"/>
        <w:tabs>
          <w:tab w:leader="none" w:pos="8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event that the Share Repurchase shall not have been consummated by 11:59 p.m. (New York City time) on the third (3) Business Day following the Closing Date, then the Borrower shall immediately prepay 100% of the aggregate principal amount of Loans outstanding on such date.</w:t>
      </w:r>
    </w:p>
    <w:p>
      <w:pPr>
        <w:spacing w:after="0" w:line="184" w:lineRule="exact"/>
        <w:rPr>
          <w:sz w:val="20"/>
          <w:szCs w:val="20"/>
          <w:color w:val="auto"/>
        </w:rPr>
      </w:pPr>
    </w:p>
    <w:p>
      <w:pPr>
        <w:jc w:val="both"/>
        <w:ind w:left="-300" w:firstLine="808"/>
        <w:spacing w:after="0" w:line="268" w:lineRule="auto"/>
        <w:tabs>
          <w:tab w:leader="none" w:pos="89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Voluntary</w:t>
      </w:r>
      <w:r>
        <w:rPr>
          <w:rFonts w:ascii="Arial" w:cs="Arial" w:eastAsia="Arial" w:hAnsi="Arial"/>
          <w:sz w:val="17"/>
          <w:szCs w:val="17"/>
          <w:color w:val="auto"/>
        </w:rPr>
        <w:t xml:space="preserve">. Borrower shall have the right at any time and from time to time to prepay the Loans in whole or in part, without premium or penalty (but subject to break funding payments required by Section 2.16) subject to prior notice in accordance with the provisions of this Section 2.11(b). The Borrower shall notify the Administrative Agent of any prepayment hereunder (i) in the case of prepayment of a Eurocurrency Borrowing, by telephonic notice (promptly followed by written confirmation from the Borrower of such request) not later than 11:00 a.m., New York City time, three (3) Business Days before the date of prepayment or (ii) in the case of prepayment of an ABR Borrowing, by telephonic notice (promptly followed by written confirmation from the Borrower of such request) not later than 11:00 a.m., New York City time, on the date of prepayment. Each such notice from Borrower shall be irrevocable and shall specify the prepayment date and the principal amount of each Borrowing or portion thereof to be prepaid by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prepayment delivered by Borrower may state that such notice is conditioned upon the effectiveness of other credit facilities or one or more other events specified therein, in which case such notice may be revoked by the Borrower (by notice to the Administrative Agent on or prior to the specified effective date) if such condition is not satisfied. Promptly following receipt of any such notice relating to the Loans, the Administrative Agent shall advise the Lenders of the contents thereof. Each prepayment of a Borrowing shall be applied ratably to the Loans included in the prepaid Borrowing. Prepayments shall be accompanied by (i) accrued interest to the extent required by Section 2.13 and (ii) break funding payments to the extent required by Section 2.16.</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010000"/>
        </w:rPr>
        <w:t xml:space="preserve">SECTION 2.12. </w:t>
      </w:r>
      <w:r>
        <w:rPr>
          <w:rFonts w:ascii="Arial" w:cs="Arial" w:eastAsia="Arial" w:hAnsi="Arial"/>
          <w:sz w:val="18"/>
          <w:szCs w:val="18"/>
          <w:u w:val="single" w:color="auto"/>
          <w:color w:val="000000"/>
        </w:rPr>
        <w:t>Fees</w:t>
      </w:r>
      <w:r>
        <w:rPr>
          <w:rFonts w:ascii="Arial" w:cs="Arial" w:eastAsia="Arial" w:hAnsi="Arial"/>
          <w:sz w:val="18"/>
          <w:szCs w:val="18"/>
          <w:color w:val="000000"/>
        </w:rPr>
        <w:t>.</w:t>
      </w:r>
    </w:p>
    <w:p>
      <w:pPr>
        <w:spacing w:after="0" w:line="225" w:lineRule="exact"/>
        <w:rPr>
          <w:sz w:val="20"/>
          <w:szCs w:val="20"/>
          <w:color w:val="auto"/>
        </w:rPr>
      </w:pPr>
    </w:p>
    <w:p>
      <w:pPr>
        <w:ind w:left="840" w:hanging="656"/>
        <w:spacing w:after="0"/>
        <w:tabs>
          <w:tab w:leader="none" w:pos="8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Loans have not been repaid in full in cash on or prior to:</w:t>
      </w:r>
    </w:p>
    <w:p>
      <w:pPr>
        <w:spacing w:after="0" w:line="225" w:lineRule="exact"/>
        <w:rPr>
          <w:rFonts w:ascii="Arial" w:cs="Arial" w:eastAsia="Arial" w:hAnsi="Arial"/>
          <w:sz w:val="18"/>
          <w:szCs w:val="18"/>
          <w:color w:val="auto"/>
        </w:rPr>
      </w:pPr>
    </w:p>
    <w:p>
      <w:pPr>
        <w:jc w:val="both"/>
        <w:ind w:left="180" w:firstLine="652"/>
        <w:spacing w:after="0" w:line="263" w:lineRule="auto"/>
        <w:tabs>
          <w:tab w:leader="none" w:pos="1672" w:val="left"/>
        </w:tabs>
        <w:numPr>
          <w:ilvl w:val="1"/>
          <w:numId w:val="88"/>
        </w:numPr>
        <w:rPr>
          <w:rFonts w:ascii="Arial" w:cs="Arial" w:eastAsia="Arial" w:hAnsi="Arial"/>
          <w:sz w:val="18"/>
          <w:szCs w:val="18"/>
          <w:color w:val="010000"/>
        </w:rPr>
      </w:pPr>
      <w:r>
        <w:rPr>
          <w:rFonts w:ascii="Arial" w:cs="Arial" w:eastAsia="Arial" w:hAnsi="Arial"/>
          <w:sz w:val="18"/>
          <w:szCs w:val="18"/>
          <w:color w:val="auto"/>
        </w:rPr>
        <w:t>September 18, 2020, the Borrower shall pay on such date to the Administrative Agent for the account of each Lender in accordance with its Applicable Percentage of Loans a fully earned and non-refundable duration fee in an amount equal to 0.50% of the aggregate principal amount of Loans outstanding;</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93" w:name="page94"/>
    <w:bookmarkEnd w:id="93"/>
    <w:p>
      <w:pPr>
        <w:jc w:val="both"/>
        <w:ind w:left="1300" w:firstLine="652"/>
        <w:spacing w:after="0" w:line="224" w:lineRule="auto"/>
        <w:tabs>
          <w:tab w:leader="none" w:pos="3040"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Closing Date, the Borrower shall pay on such date to the Administrative Agent for the account of each Lender in accordance with its Applicable Percentage of Loans a fully earned and non-refundable duration fee in an amount equal to 0.75% of the aggregate principal amount of Loans outstanding; and</w:t>
      </w:r>
    </w:p>
    <w:p>
      <w:pPr>
        <w:spacing w:after="0" w:line="206" w:lineRule="exact"/>
        <w:rPr>
          <w:rFonts w:ascii="Arial" w:cs="Arial" w:eastAsia="Arial" w:hAnsi="Arial"/>
          <w:sz w:val="18"/>
          <w:szCs w:val="18"/>
          <w:color w:val="010000"/>
        </w:rPr>
      </w:pPr>
    </w:p>
    <w:p>
      <w:pPr>
        <w:jc w:val="both"/>
        <w:ind w:left="1300" w:firstLine="652"/>
        <w:spacing w:after="0" w:line="224" w:lineRule="auto"/>
        <w:tabs>
          <w:tab w:leader="none" w:pos="3032" w:val="left"/>
        </w:tabs>
        <w:numPr>
          <w:ilvl w:val="1"/>
          <w:numId w:val="89"/>
        </w:numPr>
        <w:rPr>
          <w:rFonts w:ascii="Arial" w:cs="Arial" w:eastAsia="Arial" w:hAnsi="Arial"/>
          <w:sz w:val="18"/>
          <w:szCs w:val="18"/>
          <w:color w:val="010000"/>
        </w:rPr>
      </w:pPr>
      <w:r>
        <w:rPr>
          <w:rFonts w:ascii="Arial" w:cs="Arial" w:eastAsia="Arial" w:hAnsi="Arial"/>
          <w:sz w:val="18"/>
          <w:szCs w:val="18"/>
          <w:color w:val="auto"/>
        </w:rPr>
        <w:t>the 270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Closing Date, the Borrower shall pay on such date to the Administrative Agent for the account of each Lender in accordance with its Applicable Percentage of Loans a fully earned and non-refundable duration fee in an amount equal to 1.00% of the aggregate principal amount of Loans outstanding.</w:t>
      </w:r>
    </w:p>
    <w:p>
      <w:pPr>
        <w:spacing w:after="0" w:line="203" w:lineRule="exact"/>
        <w:rPr>
          <w:rFonts w:ascii="Arial" w:cs="Arial" w:eastAsia="Arial" w:hAnsi="Arial"/>
          <w:sz w:val="18"/>
          <w:szCs w:val="18"/>
          <w:color w:val="010000"/>
        </w:rPr>
      </w:pPr>
    </w:p>
    <w:p>
      <w:pPr>
        <w:ind w:left="660" w:firstLine="644"/>
        <w:spacing w:after="0" w:line="277" w:lineRule="auto"/>
        <w:tabs>
          <w:tab w:leader="none" w:pos="2147"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 from time to time.</w:t>
      </w:r>
    </w:p>
    <w:p>
      <w:pPr>
        <w:spacing w:after="0" w:line="170" w:lineRule="exact"/>
        <w:rPr>
          <w:rFonts w:ascii="Arial" w:cs="Arial" w:eastAsia="Arial" w:hAnsi="Arial"/>
          <w:sz w:val="18"/>
          <w:szCs w:val="18"/>
          <w:color w:val="010000"/>
        </w:rPr>
      </w:pPr>
    </w:p>
    <w:p>
      <w:pPr>
        <w:ind w:left="660" w:firstLine="644"/>
        <w:spacing w:after="0" w:line="342" w:lineRule="auto"/>
        <w:tabs>
          <w:tab w:leader="none" w:pos="2124" w:val="left"/>
        </w:tabs>
        <w:numPr>
          <w:ilvl w:val="0"/>
          <w:numId w:val="90"/>
        </w:numPr>
        <w:rPr>
          <w:rFonts w:ascii="Arial" w:cs="Arial" w:eastAsia="Arial" w:hAnsi="Arial"/>
          <w:sz w:val="16"/>
          <w:szCs w:val="16"/>
          <w:color w:val="010000"/>
        </w:rPr>
      </w:pPr>
      <w:r>
        <w:rPr>
          <w:rFonts w:ascii="Arial" w:cs="Arial" w:eastAsia="Arial" w:hAnsi="Arial"/>
          <w:sz w:val="16"/>
          <w:szCs w:val="16"/>
          <w:color w:val="auto"/>
        </w:rPr>
        <w:t>All fees payable hereunder shall be paid on the dates due, in Dollars and immediately available funds, to the Administrative Agent for distribution, in the case of duration fees, to the Lenders. Fees paid shall not be refundable under any circumstances.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 xml:space="preserve">SECTION 2.13. </w:t>
      </w:r>
      <w:r>
        <w:rPr>
          <w:rFonts w:ascii="Arial" w:cs="Arial" w:eastAsia="Arial" w:hAnsi="Arial"/>
          <w:sz w:val="17"/>
          <w:szCs w:val="17"/>
          <w:u w:val="single" w:color="auto"/>
          <w:color w:val="000000"/>
        </w:rPr>
        <w:t>Interest</w:t>
      </w:r>
      <w:r>
        <w:rPr>
          <w:rFonts w:ascii="Arial" w:cs="Arial" w:eastAsia="Arial" w:hAnsi="Arial"/>
          <w:sz w:val="17"/>
          <w:szCs w:val="17"/>
          <w:color w:val="000000"/>
        </w:rPr>
        <w:t>. (a) The Loans comprising each ABR Borrowing shall bear interest at the Alternate Base Rate plus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Rate.</w:t>
      </w:r>
    </w:p>
    <w:p>
      <w:pPr>
        <w:spacing w:after="0" w:line="211" w:lineRule="exact"/>
        <w:rPr>
          <w:sz w:val="20"/>
          <w:szCs w:val="20"/>
          <w:color w:val="auto"/>
        </w:rPr>
      </w:pPr>
    </w:p>
    <w:p>
      <w:pPr>
        <w:ind w:left="2000" w:hanging="696"/>
        <w:spacing w:after="0"/>
        <w:tabs>
          <w:tab w:leader="none" w:pos="2000"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A Eurocurrency Loan shall bear interest at the Adjusted LIBO Rate for the Interest Period in effect plus the Applicable Rate.</w:t>
      </w:r>
    </w:p>
    <w:p>
      <w:pPr>
        <w:spacing w:after="0" w:line="248" w:lineRule="exact"/>
        <w:rPr>
          <w:rFonts w:ascii="Arial" w:cs="Arial" w:eastAsia="Arial" w:hAnsi="Arial"/>
          <w:sz w:val="16"/>
          <w:szCs w:val="16"/>
          <w:color w:val="010000"/>
        </w:rPr>
      </w:pPr>
    </w:p>
    <w:p>
      <w:pPr>
        <w:jc w:val="both"/>
        <w:ind w:left="660" w:firstLine="644"/>
        <w:spacing w:after="0" w:line="257" w:lineRule="auto"/>
        <w:tabs>
          <w:tab w:leader="none" w:pos="2043"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87" w:lineRule="exact"/>
        <w:rPr>
          <w:rFonts w:ascii="Arial" w:cs="Arial" w:eastAsia="Arial" w:hAnsi="Arial"/>
          <w:sz w:val="18"/>
          <w:szCs w:val="18"/>
          <w:color w:val="010000"/>
        </w:rPr>
      </w:pPr>
    </w:p>
    <w:p>
      <w:pPr>
        <w:jc w:val="both"/>
        <w:ind w:left="660" w:firstLine="644"/>
        <w:spacing w:after="0" w:line="275" w:lineRule="auto"/>
        <w:tabs>
          <w:tab w:leader="none" w:pos="2026" w:val="left"/>
        </w:tabs>
        <w:numPr>
          <w:ilvl w:val="0"/>
          <w:numId w:val="91"/>
        </w:numPr>
        <w:rPr>
          <w:rFonts w:ascii="Arial" w:cs="Arial" w:eastAsia="Arial" w:hAnsi="Arial"/>
          <w:sz w:val="17"/>
          <w:szCs w:val="17"/>
          <w:color w:val="010000"/>
        </w:rPr>
      </w:pPr>
      <w:r>
        <w:rPr>
          <w:rFonts w:ascii="Arial" w:cs="Arial" w:eastAsia="Arial" w:hAnsi="Arial"/>
          <w:sz w:val="17"/>
          <w:szCs w:val="17"/>
          <w:color w:val="auto"/>
        </w:rPr>
        <w:t xml:space="preserve">Accrued interest on each Loan shall be payable in arrears on each Interest Payment Date for such Loan and upon termination of the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shall be payable by the Borrower on demand, (ii) in the event of any repayment or prepayment of any Loan, accrued interest on the principal amount repaid or prepaid shall be payable on the date of such repayment or prepayment and (iii) in the event of any conversion of a Eurocurrency Loan prior to the end of the current Interest Period therefor, accrued interest on such Loan shall be payable on the effective date of such conversion.</w:t>
      </w:r>
    </w:p>
    <w:p>
      <w:pPr>
        <w:spacing w:after="0" w:line="176" w:lineRule="exact"/>
        <w:rPr>
          <w:rFonts w:ascii="Arial" w:cs="Arial" w:eastAsia="Arial" w:hAnsi="Arial"/>
          <w:sz w:val="17"/>
          <w:szCs w:val="17"/>
          <w:color w:val="010000"/>
        </w:rPr>
      </w:pPr>
    </w:p>
    <w:p>
      <w:pPr>
        <w:jc w:val="both"/>
        <w:ind w:left="660" w:firstLine="644"/>
        <w:spacing w:after="0" w:line="259" w:lineRule="auto"/>
        <w:tabs>
          <w:tab w:leader="none" w:pos="2083"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The applicable Alternate Base Rate, Adjusted LIBO Rate or LIBO Rate shall be determined by the Administrative Agent, and such determination shall be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010000"/>
        </w:rPr>
        <w:t xml:space="preserve">SECTION 2.14. </w:t>
      </w:r>
      <w:r>
        <w:rPr>
          <w:rFonts w:ascii="Arial" w:cs="Arial" w:eastAsia="Arial" w:hAnsi="Arial"/>
          <w:sz w:val="18"/>
          <w:szCs w:val="18"/>
          <w:u w:val="single" w:color="auto"/>
          <w:color w:val="000000"/>
        </w:rPr>
        <w:t>Alternate Rate of Interest</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4"/>
        <w:spacing w:after="0" w:line="288" w:lineRule="auto"/>
        <w:tabs>
          <w:tab w:leader="none" w:pos="2218" w:val="left"/>
        </w:tabs>
        <w:numPr>
          <w:ilvl w:val="0"/>
          <w:numId w:val="92"/>
        </w:numPr>
        <w:rPr>
          <w:rFonts w:ascii="Arial" w:cs="Arial" w:eastAsia="Arial" w:hAnsi="Arial"/>
          <w:sz w:val="16"/>
          <w:szCs w:val="16"/>
          <w:color w:val="010000"/>
        </w:rPr>
      </w:pPr>
      <w:r>
        <w:rPr>
          <w:rFonts w:ascii="Arial" w:cs="Arial" w:eastAsia="Arial" w:hAnsi="Arial"/>
          <w:sz w:val="16"/>
          <w:szCs w:val="16"/>
          <w:color w:val="auto"/>
        </w:rPr>
        <w:t xml:space="preserve">If at the time that the Administrative Agent shall seek to determine the LIBOR Screen Rate for any Interest Period for a Eurocurrency Borrowing the LIBOR Screen Rate shall not be available for such Interest Period for any reason, and the Administrative Agent shall reasonably determine that it is not possible to determine the Interpolated Rate (which conclusion shall be conclusive and binding absent manifest error), then the Reference Bank Rate shall be the LIBO Rate for such Interest Period for such Eurocurrency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Reference Bank Rate shall be less than zero, such rate shall be deemed to be zero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however, that if less than two Reference Banks shall supply a rate to the Administrative Agent for purposes of determining the LIBO Rate for such Eurocurrency Borrowing, such Borrowing shall be made as an ABR Borrowing at the Alternate Base Rate. It is hereby understood and agreed that, notwithstanding anything to the foregoing set forth in this Section 2.14(a), if at any time the conditions set forth in Section 2.14(c)(i) or (ii) are in effect, the provisions of this Section 2.14(a) shall no longer be applicable for any purpose of determining any alternative rate of interest under this Agreement and Section 2.14(c) shall instead be applicable for all purposes of determining any alternative rate of interest under this Agreement.</w:t>
      </w:r>
    </w:p>
    <w:p>
      <w:pPr>
        <w:spacing w:after="0" w:line="168" w:lineRule="exact"/>
        <w:rPr>
          <w:rFonts w:ascii="Arial" w:cs="Arial" w:eastAsia="Arial" w:hAnsi="Arial"/>
          <w:sz w:val="16"/>
          <w:szCs w:val="16"/>
          <w:color w:val="010000"/>
        </w:rPr>
      </w:pPr>
    </w:p>
    <w:p>
      <w:pPr>
        <w:ind w:left="2000" w:hanging="696"/>
        <w:spacing w:after="0"/>
        <w:tabs>
          <w:tab w:leader="none" w:pos="20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If prior to the commencement of any Interest Period for a Eurocurrency Borrowing:</w:t>
      </w:r>
    </w:p>
    <w:p>
      <w:pPr>
        <w:spacing w:after="0" w:line="225" w:lineRule="exact"/>
        <w:rPr>
          <w:rFonts w:ascii="Arial" w:cs="Arial" w:eastAsia="Arial" w:hAnsi="Arial"/>
          <w:sz w:val="18"/>
          <w:szCs w:val="18"/>
          <w:color w:val="010000"/>
        </w:rPr>
      </w:pPr>
    </w:p>
    <w:p>
      <w:pPr>
        <w:jc w:val="both"/>
        <w:ind w:left="1300" w:firstLine="652"/>
        <w:spacing w:after="0" w:line="259" w:lineRule="auto"/>
        <w:tabs>
          <w:tab w:leader="none" w:pos="2927"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(including because the LIBOR Screen Rate is not available or published on a current basis), for a Loan in the applicable currency or for the applicable Interest Period; or</w:t>
      </w:r>
    </w:p>
    <w:p>
      <w:pPr>
        <w:spacing w:after="0" w:line="186" w:lineRule="exact"/>
        <w:rPr>
          <w:rFonts w:ascii="Arial" w:cs="Arial" w:eastAsia="Arial" w:hAnsi="Arial"/>
          <w:sz w:val="18"/>
          <w:szCs w:val="18"/>
          <w:color w:val="010000"/>
        </w:rPr>
      </w:pPr>
    </w:p>
    <w:p>
      <w:pPr>
        <w:jc w:val="both"/>
        <w:ind w:left="1300" w:firstLine="652"/>
        <w:spacing w:after="0" w:line="263" w:lineRule="auto"/>
        <w:tabs>
          <w:tab w:leader="none" w:pos="2959"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the Administrative Agent is advised by the Required Lenders that the Adjusted LIBO Rate or the LIBO Rate, as applicable, for a Loan in the applicable currency or for the applicable Interest Period will not adequately and fairly reflect the cost to such Lenders of making or maintaining their Loans included in such Borrowing for such Interest Period;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Eurocurrency Borrowing for the applicable Interest Period, as the case may be, shall be ineffective, (ii) if any Borrowing Request requests a Eurocurrency Borrowing, such Borrowing shall be made as an ABR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affect only one Type of Borrowings, then the other Type of Borrowings shall be permitted.</w:t>
      </w:r>
    </w:p>
    <w:p>
      <w:pPr>
        <w:spacing w:after="0" w:line="192" w:lineRule="exact"/>
        <w:rPr>
          <w:sz w:val="20"/>
          <w:szCs w:val="20"/>
          <w:color w:val="auto"/>
        </w:rPr>
      </w:pPr>
    </w:p>
    <w:p>
      <w:pPr>
        <w:jc w:val="both"/>
        <w:ind w:left="660" w:firstLine="644"/>
        <w:spacing w:after="0" w:line="290" w:lineRule="auto"/>
        <w:tabs>
          <w:tab w:leader="none" w:pos="2286"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Notwithstanding anything to the contrary herein or in any other Loan Document, upon the occurrence of a 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the LIBO Rate with a Benchmark Replacement pursuant to this Section 2.14 will occur prior to the applicable Benchmark Transition Start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left="660" w:firstLine="644"/>
        <w:spacing w:after="0" w:line="259" w:lineRule="auto"/>
        <w:tabs>
          <w:tab w:leader="none" w:pos="2147"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010000"/>
        </w:rPr>
      </w:pPr>
    </w:p>
    <w:p>
      <w:pPr>
        <w:jc w:val="both"/>
        <w:ind w:left="660" w:firstLine="644"/>
        <w:spacing w:after="0" w:line="271" w:lineRule="auto"/>
        <w:tabs>
          <w:tab w:leader="none" w:pos="2043" w:val="left"/>
        </w:tabs>
        <w:numPr>
          <w:ilvl w:val="0"/>
          <w:numId w:val="94"/>
        </w:numPr>
        <w:rPr>
          <w:rFonts w:ascii="Arial" w:cs="Arial" w:eastAsia="Arial" w:hAnsi="Arial"/>
          <w:sz w:val="17"/>
          <w:szCs w:val="17"/>
          <w:color w:val="010000"/>
        </w:rPr>
      </w:pPr>
      <w:r>
        <w:rPr>
          <w:rFonts w:ascii="Arial" w:cs="Arial" w:eastAsia="Arial" w:hAnsi="Arial"/>
          <w:sz w:val="17"/>
          <w:szCs w:val="17"/>
          <w:color w:val="auto"/>
        </w:rPr>
        <w:t>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78" w:lineRule="exact"/>
        <w:rPr>
          <w:rFonts w:ascii="Arial" w:cs="Arial" w:eastAsia="Arial" w:hAnsi="Arial"/>
          <w:sz w:val="17"/>
          <w:szCs w:val="17"/>
          <w:color w:val="010000"/>
        </w:rPr>
      </w:pPr>
    </w:p>
    <w:p>
      <w:pPr>
        <w:jc w:val="both"/>
        <w:ind w:left="660" w:firstLine="644"/>
        <w:spacing w:after="0" w:line="257" w:lineRule="auto"/>
        <w:tabs>
          <w:tab w:leader="none" w:pos="2068"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Alternate Base Rate based upon the LIBO Rate will not be used in any determination of Alternate Base Rate.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2.15. </w:t>
      </w:r>
      <w:r>
        <w:rPr>
          <w:rFonts w:ascii="Arial" w:cs="Arial" w:eastAsia="Arial" w:hAnsi="Arial"/>
          <w:sz w:val="18"/>
          <w:szCs w:val="18"/>
          <w:u w:val="single" w:color="auto"/>
          <w:color w:val="000000"/>
        </w:rPr>
        <w:t>Increased Costs</w:t>
      </w:r>
      <w:r>
        <w:rPr>
          <w:rFonts w:ascii="Arial" w:cs="Arial" w:eastAsia="Arial" w:hAnsi="Arial"/>
          <w:sz w:val="18"/>
          <w:szCs w:val="18"/>
          <w:color w:val="000000"/>
        </w:rPr>
        <w:t>. (a) If any Change in Law shall:</w:t>
      </w:r>
    </w:p>
    <w:p>
      <w:pPr>
        <w:spacing w:after="0" w:line="225" w:lineRule="exact"/>
        <w:rPr>
          <w:sz w:val="20"/>
          <w:szCs w:val="20"/>
          <w:color w:val="auto"/>
        </w:rPr>
      </w:pPr>
    </w:p>
    <w:p>
      <w:pPr>
        <w:jc w:val="both"/>
        <w:ind w:left="1300" w:firstLine="652"/>
        <w:spacing w:after="0" w:line="286" w:lineRule="auto"/>
        <w:tabs>
          <w:tab w:leader="none" w:pos="3008"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w:t>
      </w:r>
    </w:p>
    <w:p>
      <w:pPr>
        <w:spacing w:after="0" w:line="165" w:lineRule="exact"/>
        <w:rPr>
          <w:rFonts w:ascii="Arial" w:cs="Arial" w:eastAsia="Arial" w:hAnsi="Arial"/>
          <w:sz w:val="17"/>
          <w:szCs w:val="17"/>
          <w:color w:val="010000"/>
        </w:rPr>
      </w:pPr>
    </w:p>
    <w:p>
      <w:pPr>
        <w:ind w:left="1300" w:firstLine="652"/>
        <w:spacing w:after="0" w:line="277" w:lineRule="auto"/>
        <w:tabs>
          <w:tab w:leader="none" w:pos="3013"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impose on any Lender or the London interbank market any other condition, cost or expense (other than Taxes) affecting this Agreement or Loans made by such Lender; or</w:t>
      </w:r>
    </w:p>
    <w:p>
      <w:pPr>
        <w:spacing w:after="0" w:line="170" w:lineRule="exact"/>
        <w:rPr>
          <w:rFonts w:ascii="Arial" w:cs="Arial" w:eastAsia="Arial" w:hAnsi="Arial"/>
          <w:sz w:val="18"/>
          <w:szCs w:val="18"/>
          <w:color w:val="010000"/>
        </w:rPr>
      </w:pPr>
    </w:p>
    <w:p>
      <w:pPr>
        <w:jc w:val="both"/>
        <w:ind w:left="1300" w:firstLine="652"/>
        <w:spacing w:after="0" w:line="263" w:lineRule="auto"/>
        <w:tabs>
          <w:tab w:leader="none" w:pos="2816"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or such other Recipient or to reduce the amount of any sum received or receivable by such Lender,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under agreements having provisions similar to this Section 2.15, after consideration of such factors as the Administrative Agent or such Lender then reasonably determines to be relevant).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left="660" w:firstLine="644"/>
        <w:spacing w:after="0" w:line="269" w:lineRule="auto"/>
        <w:tabs>
          <w:tab w:leader="none" w:pos="2107" w:val="left"/>
        </w:tabs>
        <w:numPr>
          <w:ilvl w:val="0"/>
          <w:numId w:val="96"/>
        </w:numPr>
        <w:rPr>
          <w:rFonts w:ascii="Arial" w:cs="Arial" w:eastAsia="Arial" w:hAnsi="Arial"/>
          <w:sz w:val="17"/>
          <w:szCs w:val="17"/>
          <w:color w:val="010000"/>
        </w:rPr>
      </w:pPr>
      <w:r>
        <w:rPr>
          <w:rFonts w:ascii="Arial" w:cs="Arial" w:eastAsia="Arial" w:hAnsi="Arial"/>
          <w:sz w:val="17"/>
          <w:szCs w:val="17"/>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Section 2.15, after consideration of such factors as the Administrative Agent or such Lender, as applicable, then reasonably determines to be relevant).</w:t>
      </w:r>
    </w:p>
    <w:p>
      <w:pPr>
        <w:spacing w:after="0" w:line="185" w:lineRule="exact"/>
        <w:rPr>
          <w:rFonts w:ascii="Arial" w:cs="Arial" w:eastAsia="Arial" w:hAnsi="Arial"/>
          <w:sz w:val="17"/>
          <w:szCs w:val="17"/>
          <w:color w:val="010000"/>
        </w:rPr>
      </w:pPr>
    </w:p>
    <w:p>
      <w:pPr>
        <w:jc w:val="both"/>
        <w:ind w:left="660" w:firstLine="644"/>
        <w:spacing w:after="0" w:line="259" w:lineRule="auto"/>
        <w:tabs>
          <w:tab w:leader="none" w:pos="2137"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A certificate of a Lender setting forth, in reasonable detail, the basis and calculation of the amount or amounts necessary to compensate such Lender or its respective holding company, as the case may be, as specified in paragraph (a) or (b) of this Section shall be delivered to the Borrower and shall be conclusive absent manifest error. The Borrower shall pay such Lender the amount shown as due on any such certificate within thirty (30) days after receipt thereof.</w:t>
      </w:r>
    </w:p>
    <w:p>
      <w:pPr>
        <w:spacing w:after="0" w:line="186" w:lineRule="exact"/>
        <w:rPr>
          <w:rFonts w:ascii="Arial" w:cs="Arial" w:eastAsia="Arial" w:hAnsi="Arial"/>
          <w:sz w:val="18"/>
          <w:szCs w:val="18"/>
          <w:color w:val="010000"/>
        </w:rPr>
      </w:pPr>
    </w:p>
    <w:p>
      <w:pPr>
        <w:jc w:val="both"/>
        <w:ind w:left="660" w:firstLine="644"/>
        <w:spacing w:after="0" w:line="255" w:lineRule="auto"/>
        <w:tabs>
          <w:tab w:leader="none" w:pos="2012"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120 days prior to the date that such Lender notifies the Borrower of the Change in Law giving rise to such increased costs or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9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 xml:space="preserve">SECTION 2.16. </w:t>
      </w:r>
      <w:r>
        <w:rPr>
          <w:rFonts w:ascii="Arial" w:cs="Arial" w:eastAsia="Arial" w:hAnsi="Arial"/>
          <w:sz w:val="16"/>
          <w:szCs w:val="16"/>
          <w:u w:val="single" w:color="auto"/>
          <w:color w:val="000000"/>
        </w:rPr>
        <w:t>Break Funding Payments</w:t>
      </w:r>
      <w:r>
        <w:rPr>
          <w:rFonts w:ascii="Arial" w:cs="Arial" w:eastAsia="Arial" w:hAnsi="Arial"/>
          <w:sz w:val="16"/>
          <w:szCs w:val="16"/>
          <w:color w:val="000000"/>
        </w:rPr>
        <w:t>. In the event of (a) the payment of any principal of any Eurocurrency Loan other than on the</w:t>
      </w:r>
      <w:r>
        <w:rPr>
          <w:rFonts w:ascii="Arial" w:cs="Arial" w:eastAsia="Arial" w:hAnsi="Arial"/>
          <w:sz w:val="16"/>
          <w:szCs w:val="16"/>
          <w:color w:val="010000"/>
        </w:rPr>
        <w:t xml:space="preserve"> </w:t>
      </w:r>
      <w:r>
        <w:rPr>
          <w:rFonts w:ascii="Arial" w:cs="Arial" w:eastAsia="Arial" w:hAnsi="Arial"/>
          <w:sz w:val="16"/>
          <w:szCs w:val="16"/>
          <w:color w:val="000000"/>
        </w:rPr>
        <w:t>last day of an Interest Period applicable thereto (including as a result of an Event of Default or as a result of any prepayment pursuant to Section 2.11),</w:t>
      </w:r>
    </w:p>
    <w:p>
      <w:pPr>
        <w:jc w:val="both"/>
        <w:ind w:firstLine="8"/>
        <w:spacing w:after="0" w:line="266" w:lineRule="auto"/>
        <w:tabs>
          <w:tab w:leader="none" w:pos="258"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2.11 and is revoked in accordance therewith) or (d) the assignment of any Eurocurrency Loan other than on the last day of the Interest Period applicable thereto as a result of a request by the Borrower pursuant to Section 2.19 or 9.02(d), then, in any such event, the Borrower shall compensate each Lender for the loss, cost and expense attributable to such event (other than loss of anticipated profits).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of a comparable amount and period from other banks in the eurocurrency market. A certificate of any Lender setting forth any amount or amounts that such Lender is entitled to receive pursuant to this Section, and setting forth in reasonable detail the calculations used by such Lender to determine such amount or amounts, shall be delivered to the Borrower and shall be conclusive absent manifest error. The Borrower shall pay such Lender the amount shown as due on any such certificate within thirty (30) days after receipt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shall not be required to compensate a Lender pursuant to this Section for any amounts under this Section 2.16 incurred more than 120 days prior to the date that such Lender notifies Borrower of such amount and of such Lender’s intention to claim compensation therefor.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1296"/>
        <w:spacing w:after="0" w:line="254" w:lineRule="auto"/>
        <w:rPr>
          <w:sz w:val="20"/>
          <w:szCs w:val="20"/>
          <w:color w:val="auto"/>
        </w:rPr>
      </w:pPr>
      <w:r>
        <w:rPr>
          <w:rFonts w:ascii="Arial" w:cs="Arial" w:eastAsia="Arial" w:hAnsi="Arial"/>
          <w:sz w:val="18"/>
          <w:szCs w:val="18"/>
          <w:color w:val="010000"/>
        </w:rPr>
        <w:t xml:space="preserve">SECTION 2.17. </w:t>
      </w:r>
      <w:r>
        <w:rPr>
          <w:rFonts w:ascii="Arial" w:cs="Arial" w:eastAsia="Arial" w:hAnsi="Arial"/>
          <w:sz w:val="18"/>
          <w:szCs w:val="18"/>
          <w:u w:val="single" w:color="auto"/>
          <w:color w:val="000000"/>
        </w:rPr>
        <w:t>Taxes</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Payments Free of Taxes</w:t>
      </w:r>
      <w:r>
        <w:rPr>
          <w:rFonts w:ascii="Arial" w:cs="Arial" w:eastAsia="Arial" w:hAnsi="Arial"/>
          <w:sz w:val="18"/>
          <w:szCs w:val="18"/>
          <w:color w:val="000000"/>
        </w:rPr>
        <w:t>. Any and all payments by or on account of any obligation under any Loan Document</w:t>
      </w:r>
      <w:r>
        <w:rPr>
          <w:rFonts w:ascii="Arial" w:cs="Arial" w:eastAsia="Arial" w:hAnsi="Arial"/>
          <w:sz w:val="18"/>
          <w:szCs w:val="18"/>
          <w:color w:val="010000"/>
        </w:rPr>
        <w:t xml:space="preserve"> </w:t>
      </w:r>
      <w:r>
        <w:rPr>
          <w:rFonts w:ascii="Arial" w:cs="Arial" w:eastAsia="Arial" w:hAnsi="Arial"/>
          <w:sz w:val="18"/>
          <w:szCs w:val="18"/>
          <w:color w:val="000000"/>
        </w:rPr>
        <w:t>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spacing w:after="0" w:line="192" w:lineRule="exact"/>
        <w:rPr>
          <w:sz w:val="20"/>
          <w:szCs w:val="20"/>
          <w:color w:val="auto"/>
        </w:rPr>
      </w:pPr>
    </w:p>
    <w:p>
      <w:pPr>
        <w:ind w:firstLine="1304"/>
        <w:spacing w:after="0" w:line="277" w:lineRule="auto"/>
        <w:tabs>
          <w:tab w:leader="none" w:pos="2014"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010000"/>
        </w:rPr>
      </w:pPr>
    </w:p>
    <w:p>
      <w:pPr>
        <w:jc w:val="both"/>
        <w:ind w:firstLine="1304"/>
        <w:spacing w:after="0" w:line="257" w:lineRule="auto"/>
        <w:tabs>
          <w:tab w:leader="none" w:pos="2049"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or by the Administrative Agent to a Governmental Authority pursuant to this Section 2.17, such Loan Party shall deliver to the Administrative Agent or the Administrative Agent shall deliver to the Borrower, as the case may be, the original or a certified copy of a receipt issued by such Governmental Authority evidencing such payment, a copy of the return reporting such payment or other evidence of such payment reasonably satisfactory to the Administrative Agent or the applicable Loan Party, as the case may be.</w:t>
      </w:r>
    </w:p>
    <w:p>
      <w:pPr>
        <w:spacing w:after="0" w:line="187" w:lineRule="exact"/>
        <w:rPr>
          <w:rFonts w:ascii="Arial" w:cs="Arial" w:eastAsia="Arial" w:hAnsi="Arial"/>
          <w:sz w:val="18"/>
          <w:szCs w:val="18"/>
          <w:color w:val="010000"/>
        </w:rPr>
      </w:pPr>
    </w:p>
    <w:p>
      <w:pPr>
        <w:jc w:val="both"/>
        <w:ind w:firstLine="1304"/>
        <w:spacing w:after="0" w:line="254" w:lineRule="auto"/>
        <w:tabs>
          <w:tab w:leader="none" w:pos="2000" w:val="left"/>
        </w:tabs>
        <w:numPr>
          <w:ilvl w:val="0"/>
          <w:numId w:val="98"/>
        </w:numPr>
        <w:rPr>
          <w:rFonts w:ascii="Arial" w:cs="Arial" w:eastAsia="Arial" w:hAnsi="Arial"/>
          <w:sz w:val="18"/>
          <w:szCs w:val="18"/>
          <w:color w:val="010000"/>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each Recipient, within 10 days after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setting forth in reasonable detail the basis and calculation of the amount of such payment or liability delivered to the Borrower by a Lender (with a copy to the Administrative Agent), or by the Administrative Agent on its own behalf or on behalf of a Lender, shall be conclusive absent manifest error.</w:t>
      </w:r>
    </w:p>
    <w:p>
      <w:pPr>
        <w:spacing w:after="0" w:line="194" w:lineRule="exact"/>
        <w:rPr>
          <w:rFonts w:ascii="Arial" w:cs="Arial" w:eastAsia="Arial" w:hAnsi="Arial"/>
          <w:sz w:val="18"/>
          <w:szCs w:val="18"/>
          <w:color w:val="010000"/>
        </w:rPr>
      </w:pPr>
    </w:p>
    <w:p>
      <w:pPr>
        <w:jc w:val="both"/>
        <w:ind w:firstLine="1304"/>
        <w:spacing w:after="0" w:line="269" w:lineRule="auto"/>
        <w:tabs>
          <w:tab w:leader="none" w:pos="2017" w:val="left"/>
        </w:tabs>
        <w:numPr>
          <w:ilvl w:val="0"/>
          <w:numId w:val="98"/>
        </w:numPr>
        <w:rPr>
          <w:rFonts w:ascii="Arial" w:cs="Arial" w:eastAsia="Arial" w:hAnsi="Arial"/>
          <w:sz w:val="17"/>
          <w:szCs w:val="17"/>
          <w:color w:val="010000"/>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1304"/>
        <w:spacing w:after="0" w:line="269" w:lineRule="auto"/>
        <w:tabs>
          <w:tab w:leader="none" w:pos="2443" w:val="left"/>
        </w:tabs>
        <w:numPr>
          <w:ilvl w:val="0"/>
          <w:numId w:val="99"/>
        </w:numPr>
        <w:rPr>
          <w:rFonts w:ascii="Arial" w:cs="Arial" w:eastAsia="Arial" w:hAnsi="Arial"/>
          <w:sz w:val="17"/>
          <w:szCs w:val="17"/>
          <w:color w:val="010000"/>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(it being understood that the Borrower shall be given a reasonable opportunity to reimburse such Lender with respect to such cost or expense) or would materially prejudice the legal or commercial position of such Lender.</w:t>
      </w:r>
    </w:p>
    <w:p>
      <w:pPr>
        <w:spacing w:after="0" w:line="181" w:lineRule="exact"/>
        <w:rPr>
          <w:rFonts w:ascii="Arial" w:cs="Arial" w:eastAsia="Arial" w:hAnsi="Arial"/>
          <w:sz w:val="17"/>
          <w:szCs w:val="17"/>
          <w:color w:val="010000"/>
        </w:rPr>
      </w:pPr>
    </w:p>
    <w:p>
      <w:pPr>
        <w:ind w:left="2800" w:hanging="848"/>
        <w:spacing w:after="0"/>
        <w:tabs>
          <w:tab w:leader="none" w:pos="2800" w:val="left"/>
        </w:tabs>
        <w:numPr>
          <w:ilvl w:val="1"/>
          <w:numId w:val="99"/>
        </w:numPr>
        <w:rPr>
          <w:rFonts w:ascii="Arial" w:cs="Arial" w:eastAsia="Arial" w:hAnsi="Arial"/>
          <w:sz w:val="18"/>
          <w:szCs w:val="18"/>
          <w:color w:val="010000"/>
        </w:rPr>
      </w:pPr>
      <w:r>
        <w:rPr>
          <w:rFonts w:ascii="Arial" w:cs="Arial" w:eastAsia="Arial" w:hAnsi="Arial"/>
          <w:sz w:val="18"/>
          <w:szCs w:val="18"/>
          <w:color w:val="auto"/>
        </w:rPr>
        <w:t>Without limiting the generality of the foregoing:</w:t>
      </w:r>
    </w:p>
    <w:p>
      <w:pPr>
        <w:spacing w:after="0" w:line="225" w:lineRule="exact"/>
        <w:rPr>
          <w:sz w:val="20"/>
          <w:szCs w:val="20"/>
          <w:color w:val="auto"/>
        </w:rPr>
      </w:pPr>
    </w:p>
    <w:p>
      <w:pPr>
        <w:jc w:val="both"/>
        <w:ind w:left="1300" w:firstLine="652"/>
        <w:spacing w:after="0" w:line="259" w:lineRule="auto"/>
        <w:tabs>
          <w:tab w:leader="none" w:pos="2782"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executed copies of IRS Form W-9 certifying that such Lender is exempt from U.S. federal backup withholding tax;</w:t>
      </w:r>
    </w:p>
    <w:p>
      <w:pPr>
        <w:spacing w:after="0" w:line="186" w:lineRule="exact"/>
        <w:rPr>
          <w:rFonts w:ascii="Arial" w:cs="Arial" w:eastAsia="Arial" w:hAnsi="Arial"/>
          <w:sz w:val="18"/>
          <w:szCs w:val="18"/>
          <w:color w:val="010000"/>
        </w:rPr>
      </w:pPr>
    </w:p>
    <w:p>
      <w:pPr>
        <w:jc w:val="both"/>
        <w:ind w:left="1300" w:firstLine="652"/>
        <w:spacing w:after="0" w:line="259" w:lineRule="auto"/>
        <w:tabs>
          <w:tab w:leader="none" w:pos="2858"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7" w:lineRule="exact"/>
        <w:rPr>
          <w:sz w:val="20"/>
          <w:szCs w:val="20"/>
          <w:color w:val="auto"/>
        </w:rPr>
      </w:pPr>
    </w:p>
    <w:p>
      <w:pPr>
        <w:jc w:val="both"/>
        <w:ind w:left="1960" w:hanging="8"/>
        <w:spacing w:after="0" w:line="255" w:lineRule="auto"/>
        <w:tabs>
          <w:tab w:leader="none" w:pos="22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duly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840" w:hanging="8"/>
        <w:spacing w:after="0" w:line="277" w:lineRule="auto"/>
        <w:tabs>
          <w:tab w:leader="none" w:pos="11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duly executed copies of IRS Form W-8ECI;</w:t>
      </w:r>
    </w:p>
    <w:p>
      <w:pPr>
        <w:spacing w:after="0" w:line="170" w:lineRule="exact"/>
        <w:rPr>
          <w:rFonts w:ascii="Arial" w:cs="Arial" w:eastAsia="Arial" w:hAnsi="Arial"/>
          <w:sz w:val="18"/>
          <w:szCs w:val="18"/>
          <w:color w:val="auto"/>
        </w:rPr>
      </w:pPr>
    </w:p>
    <w:p>
      <w:pPr>
        <w:jc w:val="both"/>
        <w:ind w:left="840" w:hanging="8"/>
        <w:spacing w:after="0" w:line="287" w:lineRule="auto"/>
        <w:tabs>
          <w:tab w:leader="none" w:pos="111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w:t>
      </w:r>
    </w:p>
    <w:p>
      <w:pPr>
        <w:spacing w:after="0" w:line="2" w:lineRule="exact"/>
        <w:rPr>
          <w:rFonts w:ascii="Arial" w:cs="Arial" w:eastAsia="Arial" w:hAnsi="Arial"/>
          <w:sz w:val="16"/>
          <w:szCs w:val="16"/>
          <w:color w:val="auto"/>
        </w:rPr>
      </w:pPr>
    </w:p>
    <w:p>
      <w:pPr>
        <w:ind w:left="840"/>
        <w:spacing w:after="0" w:line="260" w:lineRule="auto"/>
        <w:rPr>
          <w:rFonts w:ascii="Arial" w:cs="Arial" w:eastAsia="Arial" w:hAnsi="Arial"/>
          <w:sz w:val="16"/>
          <w:szCs w:val="16"/>
          <w:color w:val="auto"/>
        </w:rPr>
      </w:pPr>
      <w:r>
        <w:rPr>
          <w:rFonts w:ascii="Arial" w:cs="Arial" w:eastAsia="Arial" w:hAnsi="Arial"/>
          <w:sz w:val="18"/>
          <w:szCs w:val="18"/>
          <w:color w:val="auto"/>
        </w:rPr>
        <w:t>(3)(B)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or</w:t>
      </w:r>
    </w:p>
    <w:p>
      <w:pPr>
        <w:spacing w:after="0" w:line="185" w:lineRule="exact"/>
        <w:rPr>
          <w:rFonts w:ascii="Arial" w:cs="Arial" w:eastAsia="Arial" w:hAnsi="Arial"/>
          <w:sz w:val="16"/>
          <w:szCs w:val="16"/>
          <w:color w:val="auto"/>
        </w:rPr>
      </w:pPr>
    </w:p>
    <w:p>
      <w:pPr>
        <w:jc w:val="both"/>
        <w:ind w:left="840" w:hanging="8"/>
        <w:spacing w:after="0" w:line="255" w:lineRule="auto"/>
        <w:tabs>
          <w:tab w:leader="none" w:pos="10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192" w:lineRule="exact"/>
        <w:rPr>
          <w:sz w:val="20"/>
          <w:szCs w:val="20"/>
          <w:color w:val="auto"/>
        </w:rPr>
      </w:pPr>
    </w:p>
    <w:p>
      <w:pPr>
        <w:jc w:val="both"/>
        <w:ind w:left="180" w:firstLine="652"/>
        <w:spacing w:after="0" w:line="293" w:lineRule="auto"/>
        <w:tabs>
          <w:tab w:leader="none" w:pos="1738"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Arial" w:cs="Arial" w:eastAsia="Arial" w:hAnsi="Arial"/>
          <w:sz w:val="16"/>
          <w:szCs w:val="16"/>
          <w:color w:val="010000"/>
        </w:rPr>
      </w:pPr>
    </w:p>
    <w:p>
      <w:pPr>
        <w:jc w:val="both"/>
        <w:ind w:left="180" w:firstLine="652"/>
        <w:spacing w:after="0" w:line="270" w:lineRule="auto"/>
        <w:tabs>
          <w:tab w:leader="none" w:pos="1707"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0" w:name="page101"/>
    <w:bookmarkEnd w:id="100"/>
    <w:p>
      <w:pPr>
        <w:ind w:firstLine="648"/>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jc w:val="both"/>
        <w:ind w:firstLine="1304"/>
        <w:spacing w:after="0" w:line="268" w:lineRule="auto"/>
        <w:tabs>
          <w:tab w:leader="none" w:pos="2000" w:val="left"/>
        </w:tabs>
        <w:numPr>
          <w:ilvl w:val="0"/>
          <w:numId w:val="104"/>
        </w:numPr>
        <w:rPr>
          <w:rFonts w:ascii="Arial" w:cs="Arial" w:eastAsia="Arial" w:hAnsi="Arial"/>
          <w:sz w:val="17"/>
          <w:szCs w:val="17"/>
          <w:color w:val="010000"/>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010000"/>
        </w:rPr>
      </w:pPr>
    </w:p>
    <w:p>
      <w:pPr>
        <w:jc w:val="both"/>
        <w:ind w:firstLine="1304"/>
        <w:spacing w:after="0" w:line="263" w:lineRule="auto"/>
        <w:tabs>
          <w:tab w:leader="none" w:pos="2122"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2.18. </w:t>
      </w:r>
      <w:r>
        <w:rPr>
          <w:rFonts w:ascii="Arial" w:cs="Arial" w:eastAsia="Arial" w:hAnsi="Arial"/>
          <w:sz w:val="18"/>
          <w:szCs w:val="18"/>
          <w:u w:val="single" w:color="auto"/>
          <w:color w:val="000000"/>
        </w:rPr>
        <w:t>Payments Generally; Pro Rata Treatment; Sharing of Set-offs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4"/>
        <w:spacing w:after="0" w:line="286" w:lineRule="auto"/>
        <w:tabs>
          <w:tab w:leader="none" w:pos="2218" w:val="left"/>
        </w:tabs>
        <w:numPr>
          <w:ilvl w:val="0"/>
          <w:numId w:val="105"/>
        </w:numPr>
        <w:rPr>
          <w:rFonts w:ascii="Arial" w:cs="Arial" w:eastAsia="Arial" w:hAnsi="Arial"/>
          <w:sz w:val="16"/>
          <w:szCs w:val="16"/>
          <w:color w:val="010000"/>
        </w:rPr>
      </w:pPr>
      <w:r>
        <w:rPr>
          <w:rFonts w:ascii="Arial" w:cs="Arial" w:eastAsia="Arial" w:hAnsi="Arial"/>
          <w:sz w:val="16"/>
          <w:szCs w:val="16"/>
          <w:color w:val="auto"/>
        </w:rPr>
        <w:t>The Borrower shall make each payment required to be made by it hereunder (whether of principal, interest or fees, or of amounts payable under Section 2.15, 2.16 or 2.17, or otherwise) prior to 2:00 p.m., New York City time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w:t>
      </w:r>
    </w:p>
    <w:p>
      <w:pPr>
        <w:spacing w:after="0" w:line="1" w:lineRule="exact"/>
        <w:rPr>
          <w:sz w:val="20"/>
          <w:szCs w:val="20"/>
          <w:color w:val="auto"/>
        </w:rPr>
      </w:pPr>
    </w:p>
    <w:p>
      <w:pPr>
        <w:jc w:val="both"/>
        <w:ind w:left="660"/>
        <w:spacing w:after="0" w:line="264" w:lineRule="auto"/>
        <w:rPr>
          <w:sz w:val="20"/>
          <w:szCs w:val="20"/>
          <w:color w:val="auto"/>
        </w:rPr>
      </w:pPr>
      <w:r>
        <w:rPr>
          <w:rFonts w:ascii="Arial" w:cs="Arial" w:eastAsia="Arial" w:hAnsi="Arial"/>
          <w:sz w:val="16"/>
          <w:szCs w:val="16"/>
          <w:color w:val="auto"/>
        </w:rPr>
        <w:t>payments shall be made to the Administrative Agent at its offices at 2001 Ross Avenue,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Dallas, Texas 75201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4" w:lineRule="exact"/>
        <w:rPr>
          <w:sz w:val="20"/>
          <w:szCs w:val="20"/>
          <w:color w:val="auto"/>
        </w:rPr>
      </w:pPr>
    </w:p>
    <w:p>
      <w:pPr>
        <w:jc w:val="both"/>
        <w:ind w:left="660" w:firstLine="644"/>
        <w:spacing w:after="0" w:line="301" w:lineRule="auto"/>
        <w:tabs>
          <w:tab w:leader="none" w:pos="2039" w:val="left"/>
        </w:tabs>
        <w:numPr>
          <w:ilvl w:val="0"/>
          <w:numId w:val="106"/>
        </w:numPr>
        <w:rPr>
          <w:rFonts w:ascii="Arial" w:cs="Arial" w:eastAsia="Arial" w:hAnsi="Arial"/>
          <w:sz w:val="16"/>
          <w:szCs w:val="16"/>
          <w:color w:val="010000"/>
        </w:rPr>
      </w:pPr>
      <w:r>
        <w:rPr>
          <w:rFonts w:ascii="Arial" w:cs="Arial" w:eastAsia="Arial" w:hAnsi="Arial"/>
          <w:sz w:val="16"/>
          <w:szCs w:val="16"/>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a then due to such parties.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left="660" w:firstLine="644"/>
        <w:spacing w:after="0" w:line="286" w:lineRule="auto"/>
        <w:tabs>
          <w:tab w:leader="none" w:pos="2056"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relating to any Obligations owed by the Borrower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3" w:lineRule="exact"/>
        <w:rPr>
          <w:rFonts w:ascii="Arial" w:cs="Arial" w:eastAsia="Arial" w:hAnsi="Arial"/>
          <w:sz w:val="16"/>
          <w:szCs w:val="16"/>
          <w:color w:val="010000"/>
        </w:rPr>
      </w:pPr>
    </w:p>
    <w:p>
      <w:pPr>
        <w:jc w:val="both"/>
        <w:ind w:left="660" w:firstLine="644"/>
        <w:spacing w:after="0" w:line="291" w:lineRule="auto"/>
        <w:tabs>
          <w:tab w:leader="none" w:pos="2026"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the case may be,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6" w:lineRule="exact"/>
        <w:rPr>
          <w:rFonts w:ascii="Arial" w:cs="Arial" w:eastAsia="Arial" w:hAnsi="Arial"/>
          <w:sz w:val="16"/>
          <w:szCs w:val="16"/>
          <w:color w:val="010000"/>
        </w:rPr>
      </w:pPr>
    </w:p>
    <w:p>
      <w:pPr>
        <w:jc w:val="both"/>
        <w:ind w:left="660" w:firstLine="644"/>
        <w:spacing w:after="0" w:line="293" w:lineRule="auto"/>
        <w:tabs>
          <w:tab w:leader="none" w:pos="2245" w:val="left"/>
        </w:tabs>
        <w:numPr>
          <w:ilvl w:val="0"/>
          <w:numId w:val="107"/>
        </w:numPr>
        <w:rPr>
          <w:rFonts w:ascii="Arial" w:cs="Arial" w:eastAsia="Arial" w:hAnsi="Arial"/>
          <w:sz w:val="16"/>
          <w:szCs w:val="16"/>
          <w:color w:val="010000"/>
        </w:rPr>
      </w:pPr>
      <w:r>
        <w:rPr>
          <w:rFonts w:ascii="Arial" w:cs="Arial" w:eastAsia="Arial" w:hAnsi="Arial"/>
          <w:sz w:val="16"/>
          <w:szCs w:val="16"/>
          <w:color w:val="auto"/>
        </w:rPr>
        <w:t>If any Lender shall fail to make any payment required to be made by it pursuant to Section 2.18(d) or 9.03(c), then the Administrative Agent may, in its discretion (notwithstanding any contrary provision hereof), (i) apply any amounts thereafter received by the Administrative Agent for the account of such Lender and for the benefit of the Administrative Agent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 xml:space="preserve">SECTION 2.19. </w:t>
      </w:r>
      <w:r>
        <w:rPr>
          <w:rFonts w:ascii="Arial" w:cs="Arial" w:eastAsia="Arial" w:hAnsi="Arial"/>
          <w:sz w:val="17"/>
          <w:szCs w:val="17"/>
          <w:u w:val="single" w:color="auto"/>
          <w:color w:val="000000"/>
        </w:rPr>
        <w:t>Mitigation Obligations; Replacement of Lenders</w:t>
      </w:r>
      <w:r>
        <w:rPr>
          <w:rFonts w:ascii="Arial" w:cs="Arial" w:eastAsia="Arial" w:hAnsi="Arial"/>
          <w:sz w:val="17"/>
          <w:szCs w:val="17"/>
          <w:color w:val="000000"/>
        </w:rPr>
        <w:t>. (a) If any Lender requests compensation under Section 2.15, or if the</w:t>
      </w:r>
      <w:r>
        <w:rPr>
          <w:rFonts w:ascii="Arial" w:cs="Arial" w:eastAsia="Arial" w:hAnsi="Arial"/>
          <w:sz w:val="17"/>
          <w:szCs w:val="17"/>
          <w:color w:val="010000"/>
        </w:rPr>
        <w:t xml:space="preserve"> </w:t>
      </w:r>
      <w:r>
        <w:rPr>
          <w:rFonts w:ascii="Arial" w:cs="Arial" w:eastAsia="Arial" w:hAnsi="Arial"/>
          <w:sz w:val="17"/>
          <w:szCs w:val="17"/>
          <w:color w:val="000000"/>
        </w:rPr>
        <w:t>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left="-460" w:firstLine="644"/>
        <w:spacing w:after="0" w:line="284" w:lineRule="auto"/>
        <w:tabs>
          <w:tab w:leader="none" w:pos="1225" w:val="left"/>
        </w:tabs>
        <w:numPr>
          <w:ilvl w:val="0"/>
          <w:numId w:val="108"/>
        </w:numPr>
        <w:rPr>
          <w:rFonts w:ascii="Arial" w:cs="Arial" w:eastAsia="Arial" w:hAnsi="Arial"/>
          <w:sz w:val="16"/>
          <w:szCs w:val="16"/>
          <w:color w:val="010000"/>
        </w:rPr>
      </w:pPr>
      <w:r>
        <w:rPr>
          <w:rFonts w:ascii="Arial" w:cs="Arial" w:eastAsia="Arial" w:hAnsi="Arial"/>
          <w:sz w:val="16"/>
          <w:szCs w:val="16"/>
          <w:color w:val="auto"/>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such consent would be required pursuant to Section 9.04(b), the Borrower shall have received the prior written consent of the Administrative Agent, which consent shall not unreasonably be withheld, delayed or conditioned, (ii) such Lender shall have received payment of an amount equal to the outstanding principal of its Loans, accrued interest thereon, accrued fees and all other amounts payable to it hereunder (including amounts payable pursuant to Section 2.16),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103" w:name="page104"/>
    <w:bookmarkEnd w:id="103"/>
    <w:p>
      <w:pPr>
        <w:jc w:val="both"/>
        <w:ind w:firstLine="1296"/>
        <w:spacing w:after="0" w:line="286" w:lineRule="auto"/>
        <w:rPr>
          <w:sz w:val="20"/>
          <w:szCs w:val="20"/>
          <w:color w:val="auto"/>
        </w:rPr>
      </w:pPr>
      <w:r>
        <w:rPr>
          <w:rFonts w:ascii="Arial" w:cs="Arial" w:eastAsia="Arial" w:hAnsi="Arial"/>
          <w:sz w:val="16"/>
          <w:szCs w:val="16"/>
          <w:color w:val="010000"/>
        </w:rPr>
        <w:t xml:space="preserve">SECTION 2.20. </w:t>
      </w:r>
      <w:r>
        <w:rPr>
          <w:rFonts w:ascii="Arial" w:cs="Arial" w:eastAsia="Arial" w:hAnsi="Arial"/>
          <w:sz w:val="16"/>
          <w:szCs w:val="16"/>
          <w:u w:val="single" w:color="auto"/>
          <w:color w:val="000000"/>
        </w:rPr>
        <w:t>Expansion Option</w:t>
      </w:r>
      <w:r>
        <w:rPr>
          <w:rFonts w:ascii="Arial" w:cs="Arial" w:eastAsia="Arial" w:hAnsi="Arial"/>
          <w:sz w:val="16"/>
          <w:szCs w:val="16"/>
          <w:color w:val="000000"/>
        </w:rPr>
        <w:t>. The Borrower may from time to time on or prior to the Closing Date elect to increase the</w:t>
      </w:r>
      <w:r>
        <w:rPr>
          <w:rFonts w:ascii="Arial" w:cs="Arial" w:eastAsia="Arial" w:hAnsi="Arial"/>
          <w:sz w:val="16"/>
          <w:szCs w:val="16"/>
          <w:color w:val="010000"/>
        </w:rPr>
        <w:t xml:space="preserve"> </w:t>
      </w:r>
      <w:r>
        <w:rPr>
          <w:rFonts w:ascii="Arial" w:cs="Arial" w:eastAsia="Arial" w:hAnsi="Arial"/>
          <w:sz w:val="16"/>
          <w:szCs w:val="16"/>
          <w:color w:val="000000"/>
        </w:rPr>
        <w:t>Commitments so long as, after giving effect thereto, the aggregate amount of such increases does not exceed $500,000,000. The Borrower may arrange for any such increase to be provided by one or more Lenders (each Lender so agreeing to an increase in its Commitment, an “</w:t>
      </w:r>
      <w:r>
        <w:rPr>
          <w:rFonts w:ascii="Arial" w:cs="Arial" w:eastAsia="Arial" w:hAnsi="Arial"/>
          <w:sz w:val="16"/>
          <w:szCs w:val="16"/>
          <w:u w:val="single" w:color="auto"/>
          <w:color w:val="000000"/>
        </w:rPr>
        <w:t>Increasing Lender</w:t>
      </w:r>
      <w:r>
        <w:rPr>
          <w:rFonts w:ascii="Arial" w:cs="Arial" w:eastAsia="Arial" w:hAnsi="Arial"/>
          <w:sz w:val="16"/>
          <w:szCs w:val="16"/>
          <w:color w:val="000000"/>
        </w:rPr>
        <w:t>”), or by one or more new banks, financial institutions or other entities (each such new bank, financial institution or other entity, an “</w:t>
      </w:r>
      <w:r>
        <w:rPr>
          <w:rFonts w:ascii="Arial" w:cs="Arial" w:eastAsia="Arial" w:hAnsi="Arial"/>
          <w:sz w:val="16"/>
          <w:szCs w:val="16"/>
          <w:u w:val="single" w:color="auto"/>
          <w:color w:val="000000"/>
        </w:rPr>
        <w:t>Augmenting Lender</w:t>
      </w:r>
      <w:r>
        <w:rPr>
          <w:rFonts w:ascii="Arial" w:cs="Arial" w:eastAsia="Arial" w:hAnsi="Arial"/>
          <w:sz w:val="16"/>
          <w:szCs w:val="16"/>
          <w:color w:val="000000"/>
        </w:rPr>
        <w:t xml:space="preserve">”; provided that no Ineligible Institution may be an Augmenting Lender), which agree to increase their existing Commitments, or provide new Commitments, as the case may be; provided that (i) each Augmenting Lender, shall be subject to the approval of the Borrower and the Administrative Agent (such approvals not to be unreasonably withheld, delayed or conditioned) and (ii) (x) in the case of an Increasing Lender, the Borrower and such Increasing Lender execute an agreement substantially in the form of </w:t>
      </w:r>
      <w:r>
        <w:rPr>
          <w:rFonts w:ascii="Arial" w:cs="Arial" w:eastAsia="Arial" w:hAnsi="Arial"/>
          <w:sz w:val="16"/>
          <w:szCs w:val="16"/>
          <w:u w:val="single" w:color="auto"/>
          <w:color w:val="000000"/>
        </w:rPr>
        <w:t>Exhibit B</w:t>
      </w:r>
      <w:r>
        <w:rPr>
          <w:rFonts w:ascii="Arial" w:cs="Arial" w:eastAsia="Arial" w:hAnsi="Arial"/>
          <w:sz w:val="16"/>
          <w:szCs w:val="16"/>
          <w:color w:val="000000"/>
        </w:rPr>
        <w:t xml:space="preserve"> hereto, and (y) in the case of an Augmenting Lender, the Borrower and such Augmenting Lender execute an agreement substantially in the form of </w:t>
      </w:r>
      <w:r>
        <w:rPr>
          <w:rFonts w:ascii="Arial" w:cs="Arial" w:eastAsia="Arial" w:hAnsi="Arial"/>
          <w:sz w:val="16"/>
          <w:szCs w:val="16"/>
          <w:u w:val="single" w:color="auto"/>
          <w:color w:val="000000"/>
        </w:rPr>
        <w:t>Exhibit C</w:t>
      </w:r>
      <w:r>
        <w:rPr>
          <w:rFonts w:ascii="Arial" w:cs="Arial" w:eastAsia="Arial" w:hAnsi="Arial"/>
          <w:sz w:val="16"/>
          <w:szCs w:val="16"/>
          <w:color w:val="000000"/>
        </w:rPr>
        <w:t xml:space="preserve"> hereto. No consent of any Lender (other than the Lenders participating in the increase) shall be required for any increase in Commitments pursuant to this Section 2.20. Increases and new Commitments created pursuant to this Section 2.20 shall become effective on the date agreed by the Borrower, the Administrative Agent and the relevant Increasing Lenders or Augmenting Lenders (as the case may be), and the Administrative Agent shall notify each Lender thereof. Notwithstanding the foregoing, no increase in the Commitments (or in the Commitment of any Lender) shall become effective under this paragraph unless, on the proposed date of the effectiveness of such increase, the following conditions shall be satisfied or waived by the Required Lenders and the Administrative Agent:</w:t>
      </w:r>
    </w:p>
    <w:p>
      <w:pPr>
        <w:spacing w:after="0" w:line="171" w:lineRule="exact"/>
        <w:rPr>
          <w:sz w:val="20"/>
          <w:szCs w:val="20"/>
          <w:color w:val="auto"/>
        </w:rPr>
      </w:pPr>
    </w:p>
    <w:p>
      <w:pPr>
        <w:jc w:val="both"/>
        <w:ind w:left="1300" w:firstLine="652"/>
        <w:spacing w:after="0" w:line="296" w:lineRule="auto"/>
        <w:tabs>
          <w:tab w:leader="none" w:pos="2882" w:val="left"/>
        </w:tabs>
        <w:numPr>
          <w:ilvl w:val="1"/>
          <w:numId w:val="109"/>
        </w:numPr>
        <w:rPr>
          <w:rFonts w:ascii="Arial" w:cs="Arial" w:eastAsia="Arial" w:hAnsi="Arial"/>
          <w:sz w:val="16"/>
          <w:szCs w:val="16"/>
          <w:color w:val="010000"/>
        </w:rPr>
      </w:pPr>
      <w:r>
        <w:rPr>
          <w:rFonts w:ascii="Arial" w:cs="Arial" w:eastAsia="Arial" w:hAnsi="Arial"/>
          <w:sz w:val="16"/>
          <w:szCs w:val="16"/>
          <w:color w:val="auto"/>
        </w:rPr>
        <w:t>the representations and warranties referred to in the definition of “Specified Representations” in so far as they relate to the Borrower at the time of such increase shall be true and correct in all material respects (or, in the case of any representation or warranty qualified by materiality or Material Adverse Effect, in all respects) on and as of such date,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61" w:lineRule="exact"/>
        <w:rPr>
          <w:rFonts w:ascii="Arial" w:cs="Arial" w:eastAsia="Arial" w:hAnsi="Arial"/>
          <w:sz w:val="16"/>
          <w:szCs w:val="16"/>
          <w:color w:val="010000"/>
        </w:rPr>
      </w:pPr>
    </w:p>
    <w:p>
      <w:pPr>
        <w:ind w:left="1300" w:firstLine="652"/>
        <w:spacing w:after="0" w:line="277" w:lineRule="auto"/>
        <w:tabs>
          <w:tab w:leader="none" w:pos="2883"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 xml:space="preserve">at the time of and immediately after giving effect to such increase, no Event of Default under clause (a), (b), (h), (i) or (j)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occurred and be continuing;</w:t>
      </w:r>
    </w:p>
    <w:p>
      <w:pPr>
        <w:spacing w:after="0" w:line="170" w:lineRule="exact"/>
        <w:rPr>
          <w:rFonts w:ascii="Arial" w:cs="Arial" w:eastAsia="Arial" w:hAnsi="Arial"/>
          <w:sz w:val="18"/>
          <w:szCs w:val="18"/>
          <w:color w:val="010000"/>
        </w:rPr>
      </w:pPr>
    </w:p>
    <w:p>
      <w:pPr>
        <w:ind w:left="2800" w:hanging="848"/>
        <w:spacing w:after="0"/>
        <w:tabs>
          <w:tab w:leader="none" w:pos="2800"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 xml:space="preserve">the Borrower shall be in compliance (on a pro forma basis) with the covenants contained in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300" w:firstLine="652"/>
        <w:spacing w:after="0" w:line="291" w:lineRule="auto"/>
        <w:tabs>
          <w:tab w:leader="none" w:pos="26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as of the date of effectiveness of such increase and signed by a Responsible Officer of the Borrower, certifying on behalf of the Borrower that the conditions set forth in clauses (i), (ii) and</w:t>
      </w:r>
    </w:p>
    <w:p>
      <w:pPr>
        <w:ind w:left="1620" w:hanging="316"/>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above have been satisfied on and as of such date; and</w:t>
      </w:r>
    </w:p>
    <w:p>
      <w:pPr>
        <w:spacing w:after="0" w:line="210" w:lineRule="exact"/>
        <w:rPr>
          <w:rFonts w:ascii="Arial" w:cs="Arial" w:eastAsia="Arial" w:hAnsi="Arial"/>
          <w:sz w:val="18"/>
          <w:szCs w:val="18"/>
          <w:color w:val="auto"/>
        </w:rPr>
      </w:pPr>
    </w:p>
    <w:p>
      <w:pPr>
        <w:jc w:val="both"/>
        <w:ind w:left="1300" w:firstLine="652"/>
        <w:spacing w:after="0" w:line="257" w:lineRule="auto"/>
        <w:tabs>
          <w:tab w:leader="none" w:pos="248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reasonably requested by the Administrative Agent, the Administrative Agent shall have received documents of the same type as those delivered on the Effective Date as to the organizational power and authority of the Borrower to borrow hereunder after giving effect to such increase (or, to the extent the resolutions delivered on the Effective Date approve such matters, a certification from the Borrower that the resolutions delivered on the Effective Date remain in full force and effect and have not been amended or otherwise modified since the adoption thereof.</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0 shall constitute, or otherwise be deemed to be, a commitment on the part of any Lender to increase its Commitment hereunder at any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2.21. </w:t>
      </w:r>
      <w:r>
        <w:rPr>
          <w:rFonts w:ascii="Arial" w:cs="Arial" w:eastAsia="Arial" w:hAnsi="Arial"/>
          <w:sz w:val="18"/>
          <w:szCs w:val="18"/>
          <w:u w:val="single" w:color="auto"/>
          <w:color w:val="000000"/>
        </w:rPr>
        <w:t>[Reserved]</w:t>
      </w:r>
      <w:r>
        <w:rPr>
          <w:rFonts w:ascii="Arial" w:cs="Arial" w:eastAsia="Arial" w:hAnsi="Arial"/>
          <w:sz w:val="18"/>
          <w:szCs w:val="18"/>
          <w:color w:val="000000"/>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 xml:space="preserve">SECTION 2.22. </w:t>
      </w:r>
      <w:r>
        <w:rPr>
          <w:rFonts w:ascii="Arial" w:cs="Arial" w:eastAsia="Arial" w:hAnsi="Arial"/>
          <w:sz w:val="17"/>
          <w:szCs w:val="17"/>
          <w:u w:val="single" w:color="auto"/>
          <w:color w:val="000000"/>
        </w:rPr>
        <w:t>Judgment Currency.</w:t>
      </w:r>
      <w:r>
        <w:rPr>
          <w:rFonts w:ascii="Arial" w:cs="Arial" w:eastAsia="Arial" w:hAnsi="Arial"/>
          <w:sz w:val="17"/>
          <w:szCs w:val="17"/>
          <w:color w:val="010000"/>
        </w:rPr>
        <w:t xml:space="preserve"> </w:t>
      </w:r>
      <w:r>
        <w:rPr>
          <w:rFonts w:ascii="Arial" w:cs="Arial" w:eastAsia="Arial" w:hAnsi="Arial"/>
          <w:sz w:val="17"/>
          <w:szCs w:val="17"/>
          <w:color w:val="000000"/>
        </w:rPr>
        <w:t>If for the purposes of obtaining judgment in any court it is necessary to convert a sum due from the</w:t>
      </w:r>
      <w:r>
        <w:rPr>
          <w:rFonts w:ascii="Arial" w:cs="Arial" w:eastAsia="Arial" w:hAnsi="Arial"/>
          <w:sz w:val="17"/>
          <w:szCs w:val="17"/>
          <w:color w:val="010000"/>
        </w:rPr>
        <w:t xml:space="preserve"> </w:t>
      </w:r>
      <w:r>
        <w:rPr>
          <w:rFonts w:ascii="Arial" w:cs="Arial" w:eastAsia="Arial" w:hAnsi="Arial"/>
          <w:sz w:val="17"/>
          <w:szCs w:val="17"/>
          <w:color w:val="000000"/>
        </w:rPr>
        <w:t>Borrower hereunder in the currency expressed to be payable herein (the “</w:t>
      </w:r>
      <w:r>
        <w:rPr>
          <w:rFonts w:ascii="Arial" w:cs="Arial" w:eastAsia="Arial" w:hAnsi="Arial"/>
          <w:sz w:val="17"/>
          <w:szCs w:val="17"/>
          <w:u w:val="single" w:color="auto"/>
          <w:color w:val="000000"/>
        </w:rPr>
        <w:t>specified currency</w:t>
      </w:r>
      <w:r>
        <w:rPr>
          <w:rFonts w:ascii="Arial" w:cs="Arial" w:eastAsia="Arial" w:hAnsi="Arial"/>
          <w:sz w:val="17"/>
          <w:szCs w:val="17"/>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by the Borrower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by the Borrower, as the case may be, in the specified currency and (b) any amounts shared with other Lenders relating to amounts owed by the Borrower as a result of allocations of such excess as a disproportionate payment to such Lender under Section 2.18, such Lender or the Administrative Agent, as the case may be, agrees to remit such excess to the Borrower.</w:t>
      </w:r>
      <w:r>
        <w:rPr>
          <w:rFonts w:ascii="Arial" w:cs="Arial" w:eastAsia="Arial" w:hAnsi="Arial"/>
          <w:sz w:val="17"/>
          <w:szCs w:val="17"/>
          <w:u w:val="single" w:color="auto"/>
          <w:color w:val="000000"/>
        </w:rPr>
        <w:t>[Reserved]</w:t>
      </w:r>
      <w:r>
        <w:rPr>
          <w:rFonts w:ascii="Arial" w:cs="Arial" w:eastAsia="Arial" w:hAnsi="Arial"/>
          <w:sz w:val="17"/>
          <w:szCs w:val="17"/>
          <w:color w:val="000000"/>
        </w:rPr>
        <w: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7"/>
          <w:szCs w:val="17"/>
          <w:color w:val="010000"/>
        </w:rPr>
        <w:t xml:space="preserve">SECTION 2.24. </w:t>
      </w:r>
      <w:r>
        <w:rPr>
          <w:rFonts w:ascii="Arial" w:cs="Arial" w:eastAsia="Arial" w:hAnsi="Arial"/>
          <w:sz w:val="17"/>
          <w:szCs w:val="17"/>
          <w:u w:val="single" w:color="auto"/>
          <w:color w:val="000000"/>
        </w:rPr>
        <w:t>Defaulting Lenders</w:t>
      </w:r>
      <w:r>
        <w:rPr>
          <w:rFonts w:ascii="Arial" w:cs="Arial" w:eastAsia="Arial" w:hAnsi="Arial"/>
          <w:sz w:val="17"/>
          <w:szCs w:val="17"/>
          <w:color w:val="000000"/>
        </w:rPr>
        <w:t>. Notwithstanding any provision of this Agreement to the contrary, if any Lender becomes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211" w:lineRule="exact"/>
        <w:rPr>
          <w:sz w:val="20"/>
          <w:szCs w:val="20"/>
          <w:color w:val="auto"/>
        </w:rPr>
      </w:pPr>
    </w:p>
    <w:p>
      <w:pPr>
        <w:jc w:val="both"/>
        <w:ind w:left="660" w:firstLine="644"/>
        <w:spacing w:after="0" w:line="267" w:lineRule="auto"/>
        <w:tabs>
          <w:tab w:leader="none" w:pos="2457" w:val="left"/>
        </w:tabs>
        <w:numPr>
          <w:ilvl w:val="0"/>
          <w:numId w:val="111"/>
        </w:numPr>
        <w:rPr>
          <w:rFonts w:ascii="Arial" w:cs="Arial" w:eastAsia="Arial" w:hAnsi="Arial"/>
          <w:sz w:val="17"/>
          <w:szCs w:val="17"/>
          <w:color w:val="010000"/>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4.02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w:t>
      </w:r>
    </w:p>
    <w:p>
      <w:pPr>
        <w:spacing w:after="0" w:line="188" w:lineRule="exact"/>
        <w:rPr>
          <w:rFonts w:ascii="Arial" w:cs="Arial" w:eastAsia="Arial" w:hAnsi="Arial"/>
          <w:sz w:val="17"/>
          <w:szCs w:val="17"/>
          <w:color w:val="010000"/>
        </w:rPr>
      </w:pPr>
    </w:p>
    <w:p>
      <w:pPr>
        <w:jc w:val="both"/>
        <w:ind w:left="660" w:firstLine="644"/>
        <w:spacing w:after="0" w:line="301" w:lineRule="auto"/>
        <w:tabs>
          <w:tab w:leader="none" w:pos="2332" w:val="left"/>
        </w:tabs>
        <w:numPr>
          <w:ilvl w:val="0"/>
          <w:numId w:val="111"/>
        </w:numPr>
        <w:rPr>
          <w:rFonts w:ascii="Arial" w:cs="Arial" w:eastAsia="Arial" w:hAnsi="Arial"/>
          <w:sz w:val="16"/>
          <w:szCs w:val="16"/>
          <w:color w:val="010000"/>
        </w:rPr>
      </w:pPr>
      <w:r>
        <w:rPr>
          <w:rFonts w:ascii="Arial" w:cs="Arial" w:eastAsia="Arial" w:hAnsi="Arial"/>
          <w:sz w:val="16"/>
          <w:szCs w:val="16"/>
          <w:color w:val="auto"/>
        </w:rPr>
        <w:t xml:space="preserve">the Commitment and Loans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on behalf of itself and its Subsidiaries, solely with respect to itself, severally represent and warrant to the Lenders that: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Powers; Subsidiaries</w:t>
      </w:r>
      <w:r>
        <w:rPr>
          <w:rFonts w:ascii="Arial" w:cs="Arial" w:eastAsia="Arial" w:hAnsi="Arial"/>
          <w:sz w:val="17"/>
          <w:szCs w:val="17"/>
          <w:color w:val="000000"/>
        </w:rPr>
        <w:t>. Each of the Loan Parties and the Material Subsidiaries (a) is duly organized or</w:t>
      </w:r>
      <w:r>
        <w:rPr>
          <w:rFonts w:ascii="Arial" w:cs="Arial" w:eastAsia="Arial" w:hAnsi="Arial"/>
          <w:sz w:val="17"/>
          <w:szCs w:val="17"/>
          <w:color w:val="010000"/>
        </w:rPr>
        <w:t xml:space="preserve"> </w:t>
      </w:r>
      <w:r>
        <w:rPr>
          <w:rFonts w:ascii="Arial" w:cs="Arial" w:eastAsia="Arial" w:hAnsi="Arial"/>
          <w:sz w:val="17"/>
          <w:szCs w:val="17"/>
          <w:color w:val="000000"/>
        </w:rPr>
        <w:t xml:space="preserve">incorporated, as the case may be, validly existing and in good standing (to the extent the concept is applicable in such jurisdiction) under the laws of the jurisdiction of its organization or incorporation (as applicable), (b) has all requisite organizational power and authority to carry on its business as now conducted and (c) is qualified to do business in, and (to the extent the concept is applicable in such jurisdiction) is in good standing in, every jurisdiction where its ownership, lease or operation of properties or the conduct of its business requires such qualification, in any such case of clauses (a) (solely with respect to the good standing status of any such Subsidiary that is not a Loan Party), (b) (solely with respect to the power and authority of any such Subsidiary that is not a Loan Party) and (c), except where the failure to do so could not reasonably be expected to result in a Material Adverse Effect. </w:t>
      </w:r>
      <w:r>
        <w:rPr>
          <w:rFonts w:ascii="Arial" w:cs="Arial" w:eastAsia="Arial" w:hAnsi="Arial"/>
          <w:sz w:val="17"/>
          <w:szCs w:val="17"/>
          <w:u w:val="single" w:color="auto"/>
          <w:color w:val="000000"/>
        </w:rPr>
        <w:t>Schedule 3.01</w:t>
      </w:r>
      <w:r>
        <w:rPr>
          <w:rFonts w:ascii="Arial" w:cs="Arial" w:eastAsia="Arial" w:hAnsi="Arial"/>
          <w:sz w:val="17"/>
          <w:szCs w:val="17"/>
          <w:color w:val="000000"/>
        </w:rPr>
        <w:t xml:space="preserve"> hereto identifies each Subsidiary as of the Effective Date, noting whether such Subsidiary is a Material Domestic Subsidiary and/or a Material Subsidiary as of the Effective Date, the jurisdiction of its incorporation or organization, as the case may be, the percentage of issued and outstanding shares of each class of its capital stock or other equity interests owned by the Borrower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each Material Subsidiary are validly issued and outstanding and fully paid and nonassessable and all such shares and other equity interests indicated on </w:t>
      </w:r>
      <w:r>
        <w:rPr>
          <w:rFonts w:ascii="Arial" w:cs="Arial" w:eastAsia="Arial" w:hAnsi="Arial"/>
          <w:sz w:val="17"/>
          <w:szCs w:val="17"/>
          <w:u w:val="single" w:color="auto"/>
          <w:color w:val="000000"/>
        </w:rPr>
        <w:t>Schedule 3.01</w:t>
      </w:r>
      <w:r>
        <w:rPr>
          <w:rFonts w:ascii="Arial" w:cs="Arial" w:eastAsia="Arial" w:hAnsi="Arial"/>
          <w:sz w:val="17"/>
          <w:szCs w:val="17"/>
          <w:color w:val="000000"/>
        </w:rPr>
        <w:t xml:space="preserve"> as owned by the Borrower or another Subsidiary are owned, beneficially and of record, by the Borrower or any Subsidiary as of the Effective Date free and clear of all Liens, other than Liens permitted pursuant to Section 6.02.</w:t>
      </w:r>
    </w:p>
    <w:p>
      <w:pPr>
        <w:spacing w:after="0" w:line="18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SECTION 3.02. </w:t>
      </w:r>
      <w:r>
        <w:rPr>
          <w:rFonts w:ascii="Arial" w:cs="Arial" w:eastAsia="Arial" w:hAnsi="Arial"/>
          <w:sz w:val="18"/>
          <w:szCs w:val="18"/>
          <w:u w:val="single" w:color="auto"/>
          <w:color w:val="000000"/>
        </w:rPr>
        <w:t>Authorization; Enforceability</w:t>
      </w:r>
      <w:r>
        <w:rPr>
          <w:rFonts w:ascii="Arial" w:cs="Arial" w:eastAsia="Arial" w:hAnsi="Arial"/>
          <w:sz w:val="18"/>
          <w:szCs w:val="18"/>
          <w:color w:val="000000"/>
        </w:rPr>
        <w:t>. The Transactions are within each Loan Party’s organizational powers and have been duly</w:t>
      </w:r>
      <w:r>
        <w:rPr>
          <w:rFonts w:ascii="Arial" w:cs="Arial" w:eastAsia="Arial" w:hAnsi="Arial"/>
          <w:sz w:val="18"/>
          <w:szCs w:val="18"/>
          <w:color w:val="010000"/>
        </w:rPr>
        <w:t xml:space="preserve"> </w:t>
      </w:r>
      <w:r>
        <w:rPr>
          <w:rFonts w:ascii="Arial" w:cs="Arial" w:eastAsia="Arial" w:hAnsi="Arial"/>
          <w:sz w:val="18"/>
          <w:szCs w:val="18"/>
          <w:color w:val="000000"/>
        </w:rPr>
        <w:t>authorized by all necessary organizational actions and, if required, actions by equity holders of such Loan Party. The Loan Documents to which each Loan Party is a party have been duly executed and delivered by such Loan Party and constitute a legal, valid and binding obligation of such Loan Party, enforceable against such Loan Party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Governmental Approvals; No Conflicts</w:t>
      </w:r>
      <w:r>
        <w:rPr>
          <w:rFonts w:ascii="Arial" w:cs="Arial" w:eastAsia="Arial" w:hAnsi="Arial"/>
          <w:sz w:val="17"/>
          <w:szCs w:val="17"/>
          <w:color w:val="000000"/>
        </w:rPr>
        <w:t>. The Transactions (a) do not require any consent or approval of, registration or</w:t>
      </w:r>
      <w:r>
        <w:rPr>
          <w:rFonts w:ascii="Arial" w:cs="Arial" w:eastAsia="Arial" w:hAnsi="Arial"/>
          <w:sz w:val="17"/>
          <w:szCs w:val="17"/>
          <w:color w:val="010000"/>
        </w:rPr>
        <w:t xml:space="preserve"> </w:t>
      </w:r>
      <w:r>
        <w:rPr>
          <w:rFonts w:ascii="Arial" w:cs="Arial" w:eastAsia="Arial" w:hAnsi="Arial"/>
          <w:sz w:val="17"/>
          <w:szCs w:val="17"/>
          <w:color w:val="000000"/>
        </w:rPr>
        <w:t>filing with, or any other action by, any Governmental Authority, except such as are not material or have been, or will be by the time required, obtained or made and are, or will be by the time required, in full force and effect, (b) will not violate in any material respect any applicable material law or regulation or the charter, by-laws, constitution or other organizational documents of any Loan Party or any Material Subsidiary or any material order of any Governmental Authority binding upon any Loan Party or any of the Material Subsidiaries or its assets, (c) will not violate in any material respect or result in a default under any indenture, material agreement or other material instrument binding upon the Borrower or any of its Material Subsidiaries or its assets, or give rise to a right thereunder to require any payment to be made by the Borrower or any of its Material Subsidiaries, except, in the case of this clause (c), for any such violations, defaults or rights that could not reasonably be expected to result in a Material Adverse Effect, (d) will not violate or result in a default under the Existing Credit Agreement or any Corporate Campus Facility Financing Document, or give rise to a right thereunder to require any payment to be made by the Borrower or any of its Material Subsidiaries and (e) will not result in the creation or imposition of any Lien on any asset of the Borrower or any of its Material Subsidiaries, other than Liens (if any) permitted by Section 6.02(a).</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1296"/>
        <w:spacing w:after="0" w:line="257" w:lineRule="auto"/>
        <w:rPr>
          <w:sz w:val="20"/>
          <w:szCs w:val="20"/>
          <w:color w:val="auto"/>
        </w:rPr>
      </w:pPr>
      <w:r>
        <w:rPr>
          <w:rFonts w:ascii="Arial" w:cs="Arial" w:eastAsia="Arial" w:hAnsi="Arial"/>
          <w:sz w:val="18"/>
          <w:szCs w:val="18"/>
          <w:color w:val="010000"/>
        </w:rPr>
        <w:t xml:space="preserve">SECTION 3.04. </w:t>
      </w:r>
      <w:r>
        <w:rPr>
          <w:rFonts w:ascii="Arial" w:cs="Arial" w:eastAsia="Arial" w:hAnsi="Arial"/>
          <w:sz w:val="18"/>
          <w:szCs w:val="18"/>
          <w:u w:val="single" w:color="auto"/>
          <w:color w:val="000000"/>
        </w:rPr>
        <w:t>Financial Condition; No Material Adverse Change</w:t>
      </w:r>
      <w:r>
        <w:rPr>
          <w:rFonts w:ascii="Arial" w:cs="Arial" w:eastAsia="Arial" w:hAnsi="Arial"/>
          <w:sz w:val="18"/>
          <w:szCs w:val="18"/>
          <w:color w:val="000000"/>
        </w:rPr>
        <w:t>. (a) The Borrower has heretofore furnished to the Lenders its</w:t>
      </w:r>
      <w:r>
        <w:rPr>
          <w:rFonts w:ascii="Arial" w:cs="Arial" w:eastAsia="Arial" w:hAnsi="Arial"/>
          <w:sz w:val="18"/>
          <w:szCs w:val="18"/>
          <w:color w:val="010000"/>
        </w:rPr>
        <w:t xml:space="preserve"> </w:t>
      </w:r>
      <w:r>
        <w:rPr>
          <w:rFonts w:ascii="Arial" w:cs="Arial" w:eastAsia="Arial" w:hAnsi="Arial"/>
          <w:sz w:val="18"/>
          <w:szCs w:val="18"/>
          <w:color w:val="000000"/>
        </w:rPr>
        <w:t>consolidated balance sheet and statements of operations, stockholders equity and cash flows as of and for the fiscal year ended December 31, 2019 reported on by PricewaterhouseCoopers LLP, independent public accountants. Such financial statements present fairly, in all material respects, the financial position of the Borrower and its consolidated Subsidiaries as of the end of such fiscal year and their results of operations for such fiscal year on a consolidated basis in accordance with GAAP.</w:t>
      </w:r>
    </w:p>
    <w:p>
      <w:pPr>
        <w:spacing w:after="0" w:line="188" w:lineRule="exact"/>
        <w:rPr>
          <w:sz w:val="20"/>
          <w:szCs w:val="20"/>
          <w:color w:val="auto"/>
        </w:rPr>
      </w:pPr>
    </w:p>
    <w:p>
      <w:pPr>
        <w:ind w:left="660" w:firstLine="644"/>
        <w:spacing w:after="0" w:line="308" w:lineRule="auto"/>
        <w:tabs>
          <w:tab w:leader="none" w:pos="2251"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As of the Effective Date and excluding any Disclosed Matters, since December 31, 2019, there has been no material adverse change in the business, results of operations or financial condition of the Borrower and its Subsidiaries, taken as a whole.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3.05. </w:t>
      </w:r>
      <w:r>
        <w:rPr>
          <w:rFonts w:ascii="Arial" w:cs="Arial" w:eastAsia="Arial" w:hAnsi="Arial"/>
          <w:sz w:val="18"/>
          <w:szCs w:val="18"/>
          <w:u w:val="single" w:color="auto"/>
          <w:color w:val="000000"/>
        </w:rPr>
        <w:t>Properties</w:t>
      </w:r>
      <w:r>
        <w:rPr>
          <w:rFonts w:ascii="Arial" w:cs="Arial" w:eastAsia="Arial" w:hAnsi="Arial"/>
          <w:sz w:val="18"/>
          <w:szCs w:val="18"/>
          <w:color w:val="000000"/>
        </w:rPr>
        <w:t>.</w:t>
      </w:r>
    </w:p>
    <w:p>
      <w:pPr>
        <w:spacing w:after="0" w:line="225" w:lineRule="exact"/>
        <w:rPr>
          <w:sz w:val="20"/>
          <w:szCs w:val="20"/>
          <w:color w:val="auto"/>
        </w:rPr>
      </w:pPr>
    </w:p>
    <w:p>
      <w:pPr>
        <w:jc w:val="both"/>
        <w:ind w:left="660" w:right="20" w:firstLine="644"/>
        <w:spacing w:after="0" w:line="286" w:lineRule="auto"/>
        <w:tabs>
          <w:tab w:leader="none" w:pos="2349" w:val="left"/>
        </w:tabs>
        <w:numPr>
          <w:ilvl w:val="0"/>
          <w:numId w:val="113"/>
        </w:numPr>
        <w:rPr>
          <w:rFonts w:ascii="Arial" w:cs="Arial" w:eastAsia="Arial" w:hAnsi="Arial"/>
          <w:sz w:val="17"/>
          <w:szCs w:val="17"/>
          <w:color w:val="010000"/>
        </w:rPr>
      </w:pPr>
      <w:r>
        <w:rPr>
          <w:rFonts w:ascii="Arial" w:cs="Arial" w:eastAsia="Arial" w:hAnsi="Arial"/>
          <w:sz w:val="17"/>
          <w:szCs w:val="17"/>
          <w:color w:val="auto"/>
        </w:rPr>
        <w:t>Except for Liens permitted pursuant to Section 6.02, each of the Borrower and its Subsidiaries has good title to, or (to the knowledge of the Borrower) valid leasehold interests in, all its real and personal property (other than intellectual property, which is subject to Section 3.05(b)) material to its business, except as could not reasonably be expected to result in a Material Adverse Effect.</w:t>
      </w:r>
    </w:p>
    <w:p>
      <w:pPr>
        <w:spacing w:after="0" w:line="165" w:lineRule="exact"/>
        <w:rPr>
          <w:rFonts w:ascii="Arial" w:cs="Arial" w:eastAsia="Arial" w:hAnsi="Arial"/>
          <w:sz w:val="17"/>
          <w:szCs w:val="17"/>
          <w:color w:val="010000"/>
        </w:rPr>
      </w:pPr>
    </w:p>
    <w:p>
      <w:pPr>
        <w:jc w:val="both"/>
        <w:ind w:left="660" w:firstLine="644"/>
        <w:spacing w:after="0" w:line="279" w:lineRule="auto"/>
        <w:tabs>
          <w:tab w:leader="none" w:pos="2345" w:val="left"/>
        </w:tabs>
        <w:numPr>
          <w:ilvl w:val="0"/>
          <w:numId w:val="113"/>
        </w:numPr>
        <w:rPr>
          <w:rFonts w:ascii="Arial" w:cs="Arial" w:eastAsia="Arial" w:hAnsi="Arial"/>
          <w:sz w:val="17"/>
          <w:szCs w:val="17"/>
          <w:color w:val="010000"/>
        </w:rPr>
      </w:pPr>
      <w:r>
        <w:rPr>
          <w:rFonts w:ascii="Arial" w:cs="Arial" w:eastAsia="Arial" w:hAnsi="Arial"/>
          <w:sz w:val="17"/>
          <w:szCs w:val="17"/>
          <w:color w:val="auto"/>
        </w:rPr>
        <w:t>Except for Disclosed Matters or as could not reasonably be expected to result in a Material Adverse Effect, (i) each of the Borrower and its Subsidiaries owns or is licensed to use (subject to the knowledge-qualified infringement representation in this Section 3.05(b)) all trademarks, trade names, copyrights, patents and other intellectual property material to its business, and (ii) the use thereof by the Borrower and its Subsidiaries, to the Borrower’s knowledge, does not infringe upon the rights of any other Person.</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SECTION 3.06. </w:t>
      </w:r>
      <w:r>
        <w:rPr>
          <w:rFonts w:ascii="Arial" w:cs="Arial" w:eastAsia="Arial" w:hAnsi="Arial"/>
          <w:sz w:val="18"/>
          <w:szCs w:val="18"/>
          <w:u w:val="single" w:color="auto"/>
          <w:color w:val="000000"/>
        </w:rPr>
        <w:t>Litigation and Environmental Matters</w:t>
      </w:r>
      <w:r>
        <w:rPr>
          <w:rFonts w:ascii="Arial" w:cs="Arial" w:eastAsia="Arial" w:hAnsi="Arial"/>
          <w:sz w:val="18"/>
          <w:szCs w:val="18"/>
          <w:color w:val="000000"/>
        </w:rPr>
        <w:t>. (a) As of the Effective Date and except for Disclosed Matters, there are no</w:t>
      </w:r>
      <w:r>
        <w:rPr>
          <w:rFonts w:ascii="Arial" w:cs="Arial" w:eastAsia="Arial" w:hAnsi="Arial"/>
          <w:sz w:val="18"/>
          <w:szCs w:val="18"/>
          <w:color w:val="010000"/>
        </w:rPr>
        <w:t xml:space="preserve"> </w:t>
      </w:r>
      <w:r>
        <w:rPr>
          <w:rFonts w:ascii="Arial" w:cs="Arial" w:eastAsia="Arial" w:hAnsi="Arial"/>
          <w:sz w:val="18"/>
          <w:szCs w:val="18"/>
          <w:color w:val="000000"/>
        </w:rPr>
        <w:t>actions, suits, proceedings or investigations by or before any arbitrator or Governmental Authority pending against or, to the knowledge of the Borrower, threatened in writing against or affecting the Borrower or any of its Subsidiaries (i) that could reasonably be expected to result in a Material Adverse Effect or (ii) that involve this Agreement or the Transactions.</w:t>
      </w:r>
    </w:p>
    <w:p>
      <w:pPr>
        <w:spacing w:after="0" w:line="187" w:lineRule="exact"/>
        <w:rPr>
          <w:sz w:val="20"/>
          <w:szCs w:val="20"/>
          <w:color w:val="auto"/>
        </w:rPr>
      </w:pPr>
    </w:p>
    <w:p>
      <w:pPr>
        <w:jc w:val="both"/>
        <w:ind w:left="660" w:firstLine="644"/>
        <w:spacing w:after="0" w:line="279" w:lineRule="auto"/>
        <w:tabs>
          <w:tab w:leader="none" w:pos="2480"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Except with respect to (x) Disclosed Matters and (y) other matters that could not reasonably be expected to result in a Material Adverse Effect, the Borrower and its Subsidiaries (i) are in compliance with all applicable Environmental Laws (which compliance includes possession of and compliance with all permits, licenses or other approvals required under applicable Environmental Laws), (ii) are not subject to any Environmental Liability or (iii) have not received written notice of any claim with respect to any Environmental Liability.</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SECTION 3.07.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Each of the Borrower and its Subsidiaries is in compliance with all laws, regulations and orders</w:t>
      </w:r>
      <w:r>
        <w:rPr>
          <w:rFonts w:ascii="Arial" w:cs="Arial" w:eastAsia="Arial" w:hAnsi="Arial"/>
          <w:sz w:val="18"/>
          <w:szCs w:val="18"/>
          <w:color w:val="010000"/>
        </w:rPr>
        <w:t xml:space="preserve"> </w:t>
      </w:r>
      <w:r>
        <w:rPr>
          <w:rFonts w:ascii="Arial" w:cs="Arial" w:eastAsia="Arial" w:hAnsi="Arial"/>
          <w:sz w:val="18"/>
          <w:szCs w:val="18"/>
          <w:color w:val="000000"/>
        </w:rPr>
        <w:t>of any Governmental Authority applicable to it or its property, except (i) for Disclosed Matters or (ii) where the failure to do so could not reasonably be expected to result in a Material Adverse Effect.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1296"/>
        <w:spacing w:after="0" w:line="308" w:lineRule="auto"/>
        <w:rPr>
          <w:sz w:val="20"/>
          <w:szCs w:val="20"/>
          <w:color w:val="auto"/>
        </w:rPr>
      </w:pPr>
      <w:r>
        <w:rPr>
          <w:rFonts w:ascii="Arial" w:cs="Arial" w:eastAsia="Arial" w:hAnsi="Arial"/>
          <w:sz w:val="17"/>
          <w:szCs w:val="17"/>
          <w:color w:val="010000"/>
        </w:rPr>
        <w:t xml:space="preserve">SECTION 3.08. </w:t>
      </w:r>
      <w:r>
        <w:rPr>
          <w:rFonts w:ascii="Arial" w:cs="Arial" w:eastAsia="Arial" w:hAnsi="Arial"/>
          <w:sz w:val="17"/>
          <w:szCs w:val="17"/>
          <w:u w:val="single" w:color="auto"/>
          <w:color w:val="010000"/>
        </w:rPr>
        <w:t>Investment Company Status</w:t>
      </w:r>
      <w:r>
        <w:rPr>
          <w:rFonts w:ascii="Arial" w:cs="Arial" w:eastAsia="Arial" w:hAnsi="Arial"/>
          <w:sz w:val="17"/>
          <w:szCs w:val="17"/>
          <w:color w:val="010000"/>
        </w:rPr>
        <w:t>. Neither the Borrower nor any of its Subsidiaries is required to be registered as an “investment company” as defined in the Investment Company Act of 1940 or subject to regulation as an “investment company” thereunder.</w:t>
      </w:r>
    </w:p>
    <w:p>
      <w:pPr>
        <w:spacing w:after="0" w:line="14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010000"/>
        </w:rPr>
        <w:t xml:space="preserve">SECTION 3.09. </w:t>
      </w:r>
      <w:r>
        <w:rPr>
          <w:rFonts w:ascii="Arial" w:cs="Arial" w:eastAsia="Arial" w:hAnsi="Arial"/>
          <w:sz w:val="17"/>
          <w:szCs w:val="17"/>
          <w:u w:val="single" w:color="auto"/>
          <w:color w:val="000000"/>
        </w:rPr>
        <w:t>Taxes</w:t>
      </w:r>
      <w:r>
        <w:rPr>
          <w:rFonts w:ascii="Arial" w:cs="Arial" w:eastAsia="Arial" w:hAnsi="Arial"/>
          <w:sz w:val="17"/>
          <w:szCs w:val="17"/>
          <w:color w:val="000000"/>
        </w:rPr>
        <w:t>. Each of the Borrower and its Subsidiaries has timely filed or caused to be filed all federal income Tax returns and</w:t>
      </w:r>
      <w:r>
        <w:rPr>
          <w:rFonts w:ascii="Arial" w:cs="Arial" w:eastAsia="Arial" w:hAnsi="Arial"/>
          <w:sz w:val="17"/>
          <w:szCs w:val="17"/>
          <w:color w:val="010000"/>
        </w:rPr>
        <w:t xml:space="preserve"> </w:t>
      </w:r>
      <w:r>
        <w:rPr>
          <w:rFonts w:ascii="Arial" w:cs="Arial" w:eastAsia="Arial" w:hAnsi="Arial"/>
          <w:sz w:val="17"/>
          <w:szCs w:val="17"/>
          <w:color w:val="000000"/>
        </w:rPr>
        <w:t>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could not reasonably be expected to result in a Material Adverse Effect.</w:t>
      </w:r>
    </w:p>
    <w:p>
      <w:pPr>
        <w:spacing w:after="0" w:line="176"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 xml:space="preserve">SECTION 3.10. </w:t>
      </w:r>
      <w:r>
        <w:rPr>
          <w:rFonts w:ascii="Arial" w:cs="Arial" w:eastAsia="Arial" w:hAnsi="Arial"/>
          <w:sz w:val="17"/>
          <w:szCs w:val="17"/>
          <w:u w:val="single" w:color="auto"/>
          <w:color w:val="000000"/>
        </w:rPr>
        <w:t>ERISA</w:t>
      </w:r>
      <w:r>
        <w:rPr>
          <w:rFonts w:ascii="Arial" w:cs="Arial" w:eastAsia="Arial" w:hAnsi="Arial"/>
          <w:sz w:val="17"/>
          <w:szCs w:val="17"/>
          <w:color w:val="000000"/>
        </w:rPr>
        <w:t>. No ERISA Event has occurred or is reasonably expected to occur that, when taken together with all other such</w:t>
      </w:r>
      <w:r>
        <w:rPr>
          <w:rFonts w:ascii="Arial" w:cs="Arial" w:eastAsia="Arial" w:hAnsi="Arial"/>
          <w:sz w:val="17"/>
          <w:szCs w:val="17"/>
          <w:color w:val="010000"/>
        </w:rPr>
        <w:t xml:space="preserve"> </w:t>
      </w:r>
      <w:r>
        <w:rPr>
          <w:rFonts w:ascii="Arial" w:cs="Arial" w:eastAsia="Arial" w:hAnsi="Arial"/>
          <w:sz w:val="17"/>
          <w:szCs w:val="17"/>
          <w:color w:val="000000"/>
        </w:rPr>
        <w:t>ERISA Events for which liability is reasonably expected to occur, could reasonably be expected to result in a Material Adverse Effect.</w:t>
      </w:r>
    </w:p>
    <w:p>
      <w:pPr>
        <w:spacing w:after="0" w:line="14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u w:val="single" w:color="auto"/>
          <w:color w:val="000000"/>
        </w:rPr>
        <w:t>Disclosure</w:t>
      </w:r>
      <w:r>
        <w:rPr>
          <w:rFonts w:ascii="Arial" w:cs="Arial" w:eastAsia="Arial" w:hAnsi="Arial"/>
          <w:sz w:val="17"/>
          <w:szCs w:val="17"/>
          <w:color w:val="000000"/>
        </w:rPr>
        <w:t>. All written information and all information that is formally presented at a general meeting (which may be a</w:t>
      </w:r>
      <w:r>
        <w:rPr>
          <w:rFonts w:ascii="Arial" w:cs="Arial" w:eastAsia="Arial" w:hAnsi="Arial"/>
          <w:sz w:val="17"/>
          <w:szCs w:val="17"/>
          <w:color w:val="010000"/>
        </w:rPr>
        <w:t xml:space="preserve"> </w:t>
      </w:r>
      <w:r>
        <w:rPr>
          <w:rFonts w:ascii="Arial" w:cs="Arial" w:eastAsia="Arial" w:hAnsi="Arial"/>
          <w:sz w:val="17"/>
          <w:szCs w:val="17"/>
          <w:color w:val="000000"/>
        </w:rPr>
        <w:t xml:space="preserve">telephonic meeting) of the Lenders (in any such case, other than any projections, estimates, forecasts and other forward-looking information and information of a general economic or industry-specific nature) furnished by or on behalf of the Borrower or any Subsidiary to the Administrative Agent or any Lender pursuant to or in connection with this Agreement or any other Loan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with respect to forecasts or projections of financial information with respect to the Borrower or any Subsidiary so furnished to the Administrative Agent or any Lender pursuant to or in connection with this Agreement or any other Loan Document, the Borrower represents only that such information was prepared in good faith based upon assumptions believed by the Borrower to be reasonable at the time prepared (it being understood by the Administrative Agent and the Lenders that any such projections are not to be viewed as facts and are subject to significant uncertainties and contingencies, many of which are beyond the control of the Borrower or its Subsidiaries, that no assurances can be given that such projections will be realized and that actual results may differ materially from such projections).</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SECTION 3.12. </w:t>
      </w:r>
      <w:r>
        <w:rPr>
          <w:rFonts w:ascii="Arial" w:cs="Arial" w:eastAsia="Arial" w:hAnsi="Arial"/>
          <w:sz w:val="18"/>
          <w:szCs w:val="18"/>
          <w:u w:val="single" w:color="auto"/>
          <w:color w:val="000000"/>
        </w:rPr>
        <w:t>Federal Reserve Regulations</w:t>
      </w:r>
      <w:r>
        <w:rPr>
          <w:rFonts w:ascii="Arial" w:cs="Arial" w:eastAsia="Arial" w:hAnsi="Arial"/>
          <w:sz w:val="18"/>
          <w:szCs w:val="18"/>
          <w:color w:val="000000"/>
        </w:rPr>
        <w:t>. No part of the proceeds of any Loan have been used or will be used, whether directly or</w:t>
      </w:r>
      <w:r>
        <w:rPr>
          <w:rFonts w:ascii="Arial" w:cs="Arial" w:eastAsia="Arial" w:hAnsi="Arial"/>
          <w:sz w:val="18"/>
          <w:szCs w:val="18"/>
          <w:color w:val="010000"/>
        </w:rPr>
        <w:t xml:space="preserve"> </w:t>
      </w:r>
      <w:r>
        <w:rPr>
          <w:rFonts w:ascii="Arial" w:cs="Arial" w:eastAsia="Arial" w:hAnsi="Arial"/>
          <w:sz w:val="18"/>
          <w:szCs w:val="18"/>
          <w:color w:val="000000"/>
        </w:rPr>
        <w:t>indirectly, for any purpose that entails a violation of any of the Regulations of the Board, including Regulations T, U and X. Following the application of the proceeds to the Borrowing, no more than 25% of the value of the assets of the Borrower and its subsidiaries, on a consolidated basis, shall be margin stock (as defined in Regulation U of the Board).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3.13. </w:t>
      </w:r>
      <w:r>
        <w:rPr>
          <w:rFonts w:ascii="Arial" w:cs="Arial" w:eastAsia="Arial" w:hAnsi="Arial"/>
          <w:sz w:val="18"/>
          <w:szCs w:val="18"/>
          <w:u w:val="single" w:color="auto"/>
          <w:color w:val="000000"/>
        </w:rPr>
        <w:t>No Default</w:t>
      </w:r>
      <w:r>
        <w:rPr>
          <w:rFonts w:ascii="Arial" w:cs="Arial" w:eastAsia="Arial" w:hAnsi="Arial"/>
          <w:sz w:val="18"/>
          <w:szCs w:val="18"/>
          <w:color w:val="000000"/>
        </w:rPr>
        <w:t>. No Default has occurred and is continuing.</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SECTION 3.14. </w:t>
      </w:r>
      <w:r>
        <w:rPr>
          <w:rFonts w:ascii="Arial" w:cs="Arial" w:eastAsia="Arial" w:hAnsi="Arial"/>
          <w:sz w:val="18"/>
          <w:szCs w:val="18"/>
          <w:u w:val="single" w:color="auto"/>
          <w:color w:val="000000"/>
        </w:rPr>
        <w:t>Anti-Corruption Laws and Sanctions</w:t>
      </w:r>
      <w:r>
        <w:rPr>
          <w:rFonts w:ascii="Arial" w:cs="Arial" w:eastAsia="Arial" w:hAnsi="Arial"/>
          <w:sz w:val="18"/>
          <w:szCs w:val="18"/>
          <w:color w:val="000000"/>
        </w:rPr>
        <w:t>. The Borrower has implemented and maintains in effect policies and is</w:t>
      </w:r>
      <w:r>
        <w:rPr>
          <w:rFonts w:ascii="Arial" w:cs="Arial" w:eastAsia="Arial" w:hAnsi="Arial"/>
          <w:sz w:val="18"/>
          <w:szCs w:val="18"/>
          <w:color w:val="010000"/>
        </w:rPr>
        <w:t xml:space="preserve"> </w:t>
      </w:r>
      <w:r>
        <w:rPr>
          <w:rFonts w:ascii="Arial" w:cs="Arial" w:eastAsia="Arial" w:hAnsi="Arial"/>
          <w:sz w:val="18"/>
          <w:szCs w:val="18"/>
          <w:color w:val="000000"/>
        </w:rPr>
        <w:t>implementing procedures reasonably designed to achieve material compliance by the Borrower, its Subsidiaries and their respective directors, officers, employees and agents with Anti-Corruption Laws and applicable Sanctions, and the Borrower, its Subsidiaries and, to the knowledge of the Borrower, their respective directors, officers, employees and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 of the Borrower or any Subsidiary that will act in any capacity in connection with or benefit from the credit facility established hereby, is a Sanctioned Person. The Borrowing, the use of proceeds thereof or the other Transactions will not violate any Anti-Corruption Law or applicable Sanctions.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3.15. </w:t>
      </w:r>
      <w:r>
        <w:rPr>
          <w:rFonts w:ascii="Arial" w:cs="Arial" w:eastAsia="Arial" w:hAnsi="Arial"/>
          <w:sz w:val="18"/>
          <w:szCs w:val="18"/>
          <w:u w:val="single" w:color="auto"/>
          <w:color w:val="000000"/>
        </w:rPr>
        <w:t>Affected Financial Institution</w:t>
      </w:r>
      <w:r>
        <w:rPr>
          <w:rFonts w:ascii="Arial" w:cs="Arial" w:eastAsia="Arial" w:hAnsi="Arial"/>
          <w:sz w:val="18"/>
          <w:szCs w:val="18"/>
          <w:color w:val="000000"/>
        </w:rPr>
        <w:t>. The Borrower is not an Affected Financial Institution.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010000"/>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u w:val="single" w:color="auto"/>
          <w:color w:val="000000"/>
        </w:rPr>
        <w:t>Effective Date</w:t>
      </w:r>
      <w:r>
        <w:rPr>
          <w:rFonts w:ascii="Arial" w:cs="Arial" w:eastAsia="Arial" w:hAnsi="Arial"/>
          <w:sz w:val="17"/>
          <w:szCs w:val="17"/>
          <w:color w:val="000000"/>
        </w:rPr>
        <w:t>. The occurrence of the Effective Date is subject to the satisfaction (or waiver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9.02) of the following conditions precedent:</w:t>
      </w:r>
    </w:p>
    <w:p>
      <w:pPr>
        <w:spacing w:after="0" w:line="211" w:lineRule="exact"/>
        <w:rPr>
          <w:sz w:val="20"/>
          <w:szCs w:val="20"/>
          <w:color w:val="auto"/>
        </w:rPr>
      </w:pPr>
    </w:p>
    <w:p>
      <w:pPr>
        <w:jc w:val="both"/>
        <w:ind w:left="660" w:firstLine="644"/>
        <w:spacing w:after="0" w:line="287" w:lineRule="auto"/>
        <w:tabs>
          <w:tab w:leader="none" w:pos="2430" w:val="left"/>
        </w:tabs>
        <w:numPr>
          <w:ilvl w:val="1"/>
          <w:numId w:val="115"/>
        </w:numPr>
        <w:rPr>
          <w:rFonts w:ascii="Arial" w:cs="Arial" w:eastAsia="Arial" w:hAnsi="Arial"/>
          <w:sz w:val="16"/>
          <w:szCs w:val="16"/>
          <w:color w:val="010000"/>
        </w:rPr>
      </w:pPr>
      <w:r>
        <w:rPr>
          <w:rFonts w:ascii="Arial" w:cs="Arial" w:eastAsia="Arial" w:hAnsi="Arial"/>
          <w:sz w:val="16"/>
          <w:szCs w:val="16"/>
          <w:color w:val="auto"/>
        </w:rPr>
        <w:t>The Administrative Agent (or its counsel) shall have received (i) from each party hereto either (A) a counterpart of this Agreement signed on behalf of such party or (B) written evidence reasonably satisfactory to the Administrative Agent (which may include telecopy or electronic transmission of a signed signature page to this Agreement) that such party has signed a counterpart of this Agreement and</w:t>
      </w:r>
    </w:p>
    <w:p>
      <w:pPr>
        <w:spacing w:after="0" w:line="2" w:lineRule="exact"/>
        <w:rPr>
          <w:rFonts w:ascii="Arial" w:cs="Arial" w:eastAsia="Arial" w:hAnsi="Arial"/>
          <w:sz w:val="16"/>
          <w:szCs w:val="16"/>
          <w:color w:val="010000"/>
        </w:rPr>
      </w:pPr>
    </w:p>
    <w:p>
      <w:pPr>
        <w:ind w:left="660" w:hanging="4"/>
        <w:spacing w:after="0" w:line="260" w:lineRule="auto"/>
        <w:tabs>
          <w:tab w:leader="none" w:pos="9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duly executed copies of the Loan Documents and such other certificates, documents, instruments and agreements, in each case, to the extent described in the list of documents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660" w:firstLine="644"/>
        <w:spacing w:after="0" w:line="257" w:lineRule="auto"/>
        <w:tabs>
          <w:tab w:leader="none" w:pos="2291"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 xml:space="preserve">The Administrative Agent shall have received such documents and certificates relating to the organization or incorporation, existence and good standing of the initial Loan Parties in their respective jurisdictions of organization or incorporation (as applicable), the authorization of the Transactions and any other legal matters relating to such Loan Parties, the Loan Documents or the Transactions, all in form and substance reasonably satisfactory to the Administrative Agent and its counsel and as further described in the list of documents identified in Section B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7" w:lineRule="exact"/>
        <w:rPr>
          <w:rFonts w:ascii="Arial" w:cs="Arial" w:eastAsia="Arial" w:hAnsi="Arial"/>
          <w:sz w:val="18"/>
          <w:szCs w:val="18"/>
          <w:color w:val="010000"/>
        </w:rPr>
      </w:pPr>
    </w:p>
    <w:p>
      <w:pPr>
        <w:jc w:val="both"/>
        <w:ind w:left="660" w:firstLine="644"/>
        <w:spacing w:after="0" w:line="273" w:lineRule="auto"/>
        <w:tabs>
          <w:tab w:leader="none" w:pos="2281" w:val="left"/>
        </w:tabs>
        <w:numPr>
          <w:ilvl w:val="1"/>
          <w:numId w:val="116"/>
        </w:numPr>
        <w:rPr>
          <w:rFonts w:ascii="Arial" w:cs="Arial" w:eastAsia="Arial" w:hAnsi="Arial"/>
          <w:sz w:val="17"/>
          <w:szCs w:val="17"/>
          <w:color w:val="010000"/>
        </w:rPr>
      </w:pPr>
      <w:r>
        <w:rPr>
          <w:rFonts w:ascii="Arial" w:cs="Arial" w:eastAsia="Arial" w:hAnsi="Arial"/>
          <w:sz w:val="17"/>
          <w:szCs w:val="17"/>
          <w:color w:val="auto"/>
        </w:rPr>
        <w:t xml:space="preserve">The Administrative Agent shall have received a certificate, dated the Effective Date and signed by a Responsible Officer of the Borrower, certifying on behalf of the Borrower (i) that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true and correct in all material respects (or, in the case of any representation or warranty qualified by materiality or Material Adverse Effect,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spacing w:after="0" w:line="177" w:lineRule="exact"/>
        <w:rPr>
          <w:rFonts w:ascii="Arial" w:cs="Arial" w:eastAsia="Arial" w:hAnsi="Arial"/>
          <w:sz w:val="17"/>
          <w:szCs w:val="17"/>
          <w:color w:val="010000"/>
        </w:rPr>
      </w:pPr>
    </w:p>
    <w:p>
      <w:pPr>
        <w:jc w:val="both"/>
        <w:ind w:left="660" w:firstLine="644"/>
        <w:spacing w:after="0" w:line="253" w:lineRule="auto"/>
        <w:tabs>
          <w:tab w:leader="none" w:pos="2332"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(i) The Administrative Agent shall have received, at least three (3)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three (3) days prior to the Effective Date, any Lender that has requested, in a written notice to the Borrower at least ten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(d) shall be deemed to be satisfied). The Administrative Agent shall notify the Borrower and the Lenders of the Effective Date, and such notice shall be conclusive and binding.</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right="60" w:firstLine="1296"/>
        <w:spacing w:after="0" w:line="277" w:lineRule="auto"/>
        <w:rPr>
          <w:sz w:val="20"/>
          <w:szCs w:val="20"/>
          <w:color w:val="auto"/>
        </w:rPr>
      </w:pPr>
      <w:r>
        <w:rPr>
          <w:rFonts w:ascii="Arial" w:cs="Arial" w:eastAsia="Arial" w:hAnsi="Arial"/>
          <w:sz w:val="18"/>
          <w:szCs w:val="18"/>
          <w:color w:val="010000"/>
        </w:rPr>
        <w:t xml:space="preserve">SECTION 4.02. </w:t>
      </w:r>
      <w:r>
        <w:rPr>
          <w:rFonts w:ascii="Arial" w:cs="Arial" w:eastAsia="Arial" w:hAnsi="Arial"/>
          <w:sz w:val="18"/>
          <w:szCs w:val="18"/>
          <w:u w:val="single" w:color="auto"/>
          <w:color w:val="000000"/>
        </w:rPr>
        <w:t>Closing Date</w:t>
      </w:r>
      <w:r>
        <w:rPr>
          <w:rFonts w:ascii="Arial" w:cs="Arial" w:eastAsia="Arial" w:hAnsi="Arial"/>
          <w:sz w:val="18"/>
          <w:szCs w:val="18"/>
          <w:color w:val="000000"/>
        </w:rPr>
        <w:t>. The obligation of each Lender to make a Loan on the Closing Date is subject to the satisfaction (or waiver</w:t>
      </w:r>
      <w:r>
        <w:rPr>
          <w:rFonts w:ascii="Arial" w:cs="Arial" w:eastAsia="Arial" w:hAnsi="Arial"/>
          <w:sz w:val="18"/>
          <w:szCs w:val="18"/>
          <w:color w:val="010000"/>
        </w:rPr>
        <w:t xml:space="preserve"> </w:t>
      </w:r>
      <w:r>
        <w:rPr>
          <w:rFonts w:ascii="Arial" w:cs="Arial" w:eastAsia="Arial" w:hAnsi="Arial"/>
          <w:sz w:val="18"/>
          <w:szCs w:val="18"/>
          <w:color w:val="000000"/>
        </w:rPr>
        <w:t>in accordance with Section 9.02) of the following conditions:</w:t>
      </w:r>
    </w:p>
    <w:p>
      <w:pPr>
        <w:spacing w:after="0" w:line="170" w:lineRule="exact"/>
        <w:rPr>
          <w:sz w:val="20"/>
          <w:szCs w:val="20"/>
          <w:color w:val="auto"/>
        </w:rPr>
      </w:pPr>
    </w:p>
    <w:p>
      <w:pPr>
        <w:jc w:val="both"/>
        <w:ind w:left="660" w:firstLine="644"/>
        <w:spacing w:after="0" w:line="275" w:lineRule="auto"/>
        <w:tabs>
          <w:tab w:leader="none" w:pos="2295" w:val="left"/>
        </w:tabs>
        <w:numPr>
          <w:ilvl w:val="0"/>
          <w:numId w:val="117"/>
        </w:numPr>
        <w:rPr>
          <w:rFonts w:ascii="Arial" w:cs="Arial" w:eastAsia="Arial" w:hAnsi="Arial"/>
          <w:sz w:val="17"/>
          <w:szCs w:val="17"/>
          <w:color w:val="010000"/>
        </w:rPr>
      </w:pPr>
      <w:r>
        <w:rPr>
          <w:rFonts w:ascii="Arial" w:cs="Arial" w:eastAsia="Arial" w:hAnsi="Arial"/>
          <w:sz w:val="17"/>
          <w:szCs w:val="17"/>
          <w:color w:val="auto"/>
        </w:rPr>
        <w:t>The representations and warranties referred to in the definition of “Specified Representations” in so far as they relate to the Borrower at the time of such Borrowing shall be true and correct in all material respects (or, in the case of any representation or warranty qualified by materiality or Material Adverse Effect, in all respects) on and as of such date,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176" w:lineRule="exact"/>
        <w:rPr>
          <w:rFonts w:ascii="Arial" w:cs="Arial" w:eastAsia="Arial" w:hAnsi="Arial"/>
          <w:sz w:val="17"/>
          <w:szCs w:val="17"/>
          <w:color w:val="010000"/>
        </w:rPr>
      </w:pPr>
    </w:p>
    <w:p>
      <w:pPr>
        <w:ind w:left="660" w:firstLine="644"/>
        <w:spacing w:after="0" w:line="277" w:lineRule="auto"/>
        <w:tabs>
          <w:tab w:leader="none" w:pos="2251"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At the time of and immediately after giving effect to such Borrowing, no Event of Default under clause (a), (b), (h), (i) or (j) of Article VII shall have occurred and be continuing.</w:t>
      </w:r>
    </w:p>
    <w:p>
      <w:pPr>
        <w:spacing w:after="0" w:line="170" w:lineRule="exact"/>
        <w:rPr>
          <w:rFonts w:ascii="Arial" w:cs="Arial" w:eastAsia="Arial" w:hAnsi="Arial"/>
          <w:sz w:val="18"/>
          <w:szCs w:val="18"/>
          <w:color w:val="010000"/>
        </w:rPr>
      </w:pPr>
    </w:p>
    <w:p>
      <w:pPr>
        <w:ind w:left="2220" w:hanging="916"/>
        <w:spacing w:after="0"/>
        <w:tabs>
          <w:tab w:leader="none" w:pos="222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The Administrative Agent shall have received:</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a Borrowing Request in accordance with the requirements hereof requesting the Borrowing on the Closing Date;</w:t>
      </w:r>
    </w:p>
    <w:p>
      <w:pPr>
        <w:spacing w:after="0" w:line="248" w:lineRule="exact"/>
        <w:rPr>
          <w:rFonts w:ascii="Arial" w:cs="Arial" w:eastAsia="Arial" w:hAnsi="Arial"/>
          <w:sz w:val="16"/>
          <w:szCs w:val="16"/>
          <w:color w:val="010000"/>
        </w:rPr>
      </w:pPr>
    </w:p>
    <w:p>
      <w:pPr>
        <w:jc w:val="both"/>
        <w:ind w:left="1300" w:firstLine="652"/>
        <w:spacing w:after="0" w:line="286" w:lineRule="auto"/>
        <w:tabs>
          <w:tab w:leader="none" w:pos="2937" w:val="left"/>
        </w:tabs>
        <w:numPr>
          <w:ilvl w:val="1"/>
          <w:numId w:val="117"/>
        </w:numPr>
        <w:rPr>
          <w:rFonts w:ascii="Arial" w:cs="Arial" w:eastAsia="Arial" w:hAnsi="Arial"/>
          <w:sz w:val="17"/>
          <w:szCs w:val="17"/>
          <w:color w:val="010000"/>
        </w:rPr>
      </w:pPr>
      <w:r>
        <w:rPr>
          <w:rFonts w:ascii="Arial" w:cs="Arial" w:eastAsia="Arial" w:hAnsi="Arial"/>
          <w:sz w:val="17"/>
          <w:szCs w:val="17"/>
          <w:color w:val="auto"/>
        </w:rPr>
        <w:t xml:space="preserve">a certificate,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certifying to the solvency of the Borrower and its Subsidiaries (on a consolidated basis) as of the Closing Date, immediately after giving effect to the consummation of the Transactions occurring on the Closing Date and the making of the Loans on the Closing Date and the use of the proceeds thereof;</w:t>
      </w:r>
    </w:p>
    <w:p>
      <w:pPr>
        <w:spacing w:after="0" w:line="165" w:lineRule="exact"/>
        <w:rPr>
          <w:rFonts w:ascii="Arial" w:cs="Arial" w:eastAsia="Arial" w:hAnsi="Arial"/>
          <w:sz w:val="17"/>
          <w:szCs w:val="17"/>
          <w:color w:val="010000"/>
        </w:rPr>
      </w:pPr>
    </w:p>
    <w:p>
      <w:pPr>
        <w:ind w:left="1300" w:firstLine="652"/>
        <w:spacing w:after="0" w:line="277" w:lineRule="auto"/>
        <w:tabs>
          <w:tab w:leader="none" w:pos="287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 xml:space="preserve">documents of the same type delivered on the Effective Date that are described in the list of documents identified in Section B of </w:t>
      </w:r>
      <w:r>
        <w:rPr>
          <w:rFonts w:ascii="Arial" w:cs="Arial" w:eastAsia="Arial" w:hAnsi="Arial"/>
          <w:sz w:val="18"/>
          <w:szCs w:val="18"/>
          <w:u w:val="single" w:color="auto"/>
          <w:color w:val="auto"/>
        </w:rPr>
        <w:t>Exhibit D</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jc w:val="both"/>
        <w:ind w:left="1300" w:firstLine="652"/>
        <w:spacing w:after="0" w:line="301" w:lineRule="auto"/>
        <w:tabs>
          <w:tab w:leader="none" w:pos="2891" w:val="left"/>
        </w:tabs>
        <w:numPr>
          <w:ilvl w:val="1"/>
          <w:numId w:val="117"/>
        </w:numPr>
        <w:rPr>
          <w:rFonts w:ascii="Arial" w:cs="Arial" w:eastAsia="Arial" w:hAnsi="Arial"/>
          <w:sz w:val="16"/>
          <w:szCs w:val="16"/>
          <w:color w:val="010000"/>
        </w:rPr>
      </w:pPr>
      <w:r>
        <w:rPr>
          <w:rFonts w:ascii="Arial" w:cs="Arial" w:eastAsia="Arial" w:hAnsi="Arial"/>
          <w:sz w:val="16"/>
          <w:szCs w:val="16"/>
          <w:color w:val="auto"/>
        </w:rPr>
        <w:t>a favorable written opinion (addressed to the Administrative Agent and the Lenders and dated the Closing Date) of Skadden, Arps, Slate, Meagher &amp; Flom LLP, special New York counsel for the Borrower, in form and substance reasonably satisfactory to the Administrative Agent and covering such customary matters relating to the Borrower, the Loan Documents or the Transactions as the Administrative Agent shall reasonably request. The Borrower hereby requests such counsel to deliver such opinion.</w:t>
      </w:r>
    </w:p>
    <w:p>
      <w:pPr>
        <w:spacing w:after="0" w:line="157" w:lineRule="exact"/>
        <w:rPr>
          <w:rFonts w:ascii="Arial" w:cs="Arial" w:eastAsia="Arial" w:hAnsi="Arial"/>
          <w:sz w:val="16"/>
          <w:szCs w:val="16"/>
          <w:color w:val="010000"/>
        </w:rPr>
      </w:pPr>
    </w:p>
    <w:p>
      <w:pPr>
        <w:ind w:left="2240" w:hanging="936"/>
        <w:spacing w:after="0"/>
        <w:tabs>
          <w:tab w:leader="none" w:pos="224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The Effective Date shall have occurred.</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2335"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The Administrative Agent shall have received all fees and other amounts due and payable on or prior to the Closing Date, including, to the extent invoiced at least two (2) Business Days prior to the Closing Date, reimbursement or payment of all reasonable and documented out-of-pocket expenses required to be reimbursed or paid by the Borrower hereunder.</w:t>
      </w:r>
    </w:p>
    <w:p>
      <w:pPr>
        <w:spacing w:after="0" w:line="183" w:lineRule="exact"/>
        <w:rPr>
          <w:rFonts w:ascii="Arial" w:cs="Arial" w:eastAsia="Arial" w:hAnsi="Arial"/>
          <w:sz w:val="18"/>
          <w:szCs w:val="18"/>
          <w:color w:val="010000"/>
        </w:rPr>
      </w:pPr>
    </w:p>
    <w:p>
      <w:pPr>
        <w:ind w:left="2240" w:hanging="936"/>
        <w:spacing w:after="0"/>
        <w:tabs>
          <w:tab w:leader="none" w:pos="224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The Closing Date shall occur prior to the Commitment Termination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Borrowing Request submitted by the Borrower shall be deemed to be a representation and warranty that the conditions specified in Sections 4.02(a) and (b) have been satisfied on and as of the date of the Borrowing.</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010000"/>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the Loan and all fees due and payable hereunder shall have been paid in full (other than Obligations expressly stated to survive such payment and termination), the Borrower covenants and agrees with the Lenders that: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Financial Statements and Other Information</w:t>
      </w:r>
      <w:r>
        <w:rPr>
          <w:rFonts w:ascii="Arial" w:cs="Arial" w:eastAsia="Arial" w:hAnsi="Arial"/>
          <w:sz w:val="17"/>
          <w:szCs w:val="17"/>
          <w:color w:val="000000"/>
        </w:rPr>
        <w:t>. The Borrower will furnish to the Administrative Agent for distribution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11" w:lineRule="exact"/>
        <w:rPr>
          <w:sz w:val="20"/>
          <w:szCs w:val="20"/>
          <w:color w:val="auto"/>
        </w:rPr>
      </w:pPr>
    </w:p>
    <w:p>
      <w:pPr>
        <w:jc w:val="both"/>
        <w:ind w:left="660" w:firstLine="644"/>
        <w:spacing w:after="0" w:line="290" w:lineRule="auto"/>
        <w:tabs>
          <w:tab w:leader="none" w:pos="2322"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otherwise expressly noted therein), with such audited balance sheet and related consolidated financial statements reported on by PricewaterhouseCoopers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of the Borrower and its consolidated Subsidiaries as of the end of such fiscal year and their results of operations for such fiscal year on a consolidated basis in accordance with GAAP;</w:t>
      </w:r>
    </w:p>
    <w:p>
      <w:pPr>
        <w:spacing w:after="0" w:line="165" w:lineRule="exact"/>
        <w:rPr>
          <w:rFonts w:ascii="Arial" w:cs="Arial" w:eastAsia="Arial" w:hAnsi="Arial"/>
          <w:sz w:val="16"/>
          <w:szCs w:val="16"/>
          <w:color w:val="010000"/>
        </w:rPr>
      </w:pPr>
    </w:p>
    <w:p>
      <w:pPr>
        <w:jc w:val="both"/>
        <w:ind w:left="660" w:firstLine="644"/>
        <w:spacing w:after="0" w:line="271" w:lineRule="auto"/>
        <w:tabs>
          <w:tab w:leader="none" w:pos="2453"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within forty-five (45) days after the end of each of the first three fiscal quarters of each fiscal year of the Borrower,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Borrower by a Financial Officer of the Borrower as presenting fairly in all material respects the financial position of the Borrower and its consolidated Subsidiaries as of the end of such fiscal quarter and their results of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178" w:lineRule="exact"/>
        <w:rPr>
          <w:rFonts w:ascii="Arial" w:cs="Arial" w:eastAsia="Arial" w:hAnsi="Arial"/>
          <w:sz w:val="17"/>
          <w:szCs w:val="17"/>
          <w:color w:val="010000"/>
        </w:rPr>
      </w:pPr>
    </w:p>
    <w:p>
      <w:pPr>
        <w:jc w:val="both"/>
        <w:ind w:left="660" w:firstLine="644"/>
        <w:spacing w:after="0" w:line="271" w:lineRule="auto"/>
        <w:tabs>
          <w:tab w:leader="none" w:pos="2227" w:val="left"/>
        </w:tabs>
        <w:numPr>
          <w:ilvl w:val="0"/>
          <w:numId w:val="118"/>
        </w:numPr>
        <w:rPr>
          <w:rFonts w:ascii="Arial" w:cs="Arial" w:eastAsia="Arial" w:hAnsi="Arial"/>
          <w:sz w:val="17"/>
          <w:szCs w:val="17"/>
          <w:color w:val="010000"/>
        </w:rPr>
      </w:pPr>
      <w:r>
        <w:rPr>
          <w:rFonts w:ascii="Arial" w:cs="Arial" w:eastAsia="Arial" w:hAnsi="Arial"/>
          <w:sz w:val="17"/>
          <w:szCs w:val="17"/>
          <w:color w:val="auto"/>
        </w:rPr>
        <w:t>concurrently with any delivery of financial statements under clause (a) or (b) above, a certificate of a Financial Officer of the Borrower, delivered on behalf of the Borrower, (i) certifying as to whether, to the knowledge of such Financial Officer, a Default has occurred and is continuing and, if a Default has occurred that is continuing, specifying the details thereof and any action taken or proposed to be taken with respect thereto, (ii) setting forth reasonably detailed calculations demonstrating compliance with Section 6.07 and (iii)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 Section 3.04 and, if any such change has occurred, specifying the effect of such change on such financial statements accompanying such certificate;</w:t>
      </w:r>
    </w:p>
    <w:p>
      <w:pPr>
        <w:spacing w:after="0" w:line="178" w:lineRule="exact"/>
        <w:rPr>
          <w:rFonts w:ascii="Arial" w:cs="Arial" w:eastAsia="Arial" w:hAnsi="Arial"/>
          <w:sz w:val="17"/>
          <w:szCs w:val="17"/>
          <w:color w:val="010000"/>
        </w:rPr>
      </w:pPr>
    </w:p>
    <w:p>
      <w:pPr>
        <w:jc w:val="both"/>
        <w:ind w:left="660" w:firstLine="644"/>
        <w:spacing w:after="0" w:line="311" w:lineRule="auto"/>
        <w:tabs>
          <w:tab w:leader="none" w:pos="2575" w:val="left"/>
        </w:tabs>
        <w:numPr>
          <w:ilvl w:val="0"/>
          <w:numId w:val="118"/>
        </w:numPr>
        <w:rPr>
          <w:rFonts w:ascii="Arial" w:cs="Arial" w:eastAsia="Arial" w:hAnsi="Arial"/>
          <w:sz w:val="16"/>
          <w:szCs w:val="16"/>
          <w:color w:val="010000"/>
        </w:rPr>
      </w:pPr>
      <w:r>
        <w:rPr>
          <w:rFonts w:ascii="Arial" w:cs="Arial" w:eastAsia="Arial" w:hAnsi="Arial"/>
          <w:sz w:val="16"/>
          <w:szCs w:val="16"/>
          <w:color w:val="auto"/>
        </w:rPr>
        <w:t>promptly after the same become publicly available, copies of all annual, regular, periodic and special reports, proxy statements and registration statements (i) filed by the Borrower with the SEC (or any Governmental Authority succeeding to any or all of the functions of the SEC) or with any national securities exchange, or (ii) distributed by the Borrower to its shareholders generally, as the case may be;</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660" w:firstLine="644"/>
        <w:spacing w:after="0" w:line="277" w:lineRule="auto"/>
        <w:tabs>
          <w:tab w:leader="none" w:pos="2254"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010000"/>
        </w:rPr>
      </w:pPr>
    </w:p>
    <w:p>
      <w:pPr>
        <w:jc w:val="both"/>
        <w:ind w:left="660" w:firstLine="644"/>
        <w:spacing w:after="0" w:line="257" w:lineRule="auto"/>
        <w:tabs>
          <w:tab w:leader="none" w:pos="2347" w:val="left"/>
        </w:tabs>
        <w:numPr>
          <w:ilvl w:val="0"/>
          <w:numId w:val="119"/>
        </w:numPr>
        <w:rPr>
          <w:rFonts w:ascii="Arial" w:cs="Arial" w:eastAsia="Arial" w:hAnsi="Arial"/>
          <w:sz w:val="18"/>
          <w:szCs w:val="18"/>
          <w:color w:val="010000"/>
        </w:rPr>
      </w:pPr>
      <w:r>
        <w:rPr>
          <w:rFonts w:ascii="Arial" w:cs="Arial" w:eastAsia="Arial" w:hAnsi="Arial"/>
          <w:sz w:val="18"/>
          <w:szCs w:val="18"/>
          <w:color w:val="auto"/>
        </w:rPr>
        <w:t>promptly following any request therefor, (i) such other information regarding the operations, business affairs and financial condition of the Borrower or any Subsidiary, or compliance with the terms of this Agreement, as the Administrative Agent or any Lender (acting through the Administrative Agent)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Documents required to be delivered pursuant to clauses (a), (b) and (d) of this Section 5.01 (A) may be delivered electronically and (B) shall be deemed to have been delivered on the date on which such documents are (i) filed for public availability on the SEC’s Electronic Data Gathering and Retrieval System,</w:t>
      </w:r>
    </w:p>
    <w:p>
      <w:pPr>
        <w:jc w:val="both"/>
        <w:ind w:firstLine="8"/>
        <w:spacing w:after="0" w:line="253" w:lineRule="auto"/>
        <w:tabs>
          <w:tab w:leader="none" w:pos="2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posted or the Borrower provides a link thereto on http://www.regeneron.com or https://investor.regeneron.com or at another website identified in a notice from the Borrower and accessible by the Lenders without charge; or (iii) delivered to the Administrative Agent for posting on, or otherwise posted on the Borrower’s behalf on, an Internet or intranet website, if any, to which the Administrative Agent has access (whether a commercial, third-party website or whether sponsored by the Administrative Agent).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7"/>
          <w:szCs w:val="17"/>
          <w:color w:val="010000"/>
        </w:rPr>
        <w:t xml:space="preserve">SECTION 5.02. </w:t>
      </w:r>
      <w:r>
        <w:rPr>
          <w:rFonts w:ascii="Arial" w:cs="Arial" w:eastAsia="Arial" w:hAnsi="Arial"/>
          <w:sz w:val="17"/>
          <w:szCs w:val="17"/>
          <w:u w:val="single" w:color="auto"/>
          <w:color w:val="000000"/>
        </w:rPr>
        <w:t>Notices of Material Events</w:t>
      </w:r>
      <w:r>
        <w:rPr>
          <w:rFonts w:ascii="Arial" w:cs="Arial" w:eastAsia="Arial" w:hAnsi="Arial"/>
          <w:sz w:val="17"/>
          <w:szCs w:val="17"/>
          <w:color w:val="000000"/>
        </w:rPr>
        <w:t>. The Borrower will furnish to the Administrative Agent (for distribution to each Lender)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of the following, promptly after a Responsible Officer of the Borrower having actual knowledge thereof:</w:t>
      </w:r>
    </w:p>
    <w:p>
      <w:pPr>
        <w:spacing w:after="0" w:line="211" w:lineRule="exact"/>
        <w:rPr>
          <w:sz w:val="20"/>
          <w:szCs w:val="20"/>
          <w:color w:val="auto"/>
        </w:rPr>
      </w:pPr>
    </w:p>
    <w:p>
      <w:pPr>
        <w:ind w:left="2220" w:hanging="916"/>
        <w:spacing w:after="0"/>
        <w:tabs>
          <w:tab w:leader="none" w:pos="222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010000"/>
        </w:rPr>
      </w:pPr>
    </w:p>
    <w:p>
      <w:pPr>
        <w:ind w:left="660" w:firstLine="644"/>
        <w:spacing w:after="0" w:line="308" w:lineRule="auto"/>
        <w:tabs>
          <w:tab w:leader="none" w:pos="2278"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the filing or commencement of any action, suit or proceeding by or before any arbitrator or Governmental Authority against or affecting the Borrower or any Subsidiary thereof that could reasonably be expected to result in a Material Adverse Effect;</w:t>
      </w:r>
    </w:p>
    <w:p>
      <w:pPr>
        <w:spacing w:after="0" w:line="146" w:lineRule="exact"/>
        <w:rPr>
          <w:rFonts w:ascii="Arial" w:cs="Arial" w:eastAsia="Arial" w:hAnsi="Arial"/>
          <w:sz w:val="17"/>
          <w:szCs w:val="17"/>
          <w:color w:val="010000"/>
        </w:rPr>
      </w:pPr>
    </w:p>
    <w:p>
      <w:pPr>
        <w:ind w:left="660" w:firstLine="644"/>
        <w:spacing w:after="0" w:line="277" w:lineRule="auto"/>
        <w:tabs>
          <w:tab w:leader="none" w:pos="2578"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notice delivered under this Section shall be accompanied by a statement of a Responsible Officer of the Borrower setting forth in reasonable detail the event or development requiring such notice and any action taken or proposed to be taken with respect thereto. Information required to be delivered pursuant to clause (b), (c) and (d) of this Section shall be deemed to have been delivered if such information, or one or more annual, quarterly, current or other reports containing such information, is (i) filed for public availability on the SEC’s Electronic Data Gathering and Retrieval System, (ii) posted or the Borrower provides a link thereto on http://www.regeneron.com or https://investor.regeneron.com or at another website identified in a notice from the Borrower and accessible by the Lenders without charge; or (iii) delivered to the Administrative Agent for posting on, or otherwise posted on the Borrower’s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296"/>
        <w:spacing w:after="0" w:line="273" w:lineRule="auto"/>
        <w:rPr>
          <w:sz w:val="20"/>
          <w:szCs w:val="20"/>
          <w:color w:val="auto"/>
        </w:rPr>
      </w:pPr>
      <w:r>
        <w:rPr>
          <w:rFonts w:ascii="Arial" w:cs="Arial" w:eastAsia="Arial" w:hAnsi="Arial"/>
          <w:sz w:val="17"/>
          <w:szCs w:val="17"/>
          <w:color w:val="010000"/>
        </w:rPr>
        <w:t xml:space="preserve">SECTION 5.03. </w:t>
      </w:r>
      <w:r>
        <w:rPr>
          <w:rFonts w:ascii="Arial" w:cs="Arial" w:eastAsia="Arial" w:hAnsi="Arial"/>
          <w:sz w:val="17"/>
          <w:szCs w:val="17"/>
          <w:u w:val="single" w:color="auto"/>
          <w:color w:val="000000"/>
        </w:rPr>
        <w:t>Existence; Conduct of Business</w:t>
      </w:r>
      <w:r>
        <w:rPr>
          <w:rFonts w:ascii="Arial" w:cs="Arial" w:eastAsia="Arial" w:hAnsi="Arial"/>
          <w:sz w:val="17"/>
          <w:szCs w:val="17"/>
          <w:color w:val="000000"/>
        </w:rPr>
        <w:t>.The Borrower will, and will cause each of the Material Subsidiaries to, do or cause to be</w:t>
      </w:r>
      <w:r>
        <w:rPr>
          <w:rFonts w:ascii="Arial" w:cs="Arial" w:eastAsia="Arial" w:hAnsi="Arial"/>
          <w:sz w:val="17"/>
          <w:szCs w:val="17"/>
          <w:color w:val="010000"/>
        </w:rPr>
        <w:t xml:space="preserve"> </w:t>
      </w:r>
      <w:r>
        <w:rPr>
          <w:rFonts w:ascii="Arial" w:cs="Arial" w:eastAsia="Arial" w:hAnsi="Arial"/>
          <w:sz w:val="17"/>
          <w:szCs w:val="17"/>
          <w:color w:val="000000"/>
        </w:rPr>
        <w:t xml:space="preserve">done (i) all things necessary to preserve, renew and keep in full force and effect its legal existence and (ii) take, or cause to be taken, all reasonable actions to maintain the rights, qualifications, licenses, permits, privileges, franchises, governmental authorizations and intellectual property rights material to the conduct of the business of the Borrower and its Subsidiaries taken as a whole, except, in the case of this clause (ii), to the extent failure to do so could not reasonably be expected to result in a Material Adverse Effect;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this Section 5.03 shall not prohibit any Permitted Restructurings, merger, consolidation, disposition, liquidation, dissolution or other transaction permitted under Section 6.03.</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SECTION 5.04. </w:t>
      </w:r>
      <w:r>
        <w:rPr>
          <w:rFonts w:ascii="Arial" w:cs="Arial" w:eastAsia="Arial" w:hAnsi="Arial"/>
          <w:sz w:val="18"/>
          <w:szCs w:val="18"/>
          <w:u w:val="single" w:color="auto"/>
          <w:color w:val="000000"/>
        </w:rPr>
        <w:t>Payment of Taxes</w:t>
      </w:r>
      <w:r>
        <w:rPr>
          <w:rFonts w:ascii="Arial" w:cs="Arial" w:eastAsia="Arial" w:hAnsi="Arial"/>
          <w:sz w:val="18"/>
          <w:szCs w:val="18"/>
          <w:color w:val="000000"/>
        </w:rPr>
        <w:t>. The Borrower will, and will cause each other Loan Party and each of its Subsidiaries to, pay its Tax</w:t>
      </w:r>
      <w:r>
        <w:rPr>
          <w:rFonts w:ascii="Arial" w:cs="Arial" w:eastAsia="Arial" w:hAnsi="Arial"/>
          <w:sz w:val="18"/>
          <w:szCs w:val="18"/>
          <w:color w:val="010000"/>
        </w:rPr>
        <w:t xml:space="preserve"> </w:t>
      </w:r>
      <w:r>
        <w:rPr>
          <w:rFonts w:ascii="Arial" w:cs="Arial" w:eastAsia="Arial" w:hAnsi="Arial"/>
          <w:sz w:val="18"/>
          <w:szCs w:val="18"/>
          <w:color w:val="000000"/>
        </w:rPr>
        <w:t>liabilities that, if not paid, could reasonably be expected to result in a Material Adverse Effect before the same shall become delinquent or in default, except where Taxes that are being contested in good faith by appropriate proceedings and for which the Borrower or such Subsidiary, as applicable, has set aside on its books adequate reserves in accordance with GAAP.</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SECTION 5.05. </w:t>
      </w:r>
      <w:r>
        <w:rPr>
          <w:rFonts w:ascii="Arial" w:cs="Arial" w:eastAsia="Arial" w:hAnsi="Arial"/>
          <w:sz w:val="18"/>
          <w:szCs w:val="18"/>
          <w:u w:val="single" w:color="auto"/>
          <w:color w:val="000000"/>
        </w:rPr>
        <w:t>Maintenance of Properties; Insurance</w:t>
      </w:r>
      <w:r>
        <w:rPr>
          <w:rFonts w:ascii="Arial" w:cs="Arial" w:eastAsia="Arial" w:hAnsi="Arial"/>
          <w:sz w:val="18"/>
          <w:szCs w:val="18"/>
          <w:color w:val="000000"/>
        </w:rPr>
        <w:t>. The Borrower will, and will cause each of its Subsidiaries to, (a) keep and</w:t>
      </w:r>
      <w:r>
        <w:rPr>
          <w:rFonts w:ascii="Arial" w:cs="Arial" w:eastAsia="Arial" w:hAnsi="Arial"/>
          <w:sz w:val="18"/>
          <w:szCs w:val="18"/>
          <w:color w:val="010000"/>
        </w:rPr>
        <w:t xml:space="preserve"> </w:t>
      </w:r>
      <w:r>
        <w:rPr>
          <w:rFonts w:ascii="Arial" w:cs="Arial" w:eastAsia="Arial" w:hAnsi="Arial"/>
          <w:sz w:val="18"/>
          <w:szCs w:val="18"/>
          <w:color w:val="000000"/>
        </w:rPr>
        <w:t>maintain all tangible property material to the conduct of its business in good working order and condition, ordinary wear and tear and casualty excepted and except (i) pursuant to transactions permitted by Section 6.03 or (ii) where the failure to do so could not reasonably be expected to result in a Material Adverse Effect, and (b) maintain, in all material respects, with carriers reasonably believed by the Borrower to be financially sound and reputable or through reasonable and adequate self-insurance insurance in such amounts and against such risks and such other hazards, as is customarily maintained by companies engaged in the same or similar businesses under similar circumstances.</w:t>
      </w:r>
    </w:p>
    <w:p>
      <w:pPr>
        <w:spacing w:after="0" w:line="192"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010000"/>
        </w:rPr>
        <w:t xml:space="preserve">SECTION 5.06. </w:t>
      </w:r>
      <w:r>
        <w:rPr>
          <w:rFonts w:ascii="Arial" w:cs="Arial" w:eastAsia="Arial" w:hAnsi="Arial"/>
          <w:sz w:val="17"/>
          <w:szCs w:val="17"/>
          <w:u w:val="single" w:color="auto"/>
          <w:color w:val="000000"/>
        </w:rPr>
        <w:t>Books and Records; Inspection Rights</w:t>
      </w:r>
      <w:r>
        <w:rPr>
          <w:rFonts w:ascii="Arial" w:cs="Arial" w:eastAsia="Arial" w:hAnsi="Arial"/>
          <w:sz w:val="17"/>
          <w:szCs w:val="17"/>
          <w:color w:val="000000"/>
        </w:rPr>
        <w:t>. The Borrower will, and will cause each of its Material Subsidiaries to, keep</w:t>
      </w:r>
      <w:r>
        <w:rPr>
          <w:rFonts w:ascii="Arial" w:cs="Arial" w:eastAsia="Arial" w:hAnsi="Arial"/>
          <w:sz w:val="17"/>
          <w:szCs w:val="17"/>
          <w:color w:val="010000"/>
        </w:rPr>
        <w:t xml:space="preserve"> </w:t>
      </w:r>
      <w:r>
        <w:rPr>
          <w:rFonts w:ascii="Arial" w:cs="Arial" w:eastAsia="Arial" w:hAnsi="Arial"/>
          <w:sz w:val="17"/>
          <w:szCs w:val="17"/>
          <w:color w:val="000000"/>
        </w:rPr>
        <w:t xml:space="preserve">proper books of record and account in which full, true and correct entries in conformity in all material respects with applicable law are made of all material financial dealings and transactions in relation to its business and activities and, subject to Section 5.01(b), in form permitting financial statements conforming with GAAP or IFRS (as applicable) to be derived therefrom. The Borrower will, and will cause each of its Subsidiaries to, permit any representatives designated by the Administrative Agent to visit and inspect its properties, to examine and make extracts from its books and records and to discuss its affairs, finances and condition with its Financial Officers and, provided that the Borrower or such Subsidiary is afforded the opportunity to participate in such discussion, its independent accountants, in any such case, at reasonable times during normal business hours and as often as reasonably requested upon reasonable prior written notice to the Borrower, and subject to reasonable requirements of confidentiality, including requirements imposed by law or by contract;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so long as no Event of Default has occurred and is continuing, the Borrower shall not be required to reimburse the Administrative Agent or any of its representatives for fees, costs and expenses in connection with the Administrative Agent’s exercise of such rights set forth in this sentence more than one time in any calendar year. The Borrower acknowledges that, subject to Section 9.12, the Administrative Agent, after exercising its rights of inspection, may prepare and distribute to the Lenders certain reports pertaining to the Borrower and its Subsidiaries’ assets for internal use by the Administrative Agent and the Lenders in connection with the transactions contemplated hereby. Notwithstanding anything to the contrary in this Section 5.06 or any other provision of any Loan Document, neither the Borrower nor any of its Subsidiaries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Lender (or any designated representative) is then prohibited by law, rule or regulation or any agreement binding on the Borrower or any of its Subsidiaries or (iii) is subject to attorney-client or similar privilege or constitutes attorney work-product.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3" w:name="page114"/>
    <w:bookmarkEnd w:id="113"/>
    <w:p>
      <w:pPr>
        <w:jc w:val="both"/>
        <w:ind w:firstLine="1296"/>
        <w:spacing w:after="0" w:line="257" w:lineRule="auto"/>
        <w:rPr>
          <w:sz w:val="20"/>
          <w:szCs w:val="20"/>
          <w:color w:val="auto"/>
        </w:rPr>
      </w:pPr>
      <w:r>
        <w:rPr>
          <w:rFonts w:ascii="Arial" w:cs="Arial" w:eastAsia="Arial" w:hAnsi="Arial"/>
          <w:sz w:val="18"/>
          <w:szCs w:val="18"/>
          <w:color w:val="010000"/>
        </w:rPr>
        <w:t xml:space="preserve">SECTION 5.07. </w:t>
      </w:r>
      <w:r>
        <w:rPr>
          <w:rFonts w:ascii="Arial" w:cs="Arial" w:eastAsia="Arial" w:hAnsi="Arial"/>
          <w:sz w:val="18"/>
          <w:szCs w:val="18"/>
          <w:u w:val="single" w:color="auto"/>
          <w:color w:val="000000"/>
        </w:rPr>
        <w:t>Compliance with Laws</w:t>
      </w:r>
      <w:r>
        <w:rPr>
          <w:rFonts w:ascii="Arial" w:cs="Arial" w:eastAsia="Arial" w:hAnsi="Arial"/>
          <w:sz w:val="18"/>
          <w:szCs w:val="18"/>
          <w:color w:val="000000"/>
        </w:rPr>
        <w:t>. The Borrower will, and will cause each of its Subsidiaries to, comply with all laws, rules,</w:t>
      </w:r>
      <w:r>
        <w:rPr>
          <w:rFonts w:ascii="Arial" w:cs="Arial" w:eastAsia="Arial" w:hAnsi="Arial"/>
          <w:sz w:val="18"/>
          <w:szCs w:val="18"/>
          <w:color w:val="010000"/>
        </w:rPr>
        <w:t xml:space="preserve"> </w:t>
      </w:r>
      <w:r>
        <w:rPr>
          <w:rFonts w:ascii="Arial" w:cs="Arial" w:eastAsia="Arial" w:hAnsi="Arial"/>
          <w:sz w:val="18"/>
          <w:szCs w:val="18"/>
          <w:color w:val="000000"/>
        </w:rPr>
        <w:t>regulations and orders of any Governmental Authority applicable to it or its property, except (i) for Disclosed Matters or (ii) where the failure to do so could not reasonably be expected to result in a Material Adverse Effect. The Borrower will maintain in effect and enforce policies and is implementing and will maintain procedures reasonably designed to achieve material compliance by the Borrower, its Subsidiaries and their respective directors, officers, employees and agents with Anti-Corruption Laws and applicable Sanctions.</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010000"/>
        </w:rPr>
        <w:t xml:space="preserve">SECTION 5.08. </w:t>
      </w:r>
      <w:r>
        <w:rPr>
          <w:rFonts w:ascii="Arial" w:cs="Arial" w:eastAsia="Arial" w:hAnsi="Arial"/>
          <w:sz w:val="17"/>
          <w:szCs w:val="17"/>
          <w:u w:val="single" w:color="auto"/>
          <w:color w:val="000000"/>
        </w:rPr>
        <w:t>Use of Proceeds</w:t>
      </w:r>
      <w:r>
        <w:rPr>
          <w:rFonts w:ascii="Arial" w:cs="Arial" w:eastAsia="Arial" w:hAnsi="Arial"/>
          <w:sz w:val="17"/>
          <w:szCs w:val="17"/>
          <w:color w:val="000000"/>
        </w:rPr>
        <w:t>. The proceeds of the Loans will be used only to finance the Share Repurchase and to pay fees and</w:t>
      </w:r>
      <w:r>
        <w:rPr>
          <w:rFonts w:ascii="Arial" w:cs="Arial" w:eastAsia="Arial" w:hAnsi="Arial"/>
          <w:sz w:val="17"/>
          <w:szCs w:val="17"/>
          <w:color w:val="010000"/>
        </w:rPr>
        <w:t xml:space="preserve"> </w:t>
      </w:r>
      <w:r>
        <w:rPr>
          <w:rFonts w:ascii="Arial" w:cs="Arial" w:eastAsia="Arial" w:hAnsi="Arial"/>
          <w:sz w:val="17"/>
          <w:szCs w:val="17"/>
          <w:color w:val="000000"/>
        </w:rPr>
        <w:t>expenses related thereto. No part of the proceeds of the Loan will be used, whether directly or indirectly, for any purpose that entails a violation of any of the Regulations of the Board, including Regulations T, U and X. The Borrower shall not use, and the Borrower shall procure that its Subsidiaries and its or their respective directors, officers, employees and agents shall not use, the proceeds of the Borrowing (i) for payments to any Person in violation of any Anti-Corruption Laws, (ii) for the purpose of funding, financing or facilitating any activities, business or transaction of or with any Sanctioned Person, or in any Sanctioned Country, in each case, except to the extent permissible for a Person required to comply with Sanctions, or (iii) in any manner that would result in the violation of any Sanctions applicable to any party hereto.</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5.09. </w:t>
      </w:r>
      <w:r>
        <w:rPr>
          <w:rFonts w:ascii="Arial" w:cs="Arial" w:eastAsia="Arial" w:hAnsi="Arial"/>
          <w:sz w:val="18"/>
          <w:szCs w:val="18"/>
          <w:u w:val="single" w:color="auto"/>
          <w:color w:val="000000"/>
        </w:rPr>
        <w:t>Subsidiary Guaranty</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4"/>
        <w:spacing w:after="0" w:line="270" w:lineRule="auto"/>
        <w:tabs>
          <w:tab w:leader="none" w:pos="2376" w:val="left"/>
        </w:tabs>
        <w:numPr>
          <w:ilvl w:val="0"/>
          <w:numId w:val="122"/>
        </w:numPr>
        <w:rPr>
          <w:rFonts w:ascii="Arial" w:cs="Arial" w:eastAsia="Arial" w:hAnsi="Arial"/>
          <w:sz w:val="17"/>
          <w:szCs w:val="17"/>
          <w:color w:val="010000"/>
        </w:rPr>
      </w:pPr>
      <w:r>
        <w:rPr>
          <w:rFonts w:ascii="Arial" w:cs="Arial" w:eastAsia="Arial" w:hAnsi="Arial"/>
          <w:sz w:val="17"/>
          <w:szCs w:val="17"/>
          <w:color w:val="auto"/>
        </w:rPr>
        <w:t>Within forty-five (45) days (or such later date as may be agreed upon by the Administrative Agent) after which financial statements have been delivered pursuant to Section 5.01(a) and any Person qualifies as a Material Domestic Subsidiary pursuant to the definition of “Material Subsidiary” in accordance with the calculations in such financial statements, the Borrower shall provide the Administrative Agent with written notice thereof and shall cause each such Subsidiary to execute and deliver to the Administrative Agent the Subsidiary Guaranty (or a joinder thereto in the form contemplated thereby) pursuant to which such Subsidiary agrees to be bound by the terms and provisions thereof, such Subsidiary Guaranty (or joinder thereto) to be accompanied by requisite organizational resolutions, other organizational or constitutional documentation and legal opinions as may be reasonably requested by the Administrative Agent (with any such opinion so requested to be in form and substance reasonably satisfactory to the Administrative Agent but, in any case, limited to the types of matters covered in the legal opinions delivered pursuant to Section 4.02).</w:t>
      </w:r>
    </w:p>
    <w:p>
      <w:pPr>
        <w:spacing w:after="0" w:line="180" w:lineRule="exact"/>
        <w:rPr>
          <w:rFonts w:ascii="Arial" w:cs="Arial" w:eastAsia="Arial" w:hAnsi="Arial"/>
          <w:sz w:val="17"/>
          <w:szCs w:val="17"/>
          <w:color w:val="010000"/>
        </w:rPr>
      </w:pPr>
    </w:p>
    <w:p>
      <w:pPr>
        <w:ind w:left="2240" w:hanging="936"/>
        <w:spacing w:after="0"/>
        <w:tabs>
          <w:tab w:leader="none" w:pos="224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Notwithstanding the foregoing:</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122"/>
        </w:numPr>
        <w:rPr>
          <w:rFonts w:ascii="Arial" w:cs="Arial" w:eastAsia="Arial" w:hAnsi="Arial"/>
          <w:sz w:val="18"/>
          <w:szCs w:val="18"/>
          <w:color w:val="010000"/>
        </w:rPr>
      </w:pPr>
      <w:r>
        <w:rPr>
          <w:rFonts w:ascii="Arial" w:cs="Arial" w:eastAsia="Arial" w:hAnsi="Arial"/>
          <w:sz w:val="18"/>
          <w:szCs w:val="18"/>
          <w:color w:val="auto"/>
        </w:rPr>
        <w:t>no Excluded Subsidiary shall be required to become a Subsidiary Guarantor; and</w:t>
      </w:r>
    </w:p>
    <w:p>
      <w:pPr>
        <w:spacing w:after="0" w:line="225" w:lineRule="exact"/>
        <w:rPr>
          <w:rFonts w:ascii="Arial" w:cs="Arial" w:eastAsia="Arial" w:hAnsi="Arial"/>
          <w:sz w:val="18"/>
          <w:szCs w:val="18"/>
          <w:color w:val="010000"/>
        </w:rPr>
      </w:pPr>
    </w:p>
    <w:p>
      <w:pPr>
        <w:jc w:val="both"/>
        <w:ind w:left="1300" w:firstLine="652"/>
        <w:spacing w:after="0" w:line="259" w:lineRule="auto"/>
        <w:tabs>
          <w:tab w:leader="none" w:pos="2856" w:val="left"/>
        </w:tabs>
        <w:numPr>
          <w:ilvl w:val="1"/>
          <w:numId w:val="122"/>
        </w:numPr>
        <w:rPr>
          <w:rFonts w:ascii="Arial" w:cs="Arial" w:eastAsia="Arial" w:hAnsi="Arial"/>
          <w:sz w:val="18"/>
          <w:szCs w:val="18"/>
          <w:color w:val="010000"/>
        </w:rPr>
      </w:pPr>
      <w:r>
        <w:rPr>
          <w:rFonts w:ascii="Arial" w:cs="Arial" w:eastAsia="Arial" w:hAnsi="Arial"/>
          <w:sz w:val="18"/>
          <w:szCs w:val="18"/>
          <w:color w:val="auto"/>
        </w:rPr>
        <w:t xml:space="preserve">with respect to any Domestic Subsidiary that is a “Subsidiary Borrower” under the Existing Credit Agreement, such Domestic Subsidiary shall have satisfied the requirements set forth in </w:t>
      </w:r>
      <w:r>
        <w:rPr>
          <w:rFonts w:ascii="Arial" w:cs="Arial" w:eastAsia="Arial" w:hAnsi="Arial"/>
          <w:sz w:val="18"/>
          <w:szCs w:val="18"/>
          <w:u w:val="single" w:color="auto"/>
          <w:color w:val="auto"/>
        </w:rPr>
        <w:t>Section 5.09(a)</w:t>
      </w:r>
      <w:r>
        <w:rPr>
          <w:rFonts w:ascii="Arial" w:cs="Arial" w:eastAsia="Arial" w:hAnsi="Arial"/>
          <w:sz w:val="18"/>
          <w:szCs w:val="18"/>
          <w:color w:val="auto"/>
        </w:rPr>
        <w:t xml:space="preserve"> and become a Guarantor under the Loan Documents prior to such Domestic Subsidiary borrowing any loans under the Existing Credit Agreement as a “Subsidiary Borrower”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due and payable hereunder have been paid in full (other than Obligations expressly stated to survive such payment and termination), the Borrower covenants and agrees with the Lenders that: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u w:val="single" w:color="auto"/>
          <w:color w:val="000000"/>
        </w:rPr>
        <w:t>Subsidiary Indebtedness</w:t>
      </w:r>
      <w:r>
        <w:rPr>
          <w:rFonts w:ascii="Arial" w:cs="Arial" w:eastAsia="Arial" w:hAnsi="Arial"/>
          <w:sz w:val="16"/>
          <w:szCs w:val="16"/>
          <w:color w:val="000000"/>
        </w:rPr>
        <w:t>. The Borrower will not permit any Subsidiary to create, incur, assume or permit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11" w:lineRule="exact"/>
        <w:rPr>
          <w:sz w:val="20"/>
          <w:szCs w:val="20"/>
          <w:color w:val="auto"/>
        </w:rPr>
      </w:pPr>
    </w:p>
    <w:p>
      <w:pPr>
        <w:ind w:left="2220" w:hanging="916"/>
        <w:spacing w:after="0"/>
        <w:tabs>
          <w:tab w:leader="none" w:pos="222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the Obligations and any Specified Ancillary Obligations;</w:t>
      </w:r>
    </w:p>
    <w:p>
      <w:pPr>
        <w:spacing w:after="0" w:line="225" w:lineRule="exact"/>
        <w:rPr>
          <w:rFonts w:ascii="Arial" w:cs="Arial" w:eastAsia="Arial" w:hAnsi="Arial"/>
          <w:sz w:val="18"/>
          <w:szCs w:val="18"/>
          <w:color w:val="010000"/>
        </w:rPr>
      </w:pPr>
    </w:p>
    <w:p>
      <w:pPr>
        <w:jc w:val="both"/>
        <w:ind w:left="660" w:firstLine="644"/>
        <w:spacing w:after="0" w:line="259" w:lineRule="auto"/>
        <w:tabs>
          <w:tab w:leader="none" w:pos="2467"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 xml:space="preserve">Indebtedness existing on the Effective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86" w:lineRule="exact"/>
        <w:rPr>
          <w:rFonts w:ascii="Arial" w:cs="Arial" w:eastAsia="Arial" w:hAnsi="Arial"/>
          <w:sz w:val="18"/>
          <w:szCs w:val="18"/>
          <w:color w:val="010000"/>
        </w:rPr>
      </w:pPr>
    </w:p>
    <w:p>
      <w:pPr>
        <w:ind w:left="2220" w:hanging="916"/>
        <w:spacing w:after="0"/>
        <w:tabs>
          <w:tab w:leader="none" w:pos="222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Indebtedness of any Subsidiary to the Borrower or any other Subsidiary;</w:t>
      </w:r>
    </w:p>
    <w:p>
      <w:pPr>
        <w:spacing w:after="0" w:line="225" w:lineRule="exact"/>
        <w:rPr>
          <w:rFonts w:ascii="Arial" w:cs="Arial" w:eastAsia="Arial" w:hAnsi="Arial"/>
          <w:sz w:val="18"/>
          <w:szCs w:val="18"/>
          <w:color w:val="010000"/>
        </w:rPr>
      </w:pPr>
    </w:p>
    <w:p>
      <w:pPr>
        <w:ind w:left="2240" w:hanging="936"/>
        <w:spacing w:after="0"/>
        <w:tabs>
          <w:tab w:leader="none" w:pos="224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Guarantees by any Subsidiary of Indebtedness or other obligations of the Borrower or any other Subsidiary;</w:t>
      </w:r>
    </w:p>
    <w:p>
      <w:pPr>
        <w:spacing w:after="0" w:line="225" w:lineRule="exact"/>
        <w:rPr>
          <w:rFonts w:ascii="Arial" w:cs="Arial" w:eastAsia="Arial" w:hAnsi="Arial"/>
          <w:sz w:val="18"/>
          <w:szCs w:val="18"/>
          <w:color w:val="010000"/>
        </w:rPr>
      </w:pPr>
    </w:p>
    <w:p>
      <w:pPr>
        <w:jc w:val="both"/>
        <w:ind w:left="660" w:firstLine="644"/>
        <w:spacing w:after="0" w:line="273" w:lineRule="auto"/>
        <w:tabs>
          <w:tab w:leader="none" w:pos="2308"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 xml:space="preserve">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initially incurred prior to or within 180 days after such acquisition or the completion of such construction, repair, replacement, lease or improvement and (ii) the aggregate outstanding principal amount of Indebtedness permitted by this clause (e) shall not exceed $75,000,000 at any time outstanding;</w:t>
      </w:r>
    </w:p>
    <w:p>
      <w:pPr>
        <w:spacing w:after="0" w:line="177" w:lineRule="exact"/>
        <w:rPr>
          <w:rFonts w:ascii="Arial" w:cs="Arial" w:eastAsia="Arial" w:hAnsi="Arial"/>
          <w:sz w:val="17"/>
          <w:szCs w:val="17"/>
          <w:color w:val="010000"/>
        </w:rPr>
      </w:pPr>
    </w:p>
    <w:p>
      <w:pPr>
        <w:ind w:left="2420" w:hanging="1116"/>
        <w:spacing w:after="0"/>
        <w:tabs>
          <w:tab w:leader="none" w:pos="2420" w:val="left"/>
        </w:tabs>
        <w:numPr>
          <w:ilvl w:val="0"/>
          <w:numId w:val="123"/>
        </w:numPr>
        <w:rPr>
          <w:rFonts w:ascii="Arial" w:cs="Arial" w:eastAsia="Arial" w:hAnsi="Arial"/>
          <w:sz w:val="16"/>
          <w:szCs w:val="16"/>
          <w:color w:val="010000"/>
        </w:rPr>
      </w:pPr>
      <w:r>
        <w:rPr>
          <w:rFonts w:ascii="Arial" w:cs="Arial" w:eastAsia="Arial" w:hAnsi="Arial"/>
          <w:sz w:val="16"/>
          <w:szCs w:val="16"/>
          <w:color w:val="auto"/>
        </w:rPr>
        <w:t>Indebtedness of any Subsidiary as an account party in respect of letters of credit, bank guarantees, letters of guaranty or</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similar instruments;</w:t>
      </w:r>
    </w:p>
    <w:p>
      <w:pPr>
        <w:spacing w:after="0" w:line="210" w:lineRule="exact"/>
        <w:rPr>
          <w:rFonts w:ascii="Arial" w:cs="Arial" w:eastAsia="Arial" w:hAnsi="Arial"/>
          <w:sz w:val="16"/>
          <w:szCs w:val="16"/>
          <w:color w:val="010000"/>
        </w:rPr>
      </w:pPr>
    </w:p>
    <w:p>
      <w:pPr>
        <w:ind w:left="660" w:firstLine="644"/>
        <w:spacing w:after="0" w:line="277" w:lineRule="auto"/>
        <w:tabs>
          <w:tab w:leader="none" w:pos="2278"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010000"/>
        </w:rPr>
      </w:pPr>
    </w:p>
    <w:p>
      <w:pPr>
        <w:ind w:left="660" w:firstLine="644"/>
        <w:spacing w:after="0" w:line="277" w:lineRule="auto"/>
        <w:tabs>
          <w:tab w:leader="none" w:pos="2539"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2593"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left="-460" w:firstLine="644"/>
        <w:spacing w:after="0" w:line="311" w:lineRule="auto"/>
        <w:tabs>
          <w:tab w:leader="none" w:pos="1158"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48" w:lineRule="exact"/>
        <w:rPr>
          <w:rFonts w:ascii="Arial" w:cs="Arial" w:eastAsia="Arial" w:hAnsi="Arial"/>
          <w:sz w:val="16"/>
          <w:szCs w:val="16"/>
          <w:color w:val="010000"/>
        </w:rPr>
      </w:pPr>
    </w:p>
    <w:p>
      <w:pPr>
        <w:ind w:left="1120" w:hanging="936"/>
        <w:spacing w:after="0"/>
        <w:tabs>
          <w:tab w:leader="none" w:pos="112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010000"/>
        </w:rPr>
      </w:pPr>
    </w:p>
    <w:p>
      <w:pPr>
        <w:ind w:left="1080" w:hanging="896"/>
        <w:spacing w:after="0"/>
        <w:tabs>
          <w:tab w:leader="none" w:pos="108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Indebtedness in respect of obligations that are being contested in accordance with Section 5.04;</w:t>
      </w:r>
    </w:p>
    <w:p>
      <w:pPr>
        <w:spacing w:after="0" w:line="225" w:lineRule="exact"/>
        <w:rPr>
          <w:rFonts w:ascii="Arial" w:cs="Arial" w:eastAsia="Arial" w:hAnsi="Arial"/>
          <w:sz w:val="18"/>
          <w:szCs w:val="18"/>
          <w:color w:val="010000"/>
        </w:rPr>
      </w:pPr>
    </w:p>
    <w:p>
      <w:pPr>
        <w:ind w:left="-460" w:firstLine="644"/>
        <w:spacing w:after="0" w:line="342" w:lineRule="auto"/>
        <w:tabs>
          <w:tab w:leader="none" w:pos="1333"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Indebtedness consisting of (i) deferred payments or financing of insurance premiums incurred in the ordinary course of business of any Subsidiary and (ii) take or pay obligations contained in any supply agreement entered into in the ordinary course of business;</w:t>
      </w:r>
    </w:p>
    <w:p>
      <w:pPr>
        <w:spacing w:after="0" w:line="123" w:lineRule="exact"/>
        <w:rPr>
          <w:rFonts w:ascii="Arial" w:cs="Arial" w:eastAsia="Arial" w:hAnsi="Arial"/>
          <w:sz w:val="16"/>
          <w:szCs w:val="16"/>
          <w:color w:val="010000"/>
        </w:rPr>
      </w:pPr>
    </w:p>
    <w:p>
      <w:pPr>
        <w:jc w:val="both"/>
        <w:ind w:left="-460" w:firstLine="644"/>
        <w:spacing w:after="0" w:line="263" w:lineRule="auto"/>
        <w:tabs>
          <w:tab w:leader="none" w:pos="1333"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Borrower or any Subsidiary incurred in the ordinary course of business or existing on the Effective Date;</w:t>
      </w:r>
    </w:p>
    <w:p>
      <w:pPr>
        <w:spacing w:after="0" w:line="183" w:lineRule="exact"/>
        <w:rPr>
          <w:rFonts w:ascii="Arial" w:cs="Arial" w:eastAsia="Arial" w:hAnsi="Arial"/>
          <w:sz w:val="18"/>
          <w:szCs w:val="18"/>
          <w:color w:val="010000"/>
        </w:rPr>
      </w:pPr>
    </w:p>
    <w:p>
      <w:pPr>
        <w:ind w:left="-460" w:firstLine="644"/>
        <w:spacing w:after="0" w:line="277" w:lineRule="auto"/>
        <w:tabs>
          <w:tab w:leader="none" w:pos="1279"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010000"/>
        </w:rPr>
      </w:pPr>
    </w:p>
    <w:p>
      <w:pPr>
        <w:jc w:val="both"/>
        <w:ind w:left="-460" w:firstLine="644"/>
        <w:spacing w:after="0" w:line="254" w:lineRule="auto"/>
        <w:tabs>
          <w:tab w:leader="none" w:pos="1158"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 xml:space="preserve">Priority Indebtedness of any Subsidiary; provided that immediately after giving effect to the incurrence of any such Priority Indebtedness in reliance on this clause (q), the sum of (without duplication) (i) the aggregate principal amount of all such Priority Indebtedness outstanding in reliance on this clause (q),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principal amount of Indebtedness and other obligations of the Borrower and its Subsidiaries secured by Liens in reliance on Section 6.02(s)(ii) or 6.02(s)(iii) shall not exceed fifteen percent (15%) of the Borrower’s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March 31, 2020);</w:t>
      </w:r>
    </w:p>
    <w:p>
      <w:pPr>
        <w:spacing w:after="0" w:line="194" w:lineRule="exact"/>
        <w:rPr>
          <w:rFonts w:ascii="Arial" w:cs="Arial" w:eastAsia="Arial" w:hAnsi="Arial"/>
          <w:sz w:val="18"/>
          <w:szCs w:val="18"/>
          <w:color w:val="010000"/>
        </w:rPr>
      </w:pPr>
    </w:p>
    <w:p>
      <w:pPr>
        <w:jc w:val="both"/>
        <w:ind w:left="-460" w:right="20" w:firstLine="644"/>
        <w:spacing w:after="0" w:line="263" w:lineRule="auto"/>
        <w:tabs>
          <w:tab w:leader="none" w:pos="1173"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unsecured Indebtedness of any Subsidiary so long as at the time of and immediately after giving effect on a pro forma basis to the incurrence of such Indebtedness (i) no Event of Default shall have occurred and be continuing and (ii) the Borrower shall be in compliance with the financial covenants set forth in Section 6.07;</w:t>
      </w:r>
    </w:p>
    <w:p>
      <w:pPr>
        <w:spacing w:after="0" w:line="183" w:lineRule="exact"/>
        <w:rPr>
          <w:rFonts w:ascii="Arial" w:cs="Arial" w:eastAsia="Arial" w:hAnsi="Arial"/>
          <w:sz w:val="18"/>
          <w:szCs w:val="18"/>
          <w:color w:val="010000"/>
        </w:rPr>
      </w:pPr>
    </w:p>
    <w:p>
      <w:pPr>
        <w:ind w:left="1140" w:hanging="956"/>
        <w:spacing w:after="0"/>
        <w:tabs>
          <w:tab w:leader="none" w:pos="1140"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other Indebtedness in an aggregate outstanding principal amount not to exceed $75,000,000;</w:t>
      </w:r>
    </w:p>
    <w:p>
      <w:pPr>
        <w:spacing w:after="0" w:line="225" w:lineRule="exact"/>
        <w:rPr>
          <w:rFonts w:ascii="Arial" w:cs="Arial" w:eastAsia="Arial" w:hAnsi="Arial"/>
          <w:sz w:val="18"/>
          <w:szCs w:val="18"/>
          <w:color w:val="010000"/>
        </w:rPr>
      </w:pPr>
    </w:p>
    <w:p>
      <w:pPr>
        <w:jc w:val="both"/>
        <w:ind w:left="-460" w:firstLine="644"/>
        <w:spacing w:after="0" w:line="301" w:lineRule="auto"/>
        <w:tabs>
          <w:tab w:leader="none" w:pos="1122" w:val="left"/>
        </w:tabs>
        <w:numPr>
          <w:ilvl w:val="0"/>
          <w:numId w:val="124"/>
        </w:numPr>
        <w:rPr>
          <w:rFonts w:ascii="Arial" w:cs="Arial" w:eastAsia="Arial" w:hAnsi="Arial"/>
          <w:sz w:val="16"/>
          <w:szCs w:val="16"/>
          <w:color w:val="010000"/>
        </w:rPr>
      </w:pPr>
      <w:r>
        <w:rPr>
          <w:rFonts w:ascii="Arial" w:cs="Arial" w:eastAsia="Arial" w:hAnsi="Arial"/>
          <w:sz w:val="16"/>
          <w:szCs w:val="16"/>
          <w:color w:val="auto"/>
        </w:rPr>
        <w:t>Indebtedness assumed by any Subsidiary in connection with any Acquisition or other acquisition of any property or assets or Indebtedness of any Person that becomes a Subsidiary after the Effective Date in a transaction not prohibited hereby, and amendments, modifications, extensions, refinancings, renewals and replacements of any such Indebtedness; provided that (i) such Indebtedness is not incurred in contemplation of such acquisition and (ii) the aggregate outstanding principal amount of such Indebtedness does not exceed $200,000,000; and</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6" w:name="page117"/>
    <w:bookmarkEnd w:id="116"/>
    <w:p>
      <w:pPr>
        <w:jc w:val="both"/>
        <w:ind w:left="660" w:firstLine="644"/>
        <w:spacing w:after="0" w:line="279" w:lineRule="auto"/>
        <w:tabs>
          <w:tab w:leader="none" w:pos="2386" w:val="left"/>
        </w:tabs>
        <w:numPr>
          <w:ilvl w:val="0"/>
          <w:numId w:val="125"/>
        </w:numPr>
        <w:rPr>
          <w:rFonts w:ascii="Arial" w:cs="Arial" w:eastAsia="Arial" w:hAnsi="Arial"/>
          <w:sz w:val="17"/>
          <w:szCs w:val="17"/>
          <w:color w:val="010000"/>
        </w:rPr>
      </w:pPr>
      <w:r>
        <w:rPr>
          <w:rFonts w:ascii="Arial" w:cs="Arial" w:eastAsia="Arial" w:hAnsi="Arial"/>
          <w:sz w:val="17"/>
          <w:szCs w:val="17"/>
          <w:color w:val="auto"/>
        </w:rPr>
        <w:t>Indebtedness under the Existing Credit Agreement in an aggregate principal amount not to exceed $750,000,000 and any amendments, modifications, extensions, refinancings, renewals and replacements of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7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00000"/>
        </w:rPr>
        <w:t>Liens</w:t>
      </w:r>
      <w:r>
        <w:rPr>
          <w:rFonts w:ascii="Arial" w:cs="Arial" w:eastAsia="Arial" w:hAnsi="Arial"/>
          <w:sz w:val="18"/>
          <w:szCs w:val="18"/>
          <w:color w:val="000000"/>
        </w:rPr>
        <w:t>. The Borrower will not, and will not permit any Subsidiary to, create, incur, assume or permit to exist any Lien on</w:t>
      </w:r>
      <w:r>
        <w:rPr>
          <w:rFonts w:ascii="Arial" w:cs="Arial" w:eastAsia="Arial" w:hAnsi="Arial"/>
          <w:sz w:val="18"/>
          <w:szCs w:val="18"/>
          <w:color w:val="010000"/>
        </w:rPr>
        <w:t xml:space="preserve"> </w:t>
      </w:r>
      <w:r>
        <w:rPr>
          <w:rFonts w:ascii="Arial" w:cs="Arial" w:eastAsia="Arial" w:hAnsi="Arial"/>
          <w:sz w:val="18"/>
          <w:szCs w:val="18"/>
          <w:color w:val="000000"/>
        </w:rPr>
        <w:t>any property or asset now owned or hereafter acquired by it except:</w:t>
      </w:r>
    </w:p>
    <w:p>
      <w:pPr>
        <w:spacing w:after="0" w:line="170" w:lineRule="exact"/>
        <w:rPr>
          <w:sz w:val="20"/>
          <w:szCs w:val="20"/>
          <w:color w:val="auto"/>
        </w:rPr>
      </w:pPr>
    </w:p>
    <w:p>
      <w:pPr>
        <w:ind w:left="2220" w:hanging="916"/>
        <w:spacing w:after="0"/>
        <w:tabs>
          <w:tab w:leader="none" w:pos="2220" w:val="left"/>
        </w:tabs>
        <w:numPr>
          <w:ilvl w:val="0"/>
          <w:numId w:val="126"/>
        </w:numPr>
        <w:rPr>
          <w:rFonts w:ascii="Arial" w:cs="Arial" w:eastAsia="Arial" w:hAnsi="Arial"/>
          <w:sz w:val="17"/>
          <w:szCs w:val="17"/>
          <w:color w:val="010000"/>
        </w:rPr>
      </w:pPr>
      <w:r>
        <w:rPr>
          <w:rFonts w:ascii="Arial" w:cs="Arial" w:eastAsia="Arial" w:hAnsi="Arial"/>
          <w:sz w:val="17"/>
          <w:szCs w:val="17"/>
          <w:color w:val="auto"/>
        </w:rPr>
        <w:t>Liens (if any) created pursuant to any Loan Document including with respect to any obligation to provide cash collateral;</w:t>
      </w:r>
    </w:p>
    <w:p>
      <w:pPr>
        <w:spacing w:after="0" w:line="236" w:lineRule="exact"/>
        <w:rPr>
          <w:rFonts w:ascii="Arial" w:cs="Arial" w:eastAsia="Arial" w:hAnsi="Arial"/>
          <w:sz w:val="17"/>
          <w:szCs w:val="17"/>
          <w:color w:val="010000"/>
        </w:rPr>
      </w:pPr>
    </w:p>
    <w:p>
      <w:pPr>
        <w:ind w:left="2240" w:hanging="936"/>
        <w:spacing w:after="0"/>
        <w:tabs>
          <w:tab w:leader="none" w:pos="224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010000"/>
        </w:rPr>
      </w:pPr>
    </w:p>
    <w:p>
      <w:pPr>
        <w:jc w:val="both"/>
        <w:ind w:left="660" w:firstLine="644"/>
        <w:spacing w:after="0" w:line="290" w:lineRule="auto"/>
        <w:tabs>
          <w:tab w:leader="none" w:pos="2254"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 xml:space="preserve">any Lien on any property or asset of the Borrower or any Subsidiary existing on the Effective Date and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any amendments, modifications, extensions, renewals, refinancings and replacements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shall not apply to any other property or asset of the Borrower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 the amount secured or benefited thereby is not increased (other than as not otherwise prohibited by this Agreement) and amendments, modifications, extensions, refinancings, renewals and replacements thereof that do not increase the outstanding principal amount thereof (other than as not otherwise prohibited by this Agreement);</w:t>
      </w:r>
    </w:p>
    <w:p>
      <w:pPr>
        <w:spacing w:after="0" w:line="165" w:lineRule="exact"/>
        <w:rPr>
          <w:rFonts w:ascii="Arial" w:cs="Arial" w:eastAsia="Arial" w:hAnsi="Arial"/>
          <w:sz w:val="16"/>
          <w:szCs w:val="16"/>
          <w:color w:val="010000"/>
        </w:rPr>
      </w:pPr>
    </w:p>
    <w:p>
      <w:pPr>
        <w:jc w:val="both"/>
        <w:ind w:left="660" w:firstLine="644"/>
        <w:spacing w:after="0" w:line="287" w:lineRule="auto"/>
        <w:tabs>
          <w:tab w:leader="none" w:pos="2305" w:val="left"/>
        </w:tabs>
        <w:numPr>
          <w:ilvl w:val="0"/>
          <w:numId w:val="126"/>
        </w:numPr>
        <w:rPr>
          <w:rFonts w:ascii="Arial" w:cs="Arial" w:eastAsia="Arial" w:hAnsi="Arial"/>
          <w:sz w:val="16"/>
          <w:szCs w:val="16"/>
          <w:color w:val="010000"/>
        </w:rPr>
      </w:pPr>
      <w:r>
        <w:rPr>
          <w:rFonts w:ascii="Arial" w:cs="Arial" w:eastAsia="Arial" w:hAnsi="Arial"/>
          <w:sz w:val="16"/>
          <w:szCs w:val="16"/>
          <w:color w:val="auto"/>
        </w:rPr>
        <w:t xml:space="preserve">any Lien existing on any property or asset prior to the acquisition thereof by the Borrower or any Subsidiary or existing on any property or asset of any Person that becomes a Subsidiary after the Effective Date prior to the time such Person becomes a Subsidiary or existing on any asset of any Person existing at the time such Person is merged into or consolidated with the Borrower or a Subsidiary and any amendments, modifications, extensions, renewals and replacements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(iii)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left="-460" w:firstLine="644"/>
        <w:spacing w:after="0" w:line="270" w:lineRule="auto"/>
        <w:tabs>
          <w:tab w:leader="none" w:pos="1121"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 xml:space="preserve">Liens on assets (including capital leases) acquired (including as a replacement), constructed, repaired, leased or improved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Liens secure Indebtedness or Capital Lease Obligations of the Borrower or any Subsidiary permitted by clause (e) of Section 6.01 (or, in the case of the Borrower, that would have been permitted by clause (e) of Section 6.01 had such Indebtedness or Capital Lease Obligations instead been incurred by a Subsidiary) , (ii) such Liens and the Indebtedness secured thereby are initially incurred prior to or within 180 days after such acquisition or lease or the completion of such construction, replacement, repair or improvement and (iii) such Liens shall not apply to any other property or assets of the Borrower or any Subsidiary other than improvements thereon, replacements and products thereof, additions and accessions thereto or proceeds thereof and customary security deposits; provided that individual financings of equipment provided by one lender (or a syndicate of lenders) may be cross-collateralized to other financings of equipment provided by such lender (or syndicate);</w:t>
      </w:r>
    </w:p>
    <w:p>
      <w:pPr>
        <w:spacing w:after="0" w:line="180" w:lineRule="exact"/>
        <w:rPr>
          <w:rFonts w:ascii="Arial" w:cs="Arial" w:eastAsia="Arial" w:hAnsi="Arial"/>
          <w:sz w:val="17"/>
          <w:szCs w:val="17"/>
          <w:color w:val="010000"/>
        </w:rPr>
      </w:pPr>
    </w:p>
    <w:p>
      <w:pPr>
        <w:jc w:val="both"/>
        <w:ind w:left="-460" w:firstLine="644"/>
        <w:spacing w:after="0" w:line="263" w:lineRule="auto"/>
        <w:tabs>
          <w:tab w:leader="none" w:pos="137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granted by (i) a Subsidiary that is not a Loan Party in favor of the Borrower or another Subsidiary in respect of Indebtedness or other obligations owed by such Subsidiary to the Borrower or such other Subsidiary and (ii) a Loan Party in favor of another Loan Party in respect of Indebtedness or other obligations owed by such Loan Party to such other Loan Party;</w:t>
      </w:r>
    </w:p>
    <w:p>
      <w:pPr>
        <w:spacing w:after="0" w:line="183" w:lineRule="exact"/>
        <w:rPr>
          <w:rFonts w:ascii="Arial" w:cs="Arial" w:eastAsia="Arial" w:hAnsi="Arial"/>
          <w:sz w:val="18"/>
          <w:szCs w:val="18"/>
          <w:color w:val="010000"/>
        </w:rPr>
      </w:pPr>
    </w:p>
    <w:p>
      <w:pPr>
        <w:ind w:left="-460" w:firstLine="644"/>
        <w:spacing w:after="0" w:line="277" w:lineRule="auto"/>
        <w:tabs>
          <w:tab w:leader="none" w:pos="1279"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arising out of any conditional sale, title retention, consignment or other similar arrangements for the sale of goods entered into by the Borrower or any of its Subsidiaries the ordinary course of business;</w:t>
      </w:r>
    </w:p>
    <w:p>
      <w:pPr>
        <w:spacing w:after="0" w:line="170" w:lineRule="exact"/>
        <w:rPr>
          <w:rFonts w:ascii="Arial" w:cs="Arial" w:eastAsia="Arial" w:hAnsi="Arial"/>
          <w:sz w:val="18"/>
          <w:szCs w:val="18"/>
          <w:color w:val="010000"/>
        </w:rPr>
      </w:pPr>
    </w:p>
    <w:p>
      <w:pPr>
        <w:ind w:left="1120" w:hanging="936"/>
        <w:spacing w:after="0"/>
        <w:tabs>
          <w:tab w:leader="none" w:pos="112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securing the financing of insurance premiums solely to the extent of such premiums;</w:t>
      </w:r>
    </w:p>
    <w:p>
      <w:pPr>
        <w:spacing w:after="0" w:line="225" w:lineRule="exact"/>
        <w:rPr>
          <w:rFonts w:ascii="Arial" w:cs="Arial" w:eastAsia="Arial" w:hAnsi="Arial"/>
          <w:sz w:val="18"/>
          <w:szCs w:val="18"/>
          <w:color w:val="010000"/>
        </w:rPr>
      </w:pPr>
    </w:p>
    <w:p>
      <w:pPr>
        <w:jc w:val="both"/>
        <w:ind w:left="-460" w:firstLine="644"/>
        <w:spacing w:after="0" w:line="259" w:lineRule="auto"/>
        <w:tabs>
          <w:tab w:leader="none" w:pos="1554"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6" w:lineRule="exact"/>
        <w:rPr>
          <w:rFonts w:ascii="Arial" w:cs="Arial" w:eastAsia="Arial" w:hAnsi="Arial"/>
          <w:sz w:val="18"/>
          <w:szCs w:val="18"/>
          <w:color w:val="010000"/>
        </w:rPr>
      </w:pPr>
    </w:p>
    <w:p>
      <w:pPr>
        <w:ind w:left="-460" w:firstLine="644"/>
        <w:spacing w:after="0" w:line="277" w:lineRule="auto"/>
        <w:tabs>
          <w:tab w:leader="none" w:pos="146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010000"/>
        </w:rPr>
      </w:pPr>
    </w:p>
    <w:p>
      <w:pPr>
        <w:jc w:val="both"/>
        <w:ind w:left="-460" w:right="20" w:firstLine="644"/>
        <w:spacing w:after="0" w:line="263" w:lineRule="auto"/>
        <w:tabs>
          <w:tab w:leader="none" w:pos="111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on any cash earnest money deposits made by the Borrower or any of its Subsidiaries in connection with an Acquisition or other investment not prohibited hereunder, including, without limitation, in connection with any letter of intent or purchase agreement relating thereto;</w:t>
      </w:r>
    </w:p>
    <w:p>
      <w:pPr>
        <w:spacing w:after="0" w:line="183" w:lineRule="exact"/>
        <w:rPr>
          <w:rFonts w:ascii="Arial" w:cs="Arial" w:eastAsia="Arial" w:hAnsi="Arial"/>
          <w:sz w:val="18"/>
          <w:szCs w:val="18"/>
          <w:color w:val="010000"/>
        </w:rPr>
      </w:pPr>
    </w:p>
    <w:p>
      <w:pPr>
        <w:ind w:left="-460" w:firstLine="644"/>
        <w:spacing w:after="0" w:line="277" w:lineRule="auto"/>
        <w:tabs>
          <w:tab w:leader="none" w:pos="125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Liens in connection with the sale or transfer of any assets in a transaction permitted under Section 6.03, customary rights and restrictions contained in agreements relating to such sale or transfer pending the completion thereof;</w:t>
      </w:r>
    </w:p>
    <w:p>
      <w:pPr>
        <w:spacing w:after="0" w:line="170" w:lineRule="exact"/>
        <w:rPr>
          <w:rFonts w:ascii="Arial" w:cs="Arial" w:eastAsia="Arial" w:hAnsi="Arial"/>
          <w:sz w:val="18"/>
          <w:szCs w:val="18"/>
          <w:color w:val="010000"/>
        </w:rPr>
      </w:pPr>
    </w:p>
    <w:p>
      <w:pPr>
        <w:ind w:left="-460" w:firstLine="644"/>
        <w:spacing w:after="0" w:line="308" w:lineRule="auto"/>
        <w:tabs>
          <w:tab w:leader="none" w:pos="1307" w:val="left"/>
        </w:tabs>
        <w:numPr>
          <w:ilvl w:val="0"/>
          <w:numId w:val="127"/>
        </w:numPr>
        <w:rPr>
          <w:rFonts w:ascii="Arial" w:cs="Arial" w:eastAsia="Arial" w:hAnsi="Arial"/>
          <w:sz w:val="17"/>
          <w:szCs w:val="17"/>
          <w:color w:val="010000"/>
        </w:rPr>
      </w:pPr>
      <w:r>
        <w:rPr>
          <w:rFonts w:ascii="Arial" w:cs="Arial" w:eastAsia="Arial" w:hAnsi="Arial"/>
          <w:sz w:val="17"/>
          <w:szCs w:val="17"/>
          <w:color w:val="auto"/>
        </w:rPr>
        <w:t>Liens in the nature of the right of setoff in favor of counterparties to contractual agreements with the Borrower or any Subsidiary (i) in the ordinary course of business or (ii) not otherwise prohibited hereunder other than in connection with Indebtedness;</w:t>
      </w:r>
    </w:p>
    <w:p>
      <w:pPr>
        <w:spacing w:after="0" w:line="146" w:lineRule="exact"/>
        <w:rPr>
          <w:rFonts w:ascii="Arial" w:cs="Arial" w:eastAsia="Arial" w:hAnsi="Arial"/>
          <w:sz w:val="17"/>
          <w:szCs w:val="17"/>
          <w:color w:val="010000"/>
        </w:rPr>
      </w:pPr>
    </w:p>
    <w:p>
      <w:pPr>
        <w:ind w:left="1120" w:hanging="936"/>
        <w:spacing w:after="0"/>
        <w:tabs>
          <w:tab w:leader="none" w:pos="112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dispositions and other sales of assets permitted under Section 6.03;</w:t>
      </w:r>
    </w:p>
    <w:p>
      <w:pPr>
        <w:spacing w:after="0" w:line="225" w:lineRule="exact"/>
        <w:rPr>
          <w:rFonts w:ascii="Arial" w:cs="Arial" w:eastAsia="Arial" w:hAnsi="Arial"/>
          <w:sz w:val="18"/>
          <w:szCs w:val="18"/>
          <w:color w:val="010000"/>
        </w:rPr>
      </w:pPr>
    </w:p>
    <w:p>
      <w:pPr>
        <w:ind w:left="-460" w:right="20" w:firstLine="644"/>
        <w:spacing w:after="0" w:line="277" w:lineRule="auto"/>
        <w:tabs>
          <w:tab w:leader="none" w:pos="1495"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Borrower or any Subsidiary;</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8" w:name="page119"/>
    <w:bookmarkEnd w:id="118"/>
    <w:p>
      <w:pPr>
        <w:jc w:val="both"/>
        <w:ind w:left="-460" w:firstLine="644"/>
        <w:spacing w:after="0" w:line="259" w:lineRule="auto"/>
        <w:tabs>
          <w:tab w:leader="none" w:pos="1414"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86" w:lineRule="exact"/>
        <w:rPr>
          <w:rFonts w:ascii="Arial" w:cs="Arial" w:eastAsia="Arial" w:hAnsi="Arial"/>
          <w:sz w:val="18"/>
          <w:szCs w:val="18"/>
          <w:color w:val="010000"/>
        </w:rPr>
      </w:pPr>
    </w:p>
    <w:p>
      <w:pPr>
        <w:ind w:left="-460" w:firstLine="644"/>
        <w:spacing w:after="0" w:line="277" w:lineRule="auto"/>
        <w:tabs>
          <w:tab w:leader="none" w:pos="1671"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any Lien (and rights of set-off) arising under Section 24 or 25 of the general terms and conditions (</w:t>
      </w:r>
      <w:r>
        <w:rPr>
          <w:rFonts w:ascii="Arial" w:cs="Arial" w:eastAsia="Arial" w:hAnsi="Arial"/>
          <w:sz w:val="18"/>
          <w:szCs w:val="18"/>
          <w:i w:val="1"/>
          <w:iCs w:val="1"/>
          <w:color w:val="auto"/>
        </w:rPr>
        <w:t>algemene</w:t>
      </w:r>
      <w:r>
        <w:rPr>
          <w:rFonts w:ascii="Arial" w:cs="Arial" w:eastAsia="Arial" w:hAnsi="Arial"/>
          <w:sz w:val="18"/>
          <w:szCs w:val="18"/>
          <w:color w:val="auto"/>
        </w:rPr>
        <w:t xml:space="preserve"> </w:t>
      </w:r>
      <w:r>
        <w:rPr>
          <w:rFonts w:ascii="Arial" w:cs="Arial" w:eastAsia="Arial" w:hAnsi="Arial"/>
          <w:sz w:val="18"/>
          <w:szCs w:val="18"/>
          <w:i w:val="1"/>
          <w:iCs w:val="1"/>
          <w:color w:val="auto"/>
        </w:rPr>
        <w:t>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left="-460" w:firstLine="644"/>
        <w:spacing w:after="0" w:line="263" w:lineRule="auto"/>
        <w:tabs>
          <w:tab w:leader="none" w:pos="1240"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Liens of sellers of goods to any Loan Party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3" w:lineRule="exact"/>
        <w:rPr>
          <w:rFonts w:ascii="Arial" w:cs="Arial" w:eastAsia="Arial" w:hAnsi="Arial"/>
          <w:sz w:val="18"/>
          <w:szCs w:val="18"/>
          <w:color w:val="010000"/>
        </w:rPr>
      </w:pPr>
    </w:p>
    <w:p>
      <w:pPr>
        <w:jc w:val="both"/>
        <w:ind w:left="-460" w:firstLine="644"/>
        <w:spacing w:after="0" w:line="270" w:lineRule="auto"/>
        <w:tabs>
          <w:tab w:leader="none" w:pos="1534" w:val="left"/>
        </w:tabs>
        <w:numPr>
          <w:ilvl w:val="0"/>
          <w:numId w:val="128"/>
        </w:numPr>
        <w:rPr>
          <w:rFonts w:ascii="Arial" w:cs="Arial" w:eastAsia="Arial" w:hAnsi="Arial"/>
          <w:sz w:val="17"/>
          <w:szCs w:val="17"/>
          <w:color w:val="010000"/>
        </w:rPr>
      </w:pPr>
      <w:r>
        <w:rPr>
          <w:rFonts w:ascii="Arial" w:cs="Arial" w:eastAsia="Arial" w:hAnsi="Arial"/>
          <w:sz w:val="17"/>
          <w:szCs w:val="17"/>
          <w:color w:val="auto"/>
        </w:rPr>
        <w:t xml:space="preserve">Liens securing (i) Indebtedness of any Subsidiary described in clause (a) of the definition of Priority Indebtedness outstanding in reliance on Section 6.01(q), (ii) Priority Indebtedness of the Borrower and (iii) other obligations (excluding Indebtedness) of the Borrower or any Subsidiary; provided that immediately after giving effect to the incurrence of any Indebtedness or obligations secured by Liens in reliance on this clause (s), the sum of (without duplication) (x) the aggregate principal amount of all Priority Indebtedness of any Subsidiary outstanding in reliance on Section 6.01(q),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aggregate outstanding principal amount of all Indebtedness and other obligations of the Borrower and its Subsidiaries secured by Liens in reliance on subclause (ii) or (iii) above shall not exceed fifteen percent (15%) of the Borrower’s Consolidated Net Worth (determined as of the last day of the most recent fiscal quarter for which financial statements shall have been delivered pursuant to Section 5.01(a) or Section 5.01(b) (or, prior to the delivery of any such financial statements, ending with the fiscal quarter ended March 31, 2020);</w:t>
      </w:r>
    </w:p>
    <w:p>
      <w:pPr>
        <w:spacing w:after="0" w:line="180" w:lineRule="exact"/>
        <w:rPr>
          <w:rFonts w:ascii="Arial" w:cs="Arial" w:eastAsia="Arial" w:hAnsi="Arial"/>
          <w:sz w:val="17"/>
          <w:szCs w:val="17"/>
          <w:color w:val="010000"/>
        </w:rPr>
      </w:pPr>
    </w:p>
    <w:p>
      <w:pPr>
        <w:jc w:val="both"/>
        <w:ind w:left="-460" w:firstLine="644"/>
        <w:spacing w:after="0" w:line="263" w:lineRule="auto"/>
        <w:tabs>
          <w:tab w:leader="none" w:pos="1433"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3" w:lineRule="exact"/>
        <w:rPr>
          <w:rFonts w:ascii="Arial" w:cs="Arial" w:eastAsia="Arial" w:hAnsi="Arial"/>
          <w:sz w:val="18"/>
          <w:szCs w:val="18"/>
          <w:color w:val="010000"/>
        </w:rPr>
      </w:pPr>
    </w:p>
    <w:p>
      <w:pPr>
        <w:jc w:val="both"/>
        <w:ind w:left="-460" w:firstLine="644"/>
        <w:spacing w:after="0" w:line="263" w:lineRule="auto"/>
        <w:tabs>
          <w:tab w:leader="none" w:pos="1293"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pledges or deposits to secure Indebtedness of the Borrower or any Subsidiary as an account party in respect of letters of credit, bank guarantees, letters of guaranty or similar instruments so long as the aggregate principal amount of such Indebtedness so secured does not exceed $50,000,000;</w:t>
      </w:r>
    </w:p>
    <w:p>
      <w:pPr>
        <w:spacing w:after="0" w:line="183" w:lineRule="exact"/>
        <w:rPr>
          <w:rFonts w:ascii="Arial" w:cs="Arial" w:eastAsia="Arial" w:hAnsi="Arial"/>
          <w:sz w:val="18"/>
          <w:szCs w:val="18"/>
          <w:color w:val="010000"/>
        </w:rPr>
      </w:pPr>
    </w:p>
    <w:p>
      <w:pPr>
        <w:ind w:left="-460" w:firstLine="644"/>
        <w:spacing w:after="0" w:line="277" w:lineRule="auto"/>
        <w:tabs>
          <w:tab w:leader="none" w:pos="1212"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010000"/>
        </w:rPr>
      </w:pPr>
    </w:p>
    <w:p>
      <w:pPr>
        <w:ind w:left="-460" w:firstLine="644"/>
        <w:spacing w:after="0" w:line="308" w:lineRule="auto"/>
        <w:tabs>
          <w:tab w:leader="none" w:pos="1094" w:val="left"/>
        </w:tabs>
        <w:numPr>
          <w:ilvl w:val="0"/>
          <w:numId w:val="128"/>
        </w:numPr>
        <w:rPr>
          <w:rFonts w:ascii="Arial" w:cs="Arial" w:eastAsia="Arial" w:hAnsi="Arial"/>
          <w:sz w:val="17"/>
          <w:szCs w:val="17"/>
          <w:color w:val="010000"/>
        </w:rPr>
      </w:pPr>
      <w:r>
        <w:rPr>
          <w:rFonts w:ascii="Arial" w:cs="Arial" w:eastAsia="Arial" w:hAnsi="Arial"/>
          <w:sz w:val="17"/>
          <w:szCs w:val="17"/>
          <w:color w:val="auto"/>
        </w:rPr>
        <w:t>Liens on assets of the Borrower and its Subsidiaries not otherwise permitted under this Section 6.02 so long as the aggregate principal amount of the Indebtedness and other obligations subject to such Liens does not at any time exceed $75,000,000;</w:t>
      </w:r>
    </w:p>
    <w:p>
      <w:pPr>
        <w:spacing w:after="0" w:line="146" w:lineRule="exact"/>
        <w:rPr>
          <w:rFonts w:ascii="Arial" w:cs="Arial" w:eastAsia="Arial" w:hAnsi="Arial"/>
          <w:sz w:val="17"/>
          <w:szCs w:val="17"/>
          <w:color w:val="010000"/>
        </w:rPr>
      </w:pPr>
    </w:p>
    <w:p>
      <w:pPr>
        <w:jc w:val="both"/>
        <w:ind w:left="-460" w:firstLine="644"/>
        <w:spacing w:after="0" w:line="259" w:lineRule="auto"/>
        <w:tabs>
          <w:tab w:leader="none" w:pos="1225"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Liens on any rights, title or interest of the Borrower and its Subsidiaries in the Corporate Campus Facility and any related property described as “Collateral” or “Leased Property” (or a similar defined term) in the Corporate Campus Facility Financing Documents (i) to secure any Corporate Campus Facility Financing Obligations or (ii) that are otherwise permitted by the Corporate Campus Facility Financing Documents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9" w:name="page120"/>
    <w:bookmarkEnd w:id="119"/>
    <w:p>
      <w:pPr>
        <w:ind w:left="660" w:firstLine="644"/>
        <w:spacing w:after="0" w:line="277" w:lineRule="auto"/>
        <w:tabs>
          <w:tab w:leader="none" w:pos="2372"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in the case of any joint venture, any put and call arrangements related to its Equity Interests set forth in its organizational documents or any related joint venture or similar agreement; and</w:t>
      </w:r>
    </w:p>
    <w:p>
      <w:pPr>
        <w:spacing w:after="0" w:line="170" w:lineRule="exact"/>
        <w:rPr>
          <w:rFonts w:ascii="Arial" w:cs="Arial" w:eastAsia="Arial" w:hAnsi="Arial"/>
          <w:sz w:val="18"/>
          <w:szCs w:val="18"/>
          <w:color w:val="010000"/>
        </w:rPr>
      </w:pPr>
    </w:p>
    <w:p>
      <w:pPr>
        <w:ind w:left="660" w:firstLine="644"/>
        <w:spacing w:after="0" w:line="277" w:lineRule="auto"/>
        <w:tabs>
          <w:tab w:leader="none" w:pos="2268"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prior to the Cancellation Date, any Lien on Margin Stock, if and to the extent the value of all Margin Stock of the Borrower and its Subsidiaries exceeds 25% of the value of the total assets subject to this Section 6.02.</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SECTION 6.03. </w:t>
      </w:r>
      <w:r>
        <w:rPr>
          <w:rFonts w:ascii="Arial" w:cs="Arial" w:eastAsia="Arial" w:hAnsi="Arial"/>
          <w:sz w:val="17"/>
          <w:szCs w:val="17"/>
          <w:u w:val="single" w:color="auto"/>
          <w:color w:val="000000"/>
        </w:rPr>
        <w:t>Fundamental Changes and Asset Sales</w:t>
      </w:r>
      <w:r>
        <w:rPr>
          <w:rFonts w:ascii="Arial" w:cs="Arial" w:eastAsia="Arial" w:hAnsi="Arial"/>
          <w:sz w:val="17"/>
          <w:szCs w:val="17"/>
          <w:color w:val="000000"/>
        </w:rPr>
        <w:t>. (a) The Borrower will not, and will not permit any Subsidiary to, merge into or</w:t>
      </w:r>
      <w:r>
        <w:rPr>
          <w:rFonts w:ascii="Arial" w:cs="Arial" w:eastAsia="Arial" w:hAnsi="Arial"/>
          <w:sz w:val="17"/>
          <w:szCs w:val="17"/>
          <w:color w:val="010000"/>
        </w:rPr>
        <w:t xml:space="preserve"> </w:t>
      </w:r>
      <w:r>
        <w:rPr>
          <w:rFonts w:ascii="Arial" w:cs="Arial" w:eastAsia="Arial" w:hAnsi="Arial"/>
          <w:sz w:val="17"/>
          <w:szCs w:val="17"/>
          <w:color w:val="000000"/>
        </w:rPr>
        <w:t>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Borrower and its Subsidiaries (taken as a whole) (whether now owned or hereafter acquired), or liquidate or dissolve, except that:</w:t>
      </w:r>
    </w:p>
    <w:p>
      <w:pPr>
        <w:spacing w:after="0" w:line="171" w:lineRule="exact"/>
        <w:rPr>
          <w:sz w:val="20"/>
          <w:szCs w:val="20"/>
          <w:color w:val="auto"/>
        </w:rPr>
      </w:pPr>
    </w:p>
    <w:p>
      <w:pPr>
        <w:jc w:val="both"/>
        <w:ind w:left="1300" w:firstLine="652"/>
        <w:spacing w:after="0" w:line="259" w:lineRule="auto"/>
        <w:tabs>
          <w:tab w:leader="none" w:pos="2909"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any Person (other than the Borrower or any of its Subsidiaries) may merge or consolidate with the Borrower or any of its Subsidiaries; provided that any such merger or consolidation involving (A) subject to the following clause (B), the Borrower must result in the Borrower as the surviving entity and (B) a Subsidiary Guarantor must result in such Subsidiary Guarantor (or an entity that becomes a Subsidiary Guarantor) as the surviving entity;</w:t>
      </w:r>
    </w:p>
    <w:p>
      <w:pPr>
        <w:spacing w:after="0" w:line="186" w:lineRule="exact"/>
        <w:rPr>
          <w:rFonts w:ascii="Arial" w:cs="Arial" w:eastAsia="Arial" w:hAnsi="Arial"/>
          <w:sz w:val="18"/>
          <w:szCs w:val="18"/>
          <w:color w:val="010000"/>
        </w:rPr>
      </w:pPr>
    </w:p>
    <w:p>
      <w:pPr>
        <w:ind w:left="1300" w:firstLine="652"/>
        <w:spacing w:after="0" w:line="308" w:lineRule="auto"/>
        <w:tabs>
          <w:tab w:leader="none" w:pos="2856" w:val="left"/>
        </w:tabs>
        <w:numPr>
          <w:ilvl w:val="0"/>
          <w:numId w:val="130"/>
        </w:numPr>
        <w:rPr>
          <w:rFonts w:ascii="Arial" w:cs="Arial" w:eastAsia="Arial" w:hAnsi="Arial"/>
          <w:sz w:val="17"/>
          <w:szCs w:val="17"/>
          <w:color w:val="010000"/>
        </w:rPr>
      </w:pPr>
      <w:r>
        <w:rPr>
          <w:rFonts w:ascii="Arial" w:cs="Arial" w:eastAsia="Arial" w:hAnsi="Arial"/>
          <w:sz w:val="17"/>
          <w:szCs w:val="17"/>
          <w:color w:val="auto"/>
        </w:rPr>
        <w:t>any Subsidiary may merge into or consolidate with the Borrower in a transaction in which the surviving entity is the Borrower (provided that any such merger involving (A) the Borrower must result in the Borrower as the surviving entity;</w:t>
      </w:r>
    </w:p>
    <w:p>
      <w:pPr>
        <w:spacing w:after="0" w:line="146" w:lineRule="exact"/>
        <w:rPr>
          <w:rFonts w:ascii="Arial" w:cs="Arial" w:eastAsia="Arial" w:hAnsi="Arial"/>
          <w:sz w:val="17"/>
          <w:szCs w:val="17"/>
          <w:color w:val="010000"/>
        </w:rPr>
      </w:pPr>
    </w:p>
    <w:p>
      <w:pPr>
        <w:jc w:val="both"/>
        <w:ind w:left="1300" w:firstLine="652"/>
        <w:spacing w:after="0" w:line="263" w:lineRule="auto"/>
        <w:tabs>
          <w:tab w:leader="none" w:pos="2992"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any Subsidiary that is not a Loan Party may merge into or consolidate with, or sell, transfer, lease or otherwise dispose of any or all of its assets to, another Subsidiary that is not a Loan Party (in connection with a liquidation, winding up or dissolution or otherwise);</w:t>
      </w:r>
    </w:p>
    <w:p>
      <w:pPr>
        <w:spacing w:after="0" w:line="183" w:lineRule="exact"/>
        <w:rPr>
          <w:rFonts w:ascii="Arial" w:cs="Arial" w:eastAsia="Arial" w:hAnsi="Arial"/>
          <w:sz w:val="18"/>
          <w:szCs w:val="18"/>
          <w:color w:val="010000"/>
        </w:rPr>
      </w:pPr>
    </w:p>
    <w:p>
      <w:pPr>
        <w:ind w:left="1300" w:firstLine="652"/>
        <w:spacing w:after="0" w:line="277" w:lineRule="auto"/>
        <w:tabs>
          <w:tab w:leader="none" w:pos="2851"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any Subsidiary may sell, transfer, lease or otherwise dispose of any or all of its assets to a Loan Party (in connection with a liquidation, winding up or dissolution or otherwise);</w:t>
      </w:r>
    </w:p>
    <w:p>
      <w:pPr>
        <w:spacing w:after="0" w:line="170" w:lineRule="exact"/>
        <w:rPr>
          <w:rFonts w:ascii="Arial" w:cs="Arial" w:eastAsia="Arial" w:hAnsi="Arial"/>
          <w:sz w:val="18"/>
          <w:szCs w:val="18"/>
          <w:color w:val="010000"/>
        </w:rPr>
      </w:pPr>
    </w:p>
    <w:p>
      <w:pPr>
        <w:jc w:val="both"/>
        <w:ind w:left="1300" w:firstLine="652"/>
        <w:spacing w:after="0" w:line="259" w:lineRule="auto"/>
        <w:tabs>
          <w:tab w:leader="none" w:pos="2945"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any Subsidiary that is not a Loan Party may liquidate, wind up or dissolve (A) if the Borrower determines in good faith that such liquidation, winding up or dissolution is in the best interests of the Borrower and is not materially disadvantageous to the Lenders or (B) to the extent undertaken in good faith for the purpose of improving the overall tax efficiency of the Borrower and its Subsidiaries;</w:t>
      </w:r>
    </w:p>
    <w:p>
      <w:pPr>
        <w:spacing w:after="0" w:line="186" w:lineRule="exact"/>
        <w:rPr>
          <w:rFonts w:ascii="Arial" w:cs="Arial" w:eastAsia="Arial" w:hAnsi="Arial"/>
          <w:sz w:val="18"/>
          <w:szCs w:val="18"/>
          <w:color w:val="010000"/>
        </w:rPr>
      </w:pPr>
    </w:p>
    <w:p>
      <w:pPr>
        <w:ind w:left="2840" w:hanging="888"/>
        <w:spacing w:after="0"/>
        <w:tabs>
          <w:tab w:leader="none" w:pos="284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the Borrower and its Subsidiaries may consummate Permitted Restructurings;</w:t>
      </w:r>
    </w:p>
    <w:p>
      <w:pPr>
        <w:spacing w:after="0" w:line="225" w:lineRule="exact"/>
        <w:rPr>
          <w:rFonts w:ascii="Arial" w:cs="Arial" w:eastAsia="Arial" w:hAnsi="Arial"/>
          <w:sz w:val="18"/>
          <w:szCs w:val="18"/>
          <w:color w:val="010000"/>
        </w:rPr>
      </w:pPr>
    </w:p>
    <w:p>
      <w:pPr>
        <w:jc w:val="both"/>
        <w:ind w:left="1300" w:right="20" w:firstLine="652"/>
        <w:spacing w:after="0" w:line="263" w:lineRule="auto"/>
        <w:tabs>
          <w:tab w:leader="none" w:pos="2865"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the Borrower and its Subsidiaries may enter into, terminate or modify leases, subleases, licenses and sublicenses of technology and other property (A) in the ordinary course of business or (B) between or among any Loan Parties and any of their Subsidiaries (or any combination thereof);</w:t>
      </w:r>
    </w:p>
    <w:p>
      <w:pPr>
        <w:spacing w:after="0" w:line="183" w:lineRule="exact"/>
        <w:rPr>
          <w:rFonts w:ascii="Arial" w:cs="Arial" w:eastAsia="Arial" w:hAnsi="Arial"/>
          <w:sz w:val="18"/>
          <w:szCs w:val="18"/>
          <w:color w:val="010000"/>
        </w:rPr>
      </w:pPr>
    </w:p>
    <w:p>
      <w:pPr>
        <w:ind w:left="2760" w:hanging="808"/>
        <w:spacing w:after="0"/>
        <w:tabs>
          <w:tab w:leader="none" w:pos="276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the Borrower and its Subsidiaries may incur Liens permitted under Section 6.02;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1300" w:firstLine="652"/>
        <w:spacing w:after="0" w:line="254" w:lineRule="auto"/>
        <w:tabs>
          <w:tab w:leader="none" w:pos="2851"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with respect to any rights, title or interest of the Borrower and its Subsidiaries in the Corporate Campus Facility and the Corporate Campus Facility Purchase Agreement, leases, subleases, assignments and other transfers pursuant to or permitted by the Corporate Campus Facility Financing Documents, including (A) the assignment by the Borrower of some or all of its rights under the Corporate Campus Facility Purchase Agreement (including the right to take title to the Corporate Campus Facility) to one or more participants party to the Corporate Campus Facility Financing Documents and (B) the assignment or other transfer by the Borrower to a directly or indirectly wholly-owned subsidiary as an affiliate transferee pursuant to the Corporate Campus Facility Financing Documents; and</w:t>
      </w:r>
    </w:p>
    <w:p>
      <w:pPr>
        <w:spacing w:after="0" w:line="194" w:lineRule="exact"/>
        <w:rPr>
          <w:rFonts w:ascii="Arial" w:cs="Arial" w:eastAsia="Arial" w:hAnsi="Arial"/>
          <w:sz w:val="18"/>
          <w:szCs w:val="18"/>
          <w:color w:val="010000"/>
        </w:rPr>
      </w:pPr>
    </w:p>
    <w:p>
      <w:pPr>
        <w:ind w:left="1300" w:firstLine="652"/>
        <w:spacing w:after="0" w:line="277" w:lineRule="auto"/>
        <w:tabs>
          <w:tab w:leader="none" w:pos="2891"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prior to the Cancellation Date, the Borrower may consummate sales of Margin Stock for fair value as determined in good faith by the board of directors of the Borrower;</w:t>
      </w:r>
    </w:p>
    <w:p>
      <w:pPr>
        <w:spacing w:after="0" w:line="170" w:lineRule="exact"/>
        <w:rPr>
          <w:sz w:val="20"/>
          <w:szCs w:val="20"/>
          <w:color w:val="auto"/>
        </w:rPr>
      </w:pPr>
    </w:p>
    <w:p>
      <w:pPr>
        <w:jc w:val="both"/>
        <w:ind w:left="660" w:firstLine="644"/>
        <w:spacing w:after="0" w:line="311" w:lineRule="auto"/>
        <w:tabs>
          <w:tab w:leader="none" w:pos="2561" w:val="left"/>
        </w:tabs>
        <w:numPr>
          <w:ilvl w:val="0"/>
          <w:numId w:val="132"/>
        </w:numPr>
        <w:rPr>
          <w:rFonts w:ascii="Arial" w:cs="Arial" w:eastAsia="Arial" w:hAnsi="Arial"/>
          <w:sz w:val="16"/>
          <w:szCs w:val="16"/>
          <w:color w:val="010000"/>
        </w:rPr>
      </w:pPr>
      <w:r>
        <w:rPr>
          <w:rFonts w:ascii="Arial" w:cs="Arial" w:eastAsia="Arial" w:hAnsi="Arial"/>
          <w:sz w:val="16"/>
          <w:szCs w:val="16"/>
          <w:color w:val="auto"/>
        </w:rPr>
        <w:t>The Borrower will not, and will not permit any of its Subsidiaries to, engage to any material extent in any business substantially different from businesses of the type conducted by the Borrower and its Subsidiaries (taken as a whole) on the Effective Date and businesses reasonably related, ancillary, similar, complementary or synergistic thereto or reasonable extensions, development or expansion thereof.</w:t>
      </w:r>
    </w:p>
    <w:p>
      <w:pPr>
        <w:spacing w:after="0" w:line="14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Swap Agreements</w:t>
      </w:r>
      <w:r>
        <w:rPr>
          <w:rFonts w:ascii="Arial" w:cs="Arial" w:eastAsia="Arial" w:hAnsi="Arial"/>
          <w:sz w:val="16"/>
          <w:szCs w:val="16"/>
          <w:color w:val="000000"/>
        </w:rPr>
        <w:t>. The Borrower will not, and will not permit any of its Subsidiaries to, enter into any Swap Agreement,</w:t>
      </w:r>
      <w:r>
        <w:rPr>
          <w:rFonts w:ascii="Arial" w:cs="Arial" w:eastAsia="Arial" w:hAnsi="Arial"/>
          <w:sz w:val="16"/>
          <w:szCs w:val="16"/>
          <w:color w:val="010000"/>
        </w:rPr>
        <w:t xml:space="preserve"> </w:t>
      </w:r>
      <w:r>
        <w:rPr>
          <w:rFonts w:ascii="Arial" w:cs="Arial" w:eastAsia="Arial" w:hAnsi="Arial"/>
          <w:sz w:val="16"/>
          <w:szCs w:val="16"/>
          <w:color w:val="000000"/>
        </w:rPr>
        <w:t>except (a) Swap Agreements entered into in the ordinary course of business or to hedge or mitigate risks to which the Borrower or any Subsidiary has actual exposure (other than those in respect of Equity Interests of the Borrower or any of its Subsidiaries), (b) Swap Agreements entered into in order to effectively cap, collar or exchange interest rates (from fixed to floating rates, from one floating rate to another floating rate or otherwise) with respect to any interest-bearing liability or investment of the Borrower or any Subsidiary and (c) Permitted Call Spread Swap Agreements.</w:t>
      </w:r>
    </w:p>
    <w:p>
      <w:pPr>
        <w:spacing w:after="0" w:line="16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010000"/>
        </w:rPr>
        <w:t xml:space="preserve">SECTION 6.05. </w:t>
      </w:r>
      <w:r>
        <w:rPr>
          <w:rFonts w:ascii="Arial" w:cs="Arial" w:eastAsia="Arial" w:hAnsi="Arial"/>
          <w:sz w:val="16"/>
          <w:szCs w:val="16"/>
          <w:u w:val="single" w:color="auto"/>
          <w:color w:val="000000"/>
        </w:rPr>
        <w:t>Transactions with Affiliates</w:t>
      </w:r>
      <w:r>
        <w:rPr>
          <w:rFonts w:ascii="Arial" w:cs="Arial" w:eastAsia="Arial" w:hAnsi="Arial"/>
          <w:sz w:val="16"/>
          <w:szCs w:val="16"/>
          <w:color w:val="000000"/>
        </w:rPr>
        <w:t>. The Borrower will not, and will not permit any of its Subsidiaries to, sell, lease or otherwise</w:t>
      </w:r>
      <w:r>
        <w:rPr>
          <w:rFonts w:ascii="Arial" w:cs="Arial" w:eastAsia="Arial" w:hAnsi="Arial"/>
          <w:sz w:val="16"/>
          <w:szCs w:val="16"/>
          <w:color w:val="010000"/>
        </w:rPr>
        <w:t xml:space="preserve"> </w:t>
      </w:r>
      <w:r>
        <w:rPr>
          <w:rFonts w:ascii="Arial" w:cs="Arial" w:eastAsia="Arial" w:hAnsi="Arial"/>
          <w:sz w:val="16"/>
          <w:szCs w:val="16"/>
          <w:color w:val="000000"/>
        </w:rPr>
        <w:t>transfer any property or assets to, or purchase, lease or otherwise acquire any property or assets from, or otherwise engage in any other transactions with, any of its Affiliates, except (a) transactions on terms and conditions not materially less favorable to the Borrower or such Subsidiary than could be obtained on an arm’s-length basis from a Person that is not an Affiliate for a comparable transaction (considering such transactions and all other related transactions as a whole), (b) transactions between or among the Borrower and its Subsidiaries (or an entity that becomes a Subsidiary of the Borrower as a result of such transaction) (or any combination thereof), (c) the payment of customary fees to directors of the Borrower or any of its Subsidiaries, and customary compensation, reasonable out-of-pocket expense reimbursement and indemnification (including the provision of directors and officers insurance) of, and other employment or consulting agreements and arrangements, employee benefit plans and stock incentive plans paid to, future, present or past directors, officers, managers and employees of the Borrower or any of its Subsidiaries, (d) transactions undertaken in good faith for the purpose of improving the overall tax efficiency of the Borrower and its Subsidiaries, (e) loans, advances and other transactions to the extent not prohibited by the terms of this Agreement, including without limitation any Restricted Payment permitted by Section 6.06 and transactions permitted by Section 6.03, (f) issuances of Equity Interests to Affiliates and the registration rights and other customary rights associated therewith, (g) any Collaboration Arrangement or any other license, sublicense, lease or sublease (i) in existence on the Effective Date (together with any amendments, restatements, extensions, replacements or other modifications thereto that are not materially adverse to the interests of the Lenders in their capacities as such), (ii) in the ordinary course of business or (iii) substantially consistent with past practices, (h) transactions with Affiliates that are Disclosed Matters, (i) transactions pursuant to agreements in effect on the Effective Date (together with any amendments, restatements, extensions, replacements or other modifications thereto that are not materially adverse to the interests of the Lenders in their capacities as such), (j) transactions with joint ventures for the purchase or sale of property or other assets and services entered into in the ordinary course of business and investments in joint ventures, (k) transactions approved by (i) a majority of Disinterested Directors of the Borrower or of the applicable Subsidiary in good faith or (ii) a committee of the board of directors (or other governing body) of such Person that is comprised of Disinterested Directors (or such committee otherwise approves such transactions by action of Disinterested Directors), (l) any transaction or series of related transactions with respect to which the aggregate consideration paid, or fair market value of property Disposed of, by the Borrower and its Subsidiaries is less than $2,000,000 for any such individual transaction or series of related transactions, (m) with respect to the Corporate Campus Facility, subleases and assignments permitted by the Corporate Campus Facility Financing Documents, (n) any transaction in respect of which the Borrower delivers to the Administrative Agent (for delivery to the Lenders) a letter addressed to the Board of Directors of the Borrower (or the board of directors or other relevant governing body of the relevant Subsidiary) from an accounting, appraisal or investment banking firm that is in the good faith determination of the Borrower qualified to render such letter, which letter states that such transaction is on terms that are no less favorable to the Borrower or the relevant Subsidiary, as applicable, than would be obtained on an arm’s-length basis from a Person that is not an Affiliate for a comparable transaction, and (o) any transaction with an Affiliate where the only consideration paid consists of Equity Interests of the Borrower.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296"/>
        <w:spacing w:after="0" w:line="284" w:lineRule="auto"/>
        <w:rPr>
          <w:sz w:val="20"/>
          <w:szCs w:val="20"/>
          <w:color w:val="auto"/>
        </w:rPr>
      </w:pPr>
      <w:r>
        <w:rPr>
          <w:rFonts w:ascii="Arial" w:cs="Arial" w:eastAsia="Arial" w:hAnsi="Arial"/>
          <w:sz w:val="16"/>
          <w:szCs w:val="16"/>
          <w:color w:val="010000"/>
        </w:rPr>
        <w:t xml:space="preserve">SECTION 6.06. </w:t>
      </w:r>
      <w:r>
        <w:rPr>
          <w:rFonts w:ascii="Arial" w:cs="Arial" w:eastAsia="Arial" w:hAnsi="Arial"/>
          <w:sz w:val="16"/>
          <w:szCs w:val="16"/>
          <w:u w:val="single" w:color="auto"/>
          <w:color w:val="000000"/>
        </w:rPr>
        <w:t>Restricted Payments</w:t>
      </w:r>
      <w:r>
        <w:rPr>
          <w:rFonts w:ascii="Arial" w:cs="Arial" w:eastAsia="Arial" w:hAnsi="Arial"/>
          <w:sz w:val="16"/>
          <w:szCs w:val="16"/>
          <w:color w:val="000000"/>
        </w:rPr>
        <w:t>. The Borrower will not, and will not permit any of its Subsidiaries to, make, directly or indirectly,</w:t>
      </w:r>
      <w:r>
        <w:rPr>
          <w:rFonts w:ascii="Arial" w:cs="Arial" w:eastAsia="Arial" w:hAnsi="Arial"/>
          <w:sz w:val="16"/>
          <w:szCs w:val="16"/>
          <w:color w:val="010000"/>
        </w:rPr>
        <w:t xml:space="preserve"> </w:t>
      </w:r>
      <w:r>
        <w:rPr>
          <w:rFonts w:ascii="Arial" w:cs="Arial" w:eastAsia="Arial" w:hAnsi="Arial"/>
          <w:sz w:val="16"/>
          <w:szCs w:val="16"/>
          <w:color w:val="000000"/>
        </w:rPr>
        <w:t xml:space="preserve">any Restricted Payment, except (a) the Borrower may pay dividends or make other Restricted Payments with respect to its Equity Interests payable solely in additional Equity Interests, (b) the Borrower may purchase, redeem or otherwise acquire Equity Interests upon the exercise of stock options or warrants if such Equity Interests represent a portion of the exercise price of such options or warrants or with the proceeds received from the substantially concurrent issue of new Equity Interests, (c) the Borrower may make cash payments (i) on securities convertible into or exchangeable for Equity Interests in the Borrower in accordance with their terms or (ii) in lieu of the issuance of fractional Equity Interests in connection with any dividend, split or combination thereof or the exercise of warrants, options or other securities convertible into or exchangeable for Equity Interests in the Borrower, (d) 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Borrower or a Subsidiary), (ii) make other Restricted Payments to any Loan Party (either directly or indirectly through one or more Subsidiaries that are not Loan Parties) and (iii) make any Restricted Payments that the Borrower would have otherwise been permitted to make pursuant to this Section 6.06, (e) the Borrower may make Restricted Payments (i) for the repurchase, retirement or other acquisition or retirement for value of Equity Interests of the Borrower from any future, present or former employee, officer, director, manager or consultant of the Borrower or any Subsidiary upon the death, disability, retirement or termination of employment of any such Person or (ii) pursuant to and in accordance with any agreement (including any employment agreement), stock option or stock ownership plans, incentive plans or other benefit plans, in each case for future, present or former directors, officers, managers, employees or consultants of the Borrower and its Subsidiaries (including, without limitation, in respect of tax withholding or other similar tax obligation related to the foregoing), (f) the Borrower and its Subsidiaries may make any other Restricted Payment so long as no Event of Default has occurred and is continuing at the time such Restricted Payment is made or would arise immediately after giving effect (on a pro forma basis) thereto and the aggregate amount of all such Restricted Payments pursuant to this clause (f) during any fiscal year of the Borrower does not exceed $100,000,000;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3.00 to 1.00, and (g) the Borrower may pay any dividend or distribution or make any irrevocable Restricted Payment within 60 days after the date of declaration of such dividend or distribution or giving irrevocable notice with respect to such Restricted Payment, as the case may be, if at the date of declaration or notice such Restricted Payment would have complied with the provisions of this Agreement (including the other provisions of this Section 6.06).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44"/>
        <w:spacing w:after="0"/>
        <w:rPr>
          <w:sz w:val="20"/>
          <w:szCs w:val="20"/>
          <w:color w:val="auto"/>
        </w:rPr>
      </w:pPr>
      <w:r>
        <w:rPr>
          <w:rFonts w:ascii="Arial" w:cs="Arial" w:eastAsia="Arial" w:hAnsi="Arial"/>
          <w:sz w:val="18"/>
          <w:szCs w:val="18"/>
          <w:color w:val="010000"/>
        </w:rPr>
        <w:t xml:space="preserve">SECTION 6.07. </w:t>
      </w:r>
      <w:r>
        <w:rPr>
          <w:rFonts w:ascii="Arial" w:cs="Arial" w:eastAsia="Arial" w:hAnsi="Arial"/>
          <w:sz w:val="18"/>
          <w:szCs w:val="18"/>
          <w:u w:val="single" w:color="auto"/>
          <w:color w:val="000000"/>
        </w:rPr>
        <w:t>Financial Covenants</w:t>
      </w:r>
      <w:r>
        <w:rPr>
          <w:rFonts w:ascii="Arial" w:cs="Arial" w:eastAsia="Arial" w:hAnsi="Arial"/>
          <w:sz w:val="18"/>
          <w:szCs w:val="18"/>
          <w:color w:val="000000"/>
        </w:rPr>
        <w:t>.</w:t>
      </w:r>
    </w:p>
    <w:p>
      <w:pPr>
        <w:spacing w:after="0" w:line="225" w:lineRule="exact"/>
        <w:rPr>
          <w:sz w:val="20"/>
          <w:szCs w:val="20"/>
          <w:color w:val="auto"/>
        </w:rPr>
      </w:pPr>
    </w:p>
    <w:p>
      <w:pPr>
        <w:jc w:val="both"/>
        <w:ind w:left="4" w:firstLine="644"/>
        <w:spacing w:after="0" w:line="268" w:lineRule="auto"/>
        <w:tabs>
          <w:tab w:leader="none" w:pos="1373" w:val="left"/>
        </w:tabs>
        <w:numPr>
          <w:ilvl w:val="1"/>
          <w:numId w:val="133"/>
        </w:numPr>
        <w:rPr>
          <w:rFonts w:ascii="Arial" w:cs="Arial" w:eastAsia="Arial" w:hAnsi="Arial"/>
          <w:sz w:val="17"/>
          <w:szCs w:val="17"/>
          <w:color w:val="010000"/>
        </w:rPr>
      </w:pPr>
      <w:r>
        <w:rPr>
          <w:rFonts w:ascii="Arial" w:cs="Arial" w:eastAsia="Arial" w:hAnsi="Arial"/>
          <w:sz w:val="17"/>
          <w:szCs w:val="17"/>
          <w:u w:val="single" w:color="auto"/>
          <w:color w:val="auto"/>
        </w:rPr>
        <w:t>Maximum Total Leverage Ratio</w:t>
      </w:r>
      <w:r>
        <w:rPr>
          <w:rFonts w:ascii="Arial" w:cs="Arial" w:eastAsia="Arial" w:hAnsi="Arial"/>
          <w:sz w:val="17"/>
          <w:szCs w:val="17"/>
          <w:color w:val="auto"/>
        </w:rPr>
        <w:t>. The Borrower will not permit the ratio (the “</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determined as of the end of each of its fiscal quarters ending on and after June 30, 2020, of (i) Consolidated Total Indebtedness to (ii) Consolidated EBITDA for the period of four (4) consecutive fiscal quarters ending with the end of such fiscal quarter, all calculated for the Borrower and its Subsidiaries on a consolidated basis, to be greater than 3.50 to 1.00. Notwithstanding the foregoing, the Borrower shall be permitted (such permission, the “</w:t>
      </w:r>
      <w:r>
        <w:rPr>
          <w:rFonts w:ascii="Arial" w:cs="Arial" w:eastAsia="Arial" w:hAnsi="Arial"/>
          <w:sz w:val="17"/>
          <w:szCs w:val="17"/>
          <w:u w:val="single" w:color="auto"/>
          <w:color w:val="auto"/>
        </w:rPr>
        <w:t>Acquisition Holiday</w:t>
      </w:r>
      <w:r>
        <w:rPr>
          <w:rFonts w:ascii="Arial" w:cs="Arial" w:eastAsia="Arial" w:hAnsi="Arial"/>
          <w:sz w:val="17"/>
          <w:szCs w:val="17"/>
          <w:color w:val="auto"/>
        </w:rPr>
        <w:t xml:space="preserve">”) on no more than two (2) occasions during the term of this Agreement to allow the maximum Total Leverage Ratio under this Section 6.07(a)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Borrower is in compliance on a pro forma basis with the maximum Total Leverage Ratio of 4.00 to 1.00 on the closing date of such Acquisition immediately after giving effect to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Borrower shall provide notice in writing to the Administrative Agent of such increase and a transaction description of such Acquisition (regarding the name of the person or summary description of the assets being acquired and the approximate purchase price), (y) the Borrower may not elect a new Acquisition Holiday for at least two (2) fiscal quarters following the end of an Acquisition Holiday and (z) at the end of such period of four consecutive fiscal quarters, the maximum Total Leverage Ratio permitted under this Section 6.07(a) shall revert to 3.50 to 1.00.</w:t>
      </w:r>
    </w:p>
    <w:p>
      <w:pPr>
        <w:spacing w:after="0" w:line="186" w:lineRule="exact"/>
        <w:rPr>
          <w:rFonts w:ascii="Arial" w:cs="Arial" w:eastAsia="Arial" w:hAnsi="Arial"/>
          <w:sz w:val="17"/>
          <w:szCs w:val="17"/>
          <w:color w:val="010000"/>
        </w:rPr>
      </w:pPr>
    </w:p>
    <w:p>
      <w:pPr>
        <w:jc w:val="both"/>
        <w:ind w:left="4" w:firstLine="644"/>
        <w:spacing w:after="0" w:line="291" w:lineRule="auto"/>
        <w:tabs>
          <w:tab w:leader="none" w:pos="1356" w:val="left"/>
        </w:tabs>
        <w:numPr>
          <w:ilvl w:val="1"/>
          <w:numId w:val="133"/>
        </w:numPr>
        <w:rPr>
          <w:rFonts w:ascii="Arial" w:cs="Arial" w:eastAsia="Arial" w:hAnsi="Arial"/>
          <w:sz w:val="16"/>
          <w:szCs w:val="16"/>
          <w:color w:val="010000"/>
        </w:rPr>
      </w:pPr>
      <w:r>
        <w:rPr>
          <w:rFonts w:ascii="Arial" w:cs="Arial" w:eastAsia="Arial" w:hAnsi="Arial"/>
          <w:sz w:val="16"/>
          <w:szCs w:val="16"/>
          <w:u w:val="single" w:color="auto"/>
          <w:color w:val="auto"/>
        </w:rPr>
        <w:t>Minimum Interest Coverage Ratio</w:t>
      </w:r>
      <w:r>
        <w:rPr>
          <w:rFonts w:ascii="Arial" w:cs="Arial" w:eastAsia="Arial" w:hAnsi="Arial"/>
          <w:sz w:val="16"/>
          <w:szCs w:val="16"/>
          <w:color w:val="auto"/>
        </w:rPr>
        <w:t>. The Borrower will not permit the ratio, determined as of the end of each of its fiscal quarters ending on and after June 30, 2020, of (i) Consolidated EBITDA to (ii) Consolidated Interest Expense, in each case for the period of four</w:t>
      </w:r>
    </w:p>
    <w:p>
      <w:pPr>
        <w:ind w:left="4" w:hanging="4"/>
        <w:spacing w:after="0" w:line="260" w:lineRule="auto"/>
        <w:tabs>
          <w:tab w:leader="none" w:pos="27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Borrower and its Subsidiaries on a consolidated basis, to be less than 2.50 to 1.00.</w:t>
      </w:r>
    </w:p>
    <w:p>
      <w:pPr>
        <w:spacing w:after="0" w:line="185"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010000"/>
        </w:rPr>
        <w:t>ARTICLE VII</w:t>
      </w:r>
    </w:p>
    <w:p>
      <w:pPr>
        <w:spacing w:after="0" w:line="225" w:lineRule="exact"/>
        <w:rPr>
          <w:sz w:val="20"/>
          <w:szCs w:val="20"/>
          <w:color w:val="auto"/>
        </w:rPr>
      </w:pPr>
    </w:p>
    <w:p>
      <w:pPr>
        <w:ind w:left="4324"/>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ind w:left="4" w:firstLine="644"/>
        <w:spacing w:after="0" w:line="277" w:lineRule="auto"/>
        <w:tabs>
          <w:tab w:leader="none" w:pos="1346"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Borrower shall fail to pay any principal of the Loan when and as the same shall become due and payable, whether at the due date thereof or at a date fixed for prepayment thereof or otherwise;</w:t>
      </w:r>
    </w:p>
    <w:p>
      <w:pPr>
        <w:spacing w:after="0" w:line="170" w:lineRule="exact"/>
        <w:rPr>
          <w:rFonts w:ascii="Arial" w:cs="Arial" w:eastAsia="Arial" w:hAnsi="Arial"/>
          <w:sz w:val="18"/>
          <w:szCs w:val="18"/>
          <w:color w:val="010000"/>
        </w:rPr>
      </w:pPr>
    </w:p>
    <w:p>
      <w:pPr>
        <w:jc w:val="both"/>
        <w:ind w:left="4" w:firstLine="644"/>
        <w:spacing w:after="0" w:line="263" w:lineRule="auto"/>
        <w:tabs>
          <w:tab w:leader="none" w:pos="1491"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Borrower shall fail to pay any interest on the Loan or any fee or any other amount (other than an amount referred to in clause (a) of this Article) payable by the Borrower under this Agreement or any other Loan Document,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010000"/>
        </w:rPr>
      </w:pPr>
    </w:p>
    <w:p>
      <w:pPr>
        <w:jc w:val="both"/>
        <w:ind w:left="4" w:firstLine="644"/>
        <w:spacing w:after="0" w:line="259" w:lineRule="auto"/>
        <w:tabs>
          <w:tab w:leader="none" w:pos="1576"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any representation or warranty made or deemed made by or on behalf of the Borrower or any other Loan Party in or in connection with any Loan Document or in any report, certificate, financial statement or other document furnished pursuant to or in connection with this Agreement or any other Loan Document (including any amendment or modification thereof or waiver thereunder) shall prove to have been incorrect in any material respect when made or deemed made;</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3" w:name="page124"/>
    <w:bookmarkEnd w:id="123"/>
    <w:p>
      <w:pPr>
        <w:ind w:left="4" w:firstLine="644"/>
        <w:spacing w:after="0" w:line="308" w:lineRule="auto"/>
        <w:tabs>
          <w:tab w:leader="none" w:pos="1437" w:val="left"/>
        </w:tabs>
        <w:numPr>
          <w:ilvl w:val="1"/>
          <w:numId w:val="136"/>
        </w:numPr>
        <w:rPr>
          <w:rFonts w:ascii="Arial" w:cs="Arial" w:eastAsia="Arial" w:hAnsi="Arial"/>
          <w:sz w:val="17"/>
          <w:szCs w:val="17"/>
          <w:color w:val="010000"/>
        </w:rPr>
      </w:pPr>
      <w:r>
        <w:rPr>
          <w:rFonts w:ascii="Arial" w:cs="Arial" w:eastAsia="Arial" w:hAnsi="Arial"/>
          <w:sz w:val="17"/>
          <w:szCs w:val="17"/>
          <w:color w:val="auto"/>
        </w:rPr>
        <w:t xml:space="preserve">the Borrower shall fail to observe or perform any covenant, condition or agreement applicable to it (or its Subsidiaries, to the extent applicable) contained in Section 5.02(a), 5.03 (solely with respect to the Borrower’s existence), 5.08 or 5.09 or in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46" w:lineRule="exact"/>
        <w:rPr>
          <w:rFonts w:ascii="Arial" w:cs="Arial" w:eastAsia="Arial" w:hAnsi="Arial"/>
          <w:sz w:val="17"/>
          <w:szCs w:val="17"/>
          <w:color w:val="010000"/>
        </w:rPr>
      </w:pPr>
    </w:p>
    <w:p>
      <w:pPr>
        <w:jc w:val="both"/>
        <w:ind w:left="4" w:firstLine="644"/>
        <w:spacing w:after="0" w:line="259" w:lineRule="auto"/>
        <w:tabs>
          <w:tab w:leader="none" w:pos="1373" w:val="left"/>
        </w:tabs>
        <w:numPr>
          <w:ilvl w:val="1"/>
          <w:numId w:val="136"/>
        </w:numPr>
        <w:rPr>
          <w:rFonts w:ascii="Arial" w:cs="Arial" w:eastAsia="Arial" w:hAnsi="Arial"/>
          <w:sz w:val="18"/>
          <w:szCs w:val="18"/>
          <w:color w:val="010000"/>
        </w:rPr>
      </w:pPr>
      <w:r>
        <w:rPr>
          <w:rFonts w:ascii="Arial" w:cs="Arial" w:eastAsia="Arial" w:hAnsi="Arial"/>
          <w:sz w:val="18"/>
          <w:szCs w:val="18"/>
          <w:color w:val="auto"/>
        </w:rPr>
        <w:t>the Borrower or any Subsidiary Guarantor, as applicable, shall fail to observe or perform any covenant, condition or agreement applicable to it contained in this Agreement (other than those specified in clause (a), (b) or (d) of this Article) or any other Loan Document, and such failure shall continue unremedied for a period of thirty (30) days after notice thereof from the Administrative Agent or the Required Lenders to the Borrower;</w:t>
      </w:r>
    </w:p>
    <w:p>
      <w:pPr>
        <w:spacing w:after="0" w:line="186" w:lineRule="exact"/>
        <w:rPr>
          <w:rFonts w:ascii="Arial" w:cs="Arial" w:eastAsia="Arial" w:hAnsi="Arial"/>
          <w:sz w:val="18"/>
          <w:szCs w:val="18"/>
          <w:color w:val="010000"/>
        </w:rPr>
      </w:pPr>
    </w:p>
    <w:p>
      <w:pPr>
        <w:jc w:val="both"/>
        <w:ind w:left="4" w:firstLine="644"/>
        <w:spacing w:after="0" w:line="263" w:lineRule="auto"/>
        <w:tabs>
          <w:tab w:leader="none" w:pos="1534" w:val="left"/>
        </w:tabs>
        <w:numPr>
          <w:ilvl w:val="1"/>
          <w:numId w:val="136"/>
        </w:numPr>
        <w:rPr>
          <w:rFonts w:ascii="Arial" w:cs="Arial" w:eastAsia="Arial" w:hAnsi="Arial"/>
          <w:sz w:val="18"/>
          <w:szCs w:val="18"/>
          <w:color w:val="010000"/>
        </w:rPr>
      </w:pPr>
      <w:r>
        <w:rPr>
          <w:rFonts w:ascii="Arial" w:cs="Arial" w:eastAsia="Arial" w:hAnsi="Arial"/>
          <w:sz w:val="18"/>
          <w:szCs w:val="18"/>
          <w:color w:val="auto"/>
        </w:rPr>
        <w:t>the Borrower or any Material Subsidiary shall fail to make any payment (whether of principal or interest and regardless of amount) in respect of any Material Indebtedness of the Borrower or such Material Subsidiary, as applicable, when and as the same shall become due and payable, which is not cured within any applicable grace period therefor;</w:t>
      </w:r>
    </w:p>
    <w:p>
      <w:pPr>
        <w:spacing w:after="0" w:line="183" w:lineRule="exact"/>
        <w:rPr>
          <w:rFonts w:ascii="Arial" w:cs="Arial" w:eastAsia="Arial" w:hAnsi="Arial"/>
          <w:sz w:val="18"/>
          <w:szCs w:val="18"/>
          <w:color w:val="010000"/>
        </w:rPr>
      </w:pPr>
    </w:p>
    <w:p>
      <w:pPr>
        <w:jc w:val="both"/>
        <w:ind w:left="4" w:firstLine="644"/>
        <w:spacing w:after="0" w:line="285" w:lineRule="auto"/>
        <w:tabs>
          <w:tab w:leader="none" w:pos="1478"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or replacement thereof not otherwise prohibited by this Agreement,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176" w:lineRule="exact"/>
        <w:rPr>
          <w:rFonts w:ascii="Arial" w:cs="Arial" w:eastAsia="Arial" w:hAnsi="Arial"/>
          <w:sz w:val="16"/>
          <w:szCs w:val="16"/>
          <w:color w:val="010000"/>
        </w:rPr>
      </w:pPr>
    </w:p>
    <w:p>
      <w:pPr>
        <w:jc w:val="both"/>
        <w:ind w:left="4" w:firstLine="644"/>
        <w:spacing w:after="0" w:line="285" w:lineRule="auto"/>
        <w:tabs>
          <w:tab w:leader="none" w:pos="1451" w:val="left"/>
        </w:tabs>
        <w:numPr>
          <w:ilvl w:val="1"/>
          <w:numId w:val="136"/>
        </w:numPr>
        <w:rPr>
          <w:rFonts w:ascii="Arial" w:cs="Arial" w:eastAsia="Arial" w:hAnsi="Arial"/>
          <w:sz w:val="16"/>
          <w:szCs w:val="16"/>
          <w:color w:val="010000"/>
        </w:rPr>
      </w:pPr>
      <w:r>
        <w:rPr>
          <w:rFonts w:ascii="Arial" w:cs="Arial" w:eastAsia="Arial" w:hAnsi="Arial"/>
          <w:sz w:val="16"/>
          <w:szCs w:val="16"/>
          <w:color w:val="auto"/>
        </w:rPr>
        <w:t>an involuntary proceeding shall be commenced or an involuntary petition shall be filed seeking (i) liquidation, examinership, reorganization or other relief in respect of any Loan Party or any Material Subsidiary or its debts, or of a substantial part of its assets, under any federal, state or foreign bankruptcy, insolvency, examinership, receivership or similar law now or hereafter in effect or (ii) the appointment of a receiver, trustee, custodian, examiner, sequestrator, conservator or similar official for any Loan Party or any Material Subsidiary or for a substantial part of its assets, and, in any such case, such proceeding or petition shall continue undismissed, undischarged or unstayed for sixty</w:t>
      </w:r>
    </w:p>
    <w:p>
      <w:pPr>
        <w:spacing w:after="0" w:line="1" w:lineRule="exact"/>
        <w:rPr>
          <w:rFonts w:ascii="Arial" w:cs="Arial" w:eastAsia="Arial" w:hAnsi="Arial"/>
          <w:sz w:val="16"/>
          <w:szCs w:val="16"/>
          <w:color w:val="010000"/>
        </w:rPr>
      </w:pPr>
    </w:p>
    <w:p>
      <w:pPr>
        <w:ind w:left="344" w:hanging="344"/>
        <w:spacing w:after="0"/>
        <w:tabs>
          <w:tab w:leader="none" w:pos="3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days or an order or decree approving or ordering any of the foregoing shall be entered;</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4" w:name="page125"/>
    <w:bookmarkEnd w:id="124"/>
    <w:p>
      <w:pPr>
        <w:jc w:val="both"/>
        <w:ind w:left="660" w:firstLine="644"/>
        <w:spacing w:after="0" w:line="254" w:lineRule="auto"/>
        <w:tabs>
          <w:tab w:leader="none" w:pos="2328"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any Loan Party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examiner,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4" w:lineRule="exact"/>
        <w:rPr>
          <w:rFonts w:ascii="Arial" w:cs="Arial" w:eastAsia="Arial" w:hAnsi="Arial"/>
          <w:sz w:val="18"/>
          <w:szCs w:val="18"/>
          <w:color w:val="010000"/>
        </w:rPr>
      </w:pPr>
    </w:p>
    <w:p>
      <w:pPr>
        <w:ind w:left="2020" w:hanging="716"/>
        <w:spacing w:after="0"/>
        <w:tabs>
          <w:tab w:leader="none" w:pos="2020" w:val="left"/>
        </w:tabs>
        <w:numPr>
          <w:ilvl w:val="0"/>
          <w:numId w:val="138"/>
        </w:numPr>
        <w:rPr>
          <w:rFonts w:ascii="Arial" w:cs="Arial" w:eastAsia="Arial" w:hAnsi="Arial"/>
          <w:sz w:val="16"/>
          <w:szCs w:val="16"/>
          <w:color w:val="010000"/>
        </w:rPr>
      </w:pPr>
      <w:r>
        <w:rPr>
          <w:rFonts w:ascii="Arial" w:cs="Arial" w:eastAsia="Arial" w:hAnsi="Arial"/>
          <w:sz w:val="16"/>
          <w:szCs w:val="16"/>
          <w:color w:val="auto"/>
        </w:rPr>
        <w:t>any Loan Party or any Material Subsidiary shall become unable, admit in writing its inability or fail generally to pay its debts as</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they become due;</w:t>
      </w:r>
    </w:p>
    <w:p>
      <w:pPr>
        <w:spacing w:after="0" w:line="210" w:lineRule="exact"/>
        <w:rPr>
          <w:rFonts w:ascii="Arial" w:cs="Arial" w:eastAsia="Arial" w:hAnsi="Arial"/>
          <w:sz w:val="16"/>
          <w:szCs w:val="16"/>
          <w:color w:val="010000"/>
        </w:rPr>
      </w:pPr>
    </w:p>
    <w:p>
      <w:pPr>
        <w:jc w:val="both"/>
        <w:ind w:left="660" w:firstLine="644"/>
        <w:spacing w:after="0" w:line="255" w:lineRule="auto"/>
        <w:tabs>
          <w:tab w:leader="none" w:pos="2120"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one or more judgments for the payment of money in an aggregate amount in excess of $100,000,000 (to the extent not paid, fully bonded or covered by an unaffiliated insurer that has not denied coverage) shall be rendered against any Loan Party,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effectively stayed;</w:t>
      </w:r>
    </w:p>
    <w:p>
      <w:pPr>
        <w:spacing w:after="0" w:line="192" w:lineRule="exact"/>
        <w:rPr>
          <w:rFonts w:ascii="Arial" w:cs="Arial" w:eastAsia="Arial" w:hAnsi="Arial"/>
          <w:sz w:val="18"/>
          <w:szCs w:val="18"/>
          <w:color w:val="010000"/>
        </w:rPr>
      </w:pPr>
    </w:p>
    <w:p>
      <w:pPr>
        <w:ind w:left="660" w:firstLine="644"/>
        <w:spacing w:after="0" w:line="277" w:lineRule="auto"/>
        <w:tabs>
          <w:tab w:leader="none" w:pos="2315"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010000"/>
        </w:rPr>
      </w:pPr>
    </w:p>
    <w:p>
      <w:pPr>
        <w:ind w:left="2020" w:hanging="716"/>
        <w:spacing w:after="0"/>
        <w:tabs>
          <w:tab w:leader="none" w:pos="2020" w:val="left"/>
        </w:tabs>
        <w:numPr>
          <w:ilvl w:val="0"/>
          <w:numId w:val="138"/>
        </w:numPr>
        <w:rPr>
          <w:rFonts w:ascii="Arial" w:cs="Arial" w:eastAsia="Arial" w:hAnsi="Arial"/>
          <w:sz w:val="18"/>
          <w:szCs w:val="18"/>
          <w:color w:val="010000"/>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010000"/>
        </w:rPr>
      </w:pPr>
    </w:p>
    <w:p>
      <w:pPr>
        <w:jc w:val="both"/>
        <w:ind w:left="660" w:firstLine="644"/>
        <w:spacing w:after="0" w:line="273" w:lineRule="auto"/>
        <w:tabs>
          <w:tab w:leader="none" w:pos="2039"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any Loan Document, after execution thereof and for any reason other than as expressly permitted hereunder or thereunder or in satisfaction in full of the Obligations, ceases to be valid, binding and enforceable against the Borrower or any other Loan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in satisfaction in full in cash of the Obligations then due and payable);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then, and in every such event (other than an event with respect to the Borrower described in clause (h) or (i) of this Article), and at any time thereafter during the continuance of such event, the Administrative Agent may with the consent of the Required Lenders, and shall at the request of the Required Lenders,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center"/>
        <w:ind w:right="640"/>
        <w:spacing w:after="0"/>
        <w:rPr>
          <w:sz w:val="20"/>
          <w:szCs w:val="20"/>
          <w:color w:val="auto"/>
        </w:rPr>
      </w:pPr>
      <w:r>
        <w:rPr>
          <w:rFonts w:ascii="Arial" w:cs="Arial" w:eastAsia="Arial" w:hAnsi="Arial"/>
          <w:sz w:val="18"/>
          <w:szCs w:val="18"/>
          <w:color w:val="010000"/>
        </w:rPr>
        <w:t>ARTICLE VIII</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General</w:t>
      </w:r>
      <w:r>
        <w:rPr>
          <w:rFonts w:ascii="Arial" w:cs="Arial" w:eastAsia="Arial" w:hAnsi="Arial"/>
          <w:sz w:val="18"/>
          <w:szCs w:val="18"/>
          <w:color w:val="000000"/>
        </w:rPr>
        <w:t>.</w:t>
      </w:r>
    </w:p>
    <w:p>
      <w:pPr>
        <w:spacing w:after="0" w:line="225" w:lineRule="exact"/>
        <w:rPr>
          <w:sz w:val="20"/>
          <w:szCs w:val="20"/>
          <w:color w:val="auto"/>
        </w:rPr>
      </w:pPr>
    </w:p>
    <w:p>
      <w:pPr>
        <w:jc w:val="both"/>
        <w:ind w:firstLine="644"/>
        <w:spacing w:after="0" w:line="286" w:lineRule="auto"/>
        <w:tabs>
          <w:tab w:leader="none" w:pos="1369" w:val="left"/>
        </w:tabs>
        <w:numPr>
          <w:ilvl w:val="0"/>
          <w:numId w:val="139"/>
        </w:numPr>
        <w:rPr>
          <w:rFonts w:ascii="Arial" w:cs="Arial" w:eastAsia="Arial" w:hAnsi="Arial"/>
          <w:sz w:val="17"/>
          <w:szCs w:val="17"/>
          <w:color w:val="010000"/>
        </w:rPr>
      </w:pPr>
      <w:r>
        <w:rPr>
          <w:rFonts w:ascii="Arial" w:cs="Arial" w:eastAsia="Arial" w:hAnsi="Arial"/>
          <w:sz w:val="17"/>
          <w:szCs w:val="17"/>
          <w:color w:val="auto"/>
        </w:rPr>
        <w:t>Each of the Lenders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65" w:lineRule="exact"/>
        <w:rPr>
          <w:rFonts w:ascii="Arial" w:cs="Arial" w:eastAsia="Arial" w:hAnsi="Arial"/>
          <w:sz w:val="17"/>
          <w:szCs w:val="17"/>
          <w:color w:val="010000"/>
        </w:rPr>
      </w:pPr>
    </w:p>
    <w:p>
      <w:pPr>
        <w:jc w:val="both"/>
        <w:ind w:firstLine="644"/>
        <w:spacing w:after="0" w:line="259" w:lineRule="auto"/>
        <w:tabs>
          <w:tab w:leader="none" w:pos="1433"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6" w:lineRule="exact"/>
        <w:rPr>
          <w:rFonts w:ascii="Arial" w:cs="Arial" w:eastAsia="Arial" w:hAnsi="Arial"/>
          <w:sz w:val="18"/>
          <w:szCs w:val="18"/>
          <w:color w:val="010000"/>
        </w:rPr>
      </w:pPr>
    </w:p>
    <w:p>
      <w:pPr>
        <w:jc w:val="both"/>
        <w:ind w:firstLine="644"/>
        <w:spacing w:after="0" w:line="269" w:lineRule="auto"/>
        <w:tabs>
          <w:tab w:leader="none" w:pos="1491" w:val="left"/>
        </w:tabs>
        <w:numPr>
          <w:ilvl w:val="0"/>
          <w:numId w:val="139"/>
        </w:numPr>
        <w:rPr>
          <w:rFonts w:ascii="Arial" w:cs="Arial" w:eastAsia="Arial" w:hAnsi="Arial"/>
          <w:sz w:val="17"/>
          <w:szCs w:val="17"/>
          <w:color w:val="010000"/>
        </w:rPr>
      </w:pPr>
      <w:r>
        <w:rPr>
          <w:rFonts w:ascii="Arial" w:cs="Arial" w:eastAsia="Arial" w:hAnsi="Arial"/>
          <w:sz w:val="17"/>
          <w:szCs w:val="17"/>
          <w:color w:val="auto"/>
        </w:rPr>
        <w:t xml:space="preserve">The Administrative Agent shall not have any duties or obligations except those expressly set forth in the Loan Documents. Without limiting the generality of the foregoing, the Administrative Agent shall not be subject to any fiduciary or other implied duties, regardless of whether a Default has occurred and is continuing.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in any Loan Document, other than to confirm receipt of items expressly required to be delivered to the Administrative Agent.</w:t>
      </w:r>
    </w:p>
    <w:p>
      <w:pPr>
        <w:spacing w:after="0" w:line="185" w:lineRule="exact"/>
        <w:rPr>
          <w:rFonts w:ascii="Arial" w:cs="Arial" w:eastAsia="Arial" w:hAnsi="Arial"/>
          <w:sz w:val="17"/>
          <w:szCs w:val="17"/>
          <w:color w:val="010000"/>
        </w:rPr>
      </w:pPr>
    </w:p>
    <w:p>
      <w:pPr>
        <w:jc w:val="both"/>
        <w:ind w:firstLine="644"/>
        <w:spacing w:after="0" w:line="255" w:lineRule="auto"/>
        <w:tabs>
          <w:tab w:leader="none" w:pos="1420"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6" w:name="page127"/>
    <w:bookmarkEnd w:id="126"/>
    <w:p>
      <w:pPr>
        <w:jc w:val="both"/>
        <w:ind w:left="4" w:firstLine="644"/>
        <w:spacing w:after="0" w:line="275" w:lineRule="auto"/>
        <w:tabs>
          <w:tab w:leader="none" w:pos="1387" w:val="left"/>
        </w:tabs>
        <w:numPr>
          <w:ilvl w:val="1"/>
          <w:numId w:val="140"/>
        </w:numPr>
        <w:rPr>
          <w:rFonts w:ascii="Arial" w:cs="Arial" w:eastAsia="Arial" w:hAnsi="Arial"/>
          <w:sz w:val="17"/>
          <w:szCs w:val="17"/>
          <w:color w:val="010000"/>
        </w:rPr>
      </w:pPr>
      <w:r>
        <w:rPr>
          <w:rFonts w:ascii="Arial" w:cs="Arial" w:eastAsia="Arial" w:hAnsi="Arial"/>
          <w:sz w:val="17"/>
          <w:szCs w:val="17"/>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6" w:lineRule="exact"/>
        <w:rPr>
          <w:rFonts w:ascii="Arial" w:cs="Arial" w:eastAsia="Arial" w:hAnsi="Arial"/>
          <w:sz w:val="17"/>
          <w:szCs w:val="17"/>
          <w:color w:val="010000"/>
        </w:rPr>
      </w:pPr>
    </w:p>
    <w:p>
      <w:pPr>
        <w:jc w:val="both"/>
        <w:ind w:left="4" w:firstLine="644"/>
        <w:spacing w:after="0" w:line="286" w:lineRule="auto"/>
        <w:tabs>
          <w:tab w:leader="none" w:pos="1385" w:val="left"/>
        </w:tabs>
        <w:numPr>
          <w:ilvl w:val="1"/>
          <w:numId w:val="140"/>
        </w:numPr>
        <w:rPr>
          <w:rFonts w:ascii="Arial" w:cs="Arial" w:eastAsia="Arial" w:hAnsi="Arial"/>
          <w:sz w:val="16"/>
          <w:szCs w:val="16"/>
          <w:color w:val="010000"/>
        </w:rPr>
      </w:pPr>
      <w:r>
        <w:rPr>
          <w:rFonts w:ascii="Arial" w:cs="Arial" w:eastAsia="Arial" w:hAnsi="Arial"/>
          <w:sz w:val="16"/>
          <w:szCs w:val="16"/>
          <w:color w:val="auto"/>
        </w:rPr>
        <w:t xml:space="preserve">The Administrative Agent may at any time give its notice of resignation to the Lenders and the Borrower. Upon delivery of any such notice of resignation, the Required Lenders shall have the right (with the consent of the Borrower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if an Event of Default has occurred and is continuing); to appoint a successor. If no successor shall have been so appointed by the Required Lenders and shall have accepted such appointment within thirty</w:t>
      </w:r>
    </w:p>
    <w:p>
      <w:pPr>
        <w:spacing w:after="0" w:line="1" w:lineRule="exact"/>
        <w:rPr>
          <w:rFonts w:ascii="Arial" w:cs="Arial" w:eastAsia="Arial" w:hAnsi="Arial"/>
          <w:sz w:val="16"/>
          <w:szCs w:val="16"/>
          <w:color w:val="010000"/>
        </w:rPr>
      </w:pPr>
    </w:p>
    <w:p>
      <w:pPr>
        <w:jc w:val="both"/>
        <w:ind w:left="4" w:hanging="4"/>
        <w:spacing w:after="0" w:line="286" w:lineRule="auto"/>
        <w:tabs>
          <w:tab w:leader="none" w:pos="35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after the retiring Administrative Agent gives notice of its resignation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appoint a successor Administrative Agent which shall be a bank with an office in New York, New York, or an Affiliate of any such bank. Whether or not such successor has been appointed, such resignation shall become effective in accordance with such notice on the Resignation Effective Date.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69" w:lineRule="exact"/>
        <w:rPr>
          <w:rFonts w:ascii="Arial" w:cs="Arial" w:eastAsia="Arial" w:hAnsi="Arial"/>
          <w:sz w:val="16"/>
          <w:szCs w:val="16"/>
          <w:color w:val="auto"/>
        </w:rPr>
      </w:pPr>
    </w:p>
    <w:p>
      <w:pPr>
        <w:jc w:val="both"/>
        <w:ind w:left="4" w:firstLine="644"/>
        <w:spacing w:after="0" w:line="269" w:lineRule="auto"/>
        <w:tabs>
          <w:tab w:leader="none" w:pos="1424" w:val="left"/>
        </w:tabs>
        <w:numPr>
          <w:ilvl w:val="1"/>
          <w:numId w:val="141"/>
        </w:numPr>
        <w:rPr>
          <w:rFonts w:ascii="Arial" w:cs="Arial" w:eastAsia="Arial" w:hAnsi="Arial"/>
          <w:sz w:val="17"/>
          <w:szCs w:val="17"/>
          <w:color w:val="010000"/>
        </w:rPr>
      </w:pPr>
      <w:r>
        <w:rPr>
          <w:rFonts w:ascii="Arial" w:cs="Arial" w:eastAsia="Arial" w:hAnsi="Arial"/>
          <w:sz w:val="17"/>
          <w:szCs w:val="17"/>
          <w:color w:val="auto"/>
        </w:rPr>
        <w:t>Each Lender acknowledges and agrees that the extensions of credit made hereunder are commercial loans and letters of credit and not investments in a business enterprise or securities. Each Lender further confirms that it is engaged in making, acquiring or holding commercial loans in the ordinary course of its business and has, independently and without reliance upon the Administrative Agent, any arranger of the credit facilities evidenced by this Agreement or any other Lender and their respective Related Parties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of the credit facilities evidenced by this Agreement or any amendment thereof or any other Lender and their respective Related Parties and based on such documents and information (which may contain material, non-public information within the meaning of the United States securities laws concerning the Borrower, the other Loan Parties and their respective Related Parties and their respective securities)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7" w:name="page128"/>
    <w:bookmarkEnd w:id="127"/>
    <w:p>
      <w:pPr>
        <w:jc w:val="both"/>
        <w:ind w:left="-460" w:firstLine="644"/>
        <w:spacing w:after="0" w:line="255" w:lineRule="auto"/>
        <w:tabs>
          <w:tab w:leader="none" w:pos="1095"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None of the Lenders or their Affiliates, if any, identified in this Agreement as a Bookrunner shall have any right, power, obligation, liability, responsibility or duty under this Agreement other than, in the case of Lenders, those applicable to all Lenders as such (or applicable to Lenders of the same Class of Loans). Without limiting the foregoing, neither the Bookrunner nor such Lenders shall have or be deemed to have a fiduciary relationship with any Lender. Each Lender hereby makes the same acknowledgments with respect to the relevant Lenders and their Affiliates in their respective capacities as a Bookrunner, as applicable, as it makes with respect to the Administrative Agent in the preceding paragraph.</w:t>
      </w:r>
    </w:p>
    <w:p>
      <w:pPr>
        <w:spacing w:after="0" w:line="192" w:lineRule="exact"/>
        <w:rPr>
          <w:rFonts w:ascii="Arial" w:cs="Arial" w:eastAsia="Arial" w:hAnsi="Arial"/>
          <w:sz w:val="18"/>
          <w:szCs w:val="18"/>
          <w:color w:val="010000"/>
        </w:rPr>
      </w:pPr>
    </w:p>
    <w:p>
      <w:pPr>
        <w:jc w:val="both"/>
        <w:ind w:left="-460" w:firstLine="644"/>
        <w:spacing w:after="0" w:line="259" w:lineRule="auto"/>
        <w:tabs>
          <w:tab w:leader="none" w:pos="925" w:val="left"/>
        </w:tabs>
        <w:numPr>
          <w:ilvl w:val="0"/>
          <w:numId w:val="142"/>
        </w:numPr>
        <w:rPr>
          <w:rFonts w:ascii="Arial" w:cs="Arial" w:eastAsia="Arial" w:hAnsi="Arial"/>
          <w:sz w:val="18"/>
          <w:szCs w:val="18"/>
          <w:color w:val="010000"/>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6" w:lineRule="exact"/>
        <w:rPr>
          <w:rFonts w:ascii="Arial" w:cs="Arial" w:eastAsia="Arial" w:hAnsi="Arial"/>
          <w:sz w:val="18"/>
          <w:szCs w:val="18"/>
          <w:color w:val="010000"/>
        </w:rPr>
      </w:pPr>
    </w:p>
    <w:p>
      <w:pPr>
        <w:jc w:val="both"/>
        <w:ind w:left="-460" w:firstLine="644"/>
        <w:spacing w:after="0" w:line="267" w:lineRule="auto"/>
        <w:tabs>
          <w:tab w:leader="none" w:pos="898" w:val="left"/>
        </w:tabs>
        <w:numPr>
          <w:ilvl w:val="0"/>
          <w:numId w:val="142"/>
        </w:numPr>
        <w:rPr>
          <w:rFonts w:ascii="Arial" w:cs="Arial" w:eastAsia="Arial" w:hAnsi="Arial"/>
          <w:sz w:val="17"/>
          <w:szCs w:val="17"/>
          <w:color w:val="010000"/>
        </w:rPr>
      </w:pPr>
      <w:r>
        <w:rPr>
          <w:rFonts w:ascii="Arial" w:cs="Arial" w:eastAsia="Arial" w:hAnsi="Arial"/>
          <w:sz w:val="17"/>
          <w:szCs w:val="17"/>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(including Section 9.12),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9" w:lineRule="exact"/>
        <w:rPr>
          <w:rFonts w:ascii="Arial" w:cs="Arial" w:eastAsia="Arial" w:hAnsi="Arial"/>
          <w:sz w:val="17"/>
          <w:szCs w:val="17"/>
          <w:color w:val="010000"/>
        </w:rPr>
      </w:pPr>
    </w:p>
    <w:p>
      <w:pPr>
        <w:jc w:val="both"/>
        <w:ind w:left="-460" w:firstLine="644"/>
        <w:spacing w:after="0" w:line="288" w:lineRule="auto"/>
        <w:tabs>
          <w:tab w:leader="none" w:pos="919" w:val="left"/>
        </w:tabs>
        <w:numPr>
          <w:ilvl w:val="0"/>
          <w:numId w:val="142"/>
        </w:numPr>
        <w:rPr>
          <w:rFonts w:ascii="Arial" w:cs="Arial" w:eastAsia="Arial" w:hAnsi="Arial"/>
          <w:sz w:val="16"/>
          <w:szCs w:val="16"/>
          <w:color w:val="010000"/>
        </w:rPr>
      </w:pPr>
      <w:r>
        <w:rPr>
          <w:rFonts w:ascii="Arial" w:cs="Arial" w:eastAsia="Arial" w:hAnsi="Arial"/>
          <w:sz w:val="16"/>
          <w:szCs w:val="16"/>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8" w:name="page129"/>
    <w:bookmarkEnd w:id="128"/>
    <w:p>
      <w:pPr>
        <w:ind w:left="180"/>
        <w:spacing w:after="0"/>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Posting of Communications</w:t>
      </w:r>
      <w:r>
        <w:rPr>
          <w:rFonts w:ascii="Arial" w:cs="Arial" w:eastAsia="Arial" w:hAnsi="Arial"/>
          <w:sz w:val="18"/>
          <w:szCs w:val="18"/>
          <w:color w:val="000000"/>
        </w:rPr>
        <w:t>.</w:t>
      </w:r>
    </w:p>
    <w:p>
      <w:pPr>
        <w:spacing w:after="0" w:line="225" w:lineRule="exact"/>
        <w:rPr>
          <w:sz w:val="20"/>
          <w:szCs w:val="20"/>
          <w:color w:val="auto"/>
        </w:rPr>
      </w:pPr>
    </w:p>
    <w:p>
      <w:pPr>
        <w:jc w:val="both"/>
        <w:ind w:left="-460" w:firstLine="644"/>
        <w:spacing w:after="0" w:line="259" w:lineRule="auto"/>
        <w:tabs>
          <w:tab w:leader="none" w:pos="936"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8"/>
          <w:szCs w:val="18"/>
          <w:u w:val="single" w:color="auto"/>
          <w:color w:val="auto"/>
        </w:rPr>
        <w:t>Approved Electronic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left="-460" w:firstLine="644"/>
        <w:spacing w:after="0" w:line="271" w:lineRule="auto"/>
        <w:tabs>
          <w:tab w:leader="none" w:pos="1185" w:val="left"/>
        </w:tabs>
        <w:numPr>
          <w:ilvl w:val="0"/>
          <w:numId w:val="143"/>
        </w:numPr>
        <w:rPr>
          <w:rFonts w:ascii="Arial" w:cs="Arial" w:eastAsia="Arial" w:hAnsi="Arial"/>
          <w:sz w:val="17"/>
          <w:szCs w:val="17"/>
          <w:color w:val="010000"/>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 and agree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and the Borrower hereby approve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010000"/>
        </w:rPr>
      </w:pPr>
    </w:p>
    <w:p>
      <w:pPr>
        <w:jc w:val="both"/>
        <w:ind w:left="-460" w:firstLine="644"/>
        <w:spacing w:after="0" w:line="267" w:lineRule="auto"/>
        <w:tabs>
          <w:tab w:leader="none" w:pos="1085" w:val="left"/>
        </w:tabs>
        <w:numPr>
          <w:ilvl w:val="0"/>
          <w:numId w:val="143"/>
        </w:numPr>
        <w:rPr>
          <w:rFonts w:ascii="Arial" w:cs="Arial" w:eastAsia="Arial" w:hAnsi="Arial"/>
          <w:sz w:val="17"/>
          <w:szCs w:val="17"/>
          <w:color w:val="010000"/>
        </w:rPr>
      </w:pPr>
      <w:r>
        <w:rPr>
          <w:rFonts w:ascii="Arial" w:cs="Arial" w:eastAsia="Arial" w:hAnsi="Arial"/>
          <w:sz w:val="17"/>
          <w:szCs w:val="17"/>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BOOKRUNNER OR ANY OF THEIR RESPECTIVE RELATED PARTIES (COLLECTIVELY, “</w:t>
      </w:r>
      <w:r>
        <w:rPr>
          <w:rFonts w:ascii="Arial" w:cs="Arial" w:eastAsia="Arial" w:hAnsi="Arial"/>
          <w:sz w:val="17"/>
          <w:szCs w:val="17"/>
          <w:u w:val="single" w:color="auto"/>
          <w:color w:val="auto"/>
        </w:rPr>
        <w:t>APPLICABLE PARTIES</w:t>
      </w:r>
      <w:r>
        <w:rPr>
          <w:rFonts w:ascii="Arial" w:cs="Arial" w:eastAsia="Arial" w:hAnsi="Arial"/>
          <w:sz w:val="17"/>
          <w:szCs w:val="17"/>
          <w:color w:val="auto"/>
        </w:rPr>
        <w:t xml:space="preserve">”)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COMMUNICATION OR ANY OTHER DISSEMINATION OR DISCLOSURE OF ANY INFORMATION (AS DEFINED IN SECTION 9.12) TO ANY LENDERS, PROSPECTIVE LENDERS, PARTICIPANTS OR PROSPECTIVE PARTICIPANTS OR, TO THE EXTENT SUCH DISCLOSURE IS OTHERWISE PERMITTED BY SECTION 9.12, TO ANY OTHER PERSON THROUGH THE APPROVED ELECTRONIC PLATFORM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BORROWER), WHICH SHALL IN ANY EVENT REQUIRE “CLICK THROUGH” OR OTHER AFFIRMATIVE ACTIONS ON THE PART OF THE RECIPIENT TO ACCESS SUCH COMMUNICATION.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9" w:name="page130"/>
    <w:bookmarkEnd w:id="129"/>
    <w:p>
      <w:pPr>
        <w:jc w:val="both"/>
        <w:ind w:left="-460" w:firstLine="644"/>
        <w:spacing w:after="0" w:line="257" w:lineRule="auto"/>
        <w:tabs>
          <w:tab w:leader="none" w:pos="919"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87" w:lineRule="exact"/>
        <w:rPr>
          <w:rFonts w:ascii="Arial" w:cs="Arial" w:eastAsia="Arial" w:hAnsi="Arial"/>
          <w:sz w:val="18"/>
          <w:szCs w:val="18"/>
          <w:color w:val="010000"/>
        </w:rPr>
      </w:pPr>
    </w:p>
    <w:p>
      <w:pPr>
        <w:jc w:val="both"/>
        <w:ind w:left="-460" w:firstLine="644"/>
        <w:spacing w:after="0" w:line="263" w:lineRule="auto"/>
        <w:tabs>
          <w:tab w:leader="none" w:pos="923"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3" w:lineRule="exact"/>
        <w:rPr>
          <w:rFonts w:ascii="Arial" w:cs="Arial" w:eastAsia="Arial" w:hAnsi="Arial"/>
          <w:sz w:val="18"/>
          <w:szCs w:val="18"/>
          <w:color w:val="010000"/>
        </w:rPr>
      </w:pPr>
    </w:p>
    <w:p>
      <w:pPr>
        <w:ind w:left="-460" w:right="20" w:firstLine="644"/>
        <w:spacing w:after="0" w:line="277" w:lineRule="auto"/>
        <w:tabs>
          <w:tab w:leader="none" w:pos="1029"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Nothing herein shall prejudice the right of the Administrative Agent, any Lender to give any notice or other communication pursuant to any Loan Document in any other manner specified in such Loan Document.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Certain ERISA Matters</w:t>
      </w:r>
      <w:r>
        <w:rPr>
          <w:rFonts w:ascii="Arial" w:cs="Arial" w:eastAsia="Arial" w:hAnsi="Arial"/>
          <w:sz w:val="18"/>
          <w:szCs w:val="18"/>
          <w:color w:val="000000"/>
        </w:rPr>
        <w:t>.</w:t>
      </w:r>
    </w:p>
    <w:p>
      <w:pPr>
        <w:spacing w:after="0" w:line="225" w:lineRule="exact"/>
        <w:rPr>
          <w:sz w:val="20"/>
          <w:szCs w:val="20"/>
          <w:color w:val="auto"/>
        </w:rPr>
      </w:pPr>
    </w:p>
    <w:p>
      <w:pPr>
        <w:jc w:val="both"/>
        <w:ind w:left="-460" w:firstLine="644"/>
        <w:spacing w:after="0" w:line="259" w:lineRule="auto"/>
        <w:tabs>
          <w:tab w:leader="none" w:pos="923"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010000"/>
        </w:rPr>
      </w:pPr>
    </w:p>
    <w:p>
      <w:pPr>
        <w:jc w:val="both"/>
        <w:ind w:left="180" w:firstLine="652"/>
        <w:spacing w:after="0" w:line="263" w:lineRule="auto"/>
        <w:tabs>
          <w:tab w:leader="none" w:pos="1700" w:val="left"/>
        </w:tabs>
        <w:numPr>
          <w:ilvl w:val="1"/>
          <w:numId w:val="145"/>
        </w:numPr>
        <w:rPr>
          <w:rFonts w:ascii="Arial" w:cs="Arial" w:eastAsia="Arial" w:hAnsi="Arial"/>
          <w:sz w:val="18"/>
          <w:szCs w:val="18"/>
          <w:color w:val="010000"/>
        </w:rPr>
      </w:pPr>
      <w:r>
        <w:rPr>
          <w:rFonts w:ascii="Arial" w:cs="Arial" w:eastAsia="Arial" w:hAnsi="Arial"/>
          <w:sz w:val="18"/>
          <w:szCs w:val="18"/>
          <w:color w:val="auto"/>
        </w:rPr>
        <w:t>such Lender is not using “plan assets” (within the meaning of the Plan Asset Regulations) of one or more Benefit Plans with respect to such Lender’s entrance into, participation in, administration of and performance of the Loans, the Commitments, or this Agreement,</w:t>
      </w:r>
    </w:p>
    <w:p>
      <w:pPr>
        <w:spacing w:after="0" w:line="183" w:lineRule="exact"/>
        <w:rPr>
          <w:rFonts w:ascii="Arial" w:cs="Arial" w:eastAsia="Arial" w:hAnsi="Arial"/>
          <w:sz w:val="18"/>
          <w:szCs w:val="18"/>
          <w:color w:val="010000"/>
        </w:rPr>
      </w:pPr>
    </w:p>
    <w:p>
      <w:pPr>
        <w:jc w:val="both"/>
        <w:ind w:left="180" w:firstLine="652"/>
        <w:spacing w:after="0" w:line="293" w:lineRule="auto"/>
        <w:tabs>
          <w:tab w:leader="none" w:pos="1542" w:val="left"/>
        </w:tabs>
        <w:numPr>
          <w:ilvl w:val="1"/>
          <w:numId w:val="145"/>
        </w:numPr>
        <w:rPr>
          <w:rFonts w:ascii="Arial" w:cs="Arial" w:eastAsia="Arial" w:hAnsi="Arial"/>
          <w:sz w:val="16"/>
          <w:szCs w:val="16"/>
          <w:color w:val="010000"/>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3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0" w:name="page131"/>
    <w:bookmarkEnd w:id="130"/>
    <w:p>
      <w:pPr>
        <w:jc w:val="both"/>
        <w:ind w:left="1300" w:firstLine="652"/>
        <w:spacing w:after="0" w:line="254" w:lineRule="auto"/>
        <w:tabs>
          <w:tab w:leader="none" w:pos="2708" w:val="left"/>
        </w:tabs>
        <w:numPr>
          <w:ilvl w:val="1"/>
          <w:numId w:val="146"/>
        </w:numPr>
        <w:rPr>
          <w:rFonts w:ascii="Arial" w:cs="Arial" w:eastAsia="Arial" w:hAnsi="Arial"/>
          <w:sz w:val="18"/>
          <w:szCs w:val="18"/>
          <w:color w:val="010000"/>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94" w:lineRule="exact"/>
        <w:rPr>
          <w:rFonts w:ascii="Arial" w:cs="Arial" w:eastAsia="Arial" w:hAnsi="Arial"/>
          <w:sz w:val="18"/>
          <w:szCs w:val="18"/>
          <w:color w:val="010000"/>
        </w:rPr>
      </w:pPr>
    </w:p>
    <w:p>
      <w:pPr>
        <w:ind w:left="1300" w:right="20" w:firstLine="652"/>
        <w:spacing w:after="0" w:line="277" w:lineRule="auto"/>
        <w:tabs>
          <w:tab w:leader="none" w:pos="2671" w:val="left"/>
        </w:tabs>
        <w:numPr>
          <w:ilvl w:val="1"/>
          <w:numId w:val="146"/>
        </w:numPr>
        <w:rPr>
          <w:rFonts w:ascii="Arial" w:cs="Arial" w:eastAsia="Arial" w:hAnsi="Arial"/>
          <w:sz w:val="18"/>
          <w:szCs w:val="18"/>
          <w:color w:val="010000"/>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010000"/>
        </w:rPr>
      </w:pPr>
    </w:p>
    <w:p>
      <w:pPr>
        <w:jc w:val="both"/>
        <w:ind w:left="660" w:firstLine="644"/>
        <w:spacing w:after="0" w:line="271" w:lineRule="auto"/>
        <w:tabs>
          <w:tab w:leader="none" w:pos="2147"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SECTION 9.01. </w:t>
      </w:r>
      <w:r>
        <w:rPr>
          <w:rFonts w:ascii="Arial" w:cs="Arial" w:eastAsia="Arial" w:hAnsi="Arial"/>
          <w:sz w:val="18"/>
          <w:szCs w:val="18"/>
          <w:u w:val="single" w:color="auto"/>
          <w:color w:val="000000"/>
        </w:rPr>
        <w:t>Notices</w:t>
      </w:r>
      <w:r>
        <w:rPr>
          <w:rFonts w:ascii="Arial" w:cs="Arial" w:eastAsia="Arial" w:hAnsi="Arial"/>
          <w:sz w:val="18"/>
          <w:szCs w:val="18"/>
          <w:color w:val="000000"/>
        </w:rPr>
        <w:t>. (a) Except in the case of notices and other communications expressly permitted to be given by telephone (and</w:t>
      </w:r>
      <w:r>
        <w:rPr>
          <w:rFonts w:ascii="Arial" w:cs="Arial" w:eastAsia="Arial" w:hAnsi="Arial"/>
          <w:sz w:val="18"/>
          <w:szCs w:val="18"/>
          <w:color w:val="010000"/>
        </w:rPr>
        <w:t xml:space="preserve"> </w:t>
      </w:r>
      <w:r>
        <w:rPr>
          <w:rFonts w:ascii="Arial" w:cs="Arial" w:eastAsia="Arial" w:hAnsi="Arial"/>
          <w:sz w:val="18"/>
          <w:szCs w:val="18"/>
          <w:color w:val="000000"/>
        </w:rPr>
        <w:t>subject to paragraph (b) below), all notices and other communications provided for herein shall be in writing and shall be delivered by hand or overnight courier service, mailed by certified or registered mail or sent by telecopy or e-mail, as follows:</w:t>
      </w:r>
    </w:p>
    <w:p>
      <w:pPr>
        <w:spacing w:after="0" w:line="184" w:lineRule="exact"/>
        <w:rPr>
          <w:sz w:val="20"/>
          <w:szCs w:val="20"/>
          <w:color w:val="auto"/>
        </w:rPr>
      </w:pPr>
    </w:p>
    <w:p>
      <w:pPr>
        <w:ind w:left="2440" w:hanging="488"/>
        <w:spacing w:after="0"/>
        <w:tabs>
          <w:tab w:leader="none" w:pos="2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to any Loan Party, to it: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Leonard Brooks, Vice President, Treasurer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(914) 847-1555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847-7320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leonard.brooks@regeneron.com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2600"/>
        <w:spacing w:after="0"/>
        <w:rPr>
          <w:sz w:val="20"/>
          <w:szCs w:val="20"/>
          <w:color w:val="auto"/>
        </w:rPr>
      </w:pPr>
      <w:r>
        <w:rPr>
          <w:rFonts w:ascii="Arial" w:cs="Arial" w:eastAsia="Arial" w:hAnsi="Arial"/>
          <w:sz w:val="17"/>
          <w:szCs w:val="17"/>
          <w:color w:val="auto"/>
        </w:rPr>
        <w:t>with a copy (in the case of a notice of an actual or potential Default, Event of Default, non-compliance with this</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Agreement or any other similar matter) to:</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Joseph J. LaRosa, Executive Vice President, General Counsel and Secretary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(914) 789-5061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joseph.larosa@regeneron.com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Manhattan West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Sarah M. Ward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 No. (917) 777-2126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(212) 735-2126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sarah.ward@skadden.com</w:t>
      </w:r>
    </w:p>
    <w:p>
      <w:pPr>
        <w:spacing w:after="0" w:line="211" w:lineRule="exact"/>
        <w:rPr>
          <w:sz w:val="20"/>
          <w:szCs w:val="20"/>
          <w:color w:val="auto"/>
        </w:rPr>
      </w:pPr>
    </w:p>
    <w:p>
      <w:pPr>
        <w:ind w:left="2660" w:hanging="708"/>
        <w:spacing w:after="0"/>
        <w:tabs>
          <w:tab w:leader="none" w:pos="2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to the Administrative Agent,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Goldman Sachs Bank USA</w:t>
      </w:r>
    </w:p>
    <w:p>
      <w:pPr>
        <w:ind w:left="2600"/>
        <w:spacing w:after="0" w:line="202" w:lineRule="auto"/>
        <w:rPr>
          <w:sz w:val="20"/>
          <w:szCs w:val="20"/>
          <w:color w:val="auto"/>
        </w:rPr>
      </w:pPr>
      <w:r>
        <w:rPr>
          <w:rFonts w:ascii="Arial" w:cs="Arial" w:eastAsia="Arial" w:hAnsi="Arial"/>
          <w:sz w:val="18"/>
          <w:szCs w:val="18"/>
          <w:color w:val="auto"/>
        </w:rPr>
        <w:t>2001 Ross Ave,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SBD Operations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No. (972) 368-2323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gs-dallas-adminagency@ny.email.gs.com and gs-sbdagency-borrowernotices@ny.email.gs.com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2680" w:hanging="728"/>
        <w:spacing w:after="0"/>
        <w:tabs>
          <w:tab w:leader="none" w:pos="2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7" w:lineRule="exact"/>
        <w:rPr>
          <w:sz w:val="20"/>
          <w:szCs w:val="20"/>
          <w:color w:val="auto"/>
        </w:rPr>
      </w:pPr>
    </w:p>
    <w:p>
      <w:pPr>
        <w:jc w:val="both"/>
        <w:ind w:left="660" w:firstLine="644"/>
        <w:spacing w:after="0" w:line="275" w:lineRule="auto"/>
        <w:tabs>
          <w:tab w:leader="none" w:pos="2201"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 xml:space="preserve">Notices and other communications to the Lenders hereunder may be delivered or furnished by using Approved Electronic Platforms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left="660" w:firstLine="644"/>
        <w:spacing w:after="0" w:line="285" w:lineRule="auto"/>
        <w:tabs>
          <w:tab w:leader="none" w:pos="2295" w:val="left"/>
        </w:tabs>
        <w:numPr>
          <w:ilvl w:val="1"/>
          <w:numId w:val="152"/>
        </w:numPr>
        <w:rPr>
          <w:rFonts w:ascii="Arial" w:cs="Arial" w:eastAsia="Arial" w:hAnsi="Arial"/>
          <w:sz w:val="16"/>
          <w:szCs w:val="16"/>
          <w:color w:val="010000"/>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w:t>
      </w:r>
    </w:p>
    <w:p>
      <w:pPr>
        <w:spacing w:after="0" w:line="1" w:lineRule="exact"/>
        <w:rPr>
          <w:rFonts w:ascii="Arial" w:cs="Arial" w:eastAsia="Arial" w:hAnsi="Arial"/>
          <w:sz w:val="16"/>
          <w:szCs w:val="16"/>
          <w:color w:val="010000"/>
        </w:rPr>
      </w:pPr>
    </w:p>
    <w:p>
      <w:pPr>
        <w:ind w:left="660" w:hanging="4"/>
        <w:spacing w:after="0" w:line="260" w:lineRule="auto"/>
        <w:tabs>
          <w:tab w:leader="none" w:pos="9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5" w:lineRule="exact"/>
        <w:rPr>
          <w:rFonts w:ascii="Arial" w:cs="Arial" w:eastAsia="Arial" w:hAnsi="Arial"/>
          <w:sz w:val="18"/>
          <w:szCs w:val="18"/>
          <w:color w:val="auto"/>
        </w:rPr>
      </w:pPr>
    </w:p>
    <w:p>
      <w:pPr>
        <w:ind w:left="660" w:right="20" w:firstLine="644"/>
        <w:spacing w:after="0" w:line="277" w:lineRule="auto"/>
        <w:tabs>
          <w:tab w:leader="none" w:pos="2332" w:val="left"/>
        </w:tabs>
        <w:numPr>
          <w:ilvl w:val="1"/>
          <w:numId w:val="153"/>
        </w:numPr>
        <w:rPr>
          <w:rFonts w:ascii="Arial" w:cs="Arial" w:eastAsia="Arial" w:hAnsi="Arial"/>
          <w:sz w:val="18"/>
          <w:szCs w:val="18"/>
          <w:color w:val="010000"/>
        </w:rPr>
      </w:pPr>
      <w:r>
        <w:rPr>
          <w:rFonts w:ascii="Arial" w:cs="Arial" w:eastAsia="Arial" w:hAnsi="Arial"/>
          <w:sz w:val="18"/>
          <w:szCs w:val="18"/>
          <w:color w:val="auto"/>
        </w:rPr>
        <w:t>Any party hereto may change its address or telecopy number for notices and other communications hereunder by notice to the other parties hereto (or, in the case of a Lender, by notice to the Borrower and the Administrative Agent).</w:t>
      </w:r>
    </w:p>
    <w:p>
      <w:pPr>
        <w:spacing w:after="0" w:line="170" w:lineRule="exact"/>
        <w:rPr>
          <w:rFonts w:ascii="Arial" w:cs="Arial" w:eastAsia="Arial" w:hAnsi="Arial"/>
          <w:sz w:val="18"/>
          <w:szCs w:val="18"/>
          <w:color w:val="010000"/>
        </w:rPr>
      </w:pPr>
    </w:p>
    <w:p>
      <w:pPr>
        <w:jc w:val="both"/>
        <w:ind w:left="660" w:firstLine="644"/>
        <w:spacing w:after="0" w:line="273" w:lineRule="auto"/>
        <w:tabs>
          <w:tab w:leader="none" w:pos="182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Each Lender agrees that notice to it (as provided in the next sentence) (a “</w:t>
      </w:r>
      <w:r>
        <w:rPr>
          <w:rFonts w:ascii="Arial" w:cs="Arial" w:eastAsia="Arial" w:hAnsi="Arial"/>
          <w:sz w:val="17"/>
          <w:szCs w:val="17"/>
          <w:u w:val="single" w:color="auto"/>
          <w:color w:val="auto"/>
        </w:rPr>
        <w:t>Notice</w:t>
      </w:r>
      <w:r>
        <w:rPr>
          <w:rFonts w:ascii="Arial" w:cs="Arial" w:eastAsia="Arial" w:hAnsi="Arial"/>
          <w:sz w:val="17"/>
          <w:szCs w:val="17"/>
          <w:color w:val="auto"/>
        </w:rPr>
        <w:t>”) specifying that any Communications have been posted to the Approved Electronic Platform shall constitute effective delivery of such information, documents or other materials to such Lender for purposes of this Agreement. Each Lender agrees (i) to notify the Administrative Agent in writing of such Lender’s e-mail address to which a Notice may be sent by electronic transmission (including by electronic communication) on or before the date such Lender becomes a party to this Agreement (and from time to time thereafter to ensure that the Administrative Agent has on record an effective e-mail address for such Lender) and (ii) that any Notice may be sent to such e-mail address.</w:t>
      </w:r>
    </w:p>
    <w:p>
      <w:pPr>
        <w:spacing w:after="0" w:line="17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 xml:space="preserve">SECTION 9.02. </w:t>
      </w:r>
      <w:r>
        <w:rPr>
          <w:rFonts w:ascii="Arial" w:cs="Arial" w:eastAsia="Arial" w:hAnsi="Arial"/>
          <w:sz w:val="18"/>
          <w:szCs w:val="18"/>
          <w:u w:val="single" w:color="auto"/>
          <w:color w:val="000000"/>
        </w:rPr>
        <w:t>Waivers; Amendments</w:t>
      </w:r>
      <w:r>
        <w:rPr>
          <w:rFonts w:ascii="Arial" w:cs="Arial" w:eastAsia="Arial" w:hAnsi="Arial"/>
          <w:sz w:val="18"/>
          <w:szCs w:val="18"/>
          <w:color w:val="000000"/>
        </w:rPr>
        <w:t>. (a) No failure or delay by the Administrative Agent or any Lender in exercising any right or</w:t>
      </w:r>
      <w:r>
        <w:rPr>
          <w:rFonts w:ascii="Arial" w:cs="Arial" w:eastAsia="Arial" w:hAnsi="Arial"/>
          <w:sz w:val="18"/>
          <w:szCs w:val="18"/>
          <w:color w:val="010000"/>
        </w:rPr>
        <w:t xml:space="preserve"> </w:t>
      </w:r>
      <w:r>
        <w:rPr>
          <w:rFonts w:ascii="Arial" w:cs="Arial" w:eastAsia="Arial" w:hAnsi="Arial"/>
          <w:sz w:val="18"/>
          <w:szCs w:val="18"/>
          <w:color w:val="000000"/>
        </w:rPr>
        <w:t>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3" w:name="page134"/>
    <w:bookmarkEnd w:id="133"/>
    <w:p>
      <w:pPr>
        <w:jc w:val="both"/>
        <w:ind w:left="4" w:firstLine="644"/>
        <w:spacing w:after="0" w:line="284" w:lineRule="auto"/>
        <w:tabs>
          <w:tab w:leader="none" w:pos="1905"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 xml:space="preserve">Except as provided in Section 2.20 with respect to an increase in the Commitments,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amount of the Commitment of any Lender without the written consent of such Lender, (ii) reduce the principal amount of any Loan or reduce the rate of interest thereon, or reduce any fees payable hereunder, without the written consent of each Lender directly affected thereby (provided that (x) any amendment or modification of the financial covenants in this Agreement (or defined terms used in the financial covenants in this Agreement) or pursuant to the terms of Section 2.14(c) shall not constitute a reduction in the rate of interest or fees for purposes of this clause (ii) even if the effect of such amendment or modification would be to reduce the rate of interest on any Loan or to reduce any fee payable hereunder and (y) only the consent of the Required Lenders shall be necessary to amend the provisions of Section 2.13(c) or to waive any obligation of the Borrower to pay interest or any other amount at the interest rate prescribed in such Section),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(other than (x) any reduction of the amount of, or any extension of the payment date for, the mandatory prepayments required under Section 2.11, in each case which shall only require the approval of the Required Lenders and (y) with respect to the matters set forth in clauses (ii)(x) and (ii)(y) above), (iv) change Section 2.09(c) or Section 2.18(b) or (c) in a manner that would alter the ratable reduction of Commitments or the pro rata sharing of payments required thereby, without the written consent of each Lender, (v) change the payment waterfall provisions of Section 2.24(b)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(vii) release all or substantially all of the Subsidiary Guarantors from their obligations under the Subsidiary Guaranty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hereunder without the prior written consent of the Administrative Agent.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390" w:lineRule="exact"/>
        <w:rPr>
          <w:rFonts w:ascii="Arial" w:cs="Arial" w:eastAsia="Arial" w:hAnsi="Arial"/>
          <w:sz w:val="16"/>
          <w:szCs w:val="16"/>
          <w:color w:val="010000"/>
        </w:rPr>
      </w:pPr>
    </w:p>
    <w:p>
      <w:pPr>
        <w:jc w:val="both"/>
        <w:ind w:left="4" w:firstLine="644"/>
        <w:spacing w:after="0" w:line="286" w:lineRule="auto"/>
        <w:tabs>
          <w:tab w:leader="none" w:pos="1666" w:val="left"/>
        </w:tabs>
        <w:numPr>
          <w:ilvl w:val="1"/>
          <w:numId w:val="154"/>
        </w:numPr>
        <w:rPr>
          <w:rFonts w:ascii="Arial" w:cs="Arial" w:eastAsia="Arial" w:hAnsi="Arial"/>
          <w:sz w:val="16"/>
          <w:szCs w:val="16"/>
          <w:color w:val="010000"/>
        </w:rPr>
      </w:pPr>
      <w:r>
        <w:rPr>
          <w:rFonts w:ascii="Arial" w:cs="Arial" w:eastAsia="Arial" w:hAnsi="Arial"/>
          <w:sz w:val="16"/>
          <w:szCs w:val="16"/>
          <w:color w:val="auto"/>
        </w:rPr>
        <w:t>Notwithstanding the foregoing, this Agreement and any other Loan Document may be amended (or amended and restated) with the written consent of the Required Lenders, the Administrative Agent and the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w:t>
      </w:r>
    </w:p>
    <w:p>
      <w:pPr>
        <w:spacing w:after="0" w:line="1" w:lineRule="exact"/>
        <w:rPr>
          <w:rFonts w:ascii="Arial" w:cs="Arial" w:eastAsia="Arial" w:hAnsi="Arial"/>
          <w:sz w:val="16"/>
          <w:szCs w:val="16"/>
          <w:color w:val="010000"/>
        </w:rPr>
      </w:pPr>
    </w:p>
    <w:p>
      <w:pPr>
        <w:jc w:val="both"/>
        <w:ind w:left="4" w:hanging="4"/>
        <w:spacing w:after="0" w:line="302" w:lineRule="auto"/>
        <w:tabs>
          <w:tab w:leader="none" w:pos="29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include appropriately the Lenders holding such credit facilities in any determination of the Required Lenders and Lenders (it being understood and agreed that any such amendment in connection with new or increases to the Commitments in accordance with Section 2.20 shall, in any such case, require solely the consent of the parties prescribed by such Section and shall not require the consent of the Required Lenders).</w:t>
      </w:r>
    </w:p>
    <w:p>
      <w:pPr>
        <w:spacing w:after="0" w:line="37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4" w:name="page135"/>
    <w:bookmarkEnd w:id="134"/>
    <w:p>
      <w:pPr>
        <w:jc w:val="both"/>
        <w:ind w:left="660" w:firstLine="644"/>
        <w:spacing w:after="0" w:line="285" w:lineRule="auto"/>
        <w:tabs>
          <w:tab w:leader="none" w:pos="2305" w:val="left"/>
        </w:tabs>
        <w:numPr>
          <w:ilvl w:val="0"/>
          <w:numId w:val="156"/>
        </w:numPr>
        <w:rPr>
          <w:rFonts w:ascii="Arial" w:cs="Arial" w:eastAsia="Arial" w:hAnsi="Arial"/>
          <w:sz w:val="16"/>
          <w:szCs w:val="16"/>
          <w:color w:val="010000"/>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elect to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 shall pay to such Non-Consenting Lender in same day funds on the day of such replacement (1) the outstanding principal amount of its Loans and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68" w:lineRule="exact"/>
        <w:rPr>
          <w:rFonts w:ascii="Arial" w:cs="Arial" w:eastAsia="Arial" w:hAnsi="Arial"/>
          <w:sz w:val="16"/>
          <w:szCs w:val="16"/>
          <w:color w:val="010000"/>
        </w:rPr>
      </w:pPr>
    </w:p>
    <w:p>
      <w:pPr>
        <w:jc w:val="both"/>
        <w:ind w:left="660" w:firstLine="644"/>
        <w:spacing w:after="0" w:line="259" w:lineRule="auto"/>
        <w:tabs>
          <w:tab w:leader="none" w:pos="2457"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Notwithstanding anything to the contrary herein the Administrative Agent may, with the consent of the Borrower only, amend, modify or supplement this Agreement or any of the other Loan Documents to cure any ambiguity, omission, mistake, defect or inconsistency or correct any typographical error or other manifest error in any Loan Document in a manner not adverse to any Lender or to comply with local law or advice of local counsel in any Eligible Foreign Jurisdiction.</w:t>
      </w:r>
    </w:p>
    <w:p>
      <w:pPr>
        <w:spacing w:after="0" w:line="18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010000"/>
        </w:rPr>
        <w:t xml:space="preserve">SECTION 9.03. </w:t>
      </w:r>
      <w:r>
        <w:rPr>
          <w:rFonts w:ascii="Arial" w:cs="Arial" w:eastAsia="Arial" w:hAnsi="Arial"/>
          <w:sz w:val="17"/>
          <w:szCs w:val="17"/>
          <w:u w:val="single" w:color="auto"/>
          <w:color w:val="000000"/>
        </w:rPr>
        <w:t>Expenses; Indemnity; Damage Waiver</w:t>
      </w:r>
      <w:r>
        <w:rPr>
          <w:rFonts w:ascii="Arial" w:cs="Arial" w:eastAsia="Arial" w:hAnsi="Arial"/>
          <w:sz w:val="17"/>
          <w:szCs w:val="17"/>
          <w:color w:val="000000"/>
        </w:rPr>
        <w:t>. (a) The Borrower shall pay (i) all reasonable and documented out-of-pocket</w:t>
      </w:r>
      <w:r>
        <w:rPr>
          <w:rFonts w:ascii="Arial" w:cs="Arial" w:eastAsia="Arial" w:hAnsi="Arial"/>
          <w:sz w:val="17"/>
          <w:szCs w:val="17"/>
          <w:color w:val="010000"/>
        </w:rPr>
        <w:t xml:space="preserve"> </w:t>
      </w:r>
      <w:r>
        <w:rPr>
          <w:rFonts w:ascii="Arial" w:cs="Arial" w:eastAsia="Arial" w:hAnsi="Arial"/>
          <w:sz w:val="17"/>
          <w:szCs w:val="17"/>
          <w:color w:val="000000"/>
        </w:rPr>
        <w:t>expenses incurred by the Administrative Agent, the Bookrunner and their respective Affiliates (which shall be limited, in the case of legal fees and expenses, to the reasonable and documented fees, disbursements and other charges of a single firm as primary counsel, along with such specialist counsel as may reasonably be required by the Administrative Agent and the Bookrunner, and, to the extent reasonably necessary, a single firm of local counsel in each applicable jurisdiction, for the Administrative Agent and the Bookrunner) in connection with the syndication and distribution (including, without limitation, via the internet or through a service such as Intralinks) of the credit facilities provided for herein (including without limitation diligence expenses, syndication expenses and travel expenses),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(which shall be limited, in the case of legal fees and expenses, to the reasonable and documented fees, disbursements and other charges of a single firm as primary counsel, along with such specialist counsel as may reasonably be required by the Administrative Agent, and a single firm of local counsel in each applicable jurisdiction as may reasonably be required by the Administrative Agent, for the Administrative Agent, and not more than a single firm of outside counsel, and a single firm of local counsel in each applicable jurisdiction as may reasonably be required, for all of the other Lenders and, in the event of an actual or reasonably perceived conflict of interest (as reasonably determined by the Administrative Agent or applicable Lender and such person informs the Borrower of such conflict), one additional firm of counsel for each group of similarly affected parties) in connection with the enforcement or protection of its rights in connection with this Agreement and any other Loan Document, including its rights under this Section, or in connection with the Loans made hereunder, including all such out-of-pocket expenses (subject to the foregoing limitations with respect to legal fees and expenses) incurred during any workout, restructuring or negotiations in respect of such Loans.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left="-460" w:firstLine="644"/>
        <w:spacing w:after="0" w:line="283" w:lineRule="auto"/>
        <w:tabs>
          <w:tab w:leader="none" w:pos="1158" w:val="left"/>
        </w:tabs>
        <w:numPr>
          <w:ilvl w:val="0"/>
          <w:numId w:val="157"/>
        </w:numPr>
        <w:rPr>
          <w:rFonts w:ascii="Arial" w:cs="Arial" w:eastAsia="Arial" w:hAnsi="Arial"/>
          <w:sz w:val="16"/>
          <w:szCs w:val="16"/>
          <w:color w:val="010000"/>
        </w:rPr>
      </w:pPr>
      <w:r>
        <w:rPr>
          <w:rFonts w:ascii="Arial" w:cs="Arial" w:eastAsia="Arial" w:hAnsi="Arial"/>
          <w:sz w:val="16"/>
          <w:szCs w:val="16"/>
          <w:color w:val="auto"/>
        </w:rPr>
        <w:t>The Borrower shall indemnify the Administrative Agent, the Bookrunner,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reasonable and documented out-of-pocket costs and expenses (which shall be limited, in the case of legal fees and expenses, to the reasonable and documented out-of-pocket fees, charges and disbursements of (x) a single firm as primary counsel, along with such specialist counsel as may reasonably be required by the Administrative Agent, and, to the extent reasonably necessary, a single firm of local counsel in each applicable jurisdiction for the Administrative Agent and its Related Parties, and (y) not more than a single firm of outside counsel, and a single firm of local counsel in each applicable jurisdiction as may reasonably be required, for all of the other Indemnitees and, in the event of an actual or reasonably perceived conflict of interest (as reasonably determined by the applicable Indemnitee and such Indemnitee informs the Borrower of such conflict), one additional firm of counsel to each group of similarly affected Indemnitees),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arbitration or proceeding relating to any of the foregoing, whether or not such claim, litigation, investigation or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the willful misconduct or gross negligence of such Indemnitee or any of its Controlled Related Parties, (ii) a breach in bad faith by such Indemnitee of any of its material obligations under the applicable Loan Documents pursuant to a claim or counterclaim initiated by any Loan Party or (iii) any dispute solely among Indemnitees (not arising as a result of any act or omission by the Borrower or any of its Subsidiaries or Affiliates) other than claims against any Credit Party in its capacity as, or in fulfilling its role as, the Administrative Agent, a lead arranger, bookrunner, agent or any similar role under or in connection with this Agreement. As used in this Section 9.03, a “</w:t>
      </w:r>
      <w:r>
        <w:rPr>
          <w:rFonts w:ascii="Arial" w:cs="Arial" w:eastAsia="Arial" w:hAnsi="Arial"/>
          <w:sz w:val="16"/>
          <w:szCs w:val="16"/>
          <w:u w:val="single" w:color="auto"/>
          <w:color w:val="auto"/>
        </w:rPr>
        <w:t>Controlled Related Party</w:t>
      </w:r>
      <w:r>
        <w:rPr>
          <w:rFonts w:ascii="Arial" w:cs="Arial" w:eastAsia="Arial" w:hAnsi="Arial"/>
          <w:sz w:val="16"/>
          <w:szCs w:val="16"/>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reference to a Controlling Person, Controlled Affiliate, director, officer or employee in this sentence pertains to a Controlling Person, Controlled Affiliate, director, officer or employee involved in the structuring, arrangement, negotiation or syndication of the credit facility evidenced by this Agreement. This Section 9.03(b) shall not apply with respect to Taxes other than any Taxes that represent losses, claims or damages arising from any non-Tax claim.</w:t>
      </w:r>
    </w:p>
    <w:p>
      <w:pPr>
        <w:spacing w:after="0" w:line="200" w:lineRule="exact"/>
        <w:rPr>
          <w:rFonts w:ascii="Arial" w:cs="Arial" w:eastAsia="Arial" w:hAnsi="Arial"/>
          <w:sz w:val="16"/>
          <w:szCs w:val="16"/>
          <w:color w:val="010000"/>
        </w:rPr>
      </w:pPr>
    </w:p>
    <w:p>
      <w:pPr>
        <w:spacing w:after="0" w:line="203" w:lineRule="exact"/>
        <w:rPr>
          <w:rFonts w:ascii="Arial" w:cs="Arial" w:eastAsia="Arial" w:hAnsi="Arial"/>
          <w:sz w:val="16"/>
          <w:szCs w:val="16"/>
          <w:color w:val="010000"/>
        </w:rPr>
      </w:pPr>
    </w:p>
    <w:p>
      <w:pPr>
        <w:jc w:val="both"/>
        <w:ind w:left="-460" w:firstLine="644"/>
        <w:spacing w:after="0" w:line="255" w:lineRule="auto"/>
        <w:tabs>
          <w:tab w:leader="none" w:pos="1431" w:val="left"/>
        </w:tabs>
        <w:numPr>
          <w:ilvl w:val="0"/>
          <w:numId w:val="157"/>
        </w:numPr>
        <w:rPr>
          <w:rFonts w:ascii="Arial" w:cs="Arial" w:eastAsia="Arial" w:hAnsi="Arial"/>
          <w:sz w:val="18"/>
          <w:szCs w:val="18"/>
          <w:color w:val="010000"/>
        </w:rPr>
      </w:pPr>
      <w:r>
        <w:rPr>
          <w:rFonts w:ascii="Arial" w:cs="Arial" w:eastAsia="Arial" w:hAnsi="Arial"/>
          <w:sz w:val="18"/>
          <w:szCs w:val="18"/>
          <w:color w:val="auto"/>
        </w:rPr>
        <w:t xml:space="preserve">To the extent that the Borrower fails to pay any amount required to be paid by it to the Administrative Agent under paragraph (a) or (b) of this Section, each Lender severally agrees to pay to the Administrative Agent such Lender’s Applicable Percentage (determined as of the time that the applicable unreimbursed expense or indemnity payment is sought) of such unpaid amount (it being understood that the Borrower’s failure to pay any such amount shall not relieve the Borrower of any default in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in its capacity as such.</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6" w:name="page137"/>
    <w:bookmarkEnd w:id="136"/>
    <w:p>
      <w:pPr>
        <w:jc w:val="both"/>
        <w:ind w:left="660" w:firstLine="644"/>
        <w:spacing w:after="0" w:line="286" w:lineRule="auto"/>
        <w:tabs>
          <w:tab w:leader="none" w:pos="2413" w:val="left"/>
        </w:tabs>
        <w:numPr>
          <w:ilvl w:val="0"/>
          <w:numId w:val="158"/>
        </w:numPr>
        <w:rPr>
          <w:rFonts w:ascii="Arial" w:cs="Arial" w:eastAsia="Arial" w:hAnsi="Arial"/>
          <w:sz w:val="16"/>
          <w:szCs w:val="16"/>
          <w:color w:val="010000"/>
        </w:rPr>
      </w:pPr>
      <w:r>
        <w:rPr>
          <w:rFonts w:ascii="Arial" w:cs="Arial" w:eastAsia="Arial" w:hAnsi="Arial"/>
          <w:sz w:val="16"/>
          <w:szCs w:val="16"/>
          <w:color w:val="auto"/>
        </w:rPr>
        <w:t xml:space="preserve">No Indemnitee shall be liable for any damages arising from the use by others of Information or other materials obtained through electronic, telecommunications or other information transmission systems, including an Electronic Platform or otherwise via the internet, or for any special, indirect, consequential or punitive damages in connection with the credit facility provided for herein or in connection with its activities related to such facility. To the extent permitted by applicable law, and subject to the proviso set forth in Section 8.02(c), the Borrower shall not assert and hereby waives, any claim against any Indemnitee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Controlled Related Parties. To the extent permitted by applicable law, no Indemnitee shall assert against any Loan Party or its Related Parties and no Loan Party shall assert against any Indemnitee, and each Indemnitee and Loan Party hereby waives, any claim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in this sentence shall limit the Borrower’s indemnity obligations to the extent set forth in Section 9.03(b).</w:t>
      </w:r>
    </w:p>
    <w:p>
      <w:pPr>
        <w:spacing w:after="0" w:line="173" w:lineRule="exact"/>
        <w:rPr>
          <w:rFonts w:ascii="Arial" w:cs="Arial" w:eastAsia="Arial" w:hAnsi="Arial"/>
          <w:sz w:val="16"/>
          <w:szCs w:val="16"/>
          <w:color w:val="010000"/>
        </w:rPr>
      </w:pPr>
    </w:p>
    <w:p>
      <w:pPr>
        <w:ind w:left="2220" w:hanging="916"/>
        <w:spacing w:after="0"/>
        <w:tabs>
          <w:tab w:leader="none" w:pos="2220"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All amounts due under this Section shall be payable not later than fifteen (15) days after written demand therefor.</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010000"/>
        </w:rPr>
        <w:t xml:space="preserve">SECTION 9.04. </w:t>
      </w:r>
      <w:r>
        <w:rPr>
          <w:rFonts w:ascii="Arial" w:cs="Arial" w:eastAsia="Arial" w:hAnsi="Arial"/>
          <w:sz w:val="16"/>
          <w:szCs w:val="16"/>
          <w:u w:val="single" w:color="auto"/>
          <w:color w:val="000000"/>
        </w:rPr>
        <w:t>Successors and Assigns</w:t>
      </w:r>
      <w:r>
        <w:rPr>
          <w:rFonts w:ascii="Arial" w:cs="Arial" w:eastAsia="Arial" w:hAnsi="Arial"/>
          <w:sz w:val="16"/>
          <w:szCs w:val="16"/>
          <w:color w:val="000000"/>
        </w:rPr>
        <w:t>. (a) The provisions of this Agreement shall be binding upon and inure to the benefit of the</w:t>
      </w:r>
      <w:r>
        <w:rPr>
          <w:rFonts w:ascii="Arial" w:cs="Arial" w:eastAsia="Arial" w:hAnsi="Arial"/>
          <w:sz w:val="16"/>
          <w:szCs w:val="16"/>
          <w:color w:val="010000"/>
        </w:rPr>
        <w:t xml:space="preserve"> </w:t>
      </w:r>
      <w:r>
        <w:rPr>
          <w:rFonts w:ascii="Arial" w:cs="Arial" w:eastAsia="Arial" w:hAnsi="Arial"/>
          <w:sz w:val="16"/>
          <w:szCs w:val="16"/>
          <w:color w:val="000000"/>
        </w:rPr>
        <w:t>parties hereto and their respective successors and assigns permitted hereby, except that (i)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the Administrative Agent) any legal or equitable right, remedy or claim under or by reason of this Agreement.</w:t>
      </w:r>
    </w:p>
    <w:p>
      <w:pPr>
        <w:spacing w:after="0" w:line="166" w:lineRule="exact"/>
        <w:rPr>
          <w:sz w:val="20"/>
          <w:szCs w:val="20"/>
          <w:color w:val="auto"/>
        </w:rPr>
      </w:pPr>
    </w:p>
    <w:p>
      <w:pPr>
        <w:jc w:val="both"/>
        <w:ind w:left="660" w:firstLine="644"/>
        <w:spacing w:after="0" w:line="259" w:lineRule="auto"/>
        <w:tabs>
          <w:tab w:leader="none" w:pos="2305"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by the Administrative Agent or, solely with respect to assignments of Loans, by the Borrower) of:</w:t>
      </w:r>
    </w:p>
    <w:p>
      <w:pPr>
        <w:spacing w:after="0" w:line="186" w:lineRule="exact"/>
        <w:rPr>
          <w:rFonts w:ascii="Arial" w:cs="Arial" w:eastAsia="Arial" w:hAnsi="Arial"/>
          <w:sz w:val="18"/>
          <w:szCs w:val="18"/>
          <w:color w:val="010000"/>
        </w:rPr>
      </w:pPr>
    </w:p>
    <w:p>
      <w:pPr>
        <w:jc w:val="both"/>
        <w:ind w:left="1960" w:firstLine="640"/>
        <w:spacing w:after="0" w:line="293" w:lineRule="auto"/>
        <w:tabs>
          <w:tab w:leader="none" w:pos="3717" w:val="left"/>
        </w:tabs>
        <w:numPr>
          <w:ilvl w:val="1"/>
          <w:numId w:val="159"/>
        </w:numPr>
        <w:rPr>
          <w:rFonts w:ascii="Arial" w:cs="Arial" w:eastAsia="Arial" w:hAnsi="Arial"/>
          <w:sz w:val="16"/>
          <w:szCs w:val="16"/>
          <w:color w:val="010000"/>
        </w:rPr>
      </w:pPr>
      <w:r>
        <w:rPr>
          <w:rFonts w:ascii="Arial" w:cs="Arial" w:eastAsia="Arial" w:hAnsi="Arial"/>
          <w:sz w:val="16"/>
          <w:szCs w:val="16"/>
          <w:color w:val="auto"/>
        </w:rPr>
        <w:t xml:space="preserve">the Borrower (provided that the Borrower shall be deemed to have consented to any such assignment unless it shall object thereto by written notice to the Administrative Agent within ten (10) Business Days after having received written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consent of the Borrower shall be required (X) for an assignment of any Loans to a Lender, an Affiliate of a Lender, an Approved Fund, (Y) for an assignment by Goldman Sachs Bank USA of any amount of its Commitments or Loans hereunder to Goldman Sachs Lending Partners LLC (or vice versa) or (Z) if an Event of Default under clause (a), (b), (h), (i) or (j)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 and is continuing, for an assignment to any other assignee;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3460" w:hanging="860"/>
        <w:spacing w:after="0"/>
        <w:tabs>
          <w:tab w:leader="none" w:pos="3460" w:val="left"/>
        </w:tabs>
        <w:numPr>
          <w:ilvl w:val="1"/>
          <w:numId w:val="160"/>
        </w:numPr>
        <w:rPr>
          <w:rFonts w:ascii="Arial" w:cs="Arial" w:eastAsia="Arial" w:hAnsi="Arial"/>
          <w:sz w:val="18"/>
          <w:szCs w:val="18"/>
          <w:color w:val="010000"/>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010000"/>
        </w:rPr>
      </w:pPr>
    </w:p>
    <w:p>
      <w:pPr>
        <w:ind w:left="2840" w:hanging="888"/>
        <w:spacing w:after="0"/>
        <w:tabs>
          <w:tab w:leader="none" w:pos="2840"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010000"/>
        </w:rPr>
      </w:pPr>
    </w:p>
    <w:p>
      <w:pPr>
        <w:jc w:val="both"/>
        <w:ind w:left="1960" w:firstLine="640"/>
        <w:spacing w:after="0" w:line="272" w:lineRule="auto"/>
        <w:tabs>
          <w:tab w:leader="none" w:pos="3649"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and increments of $1,000,000 in excess thereof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clause (a), (b), (h), (i) or (j)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has occurred and is continuing;</w:t>
      </w:r>
    </w:p>
    <w:p>
      <w:pPr>
        <w:spacing w:after="0" w:line="177" w:lineRule="exact"/>
        <w:rPr>
          <w:rFonts w:ascii="Arial" w:cs="Arial" w:eastAsia="Arial" w:hAnsi="Arial"/>
          <w:sz w:val="17"/>
          <w:szCs w:val="17"/>
          <w:color w:val="010000"/>
        </w:rPr>
      </w:pPr>
    </w:p>
    <w:p>
      <w:pPr>
        <w:jc w:val="both"/>
        <w:ind w:left="1960" w:firstLine="640"/>
        <w:spacing w:after="0" w:line="311" w:lineRule="auto"/>
        <w:tabs>
          <w:tab w:leader="none" w:pos="3491" w:val="left"/>
        </w:tabs>
        <w:numPr>
          <w:ilvl w:val="1"/>
          <w:numId w:val="161"/>
        </w:numPr>
        <w:rPr>
          <w:rFonts w:ascii="Arial" w:cs="Arial" w:eastAsia="Arial" w:hAnsi="Arial"/>
          <w:sz w:val="16"/>
          <w:szCs w:val="16"/>
          <w:color w:val="010000"/>
        </w:rPr>
      </w:pPr>
      <w:r>
        <w:rPr>
          <w:rFonts w:ascii="Arial" w:cs="Arial" w:eastAsia="Arial" w:hAnsi="Arial"/>
          <w:sz w:val="16"/>
          <w:szCs w:val="16"/>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148" w:lineRule="exact"/>
        <w:rPr>
          <w:rFonts w:ascii="Arial" w:cs="Arial" w:eastAsia="Arial" w:hAnsi="Arial"/>
          <w:sz w:val="16"/>
          <w:szCs w:val="16"/>
          <w:color w:val="010000"/>
        </w:rPr>
      </w:pPr>
    </w:p>
    <w:p>
      <w:pPr>
        <w:jc w:val="both"/>
        <w:ind w:left="1960" w:firstLine="640"/>
        <w:spacing w:after="0" w:line="257" w:lineRule="auto"/>
        <w:tabs>
          <w:tab w:leader="none" w:pos="3491"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spacing w:after="0" w:line="187" w:lineRule="exact"/>
        <w:rPr>
          <w:rFonts w:ascii="Arial" w:cs="Arial" w:eastAsia="Arial" w:hAnsi="Arial"/>
          <w:sz w:val="18"/>
          <w:szCs w:val="18"/>
          <w:color w:val="010000"/>
        </w:rPr>
      </w:pPr>
    </w:p>
    <w:p>
      <w:pPr>
        <w:jc w:val="both"/>
        <w:ind w:left="1960" w:firstLine="640"/>
        <w:spacing w:after="0" w:line="275" w:lineRule="auto"/>
        <w:tabs>
          <w:tab w:leader="none" w:pos="3771" w:val="left"/>
        </w:tabs>
        <w:numPr>
          <w:ilvl w:val="1"/>
          <w:numId w:val="161"/>
        </w:numPr>
        <w:rPr>
          <w:rFonts w:ascii="Arial" w:cs="Arial" w:eastAsia="Arial" w:hAnsi="Arial"/>
          <w:sz w:val="17"/>
          <w:szCs w:val="17"/>
          <w:color w:val="010000"/>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respective Related Parties and their respective securities) will be made available and who may receive such information in accordance with the assignee’s compliance procedures and applicable laws, including federal and state securities laws; and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the Borrower, any of its Subsidiaries or any of its Affiliates, or (d) a company, investment vehicle or trust for, or owned and operated for the primary benefit of, a natural person or relative(s) thereof.</w:t>
      </w:r>
    </w:p>
    <w:p>
      <w:pPr>
        <w:spacing w:after="0" w:line="184" w:lineRule="exact"/>
        <w:rPr>
          <w:sz w:val="20"/>
          <w:szCs w:val="20"/>
          <w:color w:val="auto"/>
        </w:rPr>
      </w:pPr>
    </w:p>
    <w:p>
      <w:pPr>
        <w:jc w:val="both"/>
        <w:ind w:left="1300" w:firstLine="652"/>
        <w:spacing w:after="0" w:line="269" w:lineRule="auto"/>
        <w:tabs>
          <w:tab w:leader="none" w:pos="3059" w:val="left"/>
        </w:tabs>
        <w:numPr>
          <w:ilvl w:val="0"/>
          <w:numId w:val="162"/>
        </w:numPr>
        <w:rPr>
          <w:rFonts w:ascii="Arial" w:cs="Arial" w:eastAsia="Arial" w:hAnsi="Arial"/>
          <w:sz w:val="17"/>
          <w:szCs w:val="17"/>
          <w:color w:val="010000"/>
        </w:rPr>
      </w:pPr>
      <w:r>
        <w:rPr>
          <w:rFonts w:ascii="Arial" w:cs="Arial" w:eastAsia="Arial" w:hAnsi="Arial"/>
          <w:sz w:val="17"/>
          <w:szCs w:val="17"/>
          <w:color w:val="auto"/>
        </w:rPr>
        <w:t xml:space="preserve">Subject to acceptance and recording thereof by the Administrative Agent pursuant to paragraph (b)(iv) of this Section, from and after the effective date specified in each Assignment and Assumption the assignee thereunder shall be a party hereto and, to the extent of the interest assigned by such Assignment and Assumption, have the rights and obligations (including, without limitation, the obligation to timely deliver the documentation described in Section 2.17(f))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78" w:lineRule="exact"/>
        <w:rPr>
          <w:rFonts w:ascii="Arial" w:cs="Arial" w:eastAsia="Arial" w:hAnsi="Arial"/>
          <w:sz w:val="17"/>
          <w:szCs w:val="17"/>
          <w:color w:val="010000"/>
        </w:rPr>
      </w:pPr>
    </w:p>
    <w:p>
      <w:pPr>
        <w:jc w:val="both"/>
        <w:ind w:left="1300" w:firstLine="652"/>
        <w:spacing w:after="0" w:line="291" w:lineRule="auto"/>
        <w:tabs>
          <w:tab w:leader="none" w:pos="2851" w:val="left"/>
        </w:tabs>
        <w:numPr>
          <w:ilvl w:val="0"/>
          <w:numId w:val="162"/>
        </w:numPr>
        <w:rPr>
          <w:rFonts w:ascii="Arial" w:cs="Arial" w:eastAsia="Arial" w:hAnsi="Arial"/>
          <w:sz w:val="16"/>
          <w:szCs w:val="16"/>
          <w:color w:val="010000"/>
        </w:rPr>
      </w:pPr>
      <w:r>
        <w:rPr>
          <w:rFonts w:ascii="Arial" w:cs="Arial" w:eastAsia="Arial" w:hAnsi="Arial"/>
          <w:sz w:val="16"/>
          <w:szCs w:val="16"/>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6" w:lineRule="exact"/>
        <w:rPr>
          <w:rFonts w:ascii="Arial" w:cs="Arial" w:eastAsia="Arial" w:hAnsi="Arial"/>
          <w:sz w:val="16"/>
          <w:szCs w:val="16"/>
          <w:color w:val="010000"/>
        </w:rPr>
      </w:pPr>
    </w:p>
    <w:p>
      <w:pPr>
        <w:jc w:val="both"/>
        <w:ind w:left="1300" w:firstLine="652"/>
        <w:spacing w:after="0" w:line="269" w:lineRule="auto"/>
        <w:tabs>
          <w:tab w:leader="none" w:pos="3080" w:val="left"/>
        </w:tabs>
        <w:numPr>
          <w:ilvl w:val="0"/>
          <w:numId w:val="162"/>
        </w:numPr>
        <w:rPr>
          <w:rFonts w:ascii="Arial" w:cs="Arial" w:eastAsia="Arial" w:hAnsi="Arial"/>
          <w:sz w:val="17"/>
          <w:szCs w:val="17"/>
          <w:color w:val="010000"/>
        </w:rPr>
      </w:pPr>
      <w:r>
        <w:rPr>
          <w:rFonts w:ascii="Arial" w:cs="Arial" w:eastAsia="Arial" w:hAnsi="Arial"/>
          <w:sz w:val="17"/>
          <w:szCs w:val="17"/>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left="-460" w:firstLine="644"/>
        <w:spacing w:after="0" w:line="284" w:lineRule="auto"/>
        <w:tabs>
          <w:tab w:leader="none" w:pos="1121" w:val="left"/>
        </w:tabs>
        <w:numPr>
          <w:ilvl w:val="0"/>
          <w:numId w:val="163"/>
        </w:numPr>
        <w:rPr>
          <w:rFonts w:ascii="Arial" w:cs="Arial" w:eastAsia="Arial" w:hAnsi="Arial"/>
          <w:sz w:val="16"/>
          <w:szCs w:val="16"/>
          <w:color w:val="010000"/>
        </w:rPr>
      </w:pPr>
      <w:r>
        <w:rPr>
          <w:rFonts w:ascii="Arial" w:cs="Arial" w:eastAsia="Arial" w:hAnsi="Arial"/>
          <w:sz w:val="16"/>
          <w:szCs w:val="16"/>
          <w:color w:val="auto"/>
        </w:rPr>
        <w:t>Any Lender may, without the consent of, or notice to, the Borrower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85" w:lineRule="exact"/>
        <w:rPr>
          <w:rFonts w:ascii="Arial" w:cs="Arial" w:eastAsia="Arial" w:hAnsi="Arial"/>
          <w:sz w:val="16"/>
          <w:szCs w:val="16"/>
          <w:color w:val="010000"/>
        </w:rPr>
      </w:pPr>
    </w:p>
    <w:p>
      <w:pPr>
        <w:jc w:val="both"/>
        <w:ind w:left="-460" w:firstLine="644"/>
        <w:spacing w:after="0" w:line="257" w:lineRule="auto"/>
        <w:tabs>
          <w:tab w:leader="none" w:pos="1225"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provided that no such pledge or assignment of a security interest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0" w:name="page141"/>
    <w:bookmarkEnd w:id="140"/>
    <w:p>
      <w:pPr>
        <w:jc w:val="both"/>
        <w:ind w:left="660" w:firstLine="644"/>
        <w:spacing w:after="0" w:line="263" w:lineRule="auto"/>
        <w:tabs>
          <w:tab w:leader="none" w:pos="2416"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Section 9.04, Goldman Sachs Bank USA may assign any amount of its Commitments or Loans hereunder to Goldman Sachs Lending Partners LLC (or vice versa) without the prior consent of or notice to any other Person.</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SECTION 9.05. </w:t>
      </w:r>
      <w:r>
        <w:rPr>
          <w:rFonts w:ascii="Arial" w:cs="Arial" w:eastAsia="Arial" w:hAnsi="Arial"/>
          <w:sz w:val="17"/>
          <w:szCs w:val="17"/>
          <w:u w:val="single" w:color="auto"/>
          <w:color w:val="000000"/>
        </w:rPr>
        <w:t>Survival</w:t>
      </w:r>
      <w:r>
        <w:rPr>
          <w:rFonts w:ascii="Arial" w:cs="Arial" w:eastAsia="Arial" w:hAnsi="Arial"/>
          <w:sz w:val="17"/>
          <w:szCs w:val="17"/>
          <w:color w:val="000000"/>
        </w:rPr>
        <w:t>. All covenants, agreements, representations and warranties made by the Loan Parties in the Loan Documents</w:t>
      </w:r>
      <w:r>
        <w:rPr>
          <w:rFonts w:ascii="Arial" w:cs="Arial" w:eastAsia="Arial" w:hAnsi="Arial"/>
          <w:sz w:val="17"/>
          <w:szCs w:val="17"/>
          <w:color w:val="010000"/>
        </w:rPr>
        <w:t xml:space="preserve"> </w:t>
      </w:r>
      <w:r>
        <w:rPr>
          <w:rFonts w:ascii="Arial" w:cs="Arial" w:eastAsia="Arial" w:hAnsi="Arial"/>
          <w:sz w:val="17"/>
          <w:szCs w:val="17"/>
          <w:color w:val="000000"/>
        </w:rPr>
        <w:t>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w:t>
      </w:r>
    </w:p>
    <w:p>
      <w:pPr>
        <w:spacing w:after="0" w:line="18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SECTION 9.06. </w:t>
      </w:r>
      <w:r>
        <w:rPr>
          <w:rFonts w:ascii="Arial" w:cs="Arial" w:eastAsia="Arial" w:hAnsi="Arial"/>
          <w:sz w:val="16"/>
          <w:szCs w:val="16"/>
          <w:u w:val="single" w:color="auto"/>
          <w:color w:val="000000"/>
        </w:rPr>
        <w:t>Counterparts; Integration; Effectiveness; Electronic Execution</w:t>
      </w:r>
      <w:r>
        <w:rPr>
          <w:rFonts w:ascii="Arial" w:cs="Arial" w:eastAsia="Arial" w:hAnsi="Arial"/>
          <w:sz w:val="16"/>
          <w:szCs w:val="16"/>
          <w:color w:val="000000"/>
        </w:rPr>
        <w:t>. This Agreement may be executed in counterparts (and by</w:t>
      </w:r>
      <w:r>
        <w:rPr>
          <w:rFonts w:ascii="Arial" w:cs="Arial" w:eastAsia="Arial" w:hAnsi="Arial"/>
          <w:sz w:val="16"/>
          <w:szCs w:val="16"/>
          <w:color w:val="010000"/>
        </w:rPr>
        <w:t xml:space="preserve"> </w:t>
      </w:r>
      <w:r>
        <w:rPr>
          <w:rFonts w:ascii="Arial" w:cs="Arial" w:eastAsia="Arial" w:hAnsi="Arial"/>
          <w:sz w:val="16"/>
          <w:szCs w:val="16"/>
          <w:color w:val="000000"/>
        </w:rPr>
        <w:t xml:space="preserve">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nothing herein shall require the Administrative Agent to accept Electronic Signatures in any form or format without its prior written consent (not to be unreasonably withheld, conditioned or delayed). Upon the request of the Administrative Agent or any Lender, any Electronic Signature shall be followed by such manually executed counterpart as soon as reasonably practicable.</w:t>
      </w:r>
    </w:p>
    <w:p>
      <w:pPr>
        <w:spacing w:after="0" w:line="17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010000"/>
        </w:rPr>
        <w:t xml:space="preserve">SECTION 9.07.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of any Loan Document held to be invalid, illegal or unenforceable in any jurisdiction shall,</w:t>
      </w:r>
      <w:r>
        <w:rPr>
          <w:rFonts w:ascii="Arial" w:cs="Arial" w:eastAsia="Arial" w:hAnsi="Arial"/>
          <w:sz w:val="18"/>
          <w:szCs w:val="18"/>
          <w:color w:val="010000"/>
        </w:rPr>
        <w:t xml:space="preserve"> </w:t>
      </w:r>
      <w:r>
        <w:rPr>
          <w:rFonts w:ascii="Arial" w:cs="Arial" w:eastAsia="Arial" w:hAnsi="Arial"/>
          <w:sz w:val="18"/>
          <w:szCs w:val="18"/>
          <w:color w:val="000000"/>
        </w:rPr>
        <w:t>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1296"/>
        <w:spacing w:after="0" w:line="25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Any limitations expressly agreed to by any Lender or its Affiliate, as applicable, pursuant to any Banking Services Agreement or Swap Agreement to which such Lender or Affiliate is a party,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of the Obligations then due and owing by such Loan Party held by such Lender, irrespective of whether or not such Lender shall have made any demand under the Loan Documents. The rights of each Lender under this Section are in addition to other rights and remedies (including other rights of setoff) which such Lender may have. Each Lender agrees to notify the Borrower and the Administrative Agent promptly after any such setoff and application; provided that the failure to give such notice shall not affect the validity of such setoff and application.</w:t>
      </w:r>
    </w:p>
    <w:p>
      <w:pPr>
        <w:spacing w:after="0" w:line="19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SECTION 9.09. </w:t>
      </w:r>
      <w:r>
        <w:rPr>
          <w:rFonts w:ascii="Arial" w:cs="Arial" w:eastAsia="Arial" w:hAnsi="Arial"/>
          <w:sz w:val="18"/>
          <w:szCs w:val="18"/>
          <w:u w:val="single" w:color="auto"/>
          <w:color w:val="000000"/>
        </w:rPr>
        <w:t>Governing Law; Jurisdiction; Consent to Service of Process</w:t>
      </w:r>
      <w:r>
        <w:rPr>
          <w:rFonts w:ascii="Arial" w:cs="Arial" w:eastAsia="Arial" w:hAnsi="Arial"/>
          <w:sz w:val="18"/>
          <w:szCs w:val="18"/>
          <w:color w:val="000000"/>
        </w:rPr>
        <w:t>. (a) THIS AGREEMENT AND THE RIGHTS AND</w:t>
      </w:r>
      <w:r>
        <w:rPr>
          <w:rFonts w:ascii="Arial" w:cs="Arial" w:eastAsia="Arial" w:hAnsi="Arial"/>
          <w:sz w:val="18"/>
          <w:szCs w:val="18"/>
          <w:color w:val="010000"/>
        </w:rPr>
        <w:t xml:space="preserve"> </w:t>
      </w:r>
      <w:r>
        <w:rPr>
          <w:rFonts w:ascii="Arial" w:cs="Arial" w:eastAsia="Arial" w:hAnsi="Arial"/>
          <w:sz w:val="18"/>
          <w:szCs w:val="18"/>
          <w:color w:val="000000"/>
        </w:rPr>
        <w:t>OBLIGATIONS OF THE PARTIES HEREUNDER SHALL BE CONSTRUED AND ENFORCED IN ACCORDANCE WITH AND GOVERNED BY THE LAWS OF THE STATE OF NEW YORK.</w:t>
      </w:r>
    </w:p>
    <w:p>
      <w:pPr>
        <w:spacing w:after="0" w:line="184" w:lineRule="exact"/>
        <w:rPr>
          <w:sz w:val="20"/>
          <w:szCs w:val="20"/>
          <w:color w:val="auto"/>
        </w:rPr>
      </w:pPr>
    </w:p>
    <w:p>
      <w:pPr>
        <w:jc w:val="both"/>
        <w:ind w:left="660" w:firstLine="644"/>
        <w:spacing w:after="0" w:line="259" w:lineRule="auto"/>
        <w:tabs>
          <w:tab w:leader="none" w:pos="2318"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86" w:lineRule="exact"/>
        <w:rPr>
          <w:rFonts w:ascii="Arial" w:cs="Arial" w:eastAsia="Arial" w:hAnsi="Arial"/>
          <w:sz w:val="18"/>
          <w:szCs w:val="18"/>
          <w:color w:val="010000"/>
        </w:rPr>
      </w:pPr>
    </w:p>
    <w:p>
      <w:pPr>
        <w:jc w:val="both"/>
        <w:ind w:left="660" w:firstLine="644"/>
        <w:spacing w:after="0" w:line="269" w:lineRule="auto"/>
        <w:tabs>
          <w:tab w:leader="none" w:pos="2281"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Each party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81" w:lineRule="exact"/>
        <w:rPr>
          <w:rFonts w:ascii="Arial" w:cs="Arial" w:eastAsia="Arial" w:hAnsi="Arial"/>
          <w:sz w:val="17"/>
          <w:szCs w:val="17"/>
          <w:color w:val="010000"/>
        </w:rPr>
      </w:pPr>
    </w:p>
    <w:p>
      <w:pPr>
        <w:jc w:val="both"/>
        <w:ind w:left="660" w:firstLine="644"/>
        <w:spacing w:after="0" w:line="257" w:lineRule="auto"/>
        <w:tabs>
          <w:tab w:leader="none" w:pos="2332"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18"/>
          <w:szCs w:val="18"/>
          <w:color w:val="010000"/>
        </w:rPr>
      </w:pPr>
    </w:p>
    <w:p>
      <w:pPr>
        <w:ind w:left="2220" w:hanging="916"/>
        <w:spacing w:after="0"/>
        <w:tabs>
          <w:tab w:leader="none" w:pos="2220" w:val="left"/>
        </w:tabs>
        <w:numPr>
          <w:ilvl w:val="0"/>
          <w:numId w:val="165"/>
        </w:numPr>
        <w:rPr>
          <w:rFonts w:ascii="Arial" w:cs="Arial" w:eastAsia="Arial" w:hAnsi="Arial"/>
          <w:sz w:val="16"/>
          <w:szCs w:val="16"/>
          <w:color w:val="010000"/>
        </w:rPr>
      </w:pPr>
      <w:r>
        <w:rPr>
          <w:rFonts w:ascii="Arial" w:cs="Arial" w:eastAsia="Arial" w:hAnsi="Arial"/>
          <w:sz w:val="16"/>
          <w:szCs w:val="16"/>
          <w:color w:val="auto"/>
        </w:rPr>
        <w:t>Each party to this Agreement irrevocably consents to service of process in the manner provided for notices in Section 9.01.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1300"/>
        <w:spacing w:after="0"/>
        <w:tabs>
          <w:tab w:leader="none" w:pos="3440" w:val="left"/>
        </w:tabs>
        <w:rPr>
          <w:sz w:val="20"/>
          <w:szCs w:val="20"/>
          <w:color w:val="auto"/>
        </w:rPr>
      </w:pPr>
      <w:r>
        <w:rPr>
          <w:rFonts w:ascii="Arial" w:cs="Arial" w:eastAsia="Arial" w:hAnsi="Arial"/>
          <w:sz w:val="18"/>
          <w:szCs w:val="18"/>
          <w:b w:val="1"/>
          <w:bCs w:val="1"/>
          <w:color w:val="010000"/>
        </w:rPr>
        <w:t>SECTION 9.10.</w:t>
      </w:r>
      <w:r>
        <w:rPr>
          <w:sz w:val="20"/>
          <w:szCs w:val="20"/>
          <w:color w:val="auto"/>
        </w:rPr>
        <w:tab/>
      </w:r>
      <w:r>
        <w:rPr>
          <w:rFonts w:ascii="Arial" w:cs="Arial" w:eastAsia="Arial" w:hAnsi="Arial"/>
          <w:sz w:val="18"/>
          <w:szCs w:val="18"/>
          <w:b w:val="1"/>
          <w:bCs w:val="1"/>
          <w:u w:val="single" w:color="auto"/>
          <w:color w:val="010000"/>
        </w:rPr>
        <w:t>WAIVER OF JURY TRIAL</w:t>
      </w:r>
      <w:r>
        <w:rPr>
          <w:rFonts w:ascii="Arial" w:cs="Arial" w:eastAsia="Arial" w:hAnsi="Arial"/>
          <w:sz w:val="18"/>
          <w:szCs w:val="18"/>
          <w:color w:val="010000"/>
        </w:rPr>
        <w:t>.</w:t>
      </w:r>
      <w:r>
        <w:rPr>
          <w:rFonts w:ascii="Arial" w:cs="Arial" w:eastAsia="Arial" w:hAnsi="Arial"/>
          <w:sz w:val="18"/>
          <w:szCs w:val="18"/>
          <w:b w:val="1"/>
          <w:bCs w:val="1"/>
          <w:u w:val="single" w:color="auto"/>
          <w:color w:val="010000"/>
        </w:rPr>
        <w:t xml:space="preserve"> </w:t>
      </w:r>
      <w:r>
        <w:rPr>
          <w:rFonts w:ascii="Arial" w:cs="Arial" w:eastAsia="Arial" w:hAnsi="Arial"/>
          <w:sz w:val="18"/>
          <w:szCs w:val="18"/>
          <w:b w:val="1"/>
          <w:bCs w:val="1"/>
          <w:color w:val="010000"/>
        </w:rPr>
        <w:t>EACH PARTY HERETO HEREBY WAIVES, TO THE FULLEST</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010000"/>
        </w:rPr>
        <w:t>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r>
        <w:rPr>
          <w:rFonts w:ascii="Arial" w:cs="Arial" w:eastAsia="Arial" w:hAnsi="Arial"/>
          <w:sz w:val="18"/>
          <w:szCs w:val="18"/>
          <w:color w:val="010000"/>
        </w:rPr>
        <w:t>.</w:t>
      </w:r>
    </w:p>
    <w:p>
      <w:pPr>
        <w:spacing w:after="0" w:line="19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010000"/>
        </w:rPr>
        <w:t xml:space="preserve">SECTION 9.11. </w:t>
      </w:r>
      <w:r>
        <w:rPr>
          <w:rFonts w:ascii="Arial" w:cs="Arial" w:eastAsia="Arial" w:hAnsi="Arial"/>
          <w:sz w:val="17"/>
          <w:szCs w:val="17"/>
          <w:u w:val="single" w:color="auto"/>
          <w:color w:val="000000"/>
        </w:rPr>
        <w:t>Headings</w:t>
      </w:r>
      <w:r>
        <w:rPr>
          <w:rFonts w:ascii="Arial" w:cs="Arial" w:eastAsia="Arial" w:hAnsi="Arial"/>
          <w:sz w:val="17"/>
          <w:szCs w:val="17"/>
          <w:color w:val="000000"/>
        </w:rPr>
        <w:t>. Article and Section headings and the Table of Contents used herein are for convenience of reference only, are</w:t>
      </w:r>
      <w:r>
        <w:rPr>
          <w:rFonts w:ascii="Arial" w:cs="Arial" w:eastAsia="Arial" w:hAnsi="Arial"/>
          <w:sz w:val="17"/>
          <w:szCs w:val="17"/>
          <w:color w:val="010000"/>
        </w:rPr>
        <w:t xml:space="preserve"> </w:t>
      </w:r>
      <w:r>
        <w:rPr>
          <w:rFonts w:ascii="Arial" w:cs="Arial" w:eastAsia="Arial" w:hAnsi="Arial"/>
          <w:sz w:val="17"/>
          <w:szCs w:val="17"/>
          <w:color w:val="000000"/>
        </w:rPr>
        <w:t>not part of this Agreement and shall not affect the construction of, or be taken into consideration in interpreting, this Agreement.</w:t>
      </w:r>
    </w:p>
    <w:p>
      <w:pPr>
        <w:spacing w:after="0" w:line="14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010000"/>
        </w:rPr>
        <w:t xml:space="preserve">SECTION 9.12. </w:t>
      </w:r>
      <w:r>
        <w:rPr>
          <w:rFonts w:ascii="Arial" w:cs="Arial" w:eastAsia="Arial" w:hAnsi="Arial"/>
          <w:sz w:val="16"/>
          <w:szCs w:val="16"/>
          <w:u w:val="single" w:color="auto"/>
          <w:color w:val="000000"/>
        </w:rPr>
        <w:t>Confidentiality</w:t>
      </w:r>
      <w:r>
        <w:rPr>
          <w:rFonts w:ascii="Arial" w:cs="Arial" w:eastAsia="Arial" w:hAnsi="Arial"/>
          <w:sz w:val="16"/>
          <w:szCs w:val="16"/>
          <w:color w:val="000000"/>
        </w:rPr>
        <w:t>. Each of the Administrative Agent and the Lenders agrees to maintain the confidentiality of the</w:t>
      </w:r>
      <w:r>
        <w:rPr>
          <w:rFonts w:ascii="Arial" w:cs="Arial" w:eastAsia="Arial" w:hAnsi="Arial"/>
          <w:sz w:val="16"/>
          <w:szCs w:val="16"/>
          <w:color w:val="010000"/>
        </w:rPr>
        <w:t xml:space="preserve"> </w:t>
      </w:r>
      <w:r>
        <w:rPr>
          <w:rFonts w:ascii="Arial" w:cs="Arial" w:eastAsia="Arial" w:hAnsi="Arial"/>
          <w:sz w:val="16"/>
          <w:szCs w:val="16"/>
          <w:color w:val="000000"/>
        </w:rPr>
        <w:t>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provided that the disclosing Administrative Agent or Lender, as applicable, shall be responsible for compliance by such Persons with the provisions of this Section 9.12,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(provided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party (or its managers, administrators, trustees, partners, directors, officers, employees, agents, advisors and other representatives) to any swap or derivative or similar transaction to which the Administrative Agent or any Lender is a party and under which payments are to be made by reference to a Borrower and its obligations, this Agreement or payments hereunder, (g) on a confidential basis to (1) any rating agency in connection with rating the Borrower or its Subsidiaries or the credit facilities provided for herein or (2) the CUSIP Service Bureau or any similar agency in connection with the issuance and monitoring of CUSIP numbers with respect to the credit facilities provided for herein, (h) with the prior written consent of the Borrower or</w:t>
      </w:r>
    </w:p>
    <w:p>
      <w:pPr>
        <w:spacing w:after="0" w:line="11" w:lineRule="exact"/>
        <w:rPr>
          <w:sz w:val="20"/>
          <w:szCs w:val="20"/>
          <w:color w:val="auto"/>
        </w:rPr>
      </w:pPr>
    </w:p>
    <w:p>
      <w:pPr>
        <w:jc w:val="both"/>
        <w:ind w:firstLine="8"/>
        <w:spacing w:after="0" w:line="286" w:lineRule="auto"/>
        <w:tabs>
          <w:tab w:leader="none" w:pos="24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to the extent such Information (1) becomes publicly available other than as a result of a breach of this Section or (2) becomes available to the Administrative Agent or any Lender on a nonconfidential basis from a source other than any Loan Party or any of their respective Related Parties.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or on behalf of any Loan Party or any of their respective Related Parties relating to any Loan Party or Subsidiary or its business or securities, other than any such information that is available to the Administrative Agent or any Lender on a nonconfidential basis prior to disclosure by or on behalf of any Loan Party or any of their respective Related Parties and other than customary information regarding the closing date, size, type, purpose of and parties to the facilities under this Agreement of the type that is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3" w:name="page144"/>
    <w:bookmarkEnd w:id="143"/>
    <w:p>
      <w:pPr>
        <w:jc w:val="both"/>
        <w:ind w:firstLine="648"/>
        <w:spacing w:after="0" w:line="255" w:lineRule="auto"/>
        <w:rPr>
          <w:sz w:val="20"/>
          <w:szCs w:val="20"/>
          <w:color w:val="auto"/>
        </w:rPr>
      </w:pPr>
      <w:r>
        <w:rPr>
          <w:rFonts w:ascii="Arial" w:cs="Arial" w:eastAsia="Arial" w:hAnsi="Arial"/>
          <w:sz w:val="18"/>
          <w:szCs w:val="18"/>
          <w:b w:val="1"/>
          <w:bCs w:val="1"/>
          <w:color w:val="auto"/>
        </w:rPr>
        <w:t>EACH OF THE ADMINISTRATIVE AGENT AND EACH LENDER ACKNOWLEDGES THAT INFORMATION AS DEFINED IN THE IMMEDIATELY PRECEDING PARAGRAPH FURNISHED TO IT PURSUANT TO OR IN CONNECTION WITH THIS AGREEMENT OR ANY OTHER LOAN DOCUMENT MAY INCLUDE MATERIAL NON-PUBLIC INFORMATION CONCERNING THE BORROWER, THE OTHER LOAN PARTIES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OR ON BEHALF OF ANY LOAN PARTY OR THE ADMINISTRATIVE AGENT PURSUANT TO, IN CONNECTION WITH OR OTHERWISE IN THE COURSE OF ADMINISTERING THIS AGREEMENT OR ANY OTHER LOAN DOCUMENT WILL BE SYNDICATE-LEVEL INFORMATION, WHICH MAY CONTAIN MATERIAL NON-PUBLIC INFORMATION ABOUT THE BORROWER, THE OTHER LOAN PARTIES AND THEIR RESPECTIVE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SECTION 9.13. </w:t>
      </w:r>
      <w:r>
        <w:rPr>
          <w:rFonts w:ascii="Arial" w:cs="Arial" w:eastAsia="Arial" w:hAnsi="Arial"/>
          <w:sz w:val="17"/>
          <w:szCs w:val="17"/>
          <w:u w:val="single" w:color="auto"/>
          <w:color w:val="000000"/>
        </w:rPr>
        <w:t>USA PATRIOT Act</w:t>
      </w:r>
      <w:r>
        <w:rPr>
          <w:rFonts w:ascii="Arial" w:cs="Arial" w:eastAsia="Arial" w:hAnsi="Arial"/>
          <w:sz w:val="17"/>
          <w:szCs w:val="17"/>
          <w:color w:val="000000"/>
        </w:rPr>
        <w:t>. Each Lender that is subject to the requirements of the Patriot Act hereby notifies each Loan Party</w:t>
      </w:r>
      <w:r>
        <w:rPr>
          <w:rFonts w:ascii="Arial" w:cs="Arial" w:eastAsia="Arial" w:hAnsi="Arial"/>
          <w:sz w:val="17"/>
          <w:szCs w:val="17"/>
          <w:color w:val="010000"/>
        </w:rPr>
        <w:t xml:space="preserve"> </w:t>
      </w:r>
      <w:r>
        <w:rPr>
          <w:rFonts w:ascii="Arial" w:cs="Arial" w:eastAsia="Arial" w:hAnsi="Arial"/>
          <w:sz w:val="17"/>
          <w:szCs w:val="17"/>
          <w:color w:val="000000"/>
        </w:rPr>
        <w:t>that pursuant to the requirements of the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Patriot Act and the Beneficial Ownership Regulation.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9.14. </w:t>
      </w:r>
      <w:r>
        <w:rPr>
          <w:rFonts w:ascii="Arial" w:cs="Arial" w:eastAsia="Arial" w:hAnsi="Arial"/>
          <w:sz w:val="18"/>
          <w:szCs w:val="18"/>
          <w:u w:val="single" w:color="auto"/>
          <w:color w:val="000000"/>
        </w:rPr>
        <w:t>Releases of Subsidiary Guarantors</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4"/>
        <w:spacing w:after="0" w:line="271" w:lineRule="auto"/>
        <w:tabs>
          <w:tab w:leader="none" w:pos="2565" w:val="left"/>
        </w:tabs>
        <w:numPr>
          <w:ilvl w:val="0"/>
          <w:numId w:val="167"/>
        </w:numPr>
        <w:rPr>
          <w:rFonts w:ascii="Arial" w:cs="Arial" w:eastAsia="Arial" w:hAnsi="Arial"/>
          <w:sz w:val="17"/>
          <w:szCs w:val="17"/>
          <w:color w:val="010000"/>
        </w:rPr>
      </w:pPr>
      <w:r>
        <w:rPr>
          <w:rFonts w:ascii="Arial" w:cs="Arial" w:eastAsia="Arial" w:hAnsi="Arial"/>
          <w:sz w:val="17"/>
          <w:szCs w:val="17"/>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so required by this Agreement, the Required Lenders shall have consented to such transaction and the terms of such consent shall not have provided otherwise. In connection with any termination or release pursuant to this Section (including pursuant to clause (b) or (c) below),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except with respect to any customary further assurances that are expressly agreed to in writing by the Administrative Agent.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left="660" w:firstLine="644"/>
        <w:spacing w:after="0" w:line="301" w:lineRule="auto"/>
        <w:tabs>
          <w:tab w:leader="none" w:pos="2386"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Further, the Administrative Agent may (and is hereby irrevocably authorized by each Lender to), upon the request of the Borrower, release any Subsidiary Guarantor from its obligations under the Subsidiary Guaranty if (i) such Subsidiary Guarantor is no longer a Material Domestic Subsidiary, becomes an Excluded Subsidiary or is otherwise not required pursuant to this terms of this Agreement to provide a Subsidiary Guaranty or (ii) such release is approved, authorized or ratified by the requisite Lenders pursuant to Section 9.02.</w:t>
      </w:r>
    </w:p>
    <w:p>
      <w:pPr>
        <w:spacing w:after="0" w:line="157" w:lineRule="exact"/>
        <w:rPr>
          <w:rFonts w:ascii="Arial" w:cs="Arial" w:eastAsia="Arial" w:hAnsi="Arial"/>
          <w:sz w:val="16"/>
          <w:szCs w:val="16"/>
          <w:color w:val="010000"/>
        </w:rPr>
      </w:pPr>
    </w:p>
    <w:p>
      <w:pPr>
        <w:jc w:val="both"/>
        <w:ind w:left="660" w:firstLine="644"/>
        <w:spacing w:after="0" w:line="293" w:lineRule="auto"/>
        <w:tabs>
          <w:tab w:leader="none" w:pos="2484"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At such time as the principal and interest on the Loans, the fees, expenses and other amounts payable under the Loan Documents and the other Obligations (other Obligations expressly stated to survive such payment and termination and excluding, for the avoidance of doubt, any Specified Ancillary Obligations or other obligations under any Swap Agreement or any Banking Services Agreement) then due and payable shall have been paid in full in cash, the Commitments shall have been terminated (the foregoing, collectively, the “</w:t>
      </w:r>
      <w:r>
        <w:rPr>
          <w:rFonts w:ascii="Arial" w:cs="Arial" w:eastAsia="Arial" w:hAnsi="Arial"/>
          <w:sz w:val="16"/>
          <w:szCs w:val="16"/>
          <w:u w:val="single" w:color="auto"/>
          <w:color w:val="auto"/>
        </w:rPr>
        <w:t>Final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 Conditions</w:t>
      </w:r>
      <w:r>
        <w:rPr>
          <w:rFonts w:ascii="Arial" w:cs="Arial" w:eastAsia="Arial" w:hAnsi="Arial"/>
          <w:sz w:val="16"/>
          <w:szCs w:val="16"/>
          <w:color w:val="auto"/>
        </w:rPr>
        <w:t>”) and all obligations (other than those expressly stated to survive such termination) of each Subsidiary Guarantor and the Borrower thereunder shall automatically terminate, all without delivery of any instrument or performance of any act by any Person.</w:t>
      </w:r>
    </w:p>
    <w:p>
      <w:pPr>
        <w:spacing w:after="0" w:line="164" w:lineRule="exact"/>
        <w:rPr>
          <w:rFonts w:ascii="Arial" w:cs="Arial" w:eastAsia="Arial" w:hAnsi="Arial"/>
          <w:sz w:val="16"/>
          <w:szCs w:val="16"/>
          <w:color w:val="010000"/>
        </w:rPr>
      </w:pPr>
    </w:p>
    <w:p>
      <w:pPr>
        <w:ind w:left="660" w:firstLine="644"/>
        <w:spacing w:after="0" w:line="277" w:lineRule="auto"/>
        <w:tabs>
          <w:tab w:leader="none" w:pos="2467"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Upon request by the Administrative Agent at any time, the Lenders will confirm in writing the Administrative Agent’s authority to release any particular Subsidiary Guaranty pursuant hereto.</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010000"/>
        </w:rPr>
        <w:t xml:space="preserve">SECTION 9.15. </w:t>
      </w:r>
      <w:r>
        <w:rPr>
          <w:rFonts w:ascii="Arial" w:cs="Arial" w:eastAsia="Arial" w:hAnsi="Arial"/>
          <w:sz w:val="17"/>
          <w:szCs w:val="17"/>
          <w:u w:val="single" w:color="auto"/>
          <w:color w:val="000000"/>
        </w:rPr>
        <w:t>Interest Rate Limitation</w:t>
      </w:r>
      <w:r>
        <w:rPr>
          <w:rFonts w:ascii="Arial" w:cs="Arial" w:eastAsia="Arial" w:hAnsi="Arial"/>
          <w:sz w:val="17"/>
          <w:szCs w:val="17"/>
          <w:color w:val="000000"/>
        </w:rPr>
        <w:t>. Notwithstanding anything herein to the contrary, if at any time the interest rate applicable to</w:t>
      </w:r>
      <w:r>
        <w:rPr>
          <w:rFonts w:ascii="Arial" w:cs="Arial" w:eastAsia="Arial" w:hAnsi="Arial"/>
          <w:sz w:val="17"/>
          <w:szCs w:val="17"/>
          <w:color w:val="010000"/>
        </w:rPr>
        <w:t xml:space="preserve"> </w:t>
      </w:r>
      <w:r>
        <w:rPr>
          <w:rFonts w:ascii="Arial" w:cs="Arial" w:eastAsia="Arial" w:hAnsi="Arial"/>
          <w:sz w:val="17"/>
          <w:szCs w:val="17"/>
          <w:color w:val="000000"/>
        </w:rPr>
        <w:t>any Loan, together with all fees, charges and other amounts which are treated as interest on such Loan under applicable law (collectively the “</w:t>
      </w:r>
      <w:r>
        <w:rPr>
          <w:rFonts w:ascii="Arial" w:cs="Arial" w:eastAsia="Arial" w:hAnsi="Arial"/>
          <w:sz w:val="17"/>
          <w:szCs w:val="17"/>
          <w:u w:val="single" w:color="auto"/>
          <w:color w:val="000000"/>
        </w:rPr>
        <w:t>Charges</w:t>
      </w:r>
      <w:r>
        <w:rPr>
          <w:rFonts w:ascii="Arial" w:cs="Arial" w:eastAsia="Arial" w:hAnsi="Arial"/>
          <w:sz w:val="17"/>
          <w:szCs w:val="17"/>
          <w:color w:val="000000"/>
        </w:rPr>
        <w:t>”), shall exceed the maximum lawful rate (the “</w:t>
      </w:r>
      <w:r>
        <w:rPr>
          <w:rFonts w:ascii="Arial" w:cs="Arial" w:eastAsia="Arial" w:hAnsi="Arial"/>
          <w:sz w:val="17"/>
          <w:szCs w:val="17"/>
          <w:u w:val="single" w:color="auto"/>
          <w:color w:val="000000"/>
        </w:rPr>
        <w:t>Maximum Rate</w:t>
      </w:r>
      <w:r>
        <w:rPr>
          <w:rFonts w:ascii="Arial" w:cs="Arial" w:eastAsia="Arial" w:hAnsi="Arial"/>
          <w:sz w:val="17"/>
          <w:szCs w:val="17"/>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SECTION 9.16. </w:t>
      </w:r>
      <w:r>
        <w:rPr>
          <w:rFonts w:ascii="Arial" w:cs="Arial" w:eastAsia="Arial" w:hAnsi="Arial"/>
          <w:sz w:val="18"/>
          <w:szCs w:val="18"/>
          <w:u w:val="single" w:color="auto"/>
          <w:color w:val="000000"/>
        </w:rPr>
        <w:t>No Advisory or Fiduciary Responsibility</w:t>
      </w:r>
      <w:r>
        <w:rPr>
          <w:rFonts w:ascii="Arial" w:cs="Arial" w:eastAsia="Arial" w:hAnsi="Arial"/>
          <w:sz w:val="18"/>
          <w:szCs w:val="18"/>
          <w:color w:val="000000"/>
        </w:rPr>
        <w:t>.</w:t>
      </w:r>
    </w:p>
    <w:p>
      <w:pPr>
        <w:spacing w:after="0" w:line="225" w:lineRule="exact"/>
        <w:rPr>
          <w:sz w:val="20"/>
          <w:szCs w:val="20"/>
          <w:color w:val="auto"/>
        </w:rPr>
      </w:pPr>
    </w:p>
    <w:p>
      <w:pPr>
        <w:jc w:val="both"/>
        <w:ind w:left="660" w:firstLine="644"/>
        <w:spacing w:after="0" w:line="269" w:lineRule="auto"/>
        <w:tabs>
          <w:tab w:leader="none" w:pos="2349" w:val="left"/>
        </w:tabs>
        <w:numPr>
          <w:ilvl w:val="0"/>
          <w:numId w:val="169"/>
        </w:numPr>
        <w:rPr>
          <w:rFonts w:ascii="Arial" w:cs="Arial" w:eastAsia="Arial" w:hAnsi="Arial"/>
          <w:sz w:val="17"/>
          <w:szCs w:val="17"/>
          <w:color w:val="010000"/>
        </w:rPr>
      </w:pPr>
      <w:r>
        <w:rPr>
          <w:rFonts w:ascii="Arial" w:cs="Arial" w:eastAsia="Arial" w:hAnsi="Arial"/>
          <w:sz w:val="17"/>
          <w:szCs w:val="17"/>
          <w:color w:val="auto"/>
        </w:rPr>
        <w:t>The Borrower acknowledges and agrees, and acknowledges its Subsidiaries’ understanding, that no Credit Party will have any obligations in connection with the Loan Documents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in connection with the transactions contemplated hereby.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to the extent it deems appropriate concerning such matters and shall be responsible for making its own independent investigation and appraisal of the transactions contemplated herein or in the other Loan Documents, and the Credit Parties shall have no responsibility or liability to the Borrower with respect to such matters other than as specifically and expressly set forth in any Loan Document.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left="660" w:firstLine="644"/>
        <w:spacing w:after="0" w:line="271" w:lineRule="auto"/>
        <w:tabs>
          <w:tab w:leader="none" w:pos="2345" w:val="left"/>
        </w:tabs>
        <w:numPr>
          <w:ilvl w:val="0"/>
          <w:numId w:val="170"/>
        </w:numPr>
        <w:rPr>
          <w:rFonts w:ascii="Arial" w:cs="Arial" w:eastAsia="Arial" w:hAnsi="Arial"/>
          <w:sz w:val="17"/>
          <w:szCs w:val="17"/>
          <w:color w:val="010000"/>
        </w:rPr>
      </w:pPr>
      <w:r>
        <w:rPr>
          <w:rFonts w:ascii="Arial" w:cs="Arial" w:eastAsia="Arial" w:hAnsi="Arial"/>
          <w:sz w:val="17"/>
          <w:szCs w:val="17"/>
          <w:color w:val="auto"/>
        </w:rPr>
        <w:t>The Borrower further acknowledges and agrees, and acknowledges its Subsidiaries’ understanding, that each Credit Party, together with its Affiliates, is or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8" w:lineRule="exact"/>
        <w:rPr>
          <w:rFonts w:ascii="Arial" w:cs="Arial" w:eastAsia="Arial" w:hAnsi="Arial"/>
          <w:sz w:val="17"/>
          <w:szCs w:val="17"/>
          <w:color w:val="010000"/>
        </w:rPr>
      </w:pPr>
    </w:p>
    <w:p>
      <w:pPr>
        <w:jc w:val="both"/>
        <w:ind w:left="660" w:firstLine="644"/>
        <w:spacing w:after="0" w:line="271" w:lineRule="auto"/>
        <w:tabs>
          <w:tab w:leader="none" w:pos="2443" w:val="left"/>
        </w:tabs>
        <w:numPr>
          <w:ilvl w:val="0"/>
          <w:numId w:val="170"/>
        </w:numPr>
        <w:rPr>
          <w:rFonts w:ascii="Arial" w:cs="Arial" w:eastAsia="Arial" w:hAnsi="Arial"/>
          <w:sz w:val="17"/>
          <w:szCs w:val="17"/>
          <w:color w:val="010000"/>
        </w:rPr>
      </w:pPr>
      <w:r>
        <w:rPr>
          <w:rFonts w:ascii="Arial" w:cs="Arial" w:eastAsia="Arial" w:hAnsi="Arial"/>
          <w:sz w:val="17"/>
          <w:szCs w:val="17"/>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any Loan Party by virtue of the transactions contemplated by the Loan Documents or its other relationships with any Loan Party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SECTION 9.17. </w:t>
      </w:r>
      <w:r>
        <w:rPr>
          <w:rFonts w:ascii="Arial" w:cs="Arial" w:eastAsia="Arial" w:hAnsi="Arial"/>
          <w:sz w:val="18"/>
          <w:szCs w:val="18"/>
          <w:u w:val="single" w:color="auto"/>
          <w:color w:val="000000"/>
        </w:rPr>
        <w:t>Swap Obligations and Banking Services Obligations</w:t>
      </w:r>
      <w:r>
        <w:rPr>
          <w:rFonts w:ascii="Arial" w:cs="Arial" w:eastAsia="Arial" w:hAnsi="Arial"/>
          <w:sz w:val="18"/>
          <w:szCs w:val="18"/>
          <w:color w:val="000000"/>
        </w:rPr>
        <w:t>. No Lender or any of its Affiliates that obtains the benefits of any</w:t>
      </w:r>
      <w:r>
        <w:rPr>
          <w:rFonts w:ascii="Arial" w:cs="Arial" w:eastAsia="Arial" w:hAnsi="Arial"/>
          <w:sz w:val="18"/>
          <w:szCs w:val="18"/>
          <w:color w:val="010000"/>
        </w:rPr>
        <w:t xml:space="preserve"> </w:t>
      </w:r>
      <w:r>
        <w:rPr>
          <w:rFonts w:ascii="Arial" w:cs="Arial" w:eastAsia="Arial" w:hAnsi="Arial"/>
          <w:sz w:val="18"/>
          <w:szCs w:val="18"/>
          <w:color w:val="000000"/>
        </w:rPr>
        <w:t>Subsidiary Guaranty by virtue of the provisions hereof or of such Subsidiary Guaranty to Guarantee any Specified Ancillary Obligations owed to such Lender or any of its Affiliates shall have any right to notice of any action or to consent to, direct or object to any action hereunder or under any other Loan Document or otherwise (including the release or impairment of any Subsidiary Guaranty) other than in its capacity as a Lender and, in such case, only to the extent expressly provided in the Loan Documents.</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SECTION 9.18. </w:t>
      </w:r>
      <w:r>
        <w:rPr>
          <w:rFonts w:ascii="Arial" w:cs="Arial" w:eastAsia="Arial" w:hAnsi="Arial"/>
          <w:sz w:val="17"/>
          <w:szCs w:val="17"/>
          <w:u w:val="single" w:color="auto"/>
          <w:color w:val="000000"/>
        </w:rPr>
        <w:t>Acknowledgement and Consent to Bail-In of Affected Financial Institutions</w:t>
      </w:r>
      <w:r>
        <w:rPr>
          <w:rFonts w:ascii="Arial" w:cs="Arial" w:eastAsia="Arial" w:hAnsi="Arial"/>
          <w:sz w:val="17"/>
          <w:szCs w:val="17"/>
          <w:color w:val="000000"/>
        </w:rPr>
        <w:t>. Notwithstanding anything to the contrary in</w:t>
      </w:r>
      <w:r>
        <w:rPr>
          <w:rFonts w:ascii="Arial" w:cs="Arial" w:eastAsia="Arial" w:hAnsi="Arial"/>
          <w:sz w:val="17"/>
          <w:szCs w:val="17"/>
          <w:color w:val="010000"/>
        </w:rPr>
        <w:t xml:space="preserve"> </w:t>
      </w:r>
      <w:r>
        <w:rPr>
          <w:rFonts w:ascii="Arial" w:cs="Arial" w:eastAsia="Arial" w:hAnsi="Arial"/>
          <w:sz w:val="17"/>
          <w:szCs w:val="17"/>
          <w:color w:val="000000"/>
        </w:rPr>
        <w:t>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1304"/>
        <w:spacing w:after="0" w:line="277" w:lineRule="auto"/>
        <w:tabs>
          <w:tab w:leader="none" w:pos="2377"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010000"/>
        </w:rPr>
      </w:pPr>
    </w:p>
    <w:p>
      <w:pPr>
        <w:ind w:left="2240" w:hanging="936"/>
        <w:spacing w:after="0"/>
        <w:tabs>
          <w:tab w:leader="none" w:pos="224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010000"/>
        </w:rPr>
      </w:pPr>
    </w:p>
    <w:p>
      <w:pPr>
        <w:ind w:left="2880" w:hanging="928"/>
        <w:spacing w:after="0"/>
        <w:tabs>
          <w:tab w:leader="none" w:pos="2880"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010000"/>
        </w:rPr>
      </w:pPr>
    </w:p>
    <w:p>
      <w:pPr>
        <w:jc w:val="both"/>
        <w:ind w:left="660" w:firstLine="1292"/>
        <w:spacing w:after="0" w:line="259" w:lineRule="auto"/>
        <w:tabs>
          <w:tab w:leader="none" w:pos="3012"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010000"/>
        </w:rPr>
      </w:pPr>
    </w:p>
    <w:p>
      <w:pPr>
        <w:ind w:left="660" w:firstLine="1292"/>
        <w:spacing w:after="0" w:line="277" w:lineRule="auto"/>
        <w:tabs>
          <w:tab w:leader="none" w:pos="2811" w:val="left"/>
        </w:tabs>
        <w:numPr>
          <w:ilvl w:val="1"/>
          <w:numId w:val="171"/>
        </w:numPr>
        <w:rPr>
          <w:rFonts w:ascii="Arial" w:cs="Arial" w:eastAsia="Arial" w:hAnsi="Arial"/>
          <w:sz w:val="18"/>
          <w:szCs w:val="18"/>
          <w:color w:val="010000"/>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or other authorized signatories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Finance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Project Garden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7" w:name="page148"/>
    <w:bookmarkEnd w:id="147"/>
    <w:p>
      <w:pPr>
        <w:ind w:left="4520"/>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individually as a Lender and as Administrative Agent</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Robert Ehudin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Project Garden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500" w:type="dxa"/>
            <w:vAlign w:val="bottom"/>
            <w:gridSpan w:val="4"/>
          </w:tcPr>
          <w:p>
            <w:pPr>
              <w:jc w:val="center"/>
              <w:ind w:right="3720"/>
              <w:spacing w:after="0"/>
              <w:rPr>
                <w:sz w:val="20"/>
                <w:szCs w:val="20"/>
                <w:color w:val="auto"/>
              </w:rPr>
            </w:pPr>
            <w:r>
              <w:rPr>
                <w:rFonts w:ascii="Arial" w:cs="Arial" w:eastAsia="Arial" w:hAnsi="Arial"/>
                <w:sz w:val="18"/>
                <w:szCs w:val="18"/>
                <w:color w:val="auto"/>
                <w:w w:val="94"/>
              </w:rPr>
              <w:t>SCHEDULE 2.01</w:t>
            </w:r>
          </w:p>
        </w:tc>
      </w:tr>
      <w:tr>
        <w:trPr>
          <w:trHeight w:val="432"/>
        </w:trPr>
        <w:tc>
          <w:tcPr>
            <w:tcW w:w="3740" w:type="dxa"/>
            <w:vAlign w:val="bottom"/>
          </w:tcPr>
          <w:p>
            <w:pPr>
              <w:spacing w:after="0"/>
              <w:rPr>
                <w:sz w:val="24"/>
                <w:szCs w:val="24"/>
                <w:color w:val="auto"/>
              </w:rPr>
            </w:pPr>
          </w:p>
        </w:tc>
        <w:tc>
          <w:tcPr>
            <w:tcW w:w="7500" w:type="dxa"/>
            <w:vAlign w:val="bottom"/>
            <w:gridSpan w:val="4"/>
          </w:tcPr>
          <w:p>
            <w:pPr>
              <w:jc w:val="center"/>
              <w:ind w:right="3740"/>
              <w:spacing w:after="0"/>
              <w:rPr>
                <w:sz w:val="20"/>
                <w:szCs w:val="20"/>
                <w:color w:val="auto"/>
              </w:rPr>
            </w:pPr>
            <w:r>
              <w:rPr>
                <w:rFonts w:ascii="Arial" w:cs="Arial" w:eastAsia="Arial" w:hAnsi="Arial"/>
                <w:sz w:val="18"/>
                <w:szCs w:val="18"/>
                <w:color w:val="auto"/>
                <w:w w:val="99"/>
              </w:rPr>
              <w:t>COMMITMENTS</w:t>
            </w:r>
          </w:p>
        </w:tc>
      </w:tr>
      <w:tr>
        <w:trPr>
          <w:trHeight w:val="445"/>
        </w:trPr>
        <w:tc>
          <w:tcPr>
            <w:tcW w:w="3740" w:type="dxa"/>
            <w:vAlign w:val="bottom"/>
          </w:tcPr>
          <w:p>
            <w:pPr>
              <w:ind w:left="820"/>
              <w:spacing w:after="0"/>
              <w:rPr>
                <w:sz w:val="20"/>
                <w:szCs w:val="20"/>
                <w:color w:val="auto"/>
              </w:rPr>
            </w:pPr>
            <w:r>
              <w:rPr>
                <w:rFonts w:ascii="Arial" w:cs="Arial" w:eastAsia="Arial" w:hAnsi="Arial"/>
                <w:sz w:val="18"/>
                <w:szCs w:val="18"/>
                <w:color w:val="auto"/>
              </w:rPr>
              <w:t>LENDER</w:t>
            </w: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COMMITMENT</w:t>
            </w: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5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$ 1,500,000,000.00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AGGREGATE COMMITMENT</w:t>
            </w:r>
          </w:p>
        </w:tc>
        <w:tc>
          <w:tcPr>
            <w:tcW w:w="7500" w:type="dxa"/>
            <w:vAlign w:val="bottom"/>
            <w:gridSpan w:val="4"/>
          </w:tcPr>
          <w:p>
            <w:pPr>
              <w:jc w:val="center"/>
              <w:ind w:left="5830"/>
              <w:spacing w:after="0"/>
              <w:rPr>
                <w:sz w:val="20"/>
                <w:szCs w:val="20"/>
                <w:color w:val="auto"/>
              </w:rPr>
            </w:pPr>
            <w:r>
              <w:rPr>
                <w:rFonts w:ascii="Arial" w:cs="Arial" w:eastAsia="Arial" w:hAnsi="Arial"/>
                <w:sz w:val="18"/>
                <w:szCs w:val="18"/>
                <w:b w:val="1"/>
                <w:bCs w:val="1"/>
                <w:color w:val="auto"/>
                <w:w w:val="88"/>
              </w:rPr>
              <w:t>$ 1,500,000,000.00</w:t>
            </w:r>
          </w:p>
        </w:tc>
      </w:tr>
      <w:tr>
        <w:trPr>
          <w:trHeight w:val="630"/>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4"/>
          </w:tcPr>
          <w:p>
            <w:pPr>
              <w:jc w:val="center"/>
              <w:ind w:right="3780"/>
              <w:spacing w:after="0"/>
              <w:rPr>
                <w:sz w:val="20"/>
                <w:szCs w:val="20"/>
                <w:color w:val="auto"/>
              </w:rPr>
            </w:pPr>
            <w:r>
              <w:rPr>
                <w:rFonts w:ascii="Arial" w:cs="Arial" w:eastAsia="Arial" w:hAnsi="Arial"/>
                <w:sz w:val="18"/>
                <w:szCs w:val="18"/>
                <w:color w:val="auto"/>
                <w:w w:val="89"/>
              </w:rPr>
              <w:t>Sched. 2.01-1</w:t>
            </w:r>
          </w:p>
        </w:tc>
      </w:tr>
    </w:tbl>
    <w:p>
      <w:pPr>
        <w:sectPr>
          <w:pgSz w:w="11900" w:h="16838" w:orient="portrait"/>
          <w:cols w:equalWidth="0" w:num="1">
            <w:col w:w="11240"/>
          </w:cols>
          <w:pgMar w:left="320" w:top="90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t>SCHEDULE 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60" w:type="dxa"/>
            <w:vAlign w:val="bottom"/>
            <w:tcBorders>
              <w:top w:val="single" w:sz="8" w:color="auto"/>
              <w:left w:val="single" w:sz="8" w:color="auto"/>
              <w:right w:val="single" w:sz="8" w:color="auto"/>
            </w:tcBorders>
            <w:shd w:val="clear" w:color="auto" w:fill="BFBFBF"/>
          </w:tcPr>
          <w:p>
            <w:pPr>
              <w:spacing w:after="0"/>
              <w:rPr>
                <w:sz w:val="20"/>
                <w:szCs w:val="20"/>
                <w:color w:val="auto"/>
              </w:rPr>
            </w:pPr>
          </w:p>
        </w:tc>
        <w:tc>
          <w:tcPr>
            <w:tcW w:w="2720" w:type="dxa"/>
            <w:vAlign w:val="bottom"/>
            <w:tcBorders>
              <w:top w:val="single" w:sz="8" w:color="auto"/>
              <w:right w:val="single" w:sz="8" w:color="auto"/>
            </w:tcBorders>
            <w:shd w:val="clear" w:color="auto" w:fill="BFBFBF"/>
          </w:tcPr>
          <w:p>
            <w:pPr>
              <w:spacing w:after="0"/>
              <w:rPr>
                <w:sz w:val="20"/>
                <w:szCs w:val="20"/>
                <w:color w:val="auto"/>
              </w:rPr>
            </w:pPr>
          </w:p>
        </w:tc>
        <w:tc>
          <w:tcPr>
            <w:tcW w:w="1040" w:type="dxa"/>
            <w:vAlign w:val="bottom"/>
            <w:tcBorders>
              <w:top w:val="single" w:sz="8" w:color="auto"/>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Material</w:t>
            </w:r>
          </w:p>
        </w:tc>
        <w:tc>
          <w:tcPr>
            <w:tcW w:w="1220" w:type="dxa"/>
            <w:vAlign w:val="bottom"/>
            <w:tcBorders>
              <w:top w:val="single" w:sz="8" w:color="auto"/>
              <w:right w:val="single" w:sz="8" w:color="auto"/>
            </w:tcBorders>
            <w:shd w:val="clear" w:color="auto" w:fill="BFBFBF"/>
          </w:tcPr>
          <w:p>
            <w:pPr>
              <w:spacing w:after="0"/>
              <w:rPr>
                <w:sz w:val="20"/>
                <w:szCs w:val="20"/>
                <w:color w:val="auto"/>
              </w:rPr>
            </w:pPr>
          </w:p>
        </w:tc>
        <w:tc>
          <w:tcPr>
            <w:tcW w:w="3500" w:type="dxa"/>
            <w:vAlign w:val="bottom"/>
            <w:tcBorders>
              <w:top w:val="single" w:sz="8" w:color="auto"/>
              <w:right w:val="single" w:sz="8" w:color="auto"/>
            </w:tcBorders>
            <w:shd w:val="clear" w:color="auto" w:fill="BFBFBF"/>
          </w:tcPr>
          <w:p>
            <w:pPr>
              <w:spacing w:after="0"/>
              <w:rPr>
                <w:sz w:val="20"/>
                <w:szCs w:val="20"/>
                <w:color w:val="auto"/>
              </w:rPr>
            </w:pPr>
          </w:p>
        </w:tc>
      </w:tr>
      <w:tr>
        <w:trPr>
          <w:trHeight w:val="216"/>
        </w:trPr>
        <w:tc>
          <w:tcPr>
            <w:tcW w:w="2760" w:type="dxa"/>
            <w:vAlign w:val="bottom"/>
            <w:tcBorders>
              <w:left w:val="single" w:sz="8" w:color="auto"/>
              <w:right w:val="single" w:sz="8" w:color="auto"/>
            </w:tcBorders>
            <w:shd w:val="clear" w:color="auto" w:fill="BFBFBF"/>
          </w:tcPr>
          <w:p>
            <w:pPr>
              <w:spacing w:after="0"/>
              <w:rPr>
                <w:sz w:val="18"/>
                <w:szCs w:val="18"/>
                <w:color w:val="auto"/>
              </w:rPr>
            </w:pPr>
          </w:p>
        </w:tc>
        <w:tc>
          <w:tcPr>
            <w:tcW w:w="2720" w:type="dxa"/>
            <w:vAlign w:val="bottom"/>
            <w:tcBorders>
              <w:right w:val="single" w:sz="8" w:color="auto"/>
            </w:tcBorders>
            <w:shd w:val="clear" w:color="auto" w:fill="BFBFBF"/>
          </w:tcPr>
          <w:p>
            <w:pPr>
              <w:spacing w:after="0"/>
              <w:rPr>
                <w:sz w:val="18"/>
                <w:szCs w:val="18"/>
                <w:color w:val="auto"/>
              </w:rPr>
            </w:pPr>
          </w:p>
        </w:tc>
        <w:tc>
          <w:tcPr>
            <w:tcW w:w="104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7"/>
              </w:rPr>
              <w:t>Subsidiary</w:t>
            </w:r>
          </w:p>
        </w:tc>
        <w:tc>
          <w:tcPr>
            <w:tcW w:w="1220" w:type="dxa"/>
            <w:vAlign w:val="bottom"/>
            <w:tcBorders>
              <w:right w:val="single" w:sz="8" w:color="auto"/>
            </w:tcBorders>
            <w:shd w:val="clear" w:color="auto" w:fill="BFBFBF"/>
          </w:tcPr>
          <w:p>
            <w:pPr>
              <w:ind w:left="140"/>
              <w:spacing w:after="0"/>
              <w:rPr>
                <w:sz w:val="20"/>
                <w:szCs w:val="20"/>
                <w:color w:val="auto"/>
              </w:rPr>
            </w:pPr>
            <w:r>
              <w:rPr>
                <w:rFonts w:ascii="Arial" w:cs="Arial" w:eastAsia="Arial" w:hAnsi="Arial"/>
                <w:sz w:val="18"/>
                <w:szCs w:val="18"/>
                <w:b w:val="1"/>
                <w:bCs w:val="1"/>
                <w:color w:val="auto"/>
              </w:rPr>
              <w:t>Jurisdiction</w:t>
            </w:r>
          </w:p>
        </w:tc>
        <w:tc>
          <w:tcPr>
            <w:tcW w:w="3500" w:type="dxa"/>
            <w:vAlign w:val="bottom"/>
            <w:tcBorders>
              <w:right w:val="single" w:sz="8" w:color="auto"/>
            </w:tcBorders>
            <w:shd w:val="clear" w:color="auto" w:fill="BFBFBF"/>
          </w:tcPr>
          <w:p>
            <w:pPr>
              <w:spacing w:after="0"/>
              <w:rPr>
                <w:sz w:val="18"/>
                <w:szCs w:val="18"/>
                <w:color w:val="auto"/>
              </w:rPr>
            </w:pPr>
          </w:p>
        </w:tc>
      </w:tr>
      <w:tr>
        <w:trPr>
          <w:trHeight w:val="216"/>
        </w:trPr>
        <w:tc>
          <w:tcPr>
            <w:tcW w:w="2760" w:type="dxa"/>
            <w:vAlign w:val="bottom"/>
            <w:tcBorders>
              <w:left w:val="single" w:sz="8" w:color="auto"/>
              <w:right w:val="single" w:sz="8" w:color="auto"/>
            </w:tcBorders>
            <w:shd w:val="clear" w:color="auto" w:fill="BFBFBF"/>
          </w:tcPr>
          <w:p>
            <w:pPr>
              <w:spacing w:after="0"/>
              <w:rPr>
                <w:sz w:val="18"/>
                <w:szCs w:val="18"/>
                <w:color w:val="auto"/>
              </w:rPr>
            </w:pPr>
          </w:p>
        </w:tc>
        <w:tc>
          <w:tcPr>
            <w:tcW w:w="2720" w:type="dxa"/>
            <w:vAlign w:val="bottom"/>
            <w:tcBorders>
              <w:right w:val="single" w:sz="8" w:color="auto"/>
            </w:tcBorders>
            <w:shd w:val="clear" w:color="auto" w:fill="BFBFBF"/>
          </w:tcPr>
          <w:p>
            <w:pPr>
              <w:spacing w:after="0"/>
              <w:rPr>
                <w:sz w:val="18"/>
                <w:szCs w:val="18"/>
                <w:color w:val="auto"/>
              </w:rPr>
            </w:pPr>
          </w:p>
        </w:tc>
        <w:tc>
          <w:tcPr>
            <w:tcW w:w="1040" w:type="dxa"/>
            <w:vAlign w:val="bottom"/>
            <w:tcBorders>
              <w:right w:val="single" w:sz="8" w:color="auto"/>
            </w:tcBorders>
            <w:shd w:val="clear" w:color="auto" w:fill="BFBFBF"/>
          </w:tcPr>
          <w:p>
            <w:pPr>
              <w:ind w:left="340"/>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right w:val="single" w:sz="8" w:color="auto"/>
            </w:tcBorders>
            <w:shd w:val="clear" w:color="auto" w:fill="BFBFBF"/>
          </w:tcPr>
          <w:p>
            <w:pPr>
              <w:ind w:left="520"/>
              <w:spacing w:after="0"/>
              <w:rPr>
                <w:sz w:val="20"/>
                <w:szCs w:val="20"/>
                <w:color w:val="auto"/>
              </w:rPr>
            </w:pPr>
            <w:r>
              <w:rPr>
                <w:rFonts w:ascii="Arial" w:cs="Arial" w:eastAsia="Arial" w:hAnsi="Arial"/>
                <w:sz w:val="18"/>
                <w:szCs w:val="18"/>
                <w:b w:val="1"/>
                <w:bCs w:val="1"/>
                <w:color w:val="auto"/>
              </w:rPr>
              <w:t>of</w:t>
            </w:r>
          </w:p>
        </w:tc>
        <w:tc>
          <w:tcPr>
            <w:tcW w:w="3500" w:type="dxa"/>
            <w:vAlign w:val="bottom"/>
            <w:tcBorders>
              <w:right w:val="single" w:sz="8" w:color="auto"/>
            </w:tcBorders>
            <w:shd w:val="clear" w:color="auto" w:fill="BFBFBF"/>
          </w:tcPr>
          <w:p>
            <w:pPr>
              <w:spacing w:after="0"/>
              <w:rPr>
                <w:sz w:val="18"/>
                <w:szCs w:val="18"/>
                <w:color w:val="auto"/>
              </w:rPr>
            </w:pPr>
          </w:p>
        </w:tc>
      </w:tr>
      <w:tr>
        <w:trPr>
          <w:trHeight w:val="266"/>
        </w:trPr>
        <w:tc>
          <w:tcPr>
            <w:tcW w:w="2760" w:type="dxa"/>
            <w:vAlign w:val="bottom"/>
            <w:tcBorders>
              <w:left w:val="single" w:sz="8" w:color="auto"/>
              <w:bottom w:val="single" w:sz="8" w:color="BFBFBF"/>
              <w:right w:val="single" w:sz="8" w:color="auto"/>
            </w:tcBorders>
            <w:shd w:val="clear" w:color="auto" w:fill="BFBFBF"/>
          </w:tcPr>
          <w:p>
            <w:pPr>
              <w:ind w:left="1120"/>
              <w:spacing w:after="0"/>
              <w:rPr>
                <w:sz w:val="20"/>
                <w:szCs w:val="20"/>
                <w:color w:val="auto"/>
              </w:rPr>
            </w:pPr>
            <w:r>
              <w:rPr>
                <w:rFonts w:ascii="Arial" w:cs="Arial" w:eastAsia="Arial" w:hAnsi="Arial"/>
                <w:sz w:val="18"/>
                <w:szCs w:val="18"/>
                <w:b w:val="1"/>
                <w:bCs w:val="1"/>
                <w:color w:val="auto"/>
              </w:rPr>
              <w:t>Owner</w:t>
            </w:r>
          </w:p>
        </w:tc>
        <w:tc>
          <w:tcPr>
            <w:tcW w:w="2720" w:type="dxa"/>
            <w:vAlign w:val="bottom"/>
            <w:tcBorders>
              <w:bottom w:val="single" w:sz="8" w:color="BFBFBF"/>
              <w:right w:val="single" w:sz="8" w:color="auto"/>
            </w:tcBorders>
            <w:shd w:val="clear" w:color="auto" w:fill="BFBFBF"/>
          </w:tcPr>
          <w:p>
            <w:pPr>
              <w:ind w:left="940"/>
              <w:spacing w:after="0"/>
              <w:rPr>
                <w:sz w:val="20"/>
                <w:szCs w:val="20"/>
                <w:color w:val="auto"/>
              </w:rPr>
            </w:pPr>
            <w:r>
              <w:rPr>
                <w:rFonts w:ascii="Arial" w:cs="Arial" w:eastAsia="Arial" w:hAnsi="Arial"/>
                <w:sz w:val="18"/>
                <w:szCs w:val="18"/>
                <w:b w:val="1"/>
                <w:bCs w:val="1"/>
                <w:color w:val="auto"/>
              </w:rPr>
              <w:t>Subsidiary</w:t>
            </w:r>
          </w:p>
        </w:tc>
        <w:tc>
          <w:tcPr>
            <w:tcW w:w="1040" w:type="dxa"/>
            <w:vAlign w:val="bottom"/>
            <w:tcBorders>
              <w:bottom w:val="single" w:sz="8" w:color="BFBFBF"/>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9"/>
              </w:rPr>
              <w:t>12/31/2019</w:t>
            </w:r>
          </w:p>
        </w:tc>
        <w:tc>
          <w:tcPr>
            <w:tcW w:w="1220" w:type="dxa"/>
            <w:vAlign w:val="bottom"/>
            <w:tcBorders>
              <w:bottom w:val="single" w:sz="8" w:color="BFBFBF"/>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8"/>
              </w:rPr>
              <w:t>Organization</w:t>
            </w:r>
          </w:p>
        </w:tc>
        <w:tc>
          <w:tcPr>
            <w:tcW w:w="3500" w:type="dxa"/>
            <w:vAlign w:val="bottom"/>
            <w:tcBorders>
              <w:bottom w:val="single" w:sz="8" w:color="BFBFBF"/>
              <w:right w:val="single" w:sz="8" w:color="auto"/>
            </w:tcBorders>
            <w:shd w:val="clear" w:color="auto" w:fill="BFBFBF"/>
          </w:tcPr>
          <w:p>
            <w:pPr>
              <w:ind w:left="1320"/>
              <w:spacing w:after="0"/>
              <w:rPr>
                <w:sz w:val="20"/>
                <w:szCs w:val="20"/>
                <w:color w:val="auto"/>
              </w:rPr>
            </w:pPr>
            <w:r>
              <w:rPr>
                <w:rFonts w:ascii="Arial" w:cs="Arial" w:eastAsia="Arial" w:hAnsi="Arial"/>
                <w:sz w:val="18"/>
                <w:szCs w:val="18"/>
                <w:b w:val="1"/>
                <w:bCs w:val="1"/>
                <w:color w:val="auto"/>
              </w:rPr>
              <w:t>Ownership</w:t>
            </w:r>
          </w:p>
        </w:tc>
      </w:tr>
      <w:tr>
        <w:trPr>
          <w:trHeight w:val="237"/>
        </w:trPr>
        <w:tc>
          <w:tcPr>
            <w:tcW w:w="2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Regeneron Pharmaceuticals, Inc.</w:t>
            </w:r>
          </w:p>
        </w:tc>
        <w:tc>
          <w:tcPr>
            <w:tcW w:w="2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9"/>
              </w:rPr>
              <w:t>Regeneron Genetics Center LLC</w:t>
            </w:r>
          </w:p>
        </w:tc>
        <w:tc>
          <w:tcPr>
            <w:tcW w:w="10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spacing w:after="0"/>
              <w:rPr>
                <w:sz w:val="19"/>
                <w:szCs w:val="19"/>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Regeneron Healthcare Solutions,</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30"/>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Inc.</w:t>
            </w:r>
          </w:p>
        </w:tc>
        <w:tc>
          <w:tcPr>
            <w:tcW w:w="10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Assurance, Inc.</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Loop Road Holdings LLC</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Rockwood Road Holdings LLC</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Old Saw Mill Holdings LLC</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OSMR LLC</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OSMR LLC</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Regeneron International Holdings</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30"/>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LLC</w:t>
            </w:r>
          </w:p>
        </w:tc>
        <w:tc>
          <w:tcPr>
            <w:tcW w:w="10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Regeneron International Holdings</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International Limited</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LLC</w:t>
            </w:r>
          </w:p>
        </w:tc>
        <w:tc>
          <w:tcPr>
            <w:tcW w:w="27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3"/>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OSMR LLC; Regeneron</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OSMR Holdings</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c>
          <w:tcPr>
            <w:tcW w:w="350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6"/>
                <w:szCs w:val="16"/>
                <w:color w:val="auto"/>
              </w:rPr>
              <w:t>19.04% (OSMR LLC)</w:t>
            </w:r>
            <w:r>
              <w:rPr>
                <w:rFonts w:ascii="Arial" w:cs="Arial" w:eastAsia="Arial" w:hAnsi="Arial"/>
                <w:sz w:val="25"/>
                <w:szCs w:val="25"/>
                <w:color w:val="auto"/>
                <w:vertAlign w:val="superscript"/>
              </w:rPr>
              <w:t>1</w:t>
            </w:r>
            <w:r>
              <w:rPr>
                <w:rFonts w:ascii="Arial" w:cs="Arial" w:eastAsia="Arial" w:hAnsi="Arial"/>
                <w:sz w:val="16"/>
                <w:szCs w:val="16"/>
                <w:color w:val="auto"/>
              </w:rPr>
              <w:t>; 80.96% (Regeneron</w:t>
            </w:r>
          </w:p>
        </w:tc>
      </w:tr>
      <w:tr>
        <w:trPr>
          <w:trHeight w:val="338"/>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International Limited</w:t>
            </w:r>
          </w:p>
        </w:tc>
        <w:tc>
          <w:tcPr>
            <w:tcW w:w="27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International Limited)</w:t>
            </w:r>
            <w:r>
              <w:rPr>
                <w:rFonts w:ascii="Arial" w:cs="Arial" w:eastAsia="Arial" w:hAnsi="Arial"/>
                <w:sz w:val="29"/>
                <w:szCs w:val="29"/>
                <w:color w:val="auto"/>
                <w:vertAlign w:val="superscript"/>
              </w:rPr>
              <w:t>2</w:t>
            </w:r>
          </w:p>
        </w:tc>
      </w:tr>
      <w:tr>
        <w:trPr>
          <w:trHeight w:val="23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OSMR Holdings</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OSMR International</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7"/>
        </w:trPr>
        <w:tc>
          <w:tcPr>
            <w:tcW w:w="2760" w:type="dxa"/>
            <w:vAlign w:val="bottom"/>
            <w:tcBorders>
              <w:left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spacing w:after="0"/>
              <w:rPr>
                <w:sz w:val="19"/>
                <w:szCs w:val="19"/>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Ireland Holdings</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Ireland</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30"/>
        </w:trPr>
        <w:tc>
          <w:tcPr>
            <w:tcW w:w="276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Unlimited Company</w:t>
            </w:r>
          </w:p>
        </w:tc>
        <w:tc>
          <w:tcPr>
            <w:tcW w:w="10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Regeneron Ireland Holdings</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Atlantic Holdings</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Bermuda</w:t>
            </w: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r>
      <w:tr>
        <w:trPr>
          <w:trHeight w:val="230"/>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Unlimited Company</w:t>
            </w:r>
          </w:p>
        </w:tc>
        <w:tc>
          <w:tcPr>
            <w:tcW w:w="27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172"/>
        </w:numPr>
        <w:rPr>
          <w:rFonts w:ascii="Arial" w:cs="Arial" w:eastAsia="Arial" w:hAnsi="Arial"/>
          <w:sz w:val="30"/>
          <w:szCs w:val="30"/>
          <w:color w:val="auto"/>
          <w:vertAlign w:val="superscript"/>
        </w:rPr>
      </w:pPr>
      <w:r>
        <w:rPr>
          <w:rFonts w:ascii="Arial" w:cs="Arial" w:eastAsia="Arial" w:hAnsi="Arial"/>
          <w:sz w:val="18"/>
          <w:szCs w:val="18"/>
          <w:color w:val="auto"/>
        </w:rPr>
        <w:t>OSMR LLC owns 10,000 shares of OSMR Holdings.</w:t>
      </w:r>
    </w:p>
    <w:p>
      <w:pPr>
        <w:ind w:left="120" w:hanging="112"/>
        <w:spacing w:after="0" w:line="184" w:lineRule="auto"/>
        <w:tabs>
          <w:tab w:leader="none" w:pos="120" w:val="left"/>
        </w:tabs>
        <w:numPr>
          <w:ilvl w:val="0"/>
          <w:numId w:val="173"/>
        </w:numPr>
        <w:rPr>
          <w:rFonts w:ascii="Arial" w:cs="Arial" w:eastAsia="Arial" w:hAnsi="Arial"/>
          <w:sz w:val="29"/>
          <w:szCs w:val="29"/>
          <w:color w:val="auto"/>
          <w:vertAlign w:val="superscript"/>
        </w:rPr>
      </w:pPr>
      <w:r>
        <w:rPr>
          <w:rFonts w:ascii="Arial" w:cs="Arial" w:eastAsia="Arial" w:hAnsi="Arial"/>
          <w:sz w:val="17"/>
          <w:szCs w:val="17"/>
          <w:color w:val="auto"/>
        </w:rPr>
        <w:t>Regeneron International Limited owns 40,471 shares of OSMR Holdings.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 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238"/>
        </w:trPr>
        <w:tc>
          <w:tcPr>
            <w:tcW w:w="3640" w:type="dxa"/>
            <w:vAlign w:val="bottom"/>
            <w:tcBorders>
              <w:top w:val="single" w:sz="8" w:color="auto"/>
              <w:left w:val="single" w:sz="8" w:color="auto"/>
              <w:right w:val="single" w:sz="8" w:color="auto"/>
            </w:tcBorders>
            <w:shd w:val="clear" w:color="auto" w:fill="BFBFBF"/>
          </w:tcPr>
          <w:p>
            <w:pPr>
              <w:spacing w:after="0"/>
              <w:rPr>
                <w:sz w:val="20"/>
                <w:szCs w:val="20"/>
                <w:color w:val="auto"/>
              </w:rPr>
            </w:pPr>
          </w:p>
        </w:tc>
        <w:tc>
          <w:tcPr>
            <w:tcW w:w="3620" w:type="dxa"/>
            <w:vAlign w:val="bottom"/>
            <w:tcBorders>
              <w:top w:val="single" w:sz="8" w:color="auto"/>
              <w:right w:val="single" w:sz="8" w:color="auto"/>
            </w:tcBorders>
            <w:shd w:val="clear" w:color="auto" w:fill="BFBFBF"/>
          </w:tcPr>
          <w:p>
            <w:pPr>
              <w:spacing w:after="0"/>
              <w:rPr>
                <w:sz w:val="20"/>
                <w:szCs w:val="20"/>
                <w:color w:val="auto"/>
              </w:rPr>
            </w:pPr>
          </w:p>
        </w:tc>
        <w:tc>
          <w:tcPr>
            <w:tcW w:w="14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1520" w:type="dxa"/>
            <w:vAlign w:val="bottom"/>
            <w:tcBorders>
              <w:top w:val="single" w:sz="8" w:color="auto"/>
              <w:right w:val="single" w:sz="8" w:color="auto"/>
            </w:tcBorders>
            <w:shd w:val="clear" w:color="auto" w:fill="BFBFBF"/>
          </w:tcPr>
          <w:p>
            <w:pPr>
              <w:spacing w:after="0"/>
              <w:rPr>
                <w:sz w:val="20"/>
                <w:szCs w:val="20"/>
                <w:color w:val="auto"/>
              </w:rPr>
            </w:pPr>
          </w:p>
        </w:tc>
        <w:tc>
          <w:tcPr>
            <w:tcW w:w="1060" w:type="dxa"/>
            <w:vAlign w:val="bottom"/>
            <w:tcBorders>
              <w:top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shd w:val="clear" w:color="auto" w:fill="BFBFBF"/>
          </w:tcPr>
          <w:p>
            <w:pPr>
              <w:spacing w:after="0"/>
              <w:rPr>
                <w:sz w:val="18"/>
                <w:szCs w:val="18"/>
                <w:color w:val="auto"/>
              </w:rPr>
            </w:pPr>
          </w:p>
        </w:tc>
        <w:tc>
          <w:tcPr>
            <w:tcW w:w="3620" w:type="dxa"/>
            <w:vAlign w:val="bottom"/>
            <w:tcBorders>
              <w:right w:val="single" w:sz="8" w:color="auto"/>
            </w:tcBorders>
            <w:shd w:val="clear" w:color="auto" w:fill="BFBFBF"/>
          </w:tcPr>
          <w:p>
            <w:pPr>
              <w:spacing w:after="0"/>
              <w:rPr>
                <w:sz w:val="18"/>
                <w:szCs w:val="18"/>
                <w:color w:val="auto"/>
              </w:rPr>
            </w:pP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Subsidiary as</w:t>
            </w:r>
          </w:p>
        </w:tc>
        <w:tc>
          <w:tcPr>
            <w:tcW w:w="1520" w:type="dxa"/>
            <w:vAlign w:val="bottom"/>
            <w:tcBorders>
              <w:right w:val="single" w:sz="8" w:color="auto"/>
            </w:tcBorders>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shd w:val="clear" w:color="auto" w:fill="BFBFBF"/>
          </w:tcPr>
          <w:p>
            <w:pPr>
              <w:spacing w:after="0"/>
              <w:rPr>
                <w:sz w:val="18"/>
                <w:szCs w:val="18"/>
                <w:color w:val="auto"/>
              </w:rPr>
            </w:pPr>
          </w:p>
        </w:tc>
        <w:tc>
          <w:tcPr>
            <w:tcW w:w="3620" w:type="dxa"/>
            <w:vAlign w:val="bottom"/>
            <w:tcBorders>
              <w:right w:val="single" w:sz="8" w:color="auto"/>
            </w:tcBorders>
            <w:shd w:val="clear" w:color="auto" w:fill="BFBFBF"/>
          </w:tcPr>
          <w:p>
            <w:pPr>
              <w:spacing w:after="0"/>
              <w:rPr>
                <w:sz w:val="18"/>
                <w:szCs w:val="18"/>
                <w:color w:val="auto"/>
              </w:rPr>
            </w:pPr>
          </w:p>
        </w:tc>
        <w:tc>
          <w:tcPr>
            <w:tcW w:w="14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2"/>
              </w:rPr>
              <w:t>of</w:t>
            </w:r>
          </w:p>
        </w:tc>
        <w:tc>
          <w:tcPr>
            <w:tcW w:w="1520" w:type="dxa"/>
            <w:vAlign w:val="bottom"/>
            <w:tcBorders>
              <w:right w:val="single" w:sz="8" w:color="auto"/>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Jurisdiction of</w:t>
            </w: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640" w:type="dxa"/>
            <w:vAlign w:val="bottom"/>
            <w:tcBorders>
              <w:left w:val="single" w:sz="8" w:color="auto"/>
              <w:bottom w:val="single" w:sz="8" w:color="BFBFBF"/>
              <w:right w:val="single" w:sz="8" w:color="auto"/>
            </w:tcBorders>
            <w:shd w:val="clear" w:color="auto" w:fill="BFBFBF"/>
          </w:tcPr>
          <w:p>
            <w:pPr>
              <w:ind w:left="1560"/>
              <w:spacing w:after="0"/>
              <w:rPr>
                <w:sz w:val="20"/>
                <w:szCs w:val="20"/>
                <w:color w:val="auto"/>
              </w:rPr>
            </w:pPr>
            <w:r>
              <w:rPr>
                <w:rFonts w:ascii="Arial" w:cs="Arial" w:eastAsia="Arial" w:hAnsi="Arial"/>
                <w:sz w:val="18"/>
                <w:szCs w:val="18"/>
                <w:b w:val="1"/>
                <w:bCs w:val="1"/>
                <w:color w:val="auto"/>
              </w:rPr>
              <w:t>Owner</w:t>
            </w:r>
          </w:p>
        </w:tc>
        <w:tc>
          <w:tcPr>
            <w:tcW w:w="3620" w:type="dxa"/>
            <w:vAlign w:val="bottom"/>
            <w:tcBorders>
              <w:bottom w:val="single" w:sz="8" w:color="BFBFBF"/>
              <w:right w:val="single" w:sz="8" w:color="auto"/>
            </w:tcBorders>
            <w:shd w:val="clear" w:color="auto" w:fill="BFBFBF"/>
          </w:tcPr>
          <w:p>
            <w:pPr>
              <w:ind w:left="1380"/>
              <w:spacing w:after="0"/>
              <w:rPr>
                <w:sz w:val="20"/>
                <w:szCs w:val="20"/>
                <w:color w:val="auto"/>
              </w:rPr>
            </w:pPr>
            <w:r>
              <w:rPr>
                <w:rFonts w:ascii="Arial" w:cs="Arial" w:eastAsia="Arial" w:hAnsi="Arial"/>
                <w:sz w:val="18"/>
                <w:szCs w:val="18"/>
                <w:b w:val="1"/>
                <w:bCs w:val="1"/>
                <w:color w:val="auto"/>
              </w:rPr>
              <w:t>Subsidiary</w:t>
            </w:r>
          </w:p>
        </w:tc>
        <w:tc>
          <w:tcPr>
            <w:tcW w:w="14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12/31/2019</w:t>
            </w:r>
          </w:p>
        </w:tc>
        <w:tc>
          <w:tcPr>
            <w:tcW w:w="1520" w:type="dxa"/>
            <w:vAlign w:val="bottom"/>
            <w:tcBorders>
              <w:bottom w:val="single" w:sz="8" w:color="BFBFBF"/>
              <w:right w:val="single" w:sz="8" w:color="auto"/>
            </w:tcBorders>
            <w:shd w:val="clear" w:color="auto" w:fill="BFBFBF"/>
          </w:tcPr>
          <w:p>
            <w:pPr>
              <w:ind w:left="240"/>
              <w:spacing w:after="0"/>
              <w:rPr>
                <w:sz w:val="20"/>
                <w:szCs w:val="20"/>
                <w:color w:val="auto"/>
              </w:rPr>
            </w:pPr>
            <w:r>
              <w:rPr>
                <w:rFonts w:ascii="Arial" w:cs="Arial" w:eastAsia="Arial" w:hAnsi="Arial"/>
                <w:sz w:val="18"/>
                <w:szCs w:val="18"/>
                <w:b w:val="1"/>
                <w:bCs w:val="1"/>
                <w:color w:val="auto"/>
              </w:rPr>
              <w:t>Organization</w:t>
            </w:r>
          </w:p>
        </w:tc>
        <w:tc>
          <w:tcPr>
            <w:tcW w:w="1060" w:type="dxa"/>
            <w:vAlign w:val="bottom"/>
            <w:tcBorders>
              <w:bottom w:val="single" w:sz="8" w:color="BFBFBF"/>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w w:val="98"/>
              </w:rPr>
              <w:t>Ownership</w:t>
            </w:r>
          </w:p>
        </w:tc>
        <w:tc>
          <w:tcPr>
            <w:tcW w:w="0" w:type="dxa"/>
            <w:vAlign w:val="bottom"/>
          </w:tcPr>
          <w:p>
            <w:pPr>
              <w:spacing w:after="0"/>
              <w:rPr>
                <w:sz w:val="1"/>
                <w:szCs w:val="1"/>
                <w:color w:val="auto"/>
              </w:rPr>
            </w:pPr>
          </w:p>
        </w:tc>
      </w:tr>
      <w:tr>
        <w:trPr>
          <w:trHeight w:val="222"/>
        </w:trPr>
        <w:tc>
          <w:tcPr>
            <w:tcW w:w="3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Regeneron Atlantic Holdings</w:t>
            </w:r>
          </w:p>
        </w:tc>
        <w:tc>
          <w:tcPr>
            <w:tcW w:w="3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Regeneron Ireland Designated Activity</w:t>
            </w:r>
          </w:p>
        </w:tc>
        <w:tc>
          <w:tcPr>
            <w:tcW w:w="14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Ireland</w:t>
            </w:r>
          </w:p>
        </w:tc>
        <w:tc>
          <w:tcPr>
            <w:tcW w:w="1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Company</w:t>
            </w:r>
          </w:p>
        </w:tc>
        <w:tc>
          <w:tcPr>
            <w:tcW w:w="14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Regeneron Ireland Designated Activity</w:t>
            </w: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Capital International B.V.</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Netherlands</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1"/>
        </w:trPr>
        <w:tc>
          <w:tcPr>
            <w:tcW w:w="36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Company</w:t>
            </w:r>
          </w:p>
        </w:tc>
        <w:tc>
          <w:tcPr>
            <w:tcW w:w="36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tcBorders>
              <w:left w:val="single" w:sz="8" w:color="auto"/>
              <w:right w:val="single" w:sz="8" w:color="auto"/>
            </w:tcBorders>
            <w:vMerge w:val="continue"/>
          </w:tcPr>
          <w:p>
            <w:pPr>
              <w:spacing w:after="0"/>
              <w:rPr>
                <w:sz w:val="14"/>
                <w:szCs w:val="14"/>
                <w:color w:val="auto"/>
              </w:rPr>
            </w:pPr>
          </w:p>
        </w:tc>
        <w:tc>
          <w:tcPr>
            <w:tcW w:w="3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Regeneron Spain, S.L.U.</w:t>
            </w: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Spain</w:t>
            </w:r>
          </w:p>
        </w:tc>
        <w:tc>
          <w:tcPr>
            <w:tcW w:w="1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3640" w:type="dxa"/>
            <w:vAlign w:val="bottom"/>
            <w:tcBorders>
              <w:left w:val="single" w:sz="8" w:color="auto"/>
              <w:right w:val="single" w:sz="8" w:color="auto"/>
            </w:tcBorders>
          </w:tcPr>
          <w:p>
            <w:pPr>
              <w:spacing w:after="0"/>
              <w:rPr>
                <w:sz w:val="5"/>
                <w:szCs w:val="5"/>
                <w:color w:val="auto"/>
              </w:rPr>
            </w:pPr>
          </w:p>
        </w:tc>
        <w:tc>
          <w:tcPr>
            <w:tcW w:w="362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640" w:type="dxa"/>
            <w:vAlign w:val="bottom"/>
            <w:tcBorders>
              <w:left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Regeneron Belgium BVBA</w:t>
            </w:r>
          </w:p>
        </w:tc>
        <w:tc>
          <w:tcPr>
            <w:tcW w:w="1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c>
          <w:tcPr>
            <w:tcW w:w="1060" w:type="dxa"/>
            <w:vAlign w:val="bottom"/>
            <w:tcBorders>
              <w:bottom w:val="single" w:sz="8" w:color="auto"/>
              <w:right w:val="single" w:sz="8" w:color="auto"/>
            </w:tcBorders>
          </w:tcPr>
          <w:p>
            <w:pPr>
              <w:ind w:left="100"/>
              <w:spacing w:after="0" w:line="303" w:lineRule="exact"/>
              <w:rPr>
                <w:sz w:val="20"/>
                <w:szCs w:val="20"/>
                <w:color w:val="auto"/>
              </w:rPr>
            </w:pPr>
            <w:r>
              <w:rPr>
                <w:rFonts w:ascii="Arial" w:cs="Arial" w:eastAsia="Arial" w:hAnsi="Arial"/>
                <w:sz w:val="18"/>
                <w:szCs w:val="18"/>
                <w:color w:val="auto"/>
              </w:rPr>
              <w:t>99.99%</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spacing w:after="0"/>
              <w:rPr>
                <w:sz w:val="19"/>
                <w:szCs w:val="19"/>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UK Limited</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England and</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Wales</w:t>
            </w: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GmbH</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Regeneron NL B.V.</w:t>
            </w:r>
          </w:p>
        </w:tc>
        <w:tc>
          <w:tcPr>
            <w:tcW w:w="1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w:t>
            </w:r>
          </w:p>
        </w:tc>
        <w:tc>
          <w:tcPr>
            <w:tcW w:w="1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Netherlands</w:t>
            </w:r>
          </w:p>
        </w:tc>
        <w:tc>
          <w:tcPr>
            <w:tcW w:w="1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174"/>
        </w:numPr>
        <w:rPr>
          <w:rFonts w:ascii="Arial" w:cs="Arial" w:eastAsia="Arial" w:hAnsi="Arial"/>
          <w:sz w:val="30"/>
          <w:szCs w:val="30"/>
          <w:color w:val="auto"/>
          <w:vertAlign w:val="superscript"/>
        </w:rPr>
      </w:pPr>
      <w:r>
        <w:rPr>
          <w:rFonts w:ascii="Arial" w:cs="Arial" w:eastAsia="Arial" w:hAnsi="Arial"/>
          <w:sz w:val="18"/>
          <w:szCs w:val="18"/>
          <w:color w:val="auto"/>
        </w:rPr>
        <w:t>0.01% held by Regeneron Spain, S.L.U. (1 share).</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 3.01-2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1" w:name="page152"/>
    <w:bookmarkEnd w:id="151"/>
    <w:p>
      <w:pPr>
        <w:jc w:val="center"/>
        <w:ind w:right="-1120"/>
        <w:spacing w:after="0"/>
        <w:rPr>
          <w:sz w:val="20"/>
          <w:szCs w:val="20"/>
          <w:color w:val="auto"/>
        </w:rPr>
      </w:pPr>
      <w:r>
        <w:rPr>
          <w:rFonts w:ascii="Arial" w:cs="Arial" w:eastAsia="Arial" w:hAnsi="Arial"/>
          <w:sz w:val="18"/>
          <w:szCs w:val="18"/>
          <w:color w:val="auto"/>
        </w:rPr>
        <w:t>SCHEDULE 6.01</w:t>
      </w:r>
    </w:p>
    <w:p>
      <w:pPr>
        <w:spacing w:after="0" w:line="225"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EXISTING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Sched. 6.01-1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152" w:name="page153"/>
    <w:bookmarkEnd w:id="152"/>
    <w:p>
      <w:pPr>
        <w:ind w:left="4980"/>
        <w:spacing w:after="0"/>
        <w:rPr>
          <w:sz w:val="20"/>
          <w:szCs w:val="20"/>
          <w:color w:val="auto"/>
        </w:rPr>
      </w:pPr>
      <w:r>
        <w:rPr>
          <w:rFonts w:ascii="Arial" w:cs="Arial" w:eastAsia="Arial" w:hAnsi="Arial"/>
          <w:sz w:val="17"/>
          <w:szCs w:val="17"/>
          <w:color w:val="auto"/>
        </w:rPr>
        <w:t>SCHEDULE 6.02</w:t>
      </w:r>
    </w:p>
    <w:p>
      <w:pPr>
        <w:spacing w:after="0" w:line="237"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EXISTING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Sched. 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SCHEDULE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REPURCHASE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Borrower and Sanofi, a company organized under the laws of France (the “</w:t>
      </w:r>
      <w:r>
        <w:rPr>
          <w:rFonts w:ascii="Arial" w:cs="Arial" w:eastAsia="Arial" w:hAnsi="Arial"/>
          <w:sz w:val="17"/>
          <w:szCs w:val="17"/>
          <w:b w:val="1"/>
          <w:bCs w:val="1"/>
          <w:color w:val="auto"/>
        </w:rPr>
        <w:t>Selling Shareholder</w:t>
      </w:r>
      <w:r>
        <w:rPr>
          <w:rFonts w:ascii="Arial" w:cs="Arial" w:eastAsia="Arial" w:hAnsi="Arial"/>
          <w:sz w:val="17"/>
          <w:szCs w:val="17"/>
          <w:color w:val="auto"/>
        </w:rPr>
        <w:t>”) propose to enter into a transaction whereby the Selling Shareholder proposes to sell to the Borrower, and the Borrower proposes to purchase from the Selling Shareholder, shares of the Borrower’s common stock, par value $0.001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pursuant to the terms and conditions of a stock repurchase agreement proposed to be entered into between the Borrower and the Selling Shareholder on or about the date hereof (any such agreement as amended, supplemented or otherwise modified from time to time in accordance with the terms thereof, the “</w:t>
      </w:r>
      <w:r>
        <w:rPr>
          <w:rFonts w:ascii="Arial" w:cs="Arial" w:eastAsia="Arial" w:hAnsi="Arial"/>
          <w:sz w:val="17"/>
          <w:szCs w:val="17"/>
          <w:b w:val="1"/>
          <w:bCs w:val="1"/>
          <w:color w:val="auto"/>
        </w:rPr>
        <w:t>Stock Repurchase Agreement</w:t>
      </w:r>
      <w:r>
        <w:rPr>
          <w:rFonts w:ascii="Arial" w:cs="Arial" w:eastAsia="Arial" w:hAnsi="Arial"/>
          <w:sz w:val="17"/>
          <w:szCs w:val="17"/>
          <w:color w:val="auto"/>
        </w:rPr>
        <w:t>”).</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Selling Shareholder and its affiliates propose to sell through an underwritten public offering a certain number of shares of Common Stock held by the Selling Shareholder and its affiliates as of the Effective Date (such offering, the “</w:t>
      </w:r>
      <w:r>
        <w:rPr>
          <w:rFonts w:ascii="Arial" w:cs="Arial" w:eastAsia="Arial" w:hAnsi="Arial"/>
          <w:sz w:val="18"/>
          <w:szCs w:val="18"/>
          <w:b w:val="1"/>
          <w:bCs w:val="1"/>
          <w:color w:val="auto"/>
        </w:rPr>
        <w:t>Secondary Offering</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Secondary Offering is proposed to be consummated in accordance with the terms and conditions of an underwriting agreement proposed to be entered into among the Borrower, the Selling Shareholder, and the representatives (including an affiliate of the Initial Lender, as one of the representatives) of the underwriters to be identified therein (such agreement as amended, supplemented or otherwise modified from time to time in accordance with the terms thereof).</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avoidance of doubt, for purposes of the Loan Documents, a “Share Repurchase” will be deemed to include any repurchase by the Company from the Selling Shareholder of shares of Common Stock held by the Selling Shareholder and its affiliates as of the date hereof whether pursuant to the Stock Repurchase Agreement or otherwise, to the extent that such repurchase occurs on or prior to the later of June 5, 2020 and the date on which the Stock Repurchase Agreement has been terminated; provided that, for purposes of Section 2.11(a)(ii) of this Agreement, “Share Repurchase” shall not include or be deemed to refer to such repurchase(s) in excess of an amount equal to the sum of (i) the aggregate principal amount of the Commitments as of the Effective Date and (ii) the aggregate principal amount of Loans borrowed under additional Commitments (if any) that become effective pursuant to Section 2.20 of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facility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79"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Assignor:</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-267335</wp:posOffset>
            </wp:positionV>
            <wp:extent cx="16459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14605</wp:posOffset>
            </wp:positionV>
            <wp:extent cx="16459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[and is an Affiliate/Approved Fund of [identify Lender]</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309"/>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2200" w:type="dxa"/>
            <w:vAlign w:val="bottom"/>
          </w:tcPr>
          <w:p>
            <w:pPr>
              <w:ind w:left="260"/>
              <w:spacing w:after="0"/>
              <w:rPr>
                <w:sz w:val="20"/>
                <w:szCs w:val="20"/>
                <w:color w:val="auto"/>
              </w:rPr>
            </w:pPr>
            <w:r>
              <w:rPr>
                <w:rFonts w:ascii="Arial" w:cs="Arial" w:eastAsia="Arial" w:hAnsi="Arial"/>
                <w:sz w:val="18"/>
                <w:szCs w:val="18"/>
                <w:color w:val="auto"/>
              </w:rPr>
              <w:t>Borrower:</w:t>
            </w: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Regeneron Pharmaceuticals, Inc.</w:t>
            </w:r>
          </w:p>
        </w:tc>
      </w:tr>
      <w:tr>
        <w:trPr>
          <w:trHeight w:val="426"/>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2200" w:type="dxa"/>
            <w:vAlign w:val="bottom"/>
          </w:tcPr>
          <w:p>
            <w:pPr>
              <w:ind w:left="260"/>
              <w:spacing w:after="0"/>
              <w:rPr>
                <w:sz w:val="20"/>
                <w:szCs w:val="20"/>
                <w:color w:val="auto"/>
              </w:rPr>
            </w:pPr>
            <w:r>
              <w:rPr>
                <w:rFonts w:ascii="Arial" w:cs="Arial" w:eastAsia="Arial" w:hAnsi="Arial"/>
                <w:sz w:val="18"/>
                <w:szCs w:val="18"/>
                <w:color w:val="auto"/>
              </w:rPr>
              <w:t>Administrative Agent:</w:t>
            </w:r>
          </w:p>
        </w:tc>
        <w:tc>
          <w:tcPr>
            <w:tcW w:w="8640" w:type="dxa"/>
            <w:vAlign w:val="bottom"/>
          </w:tcPr>
          <w:p>
            <w:pPr>
              <w:spacing w:after="0"/>
              <w:rPr>
                <w:sz w:val="20"/>
                <w:szCs w:val="20"/>
                <w:color w:val="auto"/>
              </w:rPr>
            </w:pPr>
            <w:r>
              <w:rPr>
                <w:rFonts w:ascii="Arial" w:cs="Arial" w:eastAsia="Arial" w:hAnsi="Arial"/>
                <w:sz w:val="18"/>
                <w:szCs w:val="18"/>
                <w:color w:val="auto"/>
              </w:rPr>
              <w:t>Goldman Sachs Bank USA, as the administrative agent under the Credit Agreement</w:t>
            </w: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2200" w:type="dxa"/>
            <w:vAlign w:val="bottom"/>
          </w:tcPr>
          <w:p>
            <w:pPr>
              <w:ind w:left="260"/>
              <w:spacing w:after="0"/>
              <w:rPr>
                <w:sz w:val="20"/>
                <w:szCs w:val="20"/>
                <w:color w:val="auto"/>
              </w:rPr>
            </w:pPr>
            <w:r>
              <w:rPr>
                <w:rFonts w:ascii="Arial" w:cs="Arial" w:eastAsia="Arial" w:hAnsi="Arial"/>
                <w:sz w:val="18"/>
                <w:szCs w:val="18"/>
                <w:color w:val="auto"/>
              </w:rPr>
              <w:t>Credit Agreement:</w:t>
            </w:r>
          </w:p>
        </w:tc>
        <w:tc>
          <w:tcPr>
            <w:tcW w:w="8640" w:type="dxa"/>
            <w:vAlign w:val="bottom"/>
          </w:tcPr>
          <w:p>
            <w:pPr>
              <w:spacing w:after="0"/>
              <w:rPr>
                <w:sz w:val="20"/>
                <w:szCs w:val="20"/>
                <w:color w:val="auto"/>
              </w:rPr>
            </w:pPr>
            <w:r>
              <w:rPr>
                <w:rFonts w:ascii="Arial" w:cs="Arial" w:eastAsia="Arial" w:hAnsi="Arial"/>
                <w:sz w:val="18"/>
                <w:szCs w:val="18"/>
                <w:color w:val="auto"/>
                <w:w w:val="89"/>
              </w:rPr>
              <w:t>The Credit Agreement dated as of May 25, 2020 among Regeneron Pharmaceuticals, Inc.</w:t>
            </w:r>
            <w:r>
              <w:rPr>
                <w:rFonts w:ascii="Arial" w:cs="Arial" w:eastAsia="Arial" w:hAnsi="Arial"/>
                <w:sz w:val="18"/>
                <w:szCs w:val="18"/>
                <w:b w:val="1"/>
                <w:bCs w:val="1"/>
                <w:color w:val="auto"/>
                <w:w w:val="89"/>
              </w:rPr>
              <w:t>,</w:t>
            </w:r>
            <w:r>
              <w:rPr>
                <w:rFonts w:ascii="Arial" w:cs="Arial" w:eastAsia="Arial" w:hAnsi="Arial"/>
                <w:sz w:val="18"/>
                <w:szCs w:val="18"/>
                <w:color w:val="auto"/>
                <w:w w:val="89"/>
              </w:rPr>
              <w:t xml:space="preserve"> the Lenders party thereto and</w:t>
            </w:r>
          </w:p>
        </w:tc>
      </w:tr>
      <w:tr>
        <w:trPr>
          <w:trHeight w:val="230"/>
        </w:trPr>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Goldman Sachs Bank USA, as Administrative Agent</w:t>
            </w:r>
          </w:p>
        </w:tc>
      </w:tr>
    </w:tbl>
    <w:p>
      <w:pPr>
        <w:spacing w:after="0" w:line="202"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1" w:lineRule="exact"/>
        <w:rPr>
          <w:sz w:val="20"/>
          <w:szCs w:val="20"/>
          <w:color w:val="auto"/>
        </w:rPr>
      </w:pPr>
    </w:p>
    <w:p>
      <w:pPr>
        <w:ind w:left="120" w:hanging="112"/>
        <w:spacing w:after="0"/>
        <w:tabs>
          <w:tab w:leader="none" w:pos="120" w:val="left"/>
        </w:tabs>
        <w:numPr>
          <w:ilvl w:val="0"/>
          <w:numId w:val="177"/>
        </w:numPr>
        <w:rPr>
          <w:rFonts w:ascii="Arial" w:cs="Arial" w:eastAsia="Arial" w:hAnsi="Arial"/>
          <w:sz w:val="30"/>
          <w:szCs w:val="30"/>
          <w:color w:val="auto"/>
          <w:vertAlign w:val="superscript"/>
        </w:rPr>
      </w:pPr>
      <w:r>
        <w:rPr>
          <w:rFonts w:ascii="Arial" w:cs="Arial" w:eastAsia="Arial" w:hAnsi="Arial"/>
          <w:sz w:val="18"/>
          <w:szCs w:val="18"/>
          <w:color w:val="auto"/>
        </w:rPr>
        <w:t>Select as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tbl>
      <w:tblPr>
        <w:tblLayout w:type="fixed"/>
        <w:tblInd w:w="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6"/>
              </w:rPr>
              <w:t>Aggregate Amount of Commitment/Loans for all</w:t>
            </w:r>
          </w:p>
        </w:tc>
        <w:tc>
          <w:tcPr>
            <w:tcW w:w="370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Amount of Commitment/Loans Assigned</w:t>
            </w:r>
          </w:p>
        </w:tc>
        <w:tc>
          <w:tcPr>
            <w:tcW w:w="3700" w:type="dxa"/>
            <w:vAlign w:val="bottom"/>
            <w:tcBorders>
              <w:top w:val="single" w:sz="8" w:color="auto"/>
              <w:right w:val="single" w:sz="8" w:color="auto"/>
            </w:tcBorders>
          </w:tcPr>
          <w:p>
            <w:pPr>
              <w:jc w:val="right"/>
              <w:ind w:right="153"/>
              <w:spacing w:after="0" w:line="216" w:lineRule="exact"/>
              <w:rPr>
                <w:sz w:val="20"/>
                <w:szCs w:val="20"/>
                <w:color w:val="auto"/>
              </w:rPr>
            </w:pPr>
            <w:r>
              <w:rPr>
                <w:rFonts w:ascii="Arial" w:cs="Arial" w:eastAsia="Arial" w:hAnsi="Arial"/>
                <w:sz w:val="16"/>
                <w:szCs w:val="16"/>
                <w:color w:val="auto"/>
              </w:rPr>
              <w:t>Percentage Assigned of Commitment/Loans</w:t>
            </w:r>
            <w:r>
              <w:rPr>
                <w:rFonts w:ascii="Arial" w:cs="Arial" w:eastAsia="Arial" w:hAnsi="Arial"/>
                <w:sz w:val="25"/>
                <w:szCs w:val="25"/>
                <w:color w:val="auto"/>
                <w:vertAlign w:val="superscript"/>
              </w:rPr>
              <w:t>2</w:t>
            </w:r>
          </w:p>
        </w:tc>
      </w:tr>
      <w:tr>
        <w:trPr>
          <w:trHeight w:val="229"/>
        </w:trPr>
        <w:tc>
          <w:tcPr>
            <w:tcW w:w="3840" w:type="dxa"/>
            <w:vAlign w:val="bottom"/>
            <w:tcBorders>
              <w:left w:val="single" w:sz="8" w:color="auto"/>
              <w:bottom w:val="single" w:sz="8" w:color="auto"/>
              <w:right w:val="single" w:sz="8" w:color="auto"/>
            </w:tcBorders>
          </w:tcPr>
          <w:p>
            <w:pPr>
              <w:jc w:val="right"/>
              <w:ind w:right="1530"/>
              <w:spacing w:after="0"/>
              <w:rPr>
                <w:sz w:val="20"/>
                <w:szCs w:val="20"/>
                <w:color w:val="auto"/>
              </w:rPr>
            </w:pPr>
            <w:r>
              <w:rPr>
                <w:rFonts w:ascii="Arial" w:cs="Arial" w:eastAsia="Arial" w:hAnsi="Arial"/>
                <w:sz w:val="18"/>
                <w:szCs w:val="18"/>
                <w:color w:val="auto"/>
              </w:rPr>
              <w:t>Lenders</w:t>
            </w: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09"/>
        </w:trPr>
        <w:tc>
          <w:tcPr>
            <w:tcW w:w="3840" w:type="dxa"/>
            <w:vAlign w:val="bottom"/>
            <w:tcBorders>
              <w:left w:val="single" w:sz="8" w:color="auto"/>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353"/>
              <w:spacing w:after="0"/>
              <w:rPr>
                <w:sz w:val="20"/>
                <w:szCs w:val="20"/>
                <w:color w:val="auto"/>
              </w:rPr>
            </w:pPr>
            <w:r>
              <w:rPr>
                <w:rFonts w:ascii="Arial" w:cs="Arial" w:eastAsia="Arial" w:hAnsi="Arial"/>
                <w:sz w:val="18"/>
                <w:szCs w:val="18"/>
                <w:color w:val="auto"/>
              </w:rPr>
              <w:t>%</w:t>
            </w:r>
          </w:p>
        </w:tc>
      </w:tr>
      <w:tr>
        <w:trPr>
          <w:trHeight w:val="210"/>
        </w:trPr>
        <w:tc>
          <w:tcPr>
            <w:tcW w:w="3840" w:type="dxa"/>
            <w:vAlign w:val="bottom"/>
            <w:tcBorders>
              <w:left w:val="single" w:sz="8" w:color="auto"/>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353"/>
              <w:spacing w:after="0"/>
              <w:rPr>
                <w:sz w:val="20"/>
                <w:szCs w:val="20"/>
                <w:color w:val="auto"/>
              </w:rPr>
            </w:pPr>
            <w:r>
              <w:rPr>
                <w:rFonts w:ascii="Arial" w:cs="Arial" w:eastAsia="Arial" w:hAnsi="Arial"/>
                <w:sz w:val="18"/>
                <w:szCs w:val="18"/>
                <w:color w:val="auto"/>
              </w:rPr>
              <w:t>%</w:t>
            </w:r>
          </w:p>
        </w:tc>
      </w:tr>
      <w:tr>
        <w:trPr>
          <w:trHeight w:val="209"/>
        </w:trPr>
        <w:tc>
          <w:tcPr>
            <w:tcW w:w="3840" w:type="dxa"/>
            <w:vAlign w:val="bottom"/>
            <w:tcBorders>
              <w:left w:val="single" w:sz="8" w:color="auto"/>
              <w:bottom w:val="single" w:sz="8" w:color="auto"/>
              <w:right w:val="single" w:sz="8" w:color="auto"/>
            </w:tcBorders>
          </w:tcPr>
          <w:p>
            <w:pPr>
              <w:jc w:val="right"/>
              <w:ind w:right="353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410"/>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auto"/>
              <w:right w:val="single" w:sz="8" w:color="auto"/>
            </w:tcBorders>
          </w:tcPr>
          <w:p>
            <w:pPr>
              <w:jc w:val="right"/>
              <w:ind w:right="3353"/>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other Loan Parties and their respective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5" w:lineRule="exact"/>
        <w:rPr>
          <w:sz w:val="20"/>
          <w:szCs w:val="20"/>
          <w:color w:val="auto"/>
        </w:rPr>
      </w:pPr>
    </w:p>
    <w:p>
      <w:pPr>
        <w:ind w:left="5200" w:right="3960" w:hanging="5192"/>
        <w:spacing w:after="0" w:line="618" w:lineRule="auto"/>
        <w:tabs>
          <w:tab w:leader="none" w:pos="131" w:val="left"/>
        </w:tabs>
        <w:numPr>
          <w:ilvl w:val="0"/>
          <w:numId w:val="178"/>
        </w:numPr>
        <w:rPr>
          <w:rFonts w:ascii="Arial" w:cs="Arial" w:eastAsia="Arial" w:hAnsi="Arial"/>
          <w:sz w:val="30"/>
          <w:szCs w:val="30"/>
          <w:color w:val="auto"/>
          <w:vertAlign w:val="superscript"/>
        </w:rPr>
      </w:pPr>
      <w:r>
        <w:rPr>
          <w:rFonts w:ascii="Arial" w:cs="Arial" w:eastAsia="Arial" w:hAnsi="Arial"/>
          <w:sz w:val="18"/>
          <w:szCs w:val="18"/>
          <w:color w:val="auto"/>
        </w:rPr>
        <w:t>Set forth, so at least 9 decimals, as percentage of the Commitment/Loans of all Lenders thereunder. 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5" w:lineRule="exact"/>
        <w:rPr>
          <w:sz w:val="20"/>
          <w:szCs w:val="20"/>
          <w:color w:val="auto"/>
        </w:rPr>
      </w:pPr>
    </w:p>
    <w:p>
      <w:pPr>
        <w:ind w:left="5200" w:right="219" w:hanging="5192"/>
        <w:spacing w:after="0" w:line="618" w:lineRule="auto"/>
        <w:tabs>
          <w:tab w:leader="none" w:pos="128"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color w:val="auto"/>
        </w:rPr>
        <w:t>To be added only if the consent of the Borrower is required by the terms of the Credit Agreement and/or the Syndication and Fee Letter. 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57" w:name="page158"/>
    <w:bookmarkEnd w:id="157"/>
    <w:p>
      <w:pPr>
        <w:ind w:left="10500"/>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840" w:hanging="536"/>
        <w:spacing w:after="0"/>
        <w:tabs>
          <w:tab w:leader="none" w:pos="18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3" w:lineRule="exact"/>
        <w:rPr>
          <w:sz w:val="20"/>
          <w:szCs w:val="20"/>
          <w:color w:val="auto"/>
        </w:rPr>
      </w:pPr>
    </w:p>
    <w:p>
      <w:pPr>
        <w:jc w:val="both"/>
        <w:ind w:firstLine="8"/>
        <w:spacing w:after="0" w:line="255" w:lineRule="auto"/>
        <w:tabs>
          <w:tab w:leader="none" w:pos="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of the credit facility evidenced by the Credit Agreement or any other Lender and their respective Related Parties, and (v) attached to the Assignment and Assumption is any documentation required to be delivered by it pursuant to the terms of the Credit Agreement, duly completed and executed by the Assignee; and</w:t>
      </w:r>
    </w:p>
    <w:p>
      <w:pPr>
        <w:spacing w:after="0" w:line="5" w:lineRule="exact"/>
        <w:rPr>
          <w:sz w:val="20"/>
          <w:szCs w:val="20"/>
          <w:color w:val="auto"/>
        </w:rPr>
      </w:pPr>
    </w:p>
    <w:p>
      <w:pPr>
        <w:jc w:val="both"/>
        <w:ind w:firstLine="8"/>
        <w:spacing w:after="0" w:line="273" w:lineRule="auto"/>
        <w:tabs>
          <w:tab w:leader="none" w:pos="27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agrees that (i) it will, independently and without reliance on the Administrative Agent, any arranger of the credit facility evidenced by the Credit Agreement, the Assignor or any other Lender and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025"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93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INCREASING LENDER SUPPLEMENT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INCREASING LENDER SUPPLEMENT, dated __________, 20___ (this “</w:t>
      </w:r>
      <w:r>
        <w:rPr>
          <w:rFonts w:ascii="Arial" w:cs="Arial" w:eastAsia="Arial" w:hAnsi="Arial"/>
          <w:sz w:val="17"/>
          <w:szCs w:val="17"/>
          <w:u w:val="single" w:color="auto"/>
          <w:color w:val="auto"/>
        </w:rPr>
        <w:t>Supplement</w:t>
      </w:r>
      <w:r>
        <w:rPr>
          <w:rFonts w:ascii="Arial" w:cs="Arial" w:eastAsia="Arial" w:hAnsi="Arial"/>
          <w:sz w:val="17"/>
          <w:szCs w:val="17"/>
          <w:color w:val="auto"/>
        </w:rPr>
        <w:t>”), by and among each of the signatories hereto, to the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Credit Agreement, the Borrower has the right, subject to the terms and conditions thereof, to effectuate from time to time an increase in the aggregate Commitment under the Credit Agreement by requesting one or more Lenders to increase the amount of its Commitment;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the Borrower has given notice to the Administrative Agent of its intention to increase the Commitment pursuant to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2.20</w:t>
      </w:r>
      <w:r>
        <w:rPr>
          <w:rFonts w:ascii="Arial" w:cs="Arial" w:eastAsia="Arial" w:hAnsi="Arial"/>
          <w:sz w:val="18"/>
          <w:szCs w:val="18"/>
          <w:color w:val="auto"/>
        </w:rPr>
        <w:t>; and</w:t>
      </w:r>
    </w:p>
    <w:p>
      <w:pPr>
        <w:spacing w:after="0" w:line="21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of the Credit Agreement, the undersigned Increasing Lender now desires to increase the amount of its Commitment under the Credit Agreement by executing and delivering to the Borrower and the Administrative Agent this Supplement;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jc w:val="both"/>
        <w:ind w:firstLine="1304"/>
        <w:spacing w:after="0" w:line="263" w:lineRule="auto"/>
        <w:tabs>
          <w:tab w:leader="none" w:pos="190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undersigned Increasing Lender agrees, subject to the terms and conditions of the Credit Agreement, that on the date of this Supplement it shall have its Commitment increased by $[__________], thereby making the aggregate amount of its total Commitments equal to $[__________].</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Borrower hereby represents and warrants that no Default or Event of Default has occurred and is continuing on and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hereof.</w:t>
      </w:r>
    </w:p>
    <w:p>
      <w:pPr>
        <w:spacing w:after="0" w:line="210" w:lineRule="exact"/>
        <w:rPr>
          <w:rFonts w:ascii="Arial" w:cs="Arial" w:eastAsia="Arial" w:hAnsi="Arial"/>
          <w:sz w:val="16"/>
          <w:szCs w:val="16"/>
          <w:color w:val="auto"/>
        </w:rPr>
      </w:pPr>
    </w:p>
    <w:p>
      <w:pPr>
        <w:ind w:left="1840" w:hanging="536"/>
        <w:spacing w:after="0"/>
        <w:tabs>
          <w:tab w:leader="none" w:pos="18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840" w:hanging="536"/>
        <w:spacing w:after="0"/>
        <w:tabs>
          <w:tab w:leader="none" w:pos="18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1304"/>
        <w:spacing w:after="0" w:line="308" w:lineRule="auto"/>
        <w:tabs>
          <w:tab w:leader="none" w:pos="187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firstLine="1296"/>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INCREASING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AUGMENTING LENDER SUPPLEMENT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AUGMENTING LENDER SUPPLEMENT, dated __________, 20___ (this “</w:t>
      </w:r>
      <w:r>
        <w:rPr>
          <w:rFonts w:ascii="Arial" w:cs="Arial" w:eastAsia="Arial" w:hAnsi="Arial"/>
          <w:sz w:val="16"/>
          <w:szCs w:val="16"/>
          <w:u w:val="single" w:color="auto"/>
          <w:color w:val="auto"/>
        </w:rPr>
        <w:t>Supplement</w:t>
      </w:r>
      <w:r>
        <w:rPr>
          <w:rFonts w:ascii="Arial" w:cs="Arial" w:eastAsia="Arial" w:hAnsi="Arial"/>
          <w:sz w:val="16"/>
          <w:szCs w:val="16"/>
          <w:color w:val="auto"/>
        </w:rPr>
        <w:t>”), by and among each of the signatories hereto,</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WHEREAS, the Credit Agreement provides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thereof that any bank, financial institution or other entity may extend Commitments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the undersigned Augmenting Lender was not an original party to the Credit Agreement but now desires to become a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225" w:lineRule="exact"/>
        <w:rPr>
          <w:sz w:val="20"/>
          <w:szCs w:val="20"/>
          <w:color w:val="auto"/>
        </w:rPr>
      </w:pPr>
    </w:p>
    <w:p>
      <w:pPr>
        <w:jc w:val="both"/>
        <w:ind w:right="20" w:firstLine="1304"/>
        <w:spacing w:after="0" w:line="263" w:lineRule="auto"/>
        <w:tabs>
          <w:tab w:leader="none" w:pos="147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with respect to Loans of $[__________].</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The undersigned Augmenting Lender (a) represents and warrants that it is legally authorized to enter into this Supplement;</w:t>
      </w:r>
    </w:p>
    <w:p>
      <w:pPr>
        <w:spacing w:after="0" w:line="34" w:lineRule="exact"/>
        <w:rPr>
          <w:rFonts w:ascii="Arial" w:cs="Arial" w:eastAsia="Arial" w:hAnsi="Arial"/>
          <w:sz w:val="17"/>
          <w:szCs w:val="17"/>
          <w:color w:val="auto"/>
        </w:rPr>
      </w:pPr>
    </w:p>
    <w:p>
      <w:pPr>
        <w:jc w:val="both"/>
        <w:ind w:firstLine="8"/>
        <w:spacing w:after="0" w:line="268" w:lineRule="auto"/>
        <w:tabs>
          <w:tab w:leader="none" w:pos="2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confirms that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1" w:name="page162"/>
    <w:bookmarkEnd w:id="161"/>
    <w:p>
      <w:pPr>
        <w:ind w:left="1960" w:right="3040" w:hanging="656"/>
        <w:spacing w:after="0" w:line="500" w:lineRule="auto"/>
        <w:tabs>
          <w:tab w:leader="none" w:pos="149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undersigned’s address for notices for the purposes of the Credit Agreement is as follows: [___________]</w:t>
      </w:r>
    </w:p>
    <w:p>
      <w:pPr>
        <w:spacing w:after="0" w:line="1" w:lineRule="exact"/>
        <w:rPr>
          <w:rFonts w:ascii="Arial" w:cs="Arial" w:eastAsia="Arial" w:hAnsi="Arial"/>
          <w:sz w:val="18"/>
          <w:szCs w:val="18"/>
          <w:color w:val="auto"/>
        </w:rPr>
      </w:pPr>
    </w:p>
    <w:p>
      <w:pPr>
        <w:ind w:left="1480" w:hanging="176"/>
        <w:spacing w:after="0"/>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Borrower hereby represents and warrants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480" w:hanging="176"/>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225" w:lineRule="exact"/>
        <w:rPr>
          <w:rFonts w:ascii="Arial" w:cs="Arial" w:eastAsia="Arial" w:hAnsi="Arial"/>
          <w:sz w:val="18"/>
          <w:szCs w:val="18"/>
          <w:color w:val="auto"/>
        </w:rPr>
      </w:pPr>
    </w:p>
    <w:p>
      <w:pPr>
        <w:ind w:left="1480" w:hanging="176"/>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1304"/>
        <w:spacing w:after="0" w:line="308" w:lineRule="auto"/>
        <w:tabs>
          <w:tab w:leader="none" w:pos="147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left="60" w:firstLine="1296"/>
        <w:spacing w:after="0" w:line="277" w:lineRule="auto"/>
        <w:rPr>
          <w:sz w:val="20"/>
          <w:szCs w:val="20"/>
          <w:color w:val="auto"/>
        </w:rPr>
      </w:pPr>
      <w:r>
        <w:rPr>
          <w:rFonts w:ascii="Arial" w:cs="Arial" w:eastAsia="Arial" w:hAnsi="Arial"/>
          <w:sz w:val="18"/>
          <w:szCs w:val="18"/>
          <w:color w:val="auto"/>
        </w:rPr>
        <w:t>IN WITNESS WHEREOF, each of the undersigned has caused this Supplement to be executed and delivered by a duly authorized officer on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AUGMENTING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14605</wp:posOffset>
            </wp:positionV>
            <wp:extent cx="33686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30346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Acknowledged as of the date first written above: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3034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00"/>
          </w:cols>
          <w:pgMar w:left="260" w:top="908" w:right="339" w:bottom="1440" w:gutter="0" w:footer="0" w:header="0"/>
        </w:sectPr>
      </w:pPr>
    </w:p>
    <w:bookmarkStart w:id="163" w:name="page164"/>
    <w:bookmarkEnd w:id="163"/>
    <w:p>
      <w:pPr>
        <w:jc w:val="center"/>
        <w:ind w:right="-11"/>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LIST OF EFFECTIVE DATE DOCUMENTS</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CREDIT FACILITY</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May 25, 2020</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LIST OF EFFECTIVE DATE DOCUMENTS</w:t>
      </w:r>
      <w:r>
        <w:rPr>
          <w:rFonts w:ascii="Arial" w:cs="Arial" w:eastAsia="Arial" w:hAnsi="Arial"/>
          <w:sz w:val="29"/>
          <w:szCs w:val="29"/>
          <w:color w:val="auto"/>
          <w:vertAlign w:val="superscript"/>
        </w:rPr>
        <w:t>1</w:t>
      </w:r>
    </w:p>
    <w:p>
      <w:pPr>
        <w:spacing w:after="0" w:line="131" w:lineRule="exact"/>
        <w:rPr>
          <w:sz w:val="20"/>
          <w:szCs w:val="20"/>
          <w:color w:val="auto"/>
        </w:rPr>
      </w:pPr>
    </w:p>
    <w:p>
      <w:pPr>
        <w:ind w:left="4992" w:hanging="488"/>
        <w:spacing w:after="0"/>
        <w:tabs>
          <w:tab w:leader="none" w:pos="4992" w:val="left"/>
        </w:tabs>
        <w:numPr>
          <w:ilvl w:val="1"/>
          <w:numId w:val="188"/>
        </w:numPr>
        <w:rPr>
          <w:rFonts w:ascii="Arial" w:cs="Arial" w:eastAsia="Arial" w:hAnsi="Arial"/>
          <w:sz w:val="18"/>
          <w:szCs w:val="18"/>
          <w:color w:val="auto"/>
        </w:rPr>
      </w:pPr>
      <w:r>
        <w:rPr>
          <w:rFonts w:ascii="Arial" w:cs="Arial" w:eastAsia="Arial" w:hAnsi="Arial"/>
          <w:sz w:val="18"/>
          <w:szCs w:val="18"/>
          <w:b w:val="1"/>
          <w:bCs w:val="1"/>
          <w:color w:val="auto"/>
        </w:rPr>
        <w:t>LOAN DOCUMENTS</w:t>
      </w:r>
    </w:p>
    <w:p>
      <w:pPr>
        <w:spacing w:after="0" w:line="229"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Regeneron Pharmaceuticals, Inc., a New York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institutions from time to time parties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Goldman Sachs Bank USA, in its capacity as Administrative Agent for itself and the other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evidencing a term loan credit facility to the Borrower from the Lenders in an initial aggregate principal amount of $1,500,000,000.</w:t>
      </w:r>
    </w:p>
    <w:p>
      <w:pPr>
        <w:spacing w:after="0" w:line="187" w:lineRule="exact"/>
        <w:rPr>
          <w:sz w:val="20"/>
          <w:szCs w:val="20"/>
          <w:color w:val="auto"/>
        </w:rPr>
      </w:pPr>
    </w:p>
    <w:tbl>
      <w:tblPr>
        <w:tblLayout w:type="fixed"/>
        <w:tblInd w:w="892"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0" w:type="dxa"/>
            <w:vAlign w:val="bottom"/>
          </w:tcPr>
          <w:p>
            <w:pPr>
              <w:ind w:left="1660"/>
              <w:spacing w:after="0"/>
              <w:rPr>
                <w:sz w:val="20"/>
                <w:szCs w:val="20"/>
                <w:color w:val="auto"/>
              </w:rPr>
            </w:pPr>
            <w:r>
              <w:rPr>
                <w:rFonts w:ascii="Arial" w:cs="Arial" w:eastAsia="Arial" w:hAnsi="Arial"/>
                <w:sz w:val="18"/>
                <w:szCs w:val="18"/>
                <w:color w:val="auto"/>
              </w:rPr>
              <w:t>SCHEDULES</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Schedule 2.01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Commitments</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rPr>
              <w:t>Schedule 3.01</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w:t>
            </w:r>
          </w:p>
        </w:tc>
        <w:tc>
          <w:tcPr>
            <w:tcW w:w="5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Subsidiaries</w:t>
            </w: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rPr>
              <w:t>Schedule 6.01</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w:t>
            </w:r>
          </w:p>
        </w:tc>
        <w:tc>
          <w:tcPr>
            <w:tcW w:w="5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Existing Indebtedness</w:t>
            </w:r>
          </w:p>
        </w:tc>
      </w:tr>
      <w:tr>
        <w:trPr>
          <w:trHeight w:val="230"/>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rPr>
              <w:t>Schedule 6.02</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w:t>
            </w:r>
          </w:p>
        </w:tc>
        <w:tc>
          <w:tcPr>
            <w:tcW w:w="5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Existing Liens</w:t>
            </w:r>
          </w:p>
        </w:tc>
      </w:tr>
      <w:tr>
        <w:trPr>
          <w:trHeight w:val="432"/>
        </w:trPr>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0" w:type="dxa"/>
            <w:vAlign w:val="bottom"/>
          </w:tcPr>
          <w:p>
            <w:pPr>
              <w:ind w:left="1780"/>
              <w:spacing w:after="0"/>
              <w:rPr>
                <w:sz w:val="20"/>
                <w:szCs w:val="20"/>
                <w:color w:val="auto"/>
              </w:rPr>
            </w:pPr>
            <w:r>
              <w:rPr>
                <w:rFonts w:ascii="Arial" w:cs="Arial" w:eastAsia="Arial" w:hAnsi="Arial"/>
                <w:sz w:val="18"/>
                <w:szCs w:val="18"/>
                <w:color w:val="auto"/>
              </w:rPr>
              <w:t>EXHIBITS</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Exhibit A</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B</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Increasing Lender Supplement</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C</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Augmenting Lender Supplement</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D</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List of Effective Date Documents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E</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F</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Subsidiary Guaranty</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G-1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w w:val="95"/>
              </w:rPr>
              <w:t>Form of U.S. Tax Certificate (Foreign Lenders That Are Not Partnerships)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G-2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w w:val="91"/>
              </w:rPr>
              <w:t>Form of U.S. Tax Certificate (Foreign Participants That Are Not Partnerships)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G-3</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w w:val="96"/>
              </w:rPr>
              <w:t>Form of U.S. Tax Certificate (Foreign Participants That Are Partnerships)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G-4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U.S. Tax Certificate (Foreign Lenders That Are Partnerships)</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H-1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Borrowing Request</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Exhibit H-2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Interest Election Request</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Exhibit I</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0" w:type="dxa"/>
            <w:vAlign w:val="bottom"/>
          </w:tcPr>
          <w:p>
            <w:pPr>
              <w:ind w:left="180"/>
              <w:spacing w:after="0"/>
              <w:rPr>
                <w:sz w:val="20"/>
                <w:szCs w:val="20"/>
                <w:color w:val="auto"/>
              </w:rPr>
            </w:pPr>
            <w:r>
              <w:rPr>
                <w:rFonts w:ascii="Arial" w:cs="Arial" w:eastAsia="Arial" w:hAnsi="Arial"/>
                <w:sz w:val="18"/>
                <w:szCs w:val="18"/>
                <w:color w:val="auto"/>
              </w:rPr>
              <w:t>Form of Note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30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ind w:left="-8" w:firstLine="8"/>
        <w:spacing w:after="0" w:line="194" w:lineRule="auto"/>
        <w:tabs>
          <w:tab w:leader="none" w:pos="118" w:val="left"/>
        </w:tabs>
        <w:numPr>
          <w:ilvl w:val="0"/>
          <w:numId w:val="190"/>
        </w:numPr>
        <w:rPr>
          <w:rFonts w:ascii="Arial" w:cs="Arial" w:eastAsia="Arial" w:hAnsi="Arial"/>
          <w:sz w:val="30"/>
          <w:szCs w:val="30"/>
          <w:color w:val="auto"/>
          <w:vertAlign w:val="superscript"/>
        </w:rPr>
      </w:pPr>
      <w:r>
        <w:rPr>
          <w:rFonts w:ascii="Arial" w:cs="Arial" w:eastAsia="Arial" w:hAnsi="Arial"/>
          <w:sz w:val="18"/>
          <w:szCs w:val="18"/>
          <w:color w:val="auto"/>
        </w:rPr>
        <w:t xml:space="preserve">Each capitalized term used herein and not defined herein shall have the meaning assigned to such term in the above-defined Credit Agreement. Items appearing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and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shall be prepared and/or provided by the Borrower and/or Borrower’s counsel.</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4" w:name="page165"/>
    <w:bookmarkEnd w:id="164"/>
    <w:p>
      <w:pPr>
        <w:ind w:left="660" w:hanging="652"/>
        <w:spacing w:after="0" w:line="277"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Notes executed by the Borrower in favor of each of the Lenders, if any, which has requested a note pursuant to Section 2.10(e) of the Credit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Fee and Syndication Letter executed by each of the Borrower and Goldman Sachs Bank USA.</w:t>
      </w:r>
    </w:p>
    <w:p>
      <w:pPr>
        <w:spacing w:after="0" w:line="221" w:lineRule="exact"/>
        <w:rPr>
          <w:rFonts w:ascii="Arial" w:cs="Arial" w:eastAsia="Arial" w:hAnsi="Arial"/>
          <w:sz w:val="18"/>
          <w:szCs w:val="18"/>
          <w:color w:val="auto"/>
        </w:rPr>
      </w:pPr>
    </w:p>
    <w:p>
      <w:pPr>
        <w:ind w:left="4680" w:hanging="471"/>
        <w:spacing w:after="0"/>
        <w:tabs>
          <w:tab w:leader="none" w:pos="4680" w:val="left"/>
        </w:tabs>
        <w:numPr>
          <w:ilvl w:val="3"/>
          <w:numId w:val="191"/>
        </w:numPr>
        <w:rPr>
          <w:rFonts w:ascii="Arial" w:cs="Arial" w:eastAsia="Arial" w:hAnsi="Arial"/>
          <w:sz w:val="18"/>
          <w:szCs w:val="18"/>
          <w:color w:val="auto"/>
        </w:rPr>
      </w:pPr>
      <w:r>
        <w:rPr>
          <w:rFonts w:ascii="Arial" w:cs="Arial" w:eastAsia="Arial" w:hAnsi="Arial"/>
          <w:sz w:val="18"/>
          <w:szCs w:val="18"/>
          <w:b w:val="1"/>
          <w:bCs w:val="1"/>
          <w:color w:val="auto"/>
        </w:rPr>
        <w:t>CORPORATE DOCUMENTS</w:t>
      </w:r>
    </w:p>
    <w:p>
      <w:pPr>
        <w:spacing w:after="0" w:line="229"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191"/>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 of the Secretary or an Assistant Secretary of the Borrower certifying (i) that there have been no changes in the Certificate of Incorporation, as attached thereto and as certified as of a recent date by the Secretary of State (or analogous governmental entity) of the jurisdiction of its organization or incorporation (as applicable), since the date of the certification thereof by such governmental entity, (ii) the By-Laws or other applicable organizational or constitutional document, as attached thereto, of the Borrower as in effect on the date of such certification, (iii) resolutions of the Board of Directors or other governing body of the Borrower authorizing the execution, delivery and performance of each Loan Document to which it is a party and (iv) the names and true signatures of the incumbent officers of the Borrower authorized to sign the Loan Documents to which it is a party and to request a Loan under the Credit Agreement.</w:t>
      </w:r>
    </w:p>
    <w:p>
      <w:pPr>
        <w:spacing w:after="0" w:line="16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Good Standing Certificate (or analogous documentation if applicable) for the Borrower from the Secretary of State of the jurisdiction of its organization or incorporation.</w:t>
      </w:r>
    </w:p>
    <w:p>
      <w:pPr>
        <w:spacing w:after="0" w:line="166" w:lineRule="exact"/>
        <w:rPr>
          <w:rFonts w:ascii="Arial" w:cs="Arial" w:eastAsia="Arial" w:hAnsi="Arial"/>
          <w:sz w:val="18"/>
          <w:szCs w:val="18"/>
          <w:color w:val="auto"/>
        </w:rPr>
      </w:pPr>
    </w:p>
    <w:p>
      <w:pPr>
        <w:ind w:left="5420" w:hanging="481"/>
        <w:spacing w:after="0"/>
        <w:tabs>
          <w:tab w:leader="none" w:pos="5420" w:val="left"/>
        </w:tabs>
        <w:numPr>
          <w:ilvl w:val="4"/>
          <w:numId w:val="191"/>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N/A.</w:t>
      </w:r>
    </w:p>
    <w:p>
      <w:pPr>
        <w:spacing w:after="0" w:line="221" w:lineRule="exact"/>
        <w:rPr>
          <w:rFonts w:ascii="Arial" w:cs="Arial" w:eastAsia="Arial" w:hAnsi="Arial"/>
          <w:sz w:val="18"/>
          <w:szCs w:val="18"/>
          <w:color w:val="auto"/>
        </w:rPr>
      </w:pPr>
    </w:p>
    <w:p>
      <w:pPr>
        <w:ind w:left="3380" w:hanging="499"/>
        <w:spacing w:after="0"/>
        <w:tabs>
          <w:tab w:leader="none" w:pos="3380" w:val="left"/>
        </w:tabs>
        <w:numPr>
          <w:ilvl w:val="2"/>
          <w:numId w:val="191"/>
        </w:numPr>
        <w:rPr>
          <w:rFonts w:ascii="Arial" w:cs="Arial" w:eastAsia="Arial" w:hAnsi="Arial"/>
          <w:sz w:val="18"/>
          <w:szCs w:val="18"/>
          <w:color w:val="auto"/>
        </w:rPr>
      </w:pPr>
      <w:r>
        <w:rPr>
          <w:rFonts w:ascii="Arial" w:cs="Arial" w:eastAsia="Arial" w:hAnsi="Arial"/>
          <w:sz w:val="18"/>
          <w:szCs w:val="18"/>
          <w:b w:val="1"/>
          <w:bCs w:val="1"/>
          <w:color w:val="auto"/>
        </w:rPr>
        <w:t>EFFECTIVE DATE CERTIFICATES AND MISCELLANEOUS</w:t>
      </w:r>
    </w:p>
    <w:p>
      <w:pPr>
        <w:spacing w:after="0" w:line="229" w:lineRule="exact"/>
        <w:rPr>
          <w:rFonts w:ascii="Arial" w:cs="Arial" w:eastAsia="Arial" w:hAnsi="Arial"/>
          <w:sz w:val="18"/>
          <w:szCs w:val="18"/>
          <w:color w:val="auto"/>
        </w:rPr>
      </w:pPr>
    </w:p>
    <w:p>
      <w:pPr>
        <w:jc w:val="both"/>
        <w:ind w:left="660" w:hanging="652"/>
        <w:spacing w:after="0" w:line="304" w:lineRule="auto"/>
        <w:tabs>
          <w:tab w:leader="none" w:pos="660" w:val="left"/>
        </w:tabs>
        <w:numPr>
          <w:ilvl w:val="0"/>
          <w:numId w:val="19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Certificate signed by a Responsible Officer of the Borrower certifying on behalf of the Borrower the following: (i) that the representations and warranties contained in </w:t>
      </w:r>
      <w:r>
        <w:rPr>
          <w:rFonts w:ascii="Arial" w:cs="Arial" w:eastAsia="Arial" w:hAnsi="Arial"/>
          <w:sz w:val="15"/>
          <w:szCs w:val="15"/>
          <w:b w:val="1"/>
          <w:bCs w:val="1"/>
          <w:i w:val="1"/>
          <w:iCs w:val="1"/>
          <w:u w:val="single" w:color="auto"/>
          <w:color w:val="auto"/>
        </w:rPr>
        <w:t>Article III</w:t>
      </w:r>
      <w:r>
        <w:rPr>
          <w:rFonts w:ascii="Arial" w:cs="Arial" w:eastAsia="Arial" w:hAnsi="Arial"/>
          <w:sz w:val="15"/>
          <w:szCs w:val="15"/>
          <w:b w:val="1"/>
          <w:bCs w:val="1"/>
          <w:i w:val="1"/>
          <w:iCs w:val="1"/>
          <w:color w:val="auto"/>
        </w:rPr>
        <w:t xml:space="preserve"> of the Credit Agreement are true and correct in all material respects (or, in the case of any representation or warranty qualified by materiality or Material Adverse Effect, in all respects) as of the Effective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w:t>
      </w:r>
    </w:p>
    <w:p>
      <w:pPr>
        <w:spacing w:after="0" w:line="1" w:lineRule="exact"/>
        <w:rPr>
          <w:rFonts w:ascii="Arial" w:cs="Arial" w:eastAsia="Arial" w:hAnsi="Arial"/>
          <w:sz w:val="15"/>
          <w:szCs w:val="15"/>
          <w:color w:val="auto"/>
        </w:rPr>
      </w:pPr>
    </w:p>
    <w:p>
      <w:pPr>
        <w:ind w:left="920" w:hanging="264"/>
        <w:spacing w:after="0"/>
        <w:tabs>
          <w:tab w:leader="none" w:pos="920" w:val="left"/>
        </w:tabs>
        <w:numPr>
          <w:ilvl w:val="1"/>
          <w:numId w:val="1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that no Default or Event of Default has occurred and is then continuing.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SOLVENCY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[___], 20[_]</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Reference is made to the Credit Agreement, dated as of May 25, 2020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Lenders from time to time party thereto and Goldman Sachs Bank USA,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but not otherwise defined herein shall have the meanings assigned to them in the Credit Agreement. This Solvency Certificate is furnished to the Administrative Agent and the Lenders pursuant to Section 4.02(c)(ii) of the Credit Agreement.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[_], solely in my official capacity as [_] of the Company and not in any individual capacity (and without personal liability), hereby certify that, as of the date hereof, immediately after giving effect to the consummation of the Transactions occurring on the Closing Date and the making of the Loans on the date hereof and the use of the proceeds thereof:</w:t>
      </w:r>
    </w:p>
    <w:p>
      <w:pPr>
        <w:spacing w:after="0" w:line="184" w:lineRule="exact"/>
        <w:rPr>
          <w:sz w:val="20"/>
          <w:szCs w:val="20"/>
          <w:color w:val="auto"/>
        </w:rPr>
      </w:pPr>
    </w:p>
    <w:p>
      <w:pPr>
        <w:ind w:left="660" w:firstLine="644"/>
        <w:spacing w:after="0" w:line="277" w:lineRule="auto"/>
        <w:tabs>
          <w:tab w:leader="none" w:pos="255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fair value of the assets of the Company and its Subsidiaries, on a consolidated basis, exceeds the total amount of liabilities (including contingent liabilities) of the Company and its Subsidiaries, on a consolidated basis;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33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present fair saleable value of the property of the Company and its Subsidiaries, on a consolidated basis, is greater than the amount that will be required to pay the probable liability, on a consolidated basis, of their debts and other liabilities (including contingent liabilities), as such debts and other liabilities become absolute and matured;</w:t>
      </w:r>
    </w:p>
    <w:p>
      <w:pPr>
        <w:spacing w:after="0" w:line="183" w:lineRule="exact"/>
        <w:rPr>
          <w:rFonts w:ascii="Arial" w:cs="Arial" w:eastAsia="Arial" w:hAnsi="Arial"/>
          <w:sz w:val="18"/>
          <w:szCs w:val="18"/>
          <w:color w:val="auto"/>
        </w:rPr>
      </w:pPr>
    </w:p>
    <w:p>
      <w:pPr>
        <w:ind w:left="660" w:firstLine="644"/>
        <w:spacing w:after="0" w:line="277" w:lineRule="auto"/>
        <w:tabs>
          <w:tab w:leader="none" w:pos="24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and its Subsidiaries, on a consolidated basis, have not incurred debts and liabilities (including contingent liabilities), beyond their ability to pay such debts and other liabilities as they become absolute and matured;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25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capital of the Company and its Subsidiaries, on a consolidated basis, is not unreasonably small in relation to their business as contemplated on the date hereof.</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For purposes of this Solvency Certificate, the amount of any contingent liability has been computed as the amount that, in light of all of the facts and circumstances existing as of the date hereof, represents the amount that can reasonably be expected to become an actual or matured liability.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6"/>
          <w:szCs w:val="16"/>
          <w:color w:val="auto"/>
        </w:rPr>
        <w:t>IN WITNESS WHEREOF, I, the undersigned, have duly executed this Solvency Certificate on behalf of the Company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-10160</wp:posOffset>
            </wp:positionV>
            <wp:extent cx="38849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SUBSIDIARY GUARANTY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THIS GUARANTY (as amended, restated, supplemented or otherwise modified from time to time, this “</w:t>
      </w:r>
      <w:r>
        <w:rPr>
          <w:rFonts w:ascii="Arial" w:cs="Arial" w:eastAsia="Arial" w:hAnsi="Arial"/>
          <w:sz w:val="16"/>
          <w:szCs w:val="16"/>
          <w:u w:val="single" w:color="auto"/>
          <w:color w:val="auto"/>
        </w:rPr>
        <w:t>Guaranty</w:t>
      </w:r>
      <w:r>
        <w:rPr>
          <w:rFonts w:ascii="Arial" w:cs="Arial" w:eastAsia="Arial" w:hAnsi="Arial"/>
          <w:sz w:val="16"/>
          <w:szCs w:val="16"/>
          <w:color w:val="auto"/>
        </w:rPr>
        <w:t>”) is made as of [__________], by and among each of the undersigned (the “Initial Guarantors” and along with any additional Subsidiaries of the Borrower which become</w:t>
      </w:r>
    </w:p>
    <w:p>
      <w:pPr>
        <w:jc w:val="both"/>
        <w:spacing w:after="0" w:line="260" w:lineRule="auto"/>
        <w:rPr>
          <w:sz w:val="20"/>
          <w:szCs w:val="20"/>
          <w:color w:val="auto"/>
        </w:rPr>
      </w:pPr>
      <w:r>
        <w:rPr>
          <w:rFonts w:ascii="Arial" w:cs="Arial" w:eastAsia="Arial" w:hAnsi="Arial"/>
          <w:sz w:val="18"/>
          <w:szCs w:val="18"/>
          <w:color w:val="auto"/>
        </w:rPr>
        <w:t>parties to this Guaranty by executing a supplement hereto in the form attached as Annex I,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the Administrative Agent, for the ratable benefit of the Holders of Guaranteed Obligations (as defined below), under the Credit Agreement referred to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WHEREAS, Regeneron Pharmaceuticals, Inc., a New York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institutions from time to time parties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Goldman Sachs Bank USA,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have entered into a certain Credit Agreement dated as of May 25, 2020 (as the same may be amended, modified, supplemented and/or restated, and as in effect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providing, subject to the terms and conditions thereof, for extensions of credit and other financial accommodations to be made by the Lenders to the Borrower;</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it is a condition precedent to the extensions of credit by the Lenders under the Credit Agreement that each of the Guarantors (constituting all of the Subsidiaries of the Borrower required to execute this Guaranty pursuant to Section 5.09 of the Credit Agreement) execute and deliver this Guaranty, whereby each of the Guarantors shall guarantee the payment when due of all Obligations; and</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in consideration of the direct and indirect financial and other support that the Borrower has provided, and such direct and indirect financial and other support as the Borrower may in the future provide, to the Guarantors, and in order to induce the Lenders and the Administrative Agent to enter into the Credit Agreement, each of the Guarantors is willing to guarantee the Obligations of the Borrower;</w:t>
      </w:r>
    </w:p>
    <w:p>
      <w:pPr>
        <w:spacing w:after="0" w:line="16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NOW, THEREFORE, in consideration of the foregoing premises and other good and valuable consideration, the receipt and sufficiency of which are hereby acknowledged, the parties hereto agree as follows: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010000"/>
        </w:rPr>
        <w:t xml:space="preserve">SECTION 1. </w:t>
      </w:r>
      <w:r>
        <w:rPr>
          <w:rFonts w:ascii="Arial" w:cs="Arial" w:eastAsia="Arial" w:hAnsi="Arial"/>
          <w:sz w:val="18"/>
          <w:szCs w:val="18"/>
          <w:u w:val="single" w:color="auto"/>
          <w:color w:val="000000"/>
        </w:rPr>
        <w:t>Definitions</w:t>
      </w:r>
      <w:r>
        <w:rPr>
          <w:rFonts w:ascii="Arial" w:cs="Arial" w:eastAsia="Arial" w:hAnsi="Arial"/>
          <w:sz w:val="18"/>
          <w:szCs w:val="18"/>
          <w:color w:val="000000"/>
        </w:rPr>
        <w:t>. Terms defined in the Credit Agreement and not otherwise defined herein have, as used herein, the</w:t>
      </w:r>
      <w:r>
        <w:rPr>
          <w:rFonts w:ascii="Arial" w:cs="Arial" w:eastAsia="Arial" w:hAnsi="Arial"/>
          <w:sz w:val="18"/>
          <w:szCs w:val="18"/>
          <w:color w:val="010000"/>
        </w:rPr>
        <w:t xml:space="preserve"> </w:t>
      </w:r>
      <w:r>
        <w:rPr>
          <w:rFonts w:ascii="Arial" w:cs="Arial" w:eastAsia="Arial" w:hAnsi="Arial"/>
          <w:sz w:val="18"/>
          <w:szCs w:val="18"/>
          <w:color w:val="000000"/>
        </w:rPr>
        <w:t>respective meanings provided for therein. As used herein:</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1300"/>
        <w:spacing w:after="0"/>
        <w:tabs>
          <w:tab w:leader="none" w:pos="2680" w:val="left"/>
        </w:tabs>
        <w:rPr>
          <w:sz w:val="20"/>
          <w:szCs w:val="20"/>
          <w:color w:val="auto"/>
        </w:rPr>
      </w:pPr>
      <w:r>
        <w:rPr>
          <w:rFonts w:ascii="Arial" w:cs="Arial" w:eastAsia="Arial" w:hAnsi="Arial"/>
          <w:sz w:val="18"/>
          <w:szCs w:val="18"/>
          <w:color w:val="010000"/>
        </w:rPr>
        <w:t>SECTION 2.</w:t>
      </w:r>
      <w:r>
        <w:rPr>
          <w:sz w:val="20"/>
          <w:szCs w:val="20"/>
          <w:color w:val="auto"/>
        </w:rPr>
        <w:tab/>
      </w:r>
      <w:r>
        <w:rPr>
          <w:rFonts w:ascii="Arial" w:cs="Arial" w:eastAsia="Arial" w:hAnsi="Arial"/>
          <w:sz w:val="15"/>
          <w:szCs w:val="15"/>
          <w:u w:val="single" w:color="auto"/>
          <w:color w:val="auto"/>
        </w:rPr>
        <w:t>Representations, Warranties and Covenants</w:t>
      </w:r>
      <w:r>
        <w:rPr>
          <w:rFonts w:ascii="Arial" w:cs="Arial" w:eastAsia="Arial" w:hAnsi="Arial"/>
          <w:sz w:val="15"/>
          <w:szCs w:val="15"/>
          <w:color w:val="auto"/>
        </w:rPr>
        <w:t>. Each of the Guarantors represents and warrants that:</w:t>
      </w:r>
    </w:p>
    <w:p>
      <w:pPr>
        <w:spacing w:after="0" w:line="225" w:lineRule="exact"/>
        <w:rPr>
          <w:sz w:val="20"/>
          <w:szCs w:val="20"/>
          <w:color w:val="auto"/>
        </w:rPr>
      </w:pPr>
    </w:p>
    <w:p>
      <w:pPr>
        <w:jc w:val="both"/>
        <w:ind w:left="660" w:firstLine="644"/>
        <w:spacing w:after="0" w:line="255" w:lineRule="auto"/>
        <w:tabs>
          <w:tab w:leader="none" w:pos="2214" w:val="left"/>
        </w:tabs>
        <w:numPr>
          <w:ilvl w:val="0"/>
          <w:numId w:val="193"/>
        </w:numPr>
        <w:rPr>
          <w:rFonts w:ascii="Arial" w:cs="Arial" w:eastAsia="Arial" w:hAnsi="Arial"/>
          <w:sz w:val="18"/>
          <w:szCs w:val="18"/>
          <w:color w:val="010000"/>
        </w:rPr>
      </w:pPr>
      <w:r>
        <w:rPr>
          <w:rFonts w:ascii="Arial" w:cs="Arial" w:eastAsia="Arial" w:hAnsi="Arial"/>
          <w:sz w:val="18"/>
          <w:szCs w:val="18"/>
          <w:color w:val="auto"/>
        </w:rPr>
        <w:t>It (i) is duly organized or incorporated, as the case may 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case of clause (iii), except where the failure to do so could not reasonably be expected to result in a Material Adverse Effect.</w:t>
      </w:r>
    </w:p>
    <w:p>
      <w:pPr>
        <w:spacing w:after="0" w:line="192" w:lineRule="exact"/>
        <w:rPr>
          <w:rFonts w:ascii="Arial" w:cs="Arial" w:eastAsia="Arial" w:hAnsi="Arial"/>
          <w:sz w:val="18"/>
          <w:szCs w:val="18"/>
          <w:color w:val="010000"/>
        </w:rPr>
      </w:pPr>
    </w:p>
    <w:p>
      <w:pPr>
        <w:jc w:val="both"/>
        <w:ind w:left="660" w:firstLine="644"/>
        <w:spacing w:after="0" w:line="272" w:lineRule="auto"/>
        <w:tabs>
          <w:tab w:leader="none" w:pos="2312" w:val="left"/>
        </w:tabs>
        <w:numPr>
          <w:ilvl w:val="0"/>
          <w:numId w:val="193"/>
        </w:numPr>
        <w:rPr>
          <w:rFonts w:ascii="Arial" w:cs="Arial" w:eastAsia="Arial" w:hAnsi="Arial"/>
          <w:sz w:val="17"/>
          <w:szCs w:val="17"/>
          <w:color w:val="010000"/>
        </w:rPr>
      </w:pPr>
      <w:r>
        <w:rPr>
          <w:rFonts w:ascii="Arial" w:cs="Arial" w:eastAsia="Arial" w:hAnsi="Arial"/>
          <w:sz w:val="17"/>
          <w:szCs w:val="17"/>
          <w:color w:val="auto"/>
        </w:rPr>
        <w:t>It (to the extent applicable) has the requisite organizational power and authority and legal right to execute and deliver this Guaranty and to perform its obligations hereunder. The execution and delivery by each Guarantor of this Guaranty and the performance by each of its obligations hereunder have been duly authorized by all necessary organizational actions and, if required, actions by equity holders of such Guarantor, and this Guaranty constitutes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77" w:lineRule="exact"/>
        <w:rPr>
          <w:rFonts w:ascii="Arial" w:cs="Arial" w:eastAsia="Arial" w:hAnsi="Arial"/>
          <w:sz w:val="17"/>
          <w:szCs w:val="17"/>
          <w:color w:val="010000"/>
        </w:rPr>
      </w:pPr>
    </w:p>
    <w:p>
      <w:pPr>
        <w:jc w:val="both"/>
        <w:ind w:left="660" w:firstLine="644"/>
        <w:spacing w:after="0" w:line="268" w:lineRule="auto"/>
        <w:tabs>
          <w:tab w:leader="none" w:pos="2177" w:val="left"/>
        </w:tabs>
        <w:numPr>
          <w:ilvl w:val="0"/>
          <w:numId w:val="193"/>
        </w:numPr>
        <w:rPr>
          <w:rFonts w:ascii="Arial" w:cs="Arial" w:eastAsia="Arial" w:hAnsi="Arial"/>
          <w:sz w:val="17"/>
          <w:szCs w:val="17"/>
          <w:color w:val="010000"/>
        </w:rPr>
      </w:pPr>
      <w:r>
        <w:rPr>
          <w:rFonts w:ascii="Arial" w:cs="Arial" w:eastAsia="Arial" w:hAnsi="Arial"/>
          <w:sz w:val="17"/>
          <w:szCs w:val="17"/>
          <w:color w:val="auto"/>
        </w:rPr>
        <w:t>Neither the execution and delivery by it of this Guaranty, nor the consummation by it of the transactions herein contemplated, nor compliance by it with the provisions hereof will (i) violate in any material respect any applicable material law or regulation or the charter, by-laws, constitution or other organizational documents of any Loan Party or any Material Subsidiary or any material order of any Governmental Authority binding upon any Loan Party or any of the Material Subsidiaries or its assets, (ii) violate in any material respect or result in a default under any indenture, material agreement or other material instrument binding upon the Borrower or any of its Material Subsidiaries or its assets, or give rise to a right thereunder to require any payment to be made by the Borrower or any of its Material Subsidiaries, except, in the case of this clause (ii), for any such violations, defaults or rights that could not reasonably be expected to result in a Material Adverse Effect, or (iii) result in the creation or imposition of any Lien on any asset of the Borrower or any of its Material Subsidiaries, other than Liens (if any) permitted by Section 6.02(a) of the Credit Agreement. No order, consent, adjudication, approval, license, authorization, or validation of, or filing, recording or registration with, or exemption by, or other action in respect of any governmental or public body or authority, or any subdivision thereof is required to be obtained by it in connection with the execution, delivery and performance by it of, or the legality, validity, binding effect or enforceability against it of, this Guaranty, in any such case, except such as are not material or have been, or will be by the time required, obtained or made and are, or will be by the time required, in full force and effect.</w:t>
      </w:r>
    </w:p>
    <w:p>
      <w:pPr>
        <w:spacing w:after="0" w:line="18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In addition to the foregoing, until the Commitments under the Credit Agreement have expired or been terminated and the principal of and interest on each Loan and all fees due and payable thereunder have been paid in full (other than Guaranteed Obligations expressly stated to survive such payment and termination), each of the Guarantors covenants that it will, and, if necessary, will enable each of the Borrower to, fully comply with those covenants and agreements of the Borrower applicable to such Guarantor set forth in the Credit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1296"/>
        <w:spacing w:after="0" w:line="268" w:lineRule="auto"/>
        <w:rPr>
          <w:sz w:val="20"/>
          <w:szCs w:val="20"/>
          <w:color w:val="auto"/>
        </w:rPr>
      </w:pPr>
      <w:r>
        <w:rPr>
          <w:rFonts w:ascii="Arial" w:cs="Arial" w:eastAsia="Arial" w:hAnsi="Arial"/>
          <w:sz w:val="17"/>
          <w:szCs w:val="17"/>
          <w:color w:val="010000"/>
        </w:rPr>
        <w:t xml:space="preserve">SECTION 3. </w:t>
      </w:r>
      <w:r>
        <w:rPr>
          <w:rFonts w:ascii="Arial" w:cs="Arial" w:eastAsia="Arial" w:hAnsi="Arial"/>
          <w:sz w:val="17"/>
          <w:szCs w:val="17"/>
          <w:u w:val="single" w:color="auto"/>
          <w:color w:val="010000"/>
        </w:rPr>
        <w:t>The Guaranty</w:t>
      </w:r>
      <w:r>
        <w:rPr>
          <w:rFonts w:ascii="Arial" w:cs="Arial" w:eastAsia="Arial" w:hAnsi="Arial"/>
          <w:sz w:val="17"/>
          <w:szCs w:val="17"/>
          <w:color w:val="010000"/>
        </w:rPr>
        <w:t>. Each of the Guarantors hereby unconditionally guarantees, jointly with the other Guarantors and severally, the full and punctual payment and performance when due (whether at stated maturity, upon acceleration or otherwise) of the Obligations, including, without limitation, (i) the principal of and interest on each Loan made to the Borrower pursuant to the Credit Agreement, (ii) all obligations of the Borrower owing to any Lender or any affiliate of any Lender under any Swap Agreement or Banking Services Agreement, (iii) all other amounts payable by the Borrower or any of its Subsidiaries under the Credit Agreement, any Swap Agreement, any Banking Services Agreement and the other Loan Documents and (iv) the punctual and faithful performance, keeping, observance, and fulfillment by the Borrower of all of the agreements, conditions, covenants, and obligations of the Borrower contained in the Loan Documents (all of the foregoing being referred to collectively as the “</w:t>
      </w:r>
      <w:r>
        <w:rPr>
          <w:rFonts w:ascii="Arial" w:cs="Arial" w:eastAsia="Arial" w:hAnsi="Arial"/>
          <w:sz w:val="17"/>
          <w:szCs w:val="17"/>
          <w:u w:val="single" w:color="auto"/>
          <w:color w:val="010000"/>
        </w:rPr>
        <w:t>Guaranteed</w:t>
      </w:r>
      <w:r>
        <w:rPr>
          <w:rFonts w:ascii="Arial" w:cs="Arial" w:eastAsia="Arial" w:hAnsi="Arial"/>
          <w:sz w:val="17"/>
          <w:szCs w:val="17"/>
          <w:color w:val="010000"/>
        </w:rPr>
        <w:t xml:space="preserve"> </w:t>
      </w:r>
      <w:r>
        <w:rPr>
          <w:rFonts w:ascii="Arial" w:cs="Arial" w:eastAsia="Arial" w:hAnsi="Arial"/>
          <w:sz w:val="17"/>
          <w:szCs w:val="17"/>
          <w:u w:val="single" w:color="auto"/>
          <w:color w:val="010000"/>
        </w:rPr>
        <w:t>Obligations</w:t>
      </w:r>
      <w:r>
        <w:rPr>
          <w:rFonts w:ascii="Arial" w:cs="Arial" w:eastAsia="Arial" w:hAnsi="Arial"/>
          <w:sz w:val="17"/>
          <w:szCs w:val="17"/>
          <w:color w:val="010000"/>
        </w:rPr>
        <w:t>” (</w:t>
      </w:r>
      <w:r>
        <w:rPr>
          <w:rFonts w:ascii="Arial" w:cs="Arial" w:eastAsia="Arial" w:hAnsi="Arial"/>
          <w:sz w:val="17"/>
          <w:szCs w:val="17"/>
          <w:i w:val="1"/>
          <w:iCs w:val="1"/>
          <w:color w:val="010000"/>
        </w:rPr>
        <w:t>provided</w:t>
      </w:r>
      <w:r>
        <w:rPr>
          <w:rFonts w:ascii="Arial" w:cs="Arial" w:eastAsia="Arial" w:hAnsi="Arial"/>
          <w:sz w:val="17"/>
          <w:szCs w:val="17"/>
          <w:color w:val="010000"/>
        </w:rPr>
        <w:t xml:space="preserve">, </w:t>
      </w:r>
      <w:r>
        <w:rPr>
          <w:rFonts w:ascii="Arial" w:cs="Arial" w:eastAsia="Arial" w:hAnsi="Arial"/>
          <w:sz w:val="17"/>
          <w:szCs w:val="17"/>
          <w:i w:val="1"/>
          <w:iCs w:val="1"/>
          <w:color w:val="010000"/>
        </w:rPr>
        <w:t>however</w:t>
      </w:r>
      <w:r>
        <w:rPr>
          <w:rFonts w:ascii="Arial" w:cs="Arial" w:eastAsia="Arial" w:hAnsi="Arial"/>
          <w:sz w:val="17"/>
          <w:szCs w:val="17"/>
          <w:color w:val="010000"/>
        </w:rPr>
        <w:t>, that the definition of “Guaranteed Obligations” shall not create or include any guarantee by any Guarantor of any Excluded Swap Obligations of such Guarantor for purposes of determining any obligations of any Guarantor) and the holders from time to time of the Guaranteed Obligations being referred to collectively as the “</w:t>
      </w:r>
      <w:r>
        <w:rPr>
          <w:rFonts w:ascii="Arial" w:cs="Arial" w:eastAsia="Arial" w:hAnsi="Arial"/>
          <w:sz w:val="17"/>
          <w:szCs w:val="17"/>
          <w:u w:val="single" w:color="auto"/>
          <w:color w:val="010000"/>
        </w:rPr>
        <w:t>Holders of Guaranteed Obligations</w:t>
      </w:r>
      <w:r>
        <w:rPr>
          <w:rFonts w:ascii="Arial" w:cs="Arial" w:eastAsia="Arial" w:hAnsi="Arial"/>
          <w:sz w:val="17"/>
          <w:szCs w:val="17"/>
          <w:color w:val="010000"/>
        </w:rPr>
        <w:t>”). Upon (x) the failure by the Borrower or any of its Affiliates, as applicable, to pay punctually any such amount or perform such obligation, and (y) such failure continuing beyond any applicable grace or notice and cure period, each of the Guarantors agrees that it shall forthwith on demand pay such amount or perform such obligation at the place and in the manner specified in the Credit Agreement, any Swap Agreement, any Banking Services Agreement or the relevant Loan Document, as the case may be. Each of the Guarantors hereby agrees that this Guaranty is an absolute, irrevocable and unconditional guaranty of payment and is not a guaranty of collection.</w:t>
      </w:r>
    </w:p>
    <w:p>
      <w:pPr>
        <w:spacing w:after="0" w:line="18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Each of the Guarantors hereby irrevocably and unconditionally agrees, jointly and severally with the other Guarantors, that if any obligation guaranteed by it is or becomes unenforceable, invalid or illegal, it will, as an independent and primary obligation, indemnify the Holders of Guaranteed Obligations immediately on demand against any cost, loss or liability they incur as a result of the Borrower or any of its Affiliates not paying any amount which would, but for such unenforceability, invalidity or illegality, have been payable by such Guarantor under this Guaranty on the date when it would have been due (but so that the amount payable by each Guarantor under this indemnity will not exceed the amount which it would have had to pay under this Guaranty if the amount claimed had been recoverable on the basis of a guaranty).</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Guaranty Unconditional</w:t>
      </w:r>
      <w:r>
        <w:rPr>
          <w:rFonts w:ascii="Arial" w:cs="Arial" w:eastAsia="Arial" w:hAnsi="Arial"/>
          <w:sz w:val="18"/>
          <w:szCs w:val="18"/>
          <w:color w:val="000000"/>
        </w:rPr>
        <w:t>. The obligations of each of the Guarantors hereunder shall be unconditional and absolute and,</w:t>
      </w:r>
      <w:r>
        <w:rPr>
          <w:rFonts w:ascii="Arial" w:cs="Arial" w:eastAsia="Arial" w:hAnsi="Arial"/>
          <w:sz w:val="18"/>
          <w:szCs w:val="18"/>
          <w:color w:val="010000"/>
        </w:rPr>
        <w:t xml:space="preserve"> </w:t>
      </w:r>
      <w:r>
        <w:rPr>
          <w:rFonts w:ascii="Arial" w:cs="Arial" w:eastAsia="Arial" w:hAnsi="Arial"/>
          <w:sz w:val="18"/>
          <w:szCs w:val="18"/>
          <w:color w:val="000000"/>
        </w:rPr>
        <w:t>without limiting the generality of the foregoing, shall not be released, discharged or otherwise affected by:</w:t>
      </w:r>
    </w:p>
    <w:p>
      <w:pPr>
        <w:spacing w:after="0" w:line="170" w:lineRule="exact"/>
        <w:rPr>
          <w:sz w:val="20"/>
          <w:szCs w:val="20"/>
          <w:color w:val="auto"/>
        </w:rPr>
      </w:pPr>
    </w:p>
    <w:p>
      <w:pPr>
        <w:jc w:val="both"/>
        <w:ind w:left="660" w:firstLine="644"/>
        <w:spacing w:after="0" w:line="257" w:lineRule="auto"/>
        <w:tabs>
          <w:tab w:leader="none" w:pos="2583"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any extension, renewal, settlement, indulgence, compromise, waiver or release of or with respect to the Guaranteed Obligations or any part thereof or any agreement relating thereto, or with respect to any obligation of any other guarantor of any of the Guaranteed Obligations, whether (in any such case) by operation of law or otherwise, or any failure or omission to enforce any right, power or remedy with respect to the Guaranteed Obligations or any part thereof or any agreement relating thereto, or with respect to any obligation of any other guarantor of any of the Guaranteed Obligations;</w:t>
      </w:r>
    </w:p>
    <w:p>
      <w:pPr>
        <w:spacing w:after="0" w:line="187" w:lineRule="exact"/>
        <w:rPr>
          <w:rFonts w:ascii="Arial" w:cs="Arial" w:eastAsia="Arial" w:hAnsi="Arial"/>
          <w:sz w:val="18"/>
          <w:szCs w:val="18"/>
          <w:color w:val="010000"/>
        </w:rPr>
      </w:pPr>
    </w:p>
    <w:p>
      <w:pPr>
        <w:jc w:val="both"/>
        <w:ind w:left="660" w:firstLine="644"/>
        <w:spacing w:after="0" w:line="263" w:lineRule="auto"/>
        <w:tabs>
          <w:tab w:leader="none" w:pos="2416"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any modification or amendment of or supplement to the Credit Agreement, any Swap Agreement, any Banking Services Agreement or any other Loan Document, including, without limitation, any such amendment which may increase the amount of, or the interest rates applicable to, any of the Obligations guaranteed hereby;</w:t>
      </w:r>
    </w:p>
    <w:p>
      <w:pPr>
        <w:spacing w:after="0" w:line="183" w:lineRule="exact"/>
        <w:rPr>
          <w:rFonts w:ascii="Arial" w:cs="Arial" w:eastAsia="Arial" w:hAnsi="Arial"/>
          <w:sz w:val="18"/>
          <w:szCs w:val="18"/>
          <w:color w:val="010000"/>
        </w:rPr>
      </w:pPr>
    </w:p>
    <w:p>
      <w:pPr>
        <w:jc w:val="both"/>
        <w:ind w:left="660" w:firstLine="644"/>
        <w:spacing w:after="0" w:line="259" w:lineRule="auto"/>
        <w:tabs>
          <w:tab w:leader="none" w:pos="2281" w:val="left"/>
        </w:tabs>
        <w:numPr>
          <w:ilvl w:val="0"/>
          <w:numId w:val="194"/>
        </w:numPr>
        <w:rPr>
          <w:rFonts w:ascii="Arial" w:cs="Arial" w:eastAsia="Arial" w:hAnsi="Arial"/>
          <w:sz w:val="18"/>
          <w:szCs w:val="18"/>
          <w:color w:val="010000"/>
        </w:rPr>
      </w:pPr>
      <w:r>
        <w:rPr>
          <w:rFonts w:ascii="Arial" w:cs="Arial" w:eastAsia="Arial" w:hAnsi="Arial"/>
          <w:sz w:val="18"/>
          <w:szCs w:val="18"/>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jc w:val="both"/>
        <w:ind w:firstLine="644"/>
        <w:spacing w:after="0" w:line="259" w:lineRule="auto"/>
        <w:tabs>
          <w:tab w:leader="none" w:pos="1568"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any change in the corporate, partnership or other existence, structure or ownership of the Borrower or any other guarantor of any of the Guaranteed Obligations, or any insolvency, bankruptcy, examinership, reorganization or other similar proceeding affecting the Borrower or any other guarantor of the Guaranteed Obligations, or any of their respective assets or any resulting release or discharge of any obligation of the Borrower or any other guarantor of any of the Guaranteed Obligations;</w:t>
      </w:r>
    </w:p>
    <w:p>
      <w:pPr>
        <w:spacing w:after="0" w:line="186" w:lineRule="exact"/>
        <w:rPr>
          <w:rFonts w:ascii="Arial" w:cs="Arial" w:eastAsia="Arial" w:hAnsi="Arial"/>
          <w:sz w:val="18"/>
          <w:szCs w:val="18"/>
          <w:color w:val="010000"/>
        </w:rPr>
      </w:pPr>
    </w:p>
    <w:p>
      <w:pPr>
        <w:jc w:val="both"/>
        <w:ind w:firstLine="644"/>
        <w:spacing w:after="0" w:line="259" w:lineRule="auto"/>
        <w:tabs>
          <w:tab w:leader="none" w:pos="1593"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 xml:space="preserve">the existence of any claim, setoff or other rights which the Guarantors may have at any time against the Borrower, any other guarantor of any of the Guaranteed Obligations, the Administrative Agent, any Holder of Guaranteed Obligations or any other Person, whether in connection herewith or in connection with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186" w:lineRule="exact"/>
        <w:rPr>
          <w:rFonts w:ascii="Arial" w:cs="Arial" w:eastAsia="Arial" w:hAnsi="Arial"/>
          <w:sz w:val="18"/>
          <w:szCs w:val="18"/>
          <w:color w:val="010000"/>
        </w:rPr>
      </w:pPr>
    </w:p>
    <w:p>
      <w:pPr>
        <w:jc w:val="both"/>
        <w:ind w:firstLine="644"/>
        <w:spacing w:after="0" w:line="293" w:lineRule="auto"/>
        <w:tabs>
          <w:tab w:leader="none" w:pos="1596" w:val="left"/>
        </w:tabs>
        <w:numPr>
          <w:ilvl w:val="0"/>
          <w:numId w:val="195"/>
        </w:numPr>
        <w:rPr>
          <w:rFonts w:ascii="Arial" w:cs="Arial" w:eastAsia="Arial" w:hAnsi="Arial"/>
          <w:sz w:val="16"/>
          <w:szCs w:val="16"/>
          <w:color w:val="010000"/>
        </w:rPr>
      </w:pPr>
      <w:r>
        <w:rPr>
          <w:rFonts w:ascii="Arial" w:cs="Arial" w:eastAsia="Arial" w:hAnsi="Arial"/>
          <w:sz w:val="16"/>
          <w:szCs w:val="16"/>
          <w:color w:val="auto"/>
        </w:rPr>
        <w:t>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the Borrower or any other guarantor of any of the Guaranteed Obligations, for any reason related to the Credit Agreement, any Swap Agreement, any Banking Services Agreement, any other Loan Document, or any provision of applicable law decree, order or regulation of any jurisdiction purporting to prohibit the payment by the Borrower or any other guarantor of the Guaranteed Obligations, of any of the Guaranteed Obligations or otherwise affecting any term of any of the Guaranteed Obligations;</w:t>
      </w:r>
    </w:p>
    <w:p>
      <w:pPr>
        <w:spacing w:after="0" w:line="164" w:lineRule="exact"/>
        <w:rPr>
          <w:rFonts w:ascii="Arial" w:cs="Arial" w:eastAsia="Arial" w:hAnsi="Arial"/>
          <w:sz w:val="16"/>
          <w:szCs w:val="16"/>
          <w:color w:val="010000"/>
        </w:rPr>
      </w:pPr>
    </w:p>
    <w:p>
      <w:pPr>
        <w:ind w:firstLine="644"/>
        <w:spacing w:after="0" w:line="277" w:lineRule="auto"/>
        <w:tabs>
          <w:tab w:leader="none" w:pos="1622"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the failure of the Administrative Agent to take any steps to perfect and maintain any security interest in, or to preserve any rights to, any security or collateral for the Guaranteed Obligations, if any;</w:t>
      </w:r>
    </w:p>
    <w:p>
      <w:pPr>
        <w:spacing w:after="0" w:line="170" w:lineRule="exact"/>
        <w:rPr>
          <w:rFonts w:ascii="Arial" w:cs="Arial" w:eastAsia="Arial" w:hAnsi="Arial"/>
          <w:sz w:val="18"/>
          <w:szCs w:val="18"/>
          <w:color w:val="010000"/>
        </w:rPr>
      </w:pPr>
    </w:p>
    <w:p>
      <w:pPr>
        <w:jc w:val="both"/>
        <w:ind w:firstLine="644"/>
        <w:spacing w:after="0" w:line="263" w:lineRule="auto"/>
        <w:tabs>
          <w:tab w:leader="none" w:pos="1527"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the election by, or on behalf of, any one or more of the Holders of Guaranteed Obligations, in any proceeding instituted under Chapter 11 of Title 11 of the United States Code (11 U.S.C. 101 et seq.)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of the application of Section 1111(b)(2) of the Bankruptcy Code;</w:t>
      </w:r>
    </w:p>
    <w:p>
      <w:pPr>
        <w:spacing w:after="0" w:line="183" w:lineRule="exact"/>
        <w:rPr>
          <w:rFonts w:ascii="Arial" w:cs="Arial" w:eastAsia="Arial" w:hAnsi="Arial"/>
          <w:sz w:val="18"/>
          <w:szCs w:val="18"/>
          <w:color w:val="010000"/>
        </w:rPr>
      </w:pPr>
    </w:p>
    <w:p>
      <w:pPr>
        <w:ind w:left="1600" w:hanging="956"/>
        <w:spacing w:after="0"/>
        <w:tabs>
          <w:tab w:leader="none" w:pos="1600" w:val="left"/>
        </w:tabs>
        <w:numPr>
          <w:ilvl w:val="0"/>
          <w:numId w:val="195"/>
        </w:numPr>
        <w:rPr>
          <w:rFonts w:ascii="Arial" w:cs="Arial" w:eastAsia="Arial" w:hAnsi="Arial"/>
          <w:sz w:val="16"/>
          <w:szCs w:val="16"/>
          <w:color w:val="010000"/>
        </w:rPr>
      </w:pPr>
      <w:r>
        <w:rPr>
          <w:rFonts w:ascii="Arial" w:cs="Arial" w:eastAsia="Arial" w:hAnsi="Arial"/>
          <w:sz w:val="16"/>
          <w:szCs w:val="16"/>
          <w:color w:val="auto"/>
        </w:rPr>
        <w:t>any borrowing or grant of a security interest by the Borrower, as debtor-in-possession, under Section 364 of the Bankruptcy</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010000"/>
        </w:rPr>
      </w:pPr>
    </w:p>
    <w:p>
      <w:pPr>
        <w:ind w:firstLine="644"/>
        <w:spacing w:after="0" w:line="277" w:lineRule="auto"/>
        <w:tabs>
          <w:tab w:leader="none" w:pos="1558" w:val="left"/>
        </w:tabs>
        <w:numPr>
          <w:ilvl w:val="0"/>
          <w:numId w:val="195"/>
        </w:numPr>
        <w:rPr>
          <w:rFonts w:ascii="Arial" w:cs="Arial" w:eastAsia="Arial" w:hAnsi="Arial"/>
          <w:sz w:val="18"/>
          <w:szCs w:val="18"/>
          <w:color w:val="010000"/>
        </w:rPr>
      </w:pPr>
      <w:r>
        <w:rPr>
          <w:rFonts w:ascii="Arial" w:cs="Arial" w:eastAsia="Arial" w:hAnsi="Arial"/>
          <w:sz w:val="18"/>
          <w:szCs w:val="18"/>
          <w:color w:val="auto"/>
        </w:rPr>
        <w:t>the disallowance, under Section 502 of the Bankruptcy Code, of all or any portion of the claims of the Holders of Guaranteed Obligations or the Administrative Agent for repayment of all or any part of the Guaranteed Obligations;</w:t>
      </w:r>
    </w:p>
    <w:p>
      <w:pPr>
        <w:spacing w:after="0" w:line="170" w:lineRule="exact"/>
        <w:rPr>
          <w:rFonts w:ascii="Arial" w:cs="Arial" w:eastAsia="Arial" w:hAnsi="Arial"/>
          <w:sz w:val="18"/>
          <w:szCs w:val="18"/>
          <w:color w:val="010000"/>
        </w:rPr>
      </w:pPr>
    </w:p>
    <w:p>
      <w:pPr>
        <w:ind w:left="1740" w:hanging="1096"/>
        <w:spacing w:after="0"/>
        <w:tabs>
          <w:tab w:leader="none" w:pos="1740" w:val="left"/>
        </w:tabs>
        <w:numPr>
          <w:ilvl w:val="0"/>
          <w:numId w:val="195"/>
        </w:numPr>
        <w:rPr>
          <w:rFonts w:ascii="Arial" w:cs="Arial" w:eastAsia="Arial" w:hAnsi="Arial"/>
          <w:sz w:val="16"/>
          <w:szCs w:val="16"/>
          <w:color w:val="010000"/>
        </w:rPr>
      </w:pPr>
      <w:r>
        <w:rPr>
          <w:rFonts w:ascii="Arial" w:cs="Arial" w:eastAsia="Arial" w:hAnsi="Arial"/>
          <w:sz w:val="16"/>
          <w:szCs w:val="16"/>
          <w:color w:val="auto"/>
        </w:rPr>
        <w:t>the failure of any other guarantor to sign or become party to this Guaranty or any amendment, change, or reaffirmation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hereof; or</w:t>
      </w:r>
    </w:p>
    <w:p>
      <w:pPr>
        <w:spacing w:after="0" w:line="210" w:lineRule="exact"/>
        <w:rPr>
          <w:rFonts w:ascii="Arial" w:cs="Arial" w:eastAsia="Arial" w:hAnsi="Arial"/>
          <w:sz w:val="16"/>
          <w:szCs w:val="16"/>
          <w:color w:val="010000"/>
        </w:rPr>
      </w:pPr>
    </w:p>
    <w:p>
      <w:pPr>
        <w:jc w:val="both"/>
        <w:ind w:firstLine="644"/>
        <w:spacing w:after="0" w:line="311" w:lineRule="auto"/>
        <w:tabs>
          <w:tab w:leader="none" w:pos="1566" w:val="left"/>
        </w:tabs>
        <w:numPr>
          <w:ilvl w:val="0"/>
          <w:numId w:val="195"/>
        </w:numPr>
        <w:rPr>
          <w:rFonts w:ascii="Arial" w:cs="Arial" w:eastAsia="Arial" w:hAnsi="Arial"/>
          <w:sz w:val="16"/>
          <w:szCs w:val="16"/>
          <w:color w:val="010000"/>
        </w:rPr>
      </w:pPr>
      <w:r>
        <w:rPr>
          <w:rFonts w:ascii="Arial" w:cs="Arial" w:eastAsia="Arial" w:hAnsi="Arial"/>
          <w:sz w:val="16"/>
          <w:szCs w:val="16"/>
          <w:color w:val="auto"/>
        </w:rPr>
        <w:t>any other act or omission to act or delay of any kind by the Borrower, any other guarantor of the Guaranteed Obligations, the Administrative Agent, any Holder of Guaranteed Obligations or any other Person or any other circumstance whatsoever which might, but for the provisions of this Section 4, constitute a legal or equitable discharge of any Guarantor’s obligations hereunder except as provided in Section 5.</w:t>
      </w:r>
    </w:p>
    <w:p>
      <w:pPr>
        <w:spacing w:after="0" w:line="36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Exhibit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171" w:name="page172"/>
    <w:bookmarkEnd w:id="171"/>
    <w:p>
      <w:pPr>
        <w:jc w:val="both"/>
        <w:ind w:firstLine="1296"/>
        <w:spacing w:after="0" w:line="270" w:lineRule="auto"/>
        <w:rPr>
          <w:sz w:val="20"/>
          <w:szCs w:val="20"/>
          <w:color w:val="auto"/>
        </w:rPr>
      </w:pPr>
      <w:r>
        <w:rPr>
          <w:rFonts w:ascii="Arial" w:cs="Arial" w:eastAsia="Arial" w:hAnsi="Arial"/>
          <w:sz w:val="17"/>
          <w:szCs w:val="17"/>
          <w:color w:val="010000"/>
        </w:rPr>
        <w:t xml:space="preserve">SECTION 5. </w:t>
      </w:r>
      <w:r>
        <w:rPr>
          <w:rFonts w:ascii="Arial" w:cs="Arial" w:eastAsia="Arial" w:hAnsi="Arial"/>
          <w:sz w:val="17"/>
          <w:szCs w:val="17"/>
          <w:u w:val="single" w:color="auto"/>
          <w:color w:val="000000"/>
        </w:rPr>
        <w:t>Continuing Guarantee; Discharge Only Upon Payment In Full; Reinstatement In Certain Circumstances</w:t>
      </w:r>
      <w:r>
        <w:rPr>
          <w:rFonts w:ascii="Arial" w:cs="Arial" w:eastAsia="Arial" w:hAnsi="Arial"/>
          <w:sz w:val="17"/>
          <w:szCs w:val="17"/>
          <w:color w:val="000000"/>
        </w:rPr>
        <w:t>. Each of the</w:t>
      </w:r>
      <w:r>
        <w:rPr>
          <w:rFonts w:ascii="Arial" w:cs="Arial" w:eastAsia="Arial" w:hAnsi="Arial"/>
          <w:sz w:val="17"/>
          <w:szCs w:val="17"/>
          <w:color w:val="010000"/>
        </w:rPr>
        <w:t xml:space="preserve"> </w:t>
      </w:r>
      <w:r>
        <w:rPr>
          <w:rFonts w:ascii="Arial" w:cs="Arial" w:eastAsia="Arial" w:hAnsi="Arial"/>
          <w:sz w:val="17"/>
          <w:szCs w:val="17"/>
          <w:color w:val="000000"/>
        </w:rPr>
        <w:t>Guarantors’ obligations hereunder shall constitute a continuing and irrevocable guarantee of all Guaranteed Obligations now or hereafter existing and shall remain in full force and effect until all Guaranteed Obligations shall have been paid in full in cash and the Commitments issued under the Credit Agreement shall have terminated or expired, or satisfaction otherwise of the Final Release Conditions. If at any time any payment of the principal of or interest on any Loan or any other amount payable by the Borrower or any other party under the Credit Agreement, any Swap Agreement, any Banking Services Agreement or any other Loan Document (including a payment effected through exercise of a right of setoff) is rescinded, or is or must be otherwise restored or returned upon the insolvency, bankruptcy, examinership or reorganization of the Borrower or otherwise, each of the Guarantors’ obligations hereunder with respect to such payment shall be reinstated as though such payment had been due but not made at such time. The parties hereto acknowledge and agree that each of the Guaranteed Obligations shall be due and payable in Dollars.</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010000"/>
        </w:rPr>
        <w:t>SECTION 6.</w:t>
      </w:r>
      <w:r>
        <w:rPr>
          <w:sz w:val="20"/>
          <w:szCs w:val="20"/>
          <w:color w:val="auto"/>
        </w:rPr>
        <w:tab/>
      </w:r>
      <w:r>
        <w:rPr>
          <w:rFonts w:ascii="Arial" w:cs="Arial" w:eastAsia="Arial" w:hAnsi="Arial"/>
          <w:sz w:val="16"/>
          <w:szCs w:val="16"/>
          <w:u w:val="single" w:color="auto"/>
          <w:color w:val="auto"/>
        </w:rPr>
        <w:t>General Waivers; Additional Waivers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9" w:lineRule="auto"/>
        <w:tabs>
          <w:tab w:leader="none" w:pos="2592"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General Waivers</w:t>
      </w:r>
      <w:r>
        <w:rPr>
          <w:rFonts w:ascii="Arial" w:cs="Arial" w:eastAsia="Arial" w:hAnsi="Arial"/>
          <w:sz w:val="18"/>
          <w:szCs w:val="18"/>
          <w:color w:val="auto"/>
        </w:rPr>
        <w:t>. Each of the Guarantors irrevocably waives acceptance hereof, presentment, demand or action on delinquency, protest, the benefit of any statutes of limitations and, to the fullest extent permitted by law, any notice not provided for herein, as well as any requirement that at any time any action be taken by any Person against the Borrower, any other guarantor of the Guaranteed Obligations, or any other Person.</w:t>
      </w:r>
    </w:p>
    <w:p>
      <w:pPr>
        <w:spacing w:after="0" w:line="186" w:lineRule="exact"/>
        <w:rPr>
          <w:rFonts w:ascii="Arial" w:cs="Arial" w:eastAsia="Arial" w:hAnsi="Arial"/>
          <w:sz w:val="18"/>
          <w:szCs w:val="18"/>
          <w:color w:val="010000"/>
        </w:rPr>
      </w:pPr>
    </w:p>
    <w:p>
      <w:pPr>
        <w:ind w:left="660" w:right="20" w:firstLine="644"/>
        <w:spacing w:after="0" w:line="277" w:lineRule="auto"/>
        <w:tabs>
          <w:tab w:leader="none" w:pos="2717" w:val="left"/>
        </w:tabs>
        <w:numPr>
          <w:ilvl w:val="0"/>
          <w:numId w:val="196"/>
        </w:numPr>
        <w:rPr>
          <w:rFonts w:ascii="Arial" w:cs="Arial" w:eastAsia="Arial" w:hAnsi="Arial"/>
          <w:sz w:val="18"/>
          <w:szCs w:val="18"/>
          <w:color w:val="010000"/>
        </w:rPr>
      </w:pPr>
      <w:r>
        <w:rPr>
          <w:rFonts w:ascii="Arial" w:cs="Arial" w:eastAsia="Arial" w:hAnsi="Arial"/>
          <w:sz w:val="18"/>
          <w:szCs w:val="18"/>
          <w:u w:val="single" w:color="auto"/>
          <w:color w:val="auto"/>
        </w:rPr>
        <w:t>Additional Waivers</w:t>
      </w:r>
      <w:r>
        <w:rPr>
          <w:rFonts w:ascii="Arial" w:cs="Arial" w:eastAsia="Arial" w:hAnsi="Arial"/>
          <w:sz w:val="18"/>
          <w:szCs w:val="18"/>
          <w:color w:val="auto"/>
        </w:rPr>
        <w:t>. Notwithstanding anything herein to the contrary, each of the Guarantors hereby absolutely, unconditionally, knowingly, and expressly waives:</w:t>
      </w:r>
    </w:p>
    <w:p>
      <w:pPr>
        <w:spacing w:after="0" w:line="170" w:lineRule="exact"/>
        <w:rPr>
          <w:sz w:val="20"/>
          <w:szCs w:val="20"/>
          <w:color w:val="auto"/>
        </w:rPr>
      </w:pPr>
    </w:p>
    <w:p>
      <w:pPr>
        <w:ind w:left="2240" w:hanging="936"/>
        <w:spacing w:after="0"/>
        <w:tabs>
          <w:tab w:leader="none" w:pos="2240"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any right it may have to revoke this Guaranty as to future indebtedness or notice of acceptance hereof;</w:t>
      </w:r>
    </w:p>
    <w:p>
      <w:pPr>
        <w:spacing w:after="0" w:line="225" w:lineRule="exact"/>
        <w:rPr>
          <w:rFonts w:ascii="Arial" w:cs="Arial" w:eastAsia="Arial" w:hAnsi="Arial"/>
          <w:sz w:val="18"/>
          <w:szCs w:val="18"/>
          <w:color w:val="010000"/>
        </w:rPr>
      </w:pPr>
    </w:p>
    <w:p>
      <w:pPr>
        <w:jc w:val="both"/>
        <w:ind w:left="660" w:firstLine="644"/>
        <w:spacing w:after="0" w:line="254" w:lineRule="auto"/>
        <w:tabs>
          <w:tab w:leader="none" w:pos="2243" w:val="left"/>
        </w:tabs>
        <w:numPr>
          <w:ilvl w:val="0"/>
          <w:numId w:val="197"/>
        </w:numPr>
        <w:rPr>
          <w:rFonts w:ascii="Arial" w:cs="Arial" w:eastAsia="Arial" w:hAnsi="Arial"/>
          <w:sz w:val="18"/>
          <w:szCs w:val="18"/>
          <w:color w:val="010000"/>
        </w:rPr>
      </w:pPr>
      <w:r>
        <w:rPr>
          <w:rFonts w:ascii="Arial" w:cs="Arial" w:eastAsia="Arial" w:hAnsi="Arial"/>
          <w:sz w:val="18"/>
          <w:szCs w:val="18"/>
          <w:color w:val="auto"/>
        </w:rPr>
        <w:t>(a) notice of acceptance hereof; (b) notice of any loans or other financial accommodations made or extended under the Loan Documents or the creation or existence of any Guaranteed Obligations; (c) notice of the amount of the Guaranteed Obligations, subject, however, to each Guarantor’s right to make inquiry of Administrative Agent and Holders of Guaranteed Obligations to ascertain the amount of the Guaranteed Obligations at any reasonable time; (d) notice of any adverse change in the financial condition of the Borrower or of any other fact that might increase such Guarantor’s risk hereunder; (e) notice of presentment for payment, demand, protest, and notice thereof as to any instruments among the Loan Documents; (f) notice of any Default or Event of Default; and (g) all other notices (except if such notice is specifically required to be given to such Guarantor hereunder or under the Loan Documents) and demands to which each Guarantor might otherwise be entitled;</w:t>
      </w:r>
    </w:p>
    <w:p>
      <w:pPr>
        <w:spacing w:after="0" w:line="191" w:lineRule="exact"/>
        <w:rPr>
          <w:rFonts w:ascii="Arial" w:cs="Arial" w:eastAsia="Arial" w:hAnsi="Arial"/>
          <w:sz w:val="18"/>
          <w:szCs w:val="18"/>
          <w:color w:val="010000"/>
        </w:rPr>
      </w:pPr>
    </w:p>
    <w:p>
      <w:pPr>
        <w:jc w:val="both"/>
        <w:ind w:left="660" w:firstLine="644"/>
        <w:spacing w:after="0" w:line="275" w:lineRule="auto"/>
        <w:tabs>
          <w:tab w:leader="none" w:pos="2203" w:val="left"/>
        </w:tabs>
        <w:numPr>
          <w:ilvl w:val="0"/>
          <w:numId w:val="197"/>
        </w:numPr>
        <w:rPr>
          <w:rFonts w:ascii="Arial" w:cs="Arial" w:eastAsia="Arial" w:hAnsi="Arial"/>
          <w:sz w:val="17"/>
          <w:szCs w:val="17"/>
          <w:color w:val="010000"/>
        </w:rPr>
      </w:pPr>
      <w:r>
        <w:rPr>
          <w:rFonts w:ascii="Arial" w:cs="Arial" w:eastAsia="Arial" w:hAnsi="Arial"/>
          <w:sz w:val="17"/>
          <w:szCs w:val="17"/>
          <w:color w:val="auto"/>
        </w:rPr>
        <w:t>its right, if any, to require the Administrative Agent and the other Holders of Guaranteed Obligations to institute suit against, or to exhaust any rights and remedies which the Administrative Agent and the other Holders of Guaranteed Obligations has or may have against, the other Guarantors or any third party; and each Guarantor further waives any defense arising by reason of any disability or other defense (other than the defense that the Guaranteed Obligations shall have been fully and finally performed and indefeasibly paid) of the other Guarantors or by reason of the cessation from any cause whatsoever of the liability of the other Guarantors in respect thereof;</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both"/>
        <w:ind w:left="-460" w:firstLine="644"/>
        <w:spacing w:after="0" w:line="286" w:lineRule="auto"/>
        <w:tabs>
          <w:tab w:leader="none" w:pos="1118" w:val="left"/>
        </w:tabs>
        <w:numPr>
          <w:ilvl w:val="0"/>
          <w:numId w:val="198"/>
        </w:numPr>
        <w:rPr>
          <w:rFonts w:ascii="Arial" w:cs="Arial" w:eastAsia="Arial" w:hAnsi="Arial"/>
          <w:sz w:val="16"/>
          <w:szCs w:val="16"/>
          <w:color w:val="010000"/>
        </w:rPr>
      </w:pPr>
      <w:r>
        <w:rPr>
          <w:rFonts w:ascii="Arial" w:cs="Arial" w:eastAsia="Arial" w:hAnsi="Arial"/>
          <w:sz w:val="16"/>
          <w:szCs w:val="16"/>
          <w:color w:val="auto"/>
        </w:rPr>
        <w:t>(a) any rights to assert against the Administrative Agent and the other Holders of Guaranteed Obligations any defense (legal or equitable), set-off, counterclaim, or claim which such Guarantor may now or at any time hereafter have against the other Guarantors or any other party liable to the Administrative Agent and the other Holders of Guaranteed Obligations;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the impairment or suspension of the Administrative Agent’s and the other Holders of Guaranteed Obligations’ rights or remedies against the other Guarantors; the alteration by the Administrative Agent and the other Holders of Guaranteed Obligations of the Guaranteed Obligations; any discharge of the other Guarantors’ obligations to the Administrative Agent and the other Holders of Guaranteed Obligations by operation of law as a result of the Administrative Agent’s and the other Holders of Guaranteed Obligations’ intervention or omission; or the acceptance by the Administrative Agent and the other Holders of Guaranteed Obligations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73" w:lineRule="exact"/>
        <w:rPr>
          <w:rFonts w:ascii="Arial" w:cs="Arial" w:eastAsia="Arial" w:hAnsi="Arial"/>
          <w:sz w:val="16"/>
          <w:szCs w:val="16"/>
          <w:color w:val="010000"/>
        </w:rPr>
      </w:pPr>
    </w:p>
    <w:p>
      <w:pPr>
        <w:jc w:val="both"/>
        <w:ind w:left="-460" w:firstLine="644"/>
        <w:spacing w:after="0" w:line="279" w:lineRule="auto"/>
        <w:tabs>
          <w:tab w:leader="none" w:pos="1374" w:val="left"/>
        </w:tabs>
        <w:numPr>
          <w:ilvl w:val="0"/>
          <w:numId w:val="198"/>
        </w:numPr>
        <w:rPr>
          <w:rFonts w:ascii="Arial" w:cs="Arial" w:eastAsia="Arial" w:hAnsi="Arial"/>
          <w:sz w:val="17"/>
          <w:szCs w:val="17"/>
          <w:color w:val="010000"/>
        </w:rPr>
      </w:pPr>
      <w:r>
        <w:rPr>
          <w:rFonts w:ascii="Arial" w:cs="Arial" w:eastAsia="Arial" w:hAnsi="Arial"/>
          <w:sz w:val="17"/>
          <w:szCs w:val="17"/>
          <w:color w:val="auto"/>
        </w:rPr>
        <w:t>any defense arising by reason of or deriving from (a) any claim or defense based upon an election of remedies by the Administrative Agent and the other Holders of Guaranteed Obligations; or (b) any election by the Administrative Agent and the other Holders of Guaranteed Obligations under Section 1111(b) of Title 11 of the United States Code entitled “Bankruptcy”, as now and hereafter in effect (or any successor statute), to limit the amount of, or any collateral securing, its claim against the Guarantors.</w:t>
      </w:r>
    </w:p>
    <w:p>
      <w:pPr>
        <w:spacing w:after="0" w:line="171" w:lineRule="exact"/>
        <w:rPr>
          <w:sz w:val="20"/>
          <w:szCs w:val="20"/>
          <w:color w:val="auto"/>
        </w:rPr>
      </w:pPr>
    </w:p>
    <w:p>
      <w:pPr>
        <w:ind w:left="180"/>
        <w:spacing w:after="0"/>
        <w:tabs>
          <w:tab w:leader="none" w:pos="1560" w:val="left"/>
        </w:tabs>
        <w:rPr>
          <w:sz w:val="20"/>
          <w:szCs w:val="20"/>
          <w:color w:val="auto"/>
        </w:rPr>
      </w:pPr>
      <w:r>
        <w:rPr>
          <w:rFonts w:ascii="Arial" w:cs="Arial" w:eastAsia="Arial" w:hAnsi="Arial"/>
          <w:sz w:val="18"/>
          <w:szCs w:val="18"/>
          <w:color w:val="010000"/>
        </w:rPr>
        <w:t>SECTION 7.</w:t>
      </w:r>
      <w:r>
        <w:rPr>
          <w:sz w:val="20"/>
          <w:szCs w:val="20"/>
          <w:color w:val="auto"/>
        </w:rPr>
        <w:tab/>
      </w:r>
      <w:r>
        <w:rPr>
          <w:rFonts w:ascii="Arial" w:cs="Arial" w:eastAsia="Arial" w:hAnsi="Arial"/>
          <w:sz w:val="16"/>
          <w:szCs w:val="16"/>
          <w:u w:val="single" w:color="auto"/>
          <w:color w:val="auto"/>
        </w:rPr>
        <w:t>Subordination of Subrogation; Subordination of Intercompany Indebtedness</w:t>
      </w:r>
      <w:r>
        <w:rPr>
          <w:rFonts w:ascii="Arial" w:cs="Arial" w:eastAsia="Arial" w:hAnsi="Arial"/>
          <w:sz w:val="16"/>
          <w:szCs w:val="16"/>
          <w:color w:val="auto"/>
        </w:rPr>
        <w:t>.</w:t>
      </w:r>
    </w:p>
    <w:p>
      <w:pPr>
        <w:spacing w:after="0" w:line="225" w:lineRule="exact"/>
        <w:rPr>
          <w:sz w:val="20"/>
          <w:szCs w:val="20"/>
          <w:color w:val="auto"/>
        </w:rPr>
      </w:pPr>
    </w:p>
    <w:p>
      <w:pPr>
        <w:jc w:val="both"/>
        <w:ind w:left="-460" w:firstLine="644"/>
        <w:spacing w:after="0" w:line="286" w:lineRule="auto"/>
        <w:tabs>
          <w:tab w:leader="none" w:pos="1094" w:val="left"/>
        </w:tabs>
        <w:numPr>
          <w:ilvl w:val="0"/>
          <w:numId w:val="199"/>
        </w:numPr>
        <w:rPr>
          <w:rFonts w:ascii="Arial" w:cs="Arial" w:eastAsia="Arial" w:hAnsi="Arial"/>
          <w:sz w:val="16"/>
          <w:szCs w:val="16"/>
          <w:color w:val="010000"/>
        </w:rPr>
      </w:pPr>
      <w:r>
        <w:rPr>
          <w:rFonts w:ascii="Arial" w:cs="Arial" w:eastAsia="Arial" w:hAnsi="Arial"/>
          <w:sz w:val="16"/>
          <w:szCs w:val="16"/>
          <w:u w:val="single" w:color="auto"/>
          <w:color w:val="auto"/>
        </w:rPr>
        <w:t>Subordination of Subrogation</w:t>
      </w:r>
      <w:r>
        <w:rPr>
          <w:rFonts w:ascii="Arial" w:cs="Arial" w:eastAsia="Arial" w:hAnsi="Arial"/>
          <w:sz w:val="16"/>
          <w:szCs w:val="16"/>
          <w:color w:val="auto"/>
        </w:rPr>
        <w:t>. Until the Guaranteed Obligations have been fully and finally performed and indefeasibly paid in full in cash, or satisfaction otherwise of the Final Release Conditions, the Guarantors (i) shall have no right of subrogation with respect to such Guaranteed Obligations, (ii) waive any right to enforce any remedy which the Holders of Guaranteed Obligations or the Administrative Agent now have or may hereafter have against the Borrower, any endorser or any guarantor of all or any part of the Guaranteed Obligations or any other Person, and (iii) waive any benefit of, and any right to participate in, any security or collateral given to the Holders of Guaranteed Obligations and the Administrative Agent to secure the payment or performance of all or any part of the Guaranteed Obligations or any other liability of the Borrower to the Holders of Guaranteed Obligations. Should any Guarantor have the right, notwithstanding the foregoing, to exercise its subrogation rights, each Guarantor hereby expressly and irrevocably (A) subordinates any and all rights at law or in equity to subrogation, reimbursement, exoneration, contribution, indemnification or set off that such Guarantor may have to the indefeasible payment in full in cash of the Guaranteed Obligations and (B) waives any and all defenses available to a surety, guarantor or accommodation co-obligor until the Guaranteed Obligations are indefeasibly paid in full in cash. Each Guarantor acknowledges and agrees that this subordination is intended to benefit the Administrative Agent and the other Holders of Guaranteed Obligations and shall not limit or otherwise affect such Guarantor’s liability hereunder or the enforceability of this Guaranty, and that the Administrative Agent, the other Holders of Guaranteed Obligations and their respective successors and assigns are intended third party beneficiaries of the waivers and agreements set forth in this Section 7(A).</w:t>
      </w:r>
    </w:p>
    <w:p>
      <w:pPr>
        <w:spacing w:after="0" w:line="38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Exhibit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3" w:name="page174"/>
    <w:bookmarkEnd w:id="173"/>
    <w:p>
      <w:pPr>
        <w:jc w:val="both"/>
        <w:ind w:left="-460" w:firstLine="644"/>
        <w:spacing w:after="0" w:line="283" w:lineRule="auto"/>
        <w:tabs>
          <w:tab w:leader="none" w:pos="1179" w:val="left"/>
        </w:tabs>
        <w:numPr>
          <w:ilvl w:val="0"/>
          <w:numId w:val="200"/>
        </w:numPr>
        <w:rPr>
          <w:rFonts w:ascii="Arial" w:cs="Arial" w:eastAsia="Arial" w:hAnsi="Arial"/>
          <w:sz w:val="16"/>
          <w:szCs w:val="16"/>
          <w:color w:val="010000"/>
        </w:rPr>
      </w:pP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 Each Guarantor agrees that any and all claims of such Guarantor against the Borrower or any other Guarantor hereunder (each an “</w:t>
      </w:r>
      <w:r>
        <w:rPr>
          <w:rFonts w:ascii="Arial" w:cs="Arial" w:eastAsia="Arial" w:hAnsi="Arial"/>
          <w:sz w:val="16"/>
          <w:szCs w:val="16"/>
          <w:u w:val="single" w:color="auto"/>
          <w:color w:val="auto"/>
        </w:rPr>
        <w:t>Obligor</w:t>
      </w:r>
      <w:r>
        <w:rPr>
          <w:rFonts w:ascii="Arial" w:cs="Arial" w:eastAsia="Arial" w:hAnsi="Arial"/>
          <w:sz w:val="16"/>
          <w:szCs w:val="16"/>
          <w:color w:val="auto"/>
        </w:rPr>
        <w:t xml:space="preserve">”) with respect to any “Intercompany Indebtedness” (as hereinafter defined), any endorser, obligor or any other guarantor of all or any part of the Guaranteed Obligations, or against any of its properties shall be subordinate and subject in right of payment to the prior payment, in full and in cash, of all Guaranteed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long as no Event of Default has occurred and is continuing, such Guarantor may receive payments of principal and interest from any Obligor with respect to Intercompany Indebtedness. Notwithstanding any right of any Guarantor to ask, demand, sue for, take or receive any payment from any Obligor, all rights, liens and security interests of such Guarantor, whether now or hereafter arising and howsoever existing, in any assets of any other Obligor shall be and are subordinated to the rights of the Holders of Guaranteed Obligations and the Administrative Agent in those assets. No Guarantor shall have any right to possession of any such asset or to foreclose upon any such asset, whether by judicial action or otherwise, unless and until all of the Guaranteed Obligations shall have been fully paid and satisfied (in cash) and all financing arrangements pursuant to any Loan Document, any Swap Agreement or any Banking Services Agreement have been terminated.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6"/>
          <w:szCs w:val="16"/>
          <w:u w:val="single" w:color="auto"/>
          <w:color w:val="auto"/>
        </w:rPr>
        <w:t>Insolvency Event</w:t>
      </w:r>
      <w:r>
        <w:rPr>
          <w:rFonts w:ascii="Arial" w:cs="Arial" w:eastAsia="Arial" w:hAnsi="Arial"/>
          <w:sz w:val="16"/>
          <w:szCs w:val="16"/>
          <w:color w:val="auto"/>
        </w:rPr>
        <w:t>”), any payment or distribution of any kind or character, either in cash, securities or other property, which shall be payable or deliverable upon or with respect to any indebtedness of any Obligor to any Guarantor (“</w:t>
      </w:r>
      <w:r>
        <w:rPr>
          <w:rFonts w:ascii="Arial" w:cs="Arial" w:eastAsia="Arial" w:hAnsi="Arial"/>
          <w:sz w:val="16"/>
          <w:szCs w:val="16"/>
          <w:u w:val="single" w:color="auto"/>
          <w:color w:val="auto"/>
        </w:rPr>
        <w:t>Intercompany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shall be paid or delivered directly to the Administrative Agent for application on any of the Guaranteed Obligations, due or to become due, until such Guaranteed Obligations shall have first been fully paid and satisfied (in cash). Should any payment, distribution, security or instrument or proceeds thereof be received by the applicable Guarantor upon or with respect to the Intercompany Indebtedness after any Insolvency Event and prior to the satisfaction of all of the Guaranteed Obligations and the termination of all financing arrangements pursuant to any Loan Document among the Borrower and the Holders of Guaranteed Obligations, such Guarantor shall receive and hold the same in trust, as trustee, for the benefit of the Holders of Guaranteed Obligations and shall forthwith deliver the same to the Administrative Agent, for the benefit of the Holders of Guaranteed Obligations, in precisely the form received (except for the endorsement or assignment of the Guarantor where necessary), for application to any of the Guaranteed Obligations, due or not due, and, until so delivered, the same shall be held in trust by the Guarantor as the property of the Holders of Guaranteed Obligations. If any such Guarantor fails to make any such endorsement or assignment to the Administrative Agent, the Administrative Agent or any of its officers or employees is irrevocably authorized to make the same. Each Guarantor agrees that until the Guaranteed Obligations (other than the contingent indemnity obligations) have been paid in full (in cash) and satisfied and all financing arrangements pursuant to any Loan Document among the Borrower and the Holders of Guaranteed Obligations have been terminated or satisfaction otherwise of the Final Release Conditions, no Guarantor will assign or transfer to any Person (other than the Administrative Agent) any claim any such Guarantor has or may have against any Obligor.</w:t>
      </w:r>
    </w:p>
    <w:p>
      <w:pPr>
        <w:spacing w:after="0" w:line="200" w:lineRule="exact"/>
        <w:rPr>
          <w:sz w:val="20"/>
          <w:szCs w:val="20"/>
          <w:color w:val="auto"/>
        </w:rPr>
      </w:pPr>
    </w:p>
    <w:p>
      <w:pPr>
        <w:spacing w:after="0" w:line="204" w:lineRule="exact"/>
        <w:rPr>
          <w:sz w:val="20"/>
          <w:szCs w:val="20"/>
          <w:color w:val="auto"/>
        </w:rPr>
      </w:pPr>
    </w:p>
    <w:p>
      <w:pPr>
        <w:ind w:left="180"/>
        <w:spacing w:after="0"/>
        <w:tabs>
          <w:tab w:leader="none" w:pos="1560" w:val="left"/>
        </w:tabs>
        <w:rPr>
          <w:sz w:val="20"/>
          <w:szCs w:val="20"/>
          <w:color w:val="auto"/>
        </w:rPr>
      </w:pPr>
      <w:r>
        <w:rPr>
          <w:rFonts w:ascii="Arial" w:cs="Arial" w:eastAsia="Arial" w:hAnsi="Arial"/>
          <w:sz w:val="18"/>
          <w:szCs w:val="18"/>
          <w:color w:val="010000"/>
        </w:rPr>
        <w:t>SECTION 8.</w:t>
      </w:r>
      <w:r>
        <w:rPr>
          <w:sz w:val="20"/>
          <w:szCs w:val="20"/>
          <w:color w:val="auto"/>
        </w:rPr>
        <w:tab/>
      </w:r>
      <w:r>
        <w:rPr>
          <w:rFonts w:ascii="Arial" w:cs="Arial" w:eastAsia="Arial" w:hAnsi="Arial"/>
          <w:sz w:val="16"/>
          <w:szCs w:val="16"/>
          <w:u w:val="single" w:color="auto"/>
          <w:color w:val="auto"/>
        </w:rPr>
        <w:t>Contribution with Respect to Guaranteed Obligations</w:t>
      </w:r>
      <w:r>
        <w:rPr>
          <w:rFonts w:ascii="Arial" w:cs="Arial" w:eastAsia="Arial" w:hAnsi="Arial"/>
          <w:sz w:val="16"/>
          <w:szCs w:val="16"/>
          <w:color w:val="auto"/>
        </w:rPr>
        <w:t>.</w:t>
      </w:r>
    </w:p>
    <w:p>
      <w:pPr>
        <w:spacing w:after="0" w:line="225" w:lineRule="exact"/>
        <w:rPr>
          <w:sz w:val="20"/>
          <w:szCs w:val="20"/>
          <w:color w:val="auto"/>
        </w:rPr>
      </w:pPr>
    </w:p>
    <w:p>
      <w:pPr>
        <w:jc w:val="both"/>
        <w:ind w:left="-460" w:firstLine="644"/>
        <w:spacing w:after="0" w:line="270" w:lineRule="auto"/>
        <w:tabs>
          <w:tab w:leader="none" w:pos="1256" w:val="left"/>
        </w:tabs>
        <w:numPr>
          <w:ilvl w:val="0"/>
          <w:numId w:val="201"/>
        </w:numPr>
        <w:rPr>
          <w:rFonts w:ascii="Arial" w:cs="Arial" w:eastAsia="Arial" w:hAnsi="Arial"/>
          <w:sz w:val="17"/>
          <w:szCs w:val="17"/>
          <w:color w:val="010000"/>
        </w:rPr>
      </w:pPr>
      <w:r>
        <w:rPr>
          <w:rFonts w:ascii="Arial" w:cs="Arial" w:eastAsia="Arial" w:hAnsi="Arial"/>
          <w:sz w:val="17"/>
          <w:szCs w:val="17"/>
          <w:color w:val="auto"/>
        </w:rPr>
        <w:t>To the extent that any Guarantor shall make a payment under this Guaranty (a “</w:t>
      </w:r>
      <w:r>
        <w:rPr>
          <w:rFonts w:ascii="Arial" w:cs="Arial" w:eastAsia="Arial" w:hAnsi="Arial"/>
          <w:sz w:val="17"/>
          <w:szCs w:val="17"/>
          <w:u w:val="single" w:color="auto"/>
          <w:color w:val="auto"/>
        </w:rPr>
        <w:t>Guarantor Payment</w:t>
      </w:r>
      <w:r>
        <w:rPr>
          <w:rFonts w:ascii="Arial" w:cs="Arial" w:eastAsia="Arial" w:hAnsi="Arial"/>
          <w:sz w:val="17"/>
          <w:szCs w:val="17"/>
          <w:color w:val="auto"/>
        </w:rPr>
        <w:t>”)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Guaranteed Obligations and termination of the Credit Agreement, the Swap Agreements and the Banking Services Agreements,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39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Exhibit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4" w:name="page175"/>
    <w:bookmarkEnd w:id="174"/>
    <w:p>
      <w:pPr>
        <w:jc w:val="both"/>
        <w:ind w:left="660" w:firstLine="644"/>
        <w:spacing w:after="0" w:line="257" w:lineRule="auto"/>
        <w:tabs>
          <w:tab w:leader="none" w:pos="2285"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87" w:lineRule="exact"/>
        <w:rPr>
          <w:rFonts w:ascii="Arial" w:cs="Arial" w:eastAsia="Arial" w:hAnsi="Arial"/>
          <w:sz w:val="18"/>
          <w:szCs w:val="18"/>
          <w:color w:val="010000"/>
        </w:rPr>
      </w:pPr>
    </w:p>
    <w:p>
      <w:pPr>
        <w:jc w:val="both"/>
        <w:ind w:left="660" w:firstLine="644"/>
        <w:spacing w:after="0" w:line="263" w:lineRule="auto"/>
        <w:tabs>
          <w:tab w:leader="none" w:pos="2393"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This Section 8 is intended only to define the relative rights of the Guarantors, and nothing set forth in this Section 8 is intended to or shall impair the obligations of the Guarantors, jointly and severally, to pay any amounts as and when the same shall become due and payable in accordance with the terms of this Guaranty.</w:t>
      </w:r>
    </w:p>
    <w:p>
      <w:pPr>
        <w:spacing w:after="0" w:line="183" w:lineRule="exact"/>
        <w:rPr>
          <w:rFonts w:ascii="Arial" w:cs="Arial" w:eastAsia="Arial" w:hAnsi="Arial"/>
          <w:sz w:val="18"/>
          <w:szCs w:val="18"/>
          <w:color w:val="010000"/>
        </w:rPr>
      </w:pPr>
    </w:p>
    <w:p>
      <w:pPr>
        <w:ind w:left="660" w:firstLine="644"/>
        <w:spacing w:after="0" w:line="277" w:lineRule="auto"/>
        <w:tabs>
          <w:tab w:leader="none" w:pos="2322"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010000"/>
        </w:rPr>
      </w:pPr>
    </w:p>
    <w:p>
      <w:pPr>
        <w:jc w:val="both"/>
        <w:ind w:left="660" w:firstLine="644"/>
        <w:spacing w:after="0" w:line="263" w:lineRule="auto"/>
        <w:tabs>
          <w:tab w:leader="none" w:pos="2334"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The rights of the indemnifying Guarantors against other Guarantors under this Section 8 shall be exercisable upon the full and indefeasible payment of the Guaranteed Obligations in cash and the termination of the Credit Agreement or satisfaction otherwise of the Final Release Conditions.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SECTION 9. </w:t>
      </w:r>
      <w:r>
        <w:rPr>
          <w:rFonts w:ascii="Arial" w:cs="Arial" w:eastAsia="Arial" w:hAnsi="Arial"/>
          <w:sz w:val="18"/>
          <w:szCs w:val="18"/>
          <w:u w:val="single" w:color="auto"/>
          <w:color w:val="000000"/>
        </w:rPr>
        <w:t>Limitation of Guaranty</w:t>
      </w:r>
      <w:r>
        <w:rPr>
          <w:rFonts w:ascii="Arial" w:cs="Arial" w:eastAsia="Arial" w:hAnsi="Arial"/>
          <w:sz w:val="18"/>
          <w:szCs w:val="18"/>
          <w:color w:val="000000"/>
        </w:rPr>
        <w:t>. Notwithstanding any other provision of this Guaranty, the amount guaranteed by each</w:t>
      </w:r>
      <w:r>
        <w:rPr>
          <w:rFonts w:ascii="Arial" w:cs="Arial" w:eastAsia="Arial" w:hAnsi="Arial"/>
          <w:sz w:val="18"/>
          <w:szCs w:val="18"/>
          <w:color w:val="010000"/>
        </w:rPr>
        <w:t xml:space="preserve"> </w:t>
      </w:r>
      <w:r>
        <w:rPr>
          <w:rFonts w:ascii="Arial" w:cs="Arial" w:eastAsia="Arial" w:hAnsi="Arial"/>
          <w:sz w:val="18"/>
          <w:szCs w:val="18"/>
          <w:color w:val="000000"/>
        </w:rPr>
        <w:t>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Guarantor’s obligations hereunder pursuant to the preceding sentence, it is the intention of the parties hereto that any rights of subrogation, indemnification or contribution which such Guarantor may have under this Guaranty, any other agreement or applicable law shall be taken into account.</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SECTION 10. </w:t>
      </w:r>
      <w:r>
        <w:rPr>
          <w:rFonts w:ascii="Arial" w:cs="Arial" w:eastAsia="Arial" w:hAnsi="Arial"/>
          <w:sz w:val="18"/>
          <w:szCs w:val="18"/>
          <w:u w:val="single" w:color="auto"/>
          <w:color w:val="000000"/>
        </w:rPr>
        <w:t>Stay of Acceleration</w:t>
      </w:r>
      <w:r>
        <w:rPr>
          <w:rFonts w:ascii="Arial" w:cs="Arial" w:eastAsia="Arial" w:hAnsi="Arial"/>
          <w:sz w:val="18"/>
          <w:szCs w:val="18"/>
          <w:color w:val="000000"/>
        </w:rPr>
        <w:t>. If acceleration of the time for payment of any amount payable by the Borrower under the Credit</w:t>
      </w:r>
      <w:r>
        <w:rPr>
          <w:rFonts w:ascii="Arial" w:cs="Arial" w:eastAsia="Arial" w:hAnsi="Arial"/>
          <w:sz w:val="18"/>
          <w:szCs w:val="18"/>
          <w:color w:val="010000"/>
        </w:rPr>
        <w:t xml:space="preserve"> </w:t>
      </w:r>
      <w:r>
        <w:rPr>
          <w:rFonts w:ascii="Arial" w:cs="Arial" w:eastAsia="Arial" w:hAnsi="Arial"/>
          <w:sz w:val="18"/>
          <w:szCs w:val="18"/>
          <w:color w:val="000000"/>
        </w:rPr>
        <w:t>Agreement, any Swap Agreement, any Banking Services Agreement or any other Loan Document is stayed upon the insolvency, bankruptcy or reorganization of the Borrower, all such amounts otherwise subject to acceleration under the terms of the Credit Agreement, any Swap Agreement, any Banking Services Agreement or any other Loan Document shall nonetheless be payable by each of the Guarantors hereunder forthwith on demand by the Administrative Agent.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010000"/>
        </w:rPr>
        <w:t xml:space="preserve">SECTION 11. </w:t>
      </w:r>
      <w:r>
        <w:rPr>
          <w:rFonts w:ascii="Arial" w:cs="Arial" w:eastAsia="Arial" w:hAnsi="Arial"/>
          <w:sz w:val="17"/>
          <w:szCs w:val="17"/>
          <w:u w:val="single" w:color="auto"/>
          <w:color w:val="000000"/>
        </w:rPr>
        <w:t>Notices</w:t>
      </w:r>
      <w:r>
        <w:rPr>
          <w:rFonts w:ascii="Arial" w:cs="Arial" w:eastAsia="Arial" w:hAnsi="Arial"/>
          <w:sz w:val="17"/>
          <w:szCs w:val="17"/>
          <w:color w:val="000000"/>
        </w:rPr>
        <w:t>. All notices, requests and other communications to any party hereunder shall be given in the manner prescribed</w:t>
      </w:r>
      <w:r>
        <w:rPr>
          <w:rFonts w:ascii="Arial" w:cs="Arial" w:eastAsia="Arial" w:hAnsi="Arial"/>
          <w:sz w:val="17"/>
          <w:szCs w:val="17"/>
          <w:color w:val="010000"/>
        </w:rPr>
        <w:t xml:space="preserve"> </w:t>
      </w:r>
      <w:r>
        <w:rPr>
          <w:rFonts w:ascii="Arial" w:cs="Arial" w:eastAsia="Arial" w:hAnsi="Arial"/>
          <w:sz w:val="17"/>
          <w:szCs w:val="17"/>
          <w:color w:val="000000"/>
        </w:rPr>
        <w:t>in Article IX of the Credit Agreement with respect to the Administrative Agent at its notice address therein and with respect to any Guarantor, in care of the Borrower at the address of the Borrower set forth in the Credit Agreement or such other address or telecopy number as such party may hereafter specify for such purpose by notice to the Administrative Agent in accordance with the provisions of such Article IX.</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firstLine="1296"/>
        <w:spacing w:after="0" w:line="257" w:lineRule="auto"/>
        <w:rPr>
          <w:sz w:val="20"/>
          <w:szCs w:val="20"/>
          <w:color w:val="auto"/>
        </w:rPr>
      </w:pPr>
      <w:r>
        <w:rPr>
          <w:rFonts w:ascii="Arial" w:cs="Arial" w:eastAsia="Arial" w:hAnsi="Arial"/>
          <w:sz w:val="18"/>
          <w:szCs w:val="18"/>
          <w:color w:val="010000"/>
        </w:rPr>
        <w:t xml:space="preserve">SECTION 12. </w:t>
      </w:r>
      <w:r>
        <w:rPr>
          <w:rFonts w:ascii="Arial" w:cs="Arial" w:eastAsia="Arial" w:hAnsi="Arial"/>
          <w:sz w:val="18"/>
          <w:szCs w:val="18"/>
          <w:u w:val="single" w:color="auto"/>
          <w:color w:val="000000"/>
        </w:rPr>
        <w:t>No Waivers</w:t>
      </w:r>
      <w:r>
        <w:rPr>
          <w:rFonts w:ascii="Arial" w:cs="Arial" w:eastAsia="Arial" w:hAnsi="Arial"/>
          <w:sz w:val="18"/>
          <w:szCs w:val="18"/>
          <w:color w:val="000000"/>
        </w:rPr>
        <w:t>. No failure or delay by the Administrative Agent or any other Holder of Guaranteed Obligations in</w:t>
      </w:r>
      <w:r>
        <w:rPr>
          <w:rFonts w:ascii="Arial" w:cs="Arial" w:eastAsia="Arial" w:hAnsi="Arial"/>
          <w:sz w:val="18"/>
          <w:szCs w:val="18"/>
          <w:color w:val="010000"/>
        </w:rPr>
        <w:t xml:space="preserve"> </w:t>
      </w:r>
      <w:r>
        <w:rPr>
          <w:rFonts w:ascii="Arial" w:cs="Arial" w:eastAsia="Arial" w:hAnsi="Arial"/>
          <w:sz w:val="18"/>
          <w:szCs w:val="18"/>
          <w:color w:val="000000"/>
        </w:rPr>
        <w:t>exercising any right, power or privilege hereunder shall operate as a waiver thereof nor shall any single or partial exercise thereof preclude any other or further exercise thereof or the exercise of any other right, power or privilege. The rights and remedies provided in this Guaranty, the Credit Agreement, any Swap Agreement, any Banking Services Agreement and the other Loan Documents shall be cumulative and not exclusive of any rights or remedies provided by law.</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010000"/>
        </w:rPr>
        <w:t xml:space="preserve">SECTION 13. </w:t>
      </w:r>
      <w:r>
        <w:rPr>
          <w:rFonts w:ascii="Arial" w:cs="Arial" w:eastAsia="Arial" w:hAnsi="Arial"/>
          <w:sz w:val="16"/>
          <w:szCs w:val="16"/>
          <w:u w:val="single" w:color="auto"/>
          <w:color w:val="000000"/>
        </w:rPr>
        <w:t>Successors and Assigns</w:t>
      </w:r>
      <w:r>
        <w:rPr>
          <w:rFonts w:ascii="Arial" w:cs="Arial" w:eastAsia="Arial" w:hAnsi="Arial"/>
          <w:sz w:val="16"/>
          <w:szCs w:val="16"/>
          <w:color w:val="000000"/>
        </w:rPr>
        <w:t>. This Guaranty is for the benefit of the Administrative Agent and the other Holders of</w:t>
      </w:r>
      <w:r>
        <w:rPr>
          <w:rFonts w:ascii="Arial" w:cs="Arial" w:eastAsia="Arial" w:hAnsi="Arial"/>
          <w:sz w:val="16"/>
          <w:szCs w:val="16"/>
          <w:color w:val="010000"/>
        </w:rPr>
        <w:t xml:space="preserve"> </w:t>
      </w:r>
      <w:r>
        <w:rPr>
          <w:rFonts w:ascii="Arial" w:cs="Arial" w:eastAsia="Arial" w:hAnsi="Arial"/>
          <w:sz w:val="16"/>
          <w:szCs w:val="16"/>
          <w:color w:val="000000"/>
        </w:rPr>
        <w:t xml:space="preserve">Guaranteed Obligations and their respective successors and permitted assigns;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Guarantor shall have any right to assign its rights or obligations hereunder without the consent of all of the Lenders, and any such assignment in violation of this Section 13 shall be null and void; and in the event of an assignment of any amounts payable under the Credit Agreement, any Swap Agreement, any Banking Services Agreement or the other Loan Documents in accordance with the respective terms thereof, the rights hereunder, to the extent applicable to the indebtedness so assigned, may be transferred with such indebtedness. This Guaranty shall be binding upon each of the Guarantors and their respective successors and assigns.</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SECTION 14. </w:t>
      </w:r>
      <w:r>
        <w:rPr>
          <w:rFonts w:ascii="Arial" w:cs="Arial" w:eastAsia="Arial" w:hAnsi="Arial"/>
          <w:sz w:val="18"/>
          <w:szCs w:val="18"/>
          <w:u w:val="single" w:color="auto"/>
          <w:color w:val="000000"/>
        </w:rPr>
        <w:t>Changes in Writing</w:t>
      </w:r>
      <w:r>
        <w:rPr>
          <w:rFonts w:ascii="Arial" w:cs="Arial" w:eastAsia="Arial" w:hAnsi="Arial"/>
          <w:sz w:val="18"/>
          <w:szCs w:val="18"/>
          <w:color w:val="000000"/>
        </w:rPr>
        <w:t>. Other than in connection with the addition of additional Subsidiaries, which become parties hereto</w:t>
      </w:r>
      <w:r>
        <w:rPr>
          <w:rFonts w:ascii="Arial" w:cs="Arial" w:eastAsia="Arial" w:hAnsi="Arial"/>
          <w:sz w:val="18"/>
          <w:szCs w:val="18"/>
          <w:color w:val="010000"/>
        </w:rPr>
        <w:t xml:space="preserve"> </w:t>
      </w:r>
      <w:r>
        <w:rPr>
          <w:rFonts w:ascii="Arial" w:cs="Arial" w:eastAsia="Arial" w:hAnsi="Arial"/>
          <w:sz w:val="18"/>
          <w:szCs w:val="18"/>
          <w:color w:val="000000"/>
        </w:rPr>
        <w:t>by executing a supplement hereto in the form attached as Annex I, neither this Guaranty nor any provision hereof may be changed, waived, discharged or terminated orally, but only in writing signed by each of the Guarantors and the Administrative Agent.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SECTION 15.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GUARANTY SHALL BE CONSTRUED IN ACCORDANCE WITH AND GOVERNED</w:t>
      </w:r>
      <w:r>
        <w:rPr>
          <w:rFonts w:ascii="Arial" w:cs="Arial" w:eastAsia="Arial" w:hAnsi="Arial"/>
          <w:sz w:val="18"/>
          <w:szCs w:val="18"/>
          <w:color w:val="010000"/>
        </w:rPr>
        <w:t xml:space="preserve"> </w:t>
      </w:r>
      <w:r>
        <w:rPr>
          <w:rFonts w:ascii="Arial" w:cs="Arial" w:eastAsia="Arial" w:hAnsi="Arial"/>
          <w:sz w:val="18"/>
          <w:szCs w:val="18"/>
          <w:color w:val="000000"/>
        </w:rPr>
        <w:t>BY THE LAW OF THE STATE OF NEW YORK.</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16.</w:t>
      </w:r>
      <w:r>
        <w:rPr>
          <w:sz w:val="20"/>
          <w:szCs w:val="20"/>
          <w:color w:val="auto"/>
        </w:rPr>
        <w:tab/>
      </w:r>
      <w:r>
        <w:rPr>
          <w:rFonts w:ascii="Arial" w:cs="Arial" w:eastAsia="Arial" w:hAnsi="Arial"/>
          <w:sz w:val="17"/>
          <w:szCs w:val="17"/>
          <w:u w:val="single" w:color="auto"/>
          <w:color w:val="auto"/>
        </w:rPr>
        <w:t>CONSENT TO JURISDICTION; SERVICE OF PROCESS; JURY TRIAL; IMMUNITY</w:t>
      </w:r>
      <w:r>
        <w:rPr>
          <w:rFonts w:ascii="Arial" w:cs="Arial" w:eastAsia="Arial" w:hAnsi="Arial"/>
          <w:sz w:val="17"/>
          <w:szCs w:val="17"/>
          <w:color w:val="auto"/>
        </w:rPr>
        <w:t>.</w:t>
      </w:r>
    </w:p>
    <w:p>
      <w:pPr>
        <w:spacing w:after="0" w:line="225" w:lineRule="exact"/>
        <w:rPr>
          <w:sz w:val="20"/>
          <w:szCs w:val="20"/>
          <w:color w:val="auto"/>
        </w:rPr>
      </w:pPr>
    </w:p>
    <w:p>
      <w:pPr>
        <w:jc w:val="both"/>
        <w:ind w:left="660" w:firstLine="644"/>
        <w:spacing w:after="0" w:line="268" w:lineRule="auto"/>
        <w:tabs>
          <w:tab w:leader="none" w:pos="2606" w:val="left"/>
        </w:tabs>
        <w:numPr>
          <w:ilvl w:val="0"/>
          <w:numId w:val="203"/>
        </w:numPr>
        <w:rPr>
          <w:rFonts w:ascii="Arial" w:cs="Arial" w:eastAsia="Arial" w:hAnsi="Arial"/>
          <w:sz w:val="17"/>
          <w:szCs w:val="17"/>
          <w:color w:val="010000"/>
        </w:rPr>
      </w:pPr>
      <w:r>
        <w:rPr>
          <w:rFonts w:ascii="Arial" w:cs="Arial" w:eastAsia="Arial" w:hAnsi="Arial"/>
          <w:sz w:val="17"/>
          <w:szCs w:val="17"/>
          <w:color w:val="auto"/>
        </w:rPr>
        <w:t>CONSENT TO JURISDICTION. EACH GUARANTOR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GUARANTY,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GUARANTY OR ANY OTHER LOAN DOCUMENT SHALL AFFECT ANY RIGHT THAT THE ADMINISTRATIVE AGENT OR ANY LENDER MAY OTHERWISE HAVE TO BRING ANY ACTION OR PROCEEDING RELATING TO THIS GUARANTY OR ANY OTHER LOAN DOCUMENT AGAINST ANY LOAN PARTY OR ITS PROPERTIES IN THE COURTS OF ANY JURISDICTION.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left="660" w:firstLine="644"/>
        <w:spacing w:after="0" w:line="267" w:lineRule="auto"/>
        <w:tabs>
          <w:tab w:leader="none" w:pos="2366" w:val="left"/>
        </w:tabs>
        <w:numPr>
          <w:ilvl w:val="0"/>
          <w:numId w:val="204"/>
        </w:numPr>
        <w:rPr>
          <w:rFonts w:ascii="Arial" w:cs="Arial" w:eastAsia="Arial" w:hAnsi="Arial"/>
          <w:sz w:val="17"/>
          <w:szCs w:val="17"/>
          <w:color w:val="010000"/>
        </w:rPr>
      </w:pPr>
      <w:r>
        <w:rPr>
          <w:rFonts w:ascii="Arial" w:cs="Arial" w:eastAsia="Arial" w:hAnsi="Arial"/>
          <w:sz w:val="17"/>
          <w:szCs w:val="17"/>
          <w:color w:val="auto"/>
        </w:rPr>
        <w:t xml:space="preserve">EACH GUARANTOR IRREVOCABLY DESIGNATES AND APPOINTS THE BORROWER, AS ITS AUTHORIZED AGENT, TO ACCEPT AND ACKNOWLEDGE ON ITS BEHALF, SERVICE OF ANY AND ALL PROCESS WHICH MAY BE SERVED IN ANY SUIT, ACTION OR PROCEEDING OF THE NATURE REFERRED TO IN CLAUSE (A) ABOVE. SAID DESIGNATION AND APPOINTMENT SHALL BE IRREVOCABLE BY EACH SUCH GUARANTOR UNTIL ALL GUARANTEED OBLIGATIONS PAYABLE BY SUCH GUARANTOR HEREUNDER AND UNDER THE OTHER LOAN DOCUMENTS SHALL HAVE BEEN PAID IN FULL IN ACCORDANCE WITH THE PROVISIONS HEREOF AND THEREOF. EACH GUARANTOR HEREBY CONSENTS TO PROCESS BEING SERVED IN ANY SUIT, ACTION OR PROCEEDING OF THE NATURE REFERRED TO IN CLAUSE (A) ABOVE BY SERVICE OF PROCESS UPON THE BORROWER AS PROVIDED IN THIS CLAUSE (B);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LAWFUL AND POSSIBLE, NOTICE OF SAID SERVICE UPON SUCH AGENT SHALL BE MAILED BY REGISTERED OR CERTIFIED AIR MAIL, POSTAGE PREPAID, RETURN RECEIPT REQUESTED, TO THE BORROWER OR TO ANY OTHER ADDRESS OF WHICH SUCH GUARANTOR SHALL HAVE GIVEN WRITTEN NOTICE TO THE ADMINISTRATIVE AGENT (WITH A COPY THEREOF TO THE BORROWER). EACH GUARANTOR IRREVOCABLY WAIVES, TO THE FULLEST EXTENT PERMITTED BY LAW, ALL CLAIM OF ERROR BY REASON OF ANY SUCH SERVICE IN SUCH MANNER AND AGREES THAT SUCH SERVICE SHALL BE DEEMED IN EVERY RESPECT EFFECTIVE SERVICE OF PROCESS UPON SUCH GUARANTOR IN ANY SUCH SUIT, ACTION OR PROCEEDING AND SHALL, TO THE FULLEST EXTENT PERMITTED BY LAW, BE TAKEN AND HELD TO BE VALID AND PERSONAL SERVICE UPON AND PERSONAL DELIVERY TO SUCH GUARANTOR. NOTHING HEREIN WILL AFFECT THE RIGHT OF ANY PARTY HERETO TO SERVE PROCESS IN ANY OTHER MANNER PERMITTED BY LAW.</w:t>
      </w:r>
    </w:p>
    <w:p>
      <w:pPr>
        <w:spacing w:after="0" w:line="187" w:lineRule="exact"/>
        <w:rPr>
          <w:rFonts w:ascii="Arial" w:cs="Arial" w:eastAsia="Arial" w:hAnsi="Arial"/>
          <w:sz w:val="17"/>
          <w:szCs w:val="17"/>
          <w:color w:val="010000"/>
        </w:rPr>
      </w:pPr>
    </w:p>
    <w:p>
      <w:pPr>
        <w:jc w:val="both"/>
        <w:ind w:left="660" w:firstLine="644"/>
        <w:spacing w:after="0" w:line="256" w:lineRule="auto"/>
        <w:tabs>
          <w:tab w:leader="none" w:pos="2430" w:val="left"/>
        </w:tabs>
        <w:numPr>
          <w:ilvl w:val="0"/>
          <w:numId w:val="204"/>
        </w:numPr>
        <w:rPr>
          <w:rFonts w:ascii="Arial" w:cs="Arial" w:eastAsia="Arial" w:hAnsi="Arial"/>
          <w:sz w:val="18"/>
          <w:szCs w:val="18"/>
          <w:b w:val="1"/>
          <w:bCs w:val="1"/>
          <w:color w:val="010000"/>
        </w:rPr>
      </w:pPr>
      <w:r>
        <w:rPr>
          <w:rFonts w:ascii="Arial" w:cs="Arial" w:eastAsia="Arial" w:hAnsi="Arial"/>
          <w:sz w:val="18"/>
          <w:szCs w:val="18"/>
          <w:b w:val="1"/>
          <w:bCs w:val="1"/>
          <w:color w:val="auto"/>
        </w:rPr>
        <w:t>WAIVER OF JURY TRIAL. EACH GUARANTOR HEREBY WAIVES TRIAL BY JURY IN ANY JUDICIAL PROCEEDING INVOLVING, DIRECTLY OR INDIRECTLY, ANY MATTER (WHETHER SOUNDING IN TORT, CONTRACT OR OTHERWISE) IN ANY WAY ARISING OUT OF, RELATED TO, OR CONNECTED WITH THIS GUARANTY OR ANY OTHER LOAN DOCUMENT OR THE RELATIONSHIP ESTABLISHED THEREUNDER AND FURTHER WAIVES ANY RIGHT TO INTERPOSE ANY COUNTERCLAIM RELATED TO THIS GUARANTY OR THE TRANSACTIONS CONTEMPLATED HEREBY IN SUCH ACTION.</w:t>
      </w:r>
    </w:p>
    <w:p>
      <w:pPr>
        <w:spacing w:after="0" w:line="191" w:lineRule="exact"/>
        <w:rPr>
          <w:rFonts w:ascii="Arial" w:cs="Arial" w:eastAsia="Arial" w:hAnsi="Arial"/>
          <w:sz w:val="18"/>
          <w:szCs w:val="18"/>
          <w:b w:val="1"/>
          <w:bCs w:val="1"/>
          <w:color w:val="010000"/>
        </w:rPr>
      </w:pPr>
    </w:p>
    <w:p>
      <w:pPr>
        <w:jc w:val="both"/>
        <w:ind w:left="660" w:firstLine="644"/>
        <w:spacing w:after="0" w:line="279" w:lineRule="auto"/>
        <w:tabs>
          <w:tab w:leader="none" w:pos="2444" w:val="left"/>
        </w:tabs>
        <w:numPr>
          <w:ilvl w:val="0"/>
          <w:numId w:val="204"/>
        </w:numPr>
        <w:rPr>
          <w:rFonts w:ascii="Arial" w:cs="Arial" w:eastAsia="Arial" w:hAnsi="Arial"/>
          <w:sz w:val="17"/>
          <w:szCs w:val="17"/>
          <w:color w:val="010000"/>
        </w:rPr>
      </w:pPr>
      <w:r>
        <w:rPr>
          <w:rFonts w:ascii="Arial" w:cs="Arial" w:eastAsia="Arial" w:hAnsi="Arial"/>
          <w:sz w:val="17"/>
          <w:szCs w:val="17"/>
          <w:color w:val="auto"/>
        </w:rPr>
        <w:t>TO THE EXTENT THAT ANY GUARANTOR HAS OR HEREAFTER MAY ACQUIRE ANY IMMUNITY FROM JURISDICTION OF ANY COURT OR FROM ANY LEGAL PROCESS (WHETHER FROM SERVICE OR NOTICE, ATTACHMENT PRIOR TO JUDGMENT, ATTACHMENT IN AID OF EXECUTION OF A JUDGMENT, EXECUTION OR OTHERWISE), EACH GUARANTOR HEREBY IRREVOCABLY WAIVES SUCH IMMUNITY IN RESPECT OF ITS OBLIGATIONS UNDER THIS GUARANTY.</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010000"/>
        </w:rPr>
        <w:t xml:space="preserve">SECTION 17. </w:t>
      </w:r>
      <w:r>
        <w:rPr>
          <w:rFonts w:ascii="Arial" w:cs="Arial" w:eastAsia="Arial" w:hAnsi="Arial"/>
          <w:sz w:val="17"/>
          <w:szCs w:val="17"/>
          <w:u w:val="single" w:color="auto"/>
          <w:color w:val="000000"/>
        </w:rPr>
        <w:t>No Strict Construction</w:t>
      </w:r>
      <w:r>
        <w:rPr>
          <w:rFonts w:ascii="Arial" w:cs="Arial" w:eastAsia="Arial" w:hAnsi="Arial"/>
          <w:sz w:val="17"/>
          <w:szCs w:val="17"/>
          <w:color w:val="000000"/>
        </w:rPr>
        <w:t>. The parties hereto have participated jointly in the negotiation and drafting of this Guaranty. In</w:t>
      </w:r>
      <w:r>
        <w:rPr>
          <w:rFonts w:ascii="Arial" w:cs="Arial" w:eastAsia="Arial" w:hAnsi="Arial"/>
          <w:sz w:val="17"/>
          <w:szCs w:val="17"/>
          <w:color w:val="010000"/>
        </w:rPr>
        <w:t xml:space="preserve"> </w:t>
      </w:r>
      <w:r>
        <w:rPr>
          <w:rFonts w:ascii="Arial" w:cs="Arial" w:eastAsia="Arial" w:hAnsi="Arial"/>
          <w:sz w:val="17"/>
          <w:szCs w:val="17"/>
          <w:color w:val="000000"/>
        </w:rPr>
        <w:t>the event an ambiguity or question of intent or interpretation arises, this Guaranty shall be construed as if drafted jointly by the parties hereto and no presumption or burden of proof shall arise favoring or disfavoring any party by virtue of the authorship of any provisions of this Guaranty.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ind w:left="1300"/>
        <w:spacing w:after="0"/>
        <w:tabs>
          <w:tab w:leader="none" w:pos="2580" w:val="left"/>
        </w:tabs>
        <w:rPr>
          <w:sz w:val="20"/>
          <w:szCs w:val="20"/>
          <w:color w:val="auto"/>
        </w:rPr>
      </w:pPr>
      <w:r>
        <w:rPr>
          <w:rFonts w:ascii="Arial" w:cs="Arial" w:eastAsia="Arial" w:hAnsi="Arial"/>
          <w:sz w:val="18"/>
          <w:szCs w:val="18"/>
          <w:color w:val="010000"/>
        </w:rPr>
        <w:t>SECTION 18.</w:t>
      </w:r>
      <w:r>
        <w:rPr>
          <w:sz w:val="20"/>
          <w:szCs w:val="20"/>
          <w:color w:val="auto"/>
        </w:rPr>
        <w:tab/>
      </w:r>
      <w:r>
        <w:rPr>
          <w:rFonts w:ascii="Arial" w:cs="Arial" w:eastAsia="Arial" w:hAnsi="Arial"/>
          <w:sz w:val="15"/>
          <w:szCs w:val="15"/>
          <w:u w:val="single" w:color="auto"/>
          <w:color w:val="auto"/>
        </w:rPr>
        <w:t>Taxes, Expenses of Enforcement, etc.</w:t>
      </w:r>
    </w:p>
    <w:p>
      <w:pPr>
        <w:spacing w:after="0" w:line="225" w:lineRule="exact"/>
        <w:rPr>
          <w:sz w:val="20"/>
          <w:szCs w:val="20"/>
          <w:color w:val="auto"/>
        </w:rPr>
      </w:pPr>
    </w:p>
    <w:p>
      <w:pPr>
        <w:jc w:val="both"/>
        <w:ind w:left="660" w:firstLine="644"/>
        <w:spacing w:after="0" w:line="257" w:lineRule="auto"/>
        <w:tabs>
          <w:tab w:leader="none" w:pos="2268" w:val="left"/>
        </w:tabs>
        <w:numPr>
          <w:ilvl w:val="0"/>
          <w:numId w:val="205"/>
        </w:numPr>
        <w:rPr>
          <w:rFonts w:ascii="Arial" w:cs="Arial" w:eastAsia="Arial" w:hAnsi="Arial"/>
          <w:sz w:val="18"/>
          <w:szCs w:val="18"/>
          <w:color w:val="010000"/>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Any obligation of the Loan Parties under Section 2.17 of the Credit Agreement to pay any additional amounts to, or indemnify, any Lender for any Taxes that are required to be withheld or deducted from payments made to any Lender or to pay for, or indemnify any Lender for, any Other Taxes (and obligations of any Lender to provide tax documentation under Section 2.17(f) of the Credit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and without duplication, to each Guarantor (and Lender) with respect to this Guaranty and payments made hereunder.</w:t>
      </w:r>
    </w:p>
    <w:p>
      <w:pPr>
        <w:spacing w:after="0" w:line="187" w:lineRule="exact"/>
        <w:rPr>
          <w:rFonts w:ascii="Arial" w:cs="Arial" w:eastAsia="Arial" w:hAnsi="Arial"/>
          <w:sz w:val="18"/>
          <w:szCs w:val="18"/>
          <w:color w:val="010000"/>
        </w:rPr>
      </w:pPr>
    </w:p>
    <w:p>
      <w:pPr>
        <w:jc w:val="both"/>
        <w:ind w:left="660" w:firstLine="644"/>
        <w:spacing w:after="0" w:line="257" w:lineRule="auto"/>
        <w:tabs>
          <w:tab w:leader="none" w:pos="2461" w:val="left"/>
        </w:tabs>
        <w:numPr>
          <w:ilvl w:val="0"/>
          <w:numId w:val="205"/>
        </w:numPr>
        <w:rPr>
          <w:rFonts w:ascii="Arial" w:cs="Arial" w:eastAsia="Arial" w:hAnsi="Arial"/>
          <w:sz w:val="18"/>
          <w:szCs w:val="18"/>
          <w:color w:val="010000"/>
        </w:rPr>
      </w:pPr>
      <w:r>
        <w:rPr>
          <w:rFonts w:ascii="Arial" w:cs="Arial" w:eastAsia="Arial" w:hAnsi="Arial"/>
          <w:sz w:val="18"/>
          <w:szCs w:val="18"/>
          <w:u w:val="single" w:color="auto"/>
          <w:color w:val="auto"/>
        </w:rPr>
        <w:t>Expenses of Enforcement, Etc.</w:t>
      </w:r>
      <w:r>
        <w:rPr>
          <w:rFonts w:ascii="Arial" w:cs="Arial" w:eastAsia="Arial" w:hAnsi="Arial"/>
          <w:sz w:val="18"/>
          <w:szCs w:val="18"/>
          <w:color w:val="auto"/>
        </w:rPr>
        <w:t xml:space="preserve"> The Guarantors agree to reimburse the Administrative Agent and the other Holders of Guaranteed Obligations for any reasonable and documented costs and out-of-pocket expenses (including reasonable and documented attorneys’ fees, but subject to the limitations set forth in Section 9.03 of the Credit Agreement) paid or incurred by the Administrative Agent or any other Holder of Guaranteed Obligations in connection with the collection and enforcement of amounts due under the Loan Documents, including without limitation this Guaranty.</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 xml:space="preserve">SECTION 19. </w:t>
      </w:r>
      <w:r>
        <w:rPr>
          <w:rFonts w:ascii="Arial" w:cs="Arial" w:eastAsia="Arial" w:hAnsi="Arial"/>
          <w:sz w:val="16"/>
          <w:szCs w:val="16"/>
          <w:u w:val="single" w:color="auto"/>
          <w:color w:val="000000"/>
        </w:rPr>
        <w:t>Setoff</w:t>
      </w:r>
      <w:r>
        <w:rPr>
          <w:rFonts w:ascii="Arial" w:cs="Arial" w:eastAsia="Arial" w:hAnsi="Arial"/>
          <w:sz w:val="16"/>
          <w:szCs w:val="16"/>
          <w:color w:val="000000"/>
        </w:rPr>
        <w:t>. Subject to any limitations expressly agreed to by any Holder of Guaranteed Obligations or its Affiliate, as</w:t>
      </w:r>
      <w:r>
        <w:rPr>
          <w:rFonts w:ascii="Arial" w:cs="Arial" w:eastAsia="Arial" w:hAnsi="Arial"/>
          <w:sz w:val="16"/>
          <w:szCs w:val="16"/>
          <w:color w:val="010000"/>
        </w:rPr>
        <w:t xml:space="preserve"> </w:t>
      </w:r>
      <w:r>
        <w:rPr>
          <w:rFonts w:ascii="Arial" w:cs="Arial" w:eastAsia="Arial" w:hAnsi="Arial"/>
          <w:sz w:val="16"/>
          <w:szCs w:val="16"/>
          <w:color w:val="000000"/>
        </w:rPr>
        <w:t>applicable, pursuant to any Banking Services Agreement or Swap Agreement to which such Holder of Guaranteed Obligations or Affiliate is a party, at any time after all or any part of the Guaranteed Obligations have become due and payable (by acceleration or otherwise), if an Event of Default shall have occurred and be continuing, each Holder of Guaranteed Obligations (including the Administrative Agent) and its Affiliates may, regardless of the acceptance of any security or collateral for the payment hereof, set off and apply any and all deposits (general or special, time or demand, provisional or final) at any time held and other obligations at any time owing by such Holder of Guaranteed Obligations or Affiliate to or for the credit or the account of any Guarantor against any of and all of the Guaranteed Obligations then due and owing by such Guarantor held by such Holder of Guaranteed Obligations, irrespective of whether or not such Holder of Guaranteed Obligations shall have made any demand under the Loan Documents. The rights of each Holder of Guaranteed Obligations under this Section are in addition to other rights and remedies (including other rights of setoff) which such Holder of Guaranteed Obligations may have. Each Holder of Guaranteed Obligations agrees to notify the Borrower and the Administrative Agent promptly after any such setoff and application; provided that the failure to give such notice shall not affect the validity of such setoff and application.</w:t>
      </w:r>
    </w:p>
    <w:p>
      <w:pPr>
        <w:spacing w:after="0" w:line="17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010000"/>
        </w:rPr>
        <w:t xml:space="preserve">SECTION 20. </w:t>
      </w:r>
      <w:r>
        <w:rPr>
          <w:rFonts w:ascii="Arial" w:cs="Arial" w:eastAsia="Arial" w:hAnsi="Arial"/>
          <w:sz w:val="17"/>
          <w:szCs w:val="17"/>
          <w:u w:val="single" w:color="auto"/>
          <w:color w:val="000000"/>
        </w:rPr>
        <w:t>Financial Information</w:t>
      </w:r>
      <w:r>
        <w:rPr>
          <w:rFonts w:ascii="Arial" w:cs="Arial" w:eastAsia="Arial" w:hAnsi="Arial"/>
          <w:sz w:val="17"/>
          <w:szCs w:val="17"/>
          <w:color w:val="000000"/>
        </w:rPr>
        <w:t>. Each Guarantor hereby assumes responsibility for keeping itself informed of the financial</w:t>
      </w:r>
      <w:r>
        <w:rPr>
          <w:rFonts w:ascii="Arial" w:cs="Arial" w:eastAsia="Arial" w:hAnsi="Arial"/>
          <w:sz w:val="17"/>
          <w:szCs w:val="17"/>
          <w:color w:val="010000"/>
        </w:rPr>
        <w:t xml:space="preserve"> </w:t>
      </w:r>
      <w:r>
        <w:rPr>
          <w:rFonts w:ascii="Arial" w:cs="Arial" w:eastAsia="Arial" w:hAnsi="Arial"/>
          <w:sz w:val="17"/>
          <w:szCs w:val="17"/>
          <w:color w:val="000000"/>
        </w:rPr>
        <w:t>condition of the Borrower and any and all endorsers and/or other Guarantors of all or any part of the Guaranteed Obligations, and of all other circumstances bearing upon the risk of nonpayment of the Guaranteed Obligations, or any part thereof, that diligent inquiry would reveal, and each Guarantor hereby agrees that none of the Holders of Guaranteed Obligations (including the Administrative Agent) shall have any duty to advise such Guarantor of information known to any of them regarding such condition or any such circumstances. In the event any Holder of Guaranteed Obligations (including the Administrative Agent), in its sole discretion, undertakes at any time or from time to time to provide any such information to a Guarantor, such Holder of Guaranteed Obligations (including the Administrative Agent) shall be under no obligation (i) to undertake any investigation not a part of its regular business routine, (ii) to disclose any information which such Holder of Guaranteed Obligations (including the Administrative Agent), pursuant to accepted or reasonable commercial finance or banking practices, wishes to maintain confidential or (iii) to make any other or future disclosures of such information or any other information to such Guarantor.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jc w:val="both"/>
        <w:ind w:firstLine="1296"/>
        <w:spacing w:after="0" w:line="286" w:lineRule="auto"/>
        <w:rPr>
          <w:sz w:val="20"/>
          <w:szCs w:val="20"/>
          <w:color w:val="auto"/>
        </w:rPr>
      </w:pPr>
      <w:r>
        <w:rPr>
          <w:rFonts w:ascii="Arial" w:cs="Arial" w:eastAsia="Arial" w:hAnsi="Arial"/>
          <w:sz w:val="17"/>
          <w:szCs w:val="17"/>
          <w:color w:val="010000"/>
        </w:rPr>
        <w:t xml:space="preserve">SECTION 21. </w:t>
      </w:r>
      <w:r>
        <w:rPr>
          <w:rFonts w:ascii="Arial" w:cs="Arial" w:eastAsia="Arial" w:hAnsi="Arial"/>
          <w:sz w:val="17"/>
          <w:szCs w:val="17"/>
          <w:u w:val="single" w:color="auto"/>
          <w:color w:val="000000"/>
        </w:rPr>
        <w:t>Severability</w:t>
      </w:r>
      <w:r>
        <w:rPr>
          <w:rFonts w:ascii="Arial" w:cs="Arial" w:eastAsia="Arial" w:hAnsi="Arial"/>
          <w:sz w:val="17"/>
          <w:szCs w:val="17"/>
          <w:color w:val="000000"/>
        </w:rPr>
        <w:t>. Wherever possible, each provision of this Guaranty shall be interpreted in such manner as to be effective</w:t>
      </w:r>
      <w:r>
        <w:rPr>
          <w:rFonts w:ascii="Arial" w:cs="Arial" w:eastAsia="Arial" w:hAnsi="Arial"/>
          <w:sz w:val="17"/>
          <w:szCs w:val="17"/>
          <w:color w:val="010000"/>
        </w:rPr>
        <w:t xml:space="preserve"> </w:t>
      </w:r>
      <w:r>
        <w:rPr>
          <w:rFonts w:ascii="Arial" w:cs="Arial" w:eastAsia="Arial" w:hAnsi="Arial"/>
          <w:sz w:val="17"/>
          <w:szCs w:val="17"/>
          <w:color w:val="000000"/>
        </w:rPr>
        <w:t>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SECTION 22. </w:t>
      </w:r>
      <w:r>
        <w:rPr>
          <w:rFonts w:ascii="Arial" w:cs="Arial" w:eastAsia="Arial" w:hAnsi="Arial"/>
          <w:sz w:val="18"/>
          <w:szCs w:val="18"/>
          <w:u w:val="single" w:color="auto"/>
          <w:color w:val="000000"/>
        </w:rPr>
        <w:t>Merger</w:t>
      </w:r>
      <w:r>
        <w:rPr>
          <w:rFonts w:ascii="Arial" w:cs="Arial" w:eastAsia="Arial" w:hAnsi="Arial"/>
          <w:sz w:val="18"/>
          <w:szCs w:val="18"/>
          <w:color w:val="000000"/>
        </w:rPr>
        <w:t>. This Guaranty represents the final agreement of each of the Guarantors with respect to the matters contained</w:t>
      </w:r>
      <w:r>
        <w:rPr>
          <w:rFonts w:ascii="Arial" w:cs="Arial" w:eastAsia="Arial" w:hAnsi="Arial"/>
          <w:sz w:val="18"/>
          <w:szCs w:val="18"/>
          <w:color w:val="010000"/>
        </w:rPr>
        <w:t xml:space="preserve"> </w:t>
      </w:r>
      <w:r>
        <w:rPr>
          <w:rFonts w:ascii="Arial" w:cs="Arial" w:eastAsia="Arial" w:hAnsi="Arial"/>
          <w:sz w:val="18"/>
          <w:szCs w:val="18"/>
          <w:color w:val="000000"/>
        </w:rPr>
        <w:t>herein and may not be contradicted by evidence of prior or contemporaneous agreements, or subsequent oral agreements, between the Guarantor and any Holder of Guaranteed Obligations (including the Administrative Agent).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010000"/>
        </w:rPr>
        <w:t xml:space="preserve">SECTION 23. </w:t>
      </w:r>
      <w:r>
        <w:rPr>
          <w:rFonts w:ascii="Arial" w:cs="Arial" w:eastAsia="Arial" w:hAnsi="Arial"/>
          <w:sz w:val="18"/>
          <w:szCs w:val="18"/>
          <w:u w:val="single" w:color="auto"/>
          <w:color w:val="000000"/>
        </w:rPr>
        <w:t>Headings</w:t>
      </w:r>
      <w:r>
        <w:rPr>
          <w:rFonts w:ascii="Arial" w:cs="Arial" w:eastAsia="Arial" w:hAnsi="Arial"/>
          <w:sz w:val="18"/>
          <w:szCs w:val="18"/>
          <w:color w:val="000000"/>
        </w:rPr>
        <w:t>. Section headings in this Guaranty are for convenience of reference only and shall not govern the</w:t>
      </w:r>
      <w:r>
        <w:rPr>
          <w:rFonts w:ascii="Arial" w:cs="Arial" w:eastAsia="Arial" w:hAnsi="Arial"/>
          <w:sz w:val="18"/>
          <w:szCs w:val="18"/>
          <w:color w:val="010000"/>
        </w:rPr>
        <w:t xml:space="preserve"> </w:t>
      </w:r>
      <w:r>
        <w:rPr>
          <w:rFonts w:ascii="Arial" w:cs="Arial" w:eastAsia="Arial" w:hAnsi="Arial"/>
          <w:sz w:val="18"/>
          <w:szCs w:val="18"/>
          <w:color w:val="000000"/>
        </w:rPr>
        <w:t>interpretation of any provision of this Guaranty.</w:t>
      </w:r>
    </w:p>
    <w:p>
      <w:pPr>
        <w:spacing w:after="0" w:line="17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010000"/>
        </w:rPr>
        <w:t xml:space="preserve">SECTION 24. </w:t>
      </w:r>
      <w:r>
        <w:rPr>
          <w:rFonts w:ascii="Arial" w:cs="Arial" w:eastAsia="Arial" w:hAnsi="Arial"/>
          <w:sz w:val="16"/>
          <w:szCs w:val="16"/>
          <w:u w:val="single" w:color="auto"/>
          <w:color w:val="000000"/>
        </w:rPr>
        <w:t>Judgment Currency</w:t>
      </w:r>
      <w:r>
        <w:rPr>
          <w:rFonts w:ascii="Arial" w:cs="Arial" w:eastAsia="Arial" w:hAnsi="Arial"/>
          <w:sz w:val="16"/>
          <w:szCs w:val="16"/>
          <w:color w:val="000000"/>
        </w:rPr>
        <w:t>. If for the purposes of obtaining judgment in any court it is necessary to convert a sum due from</w:t>
      </w:r>
      <w:r>
        <w:rPr>
          <w:rFonts w:ascii="Arial" w:cs="Arial" w:eastAsia="Arial" w:hAnsi="Arial"/>
          <w:sz w:val="16"/>
          <w:szCs w:val="16"/>
          <w:color w:val="010000"/>
        </w:rPr>
        <w:t xml:space="preserve"> </w:t>
      </w:r>
      <w:r>
        <w:rPr>
          <w:rFonts w:ascii="Arial" w:cs="Arial" w:eastAsia="Arial" w:hAnsi="Arial"/>
          <w:sz w:val="16"/>
          <w:szCs w:val="16"/>
          <w:color w:val="000000"/>
        </w:rPr>
        <w:t>any Guarantor hereunder in the currency expressed to be payable herein (the “</w:t>
      </w:r>
      <w:r>
        <w:rPr>
          <w:rFonts w:ascii="Arial" w:cs="Arial" w:eastAsia="Arial" w:hAnsi="Arial"/>
          <w:sz w:val="16"/>
          <w:szCs w:val="16"/>
          <w:u w:val="single" w:color="auto"/>
          <w:color w:val="000000"/>
        </w:rPr>
        <w:t>specified currency</w:t>
      </w:r>
      <w:r>
        <w:rPr>
          <w:rFonts w:ascii="Arial" w:cs="Arial" w:eastAsia="Arial" w:hAnsi="Arial"/>
          <w:sz w:val="16"/>
          <w:szCs w:val="16"/>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Guarantor in respect of any sum due hereunder shall, notwithstanding any judgment in a currency other than the specified currency, be discharged only to the extent that on the Business Day following receipt by any Holder of Guaranteed Obligations (including the Administrative Agent), as the case may be, of any sum adjudged to be so due in such other currency such Holder of Guaranteed Obligations (including the Administrative Agent), as the case may be, may in accordance with normal, reasonable banking procedures purchase the specified currency with such other currency. If the amount of the specified currency so purchased is less than the sum originally due to such Holder of Guaranteed Obligations (including the Administrative Agent), as the case may be, in the specified currency, each Guarantor agrees, to the fullest extent that it may effectively do so, as a separate obligation and notwithstanding any such judgment, to indemnify such Holder of Guaranteed Obligations (including the Administrative Agent), as the case may be, against such loss, and if the amount of the specified currency so purchased exceeds (a) the sum originally due to any Holder of Guaranteed Obligations (including the Administrative Agent), as the case may be, in the specified currency and (b) amounts shared with other Holders of Guaranteed Obligations as a result of allocations of such excess as a disproportionate payment to such other Holder of Guaranteed Obligations under Section 2.18 of the Credit Agreement, such Holder of Guaranteed Obligations (including the Administrative Agent), as the case may be, agrees, by accepting the benefits hereof, to remit such excess to such Guarantor.</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010000"/>
        </w:rPr>
        <w:t xml:space="preserve">SECTION 25. </w:t>
      </w:r>
      <w:r>
        <w:rPr>
          <w:rFonts w:ascii="Arial" w:cs="Arial" w:eastAsia="Arial" w:hAnsi="Arial"/>
          <w:sz w:val="16"/>
          <w:szCs w:val="16"/>
          <w:u w:val="single" w:color="auto"/>
          <w:color w:val="000000"/>
        </w:rPr>
        <w:t>Keepwell</w:t>
      </w:r>
      <w:r>
        <w:rPr>
          <w:rFonts w:ascii="Arial" w:cs="Arial" w:eastAsia="Arial" w:hAnsi="Arial"/>
          <w:sz w:val="16"/>
          <w:szCs w:val="16"/>
          <w:color w:val="000000"/>
        </w:rPr>
        <w:t>. Each Qualified ECP Guarantor hereby jointly and severally absolutely, unconditionally and irrevocably</w:t>
      </w:r>
      <w:r>
        <w:rPr>
          <w:rFonts w:ascii="Arial" w:cs="Arial" w:eastAsia="Arial" w:hAnsi="Arial"/>
          <w:sz w:val="16"/>
          <w:szCs w:val="16"/>
          <w:color w:val="010000"/>
        </w:rPr>
        <w:t xml:space="preserve"> </w:t>
      </w:r>
      <w:r>
        <w:rPr>
          <w:rFonts w:ascii="Arial" w:cs="Arial" w:eastAsia="Arial" w:hAnsi="Arial"/>
          <w:sz w:val="16"/>
          <w:szCs w:val="16"/>
          <w:color w:val="000000"/>
        </w:rPr>
        <w:t xml:space="preserve">undertakes to provide such funds or other support as may be needed from time to time by each other Guarantor to honor all of its obligations under this Guaranty in respect of Specified Swap Obligations (provided, however, that each Qualified ECP Guarantor shall only be liable under this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for the maximum amount of such liability that can be hereby incurred without rendering its obligations under this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shall remain in full force and effect until a discharge of such Qualified ECP Guarantor’s Guaranteed Obligations in accordance with the terms hereof and the other Loan Documents. Each Qualified ECP Guarantor intends that this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constitute, and this </w:t>
      </w:r>
      <w:r>
        <w:rPr>
          <w:rFonts w:ascii="Arial" w:cs="Arial" w:eastAsia="Arial" w:hAnsi="Arial"/>
          <w:sz w:val="16"/>
          <w:szCs w:val="16"/>
          <w:u w:val="single" w:color="auto"/>
          <w:color w:val="000000"/>
        </w:rPr>
        <w:t>Section 25</w:t>
      </w:r>
      <w:r>
        <w:rPr>
          <w:rFonts w:ascii="Arial" w:cs="Arial" w:eastAsia="Arial" w:hAnsi="Arial"/>
          <w:sz w:val="16"/>
          <w:szCs w:val="16"/>
          <w:color w:val="000000"/>
        </w:rPr>
        <w:t xml:space="preserve"> shall be deemed to constitute, a “keepwell, support, or other agreement” for the benefit of each other Guarantor for all purposes of Section 1a(18)(A)(v)(II) of the Commodity Exchange Act. As used herein, “</w:t>
      </w:r>
      <w:r>
        <w:rPr>
          <w:rFonts w:ascii="Arial" w:cs="Arial" w:eastAsia="Arial" w:hAnsi="Arial"/>
          <w:sz w:val="16"/>
          <w:szCs w:val="16"/>
          <w:u w:val="single" w:color="auto"/>
          <w:color w:val="000000"/>
        </w:rPr>
        <w:t>Qualified ECP Guarantor</w:t>
      </w:r>
      <w:r>
        <w:rPr>
          <w:rFonts w:ascii="Arial" w:cs="Arial" w:eastAsia="Arial" w:hAnsi="Arial"/>
          <w:sz w:val="16"/>
          <w:szCs w:val="16"/>
          <w:color w:val="000000"/>
        </w:rPr>
        <w:t>” means, in respect of any Specified Swap Obligation, each Guarantor that has total assets exceeding $10,000,000 at the time the relevant Guarantee or grant of the relevant security interest becomes or would become effective with respect to such Specified Swap Obligation or such other Person as constitutes an ECP and can cause another Person to qualify as an ECP at such time by entering into a keepwell under Section 1a(18)(A)(v)(II) of the Commodity Exchange Act.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firstLine="1296"/>
        <w:spacing w:after="0" w:line="277" w:lineRule="auto"/>
        <w:rPr>
          <w:sz w:val="20"/>
          <w:szCs w:val="20"/>
          <w:color w:val="auto"/>
        </w:rPr>
      </w:pPr>
      <w:r>
        <w:rPr>
          <w:rFonts w:ascii="Arial" w:cs="Arial" w:eastAsia="Arial" w:hAnsi="Arial"/>
          <w:sz w:val="18"/>
          <w:szCs w:val="18"/>
          <w:color w:val="010000"/>
        </w:rPr>
        <w:t xml:space="preserve">SECTION 26. </w:t>
      </w:r>
      <w:r>
        <w:rPr>
          <w:rFonts w:ascii="Arial" w:cs="Arial" w:eastAsia="Arial" w:hAnsi="Arial"/>
          <w:sz w:val="18"/>
          <w:szCs w:val="18"/>
          <w:u w:val="single" w:color="auto"/>
          <w:color w:val="000000"/>
        </w:rPr>
        <w:t>Termination of Guaranty</w:t>
      </w:r>
      <w:r>
        <w:rPr>
          <w:rFonts w:ascii="Arial" w:cs="Arial" w:eastAsia="Arial" w:hAnsi="Arial"/>
          <w:sz w:val="18"/>
          <w:szCs w:val="18"/>
          <w:color w:val="000000"/>
        </w:rPr>
        <w:t>. The obligations of any Guarantor under this Guaranty shall automatically terminate in</w:t>
      </w:r>
      <w:r>
        <w:rPr>
          <w:rFonts w:ascii="Arial" w:cs="Arial" w:eastAsia="Arial" w:hAnsi="Arial"/>
          <w:sz w:val="18"/>
          <w:szCs w:val="18"/>
          <w:color w:val="010000"/>
        </w:rPr>
        <w:t xml:space="preserve"> </w:t>
      </w:r>
      <w:r>
        <w:rPr>
          <w:rFonts w:ascii="Arial" w:cs="Arial" w:eastAsia="Arial" w:hAnsi="Arial"/>
          <w:sz w:val="18"/>
          <w:szCs w:val="18"/>
          <w:color w:val="000000"/>
        </w:rPr>
        <w:t>accordance with Section 9.14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firstLine="648"/>
        <w:spacing w:after="0" w:line="277" w:lineRule="auto"/>
        <w:rPr>
          <w:sz w:val="20"/>
          <w:szCs w:val="20"/>
          <w:color w:val="auto"/>
        </w:rPr>
      </w:pPr>
      <w:r>
        <w:rPr>
          <w:rFonts w:ascii="Arial" w:cs="Arial" w:eastAsia="Arial" w:hAnsi="Arial"/>
          <w:sz w:val="18"/>
          <w:szCs w:val="18"/>
          <w:color w:val="auto"/>
        </w:rPr>
        <w:t>IN WITNESS WHEREOF, each of the Initial Guarantors has caused this Guaranty to be duly executed by its authorized officer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Exhibit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color w:val="auto"/>
        </w:rPr>
        <w:t>ANNEX I TO GUARANTY</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Reference is hereby made to the Guaranty (the “</w:t>
      </w:r>
      <w:r>
        <w:rPr>
          <w:rFonts w:ascii="Arial" w:cs="Arial" w:eastAsia="Arial" w:hAnsi="Arial"/>
          <w:sz w:val="16"/>
          <w:szCs w:val="16"/>
          <w:u w:val="single" w:color="auto"/>
          <w:color w:val="auto"/>
        </w:rPr>
        <w:t>Guaranty</w:t>
      </w:r>
      <w:r>
        <w:rPr>
          <w:rFonts w:ascii="Arial" w:cs="Arial" w:eastAsia="Arial" w:hAnsi="Arial"/>
          <w:sz w:val="16"/>
          <w:szCs w:val="16"/>
          <w:color w:val="auto"/>
        </w:rPr>
        <w:t>”) made as of [__], by and among [GUARANTORS TO COME]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Guarantors</w:t>
      </w:r>
      <w:r>
        <w:rPr>
          <w:rFonts w:ascii="Arial" w:cs="Arial" w:eastAsia="Arial" w:hAnsi="Arial"/>
          <w:sz w:val="16"/>
          <w:szCs w:val="16"/>
          <w:color w:val="auto"/>
        </w:rPr>
        <w:t>” and along with any additional Subsidiaries of the Borrower, which become parties thereto and together with the undersigned,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the Administrative Agent, for the ratable benefit of the Holders of Guaranteed Obligations, under the Credit Agreement. Capitalized terms used herein and not defined herein shall have the meanings given to them in the Guaranty. By its execution below, the undersigned [NAME OF NEW GUARANTOR], a [corporation] [partnership] [limited liability company] (the “</w:t>
      </w:r>
      <w:r>
        <w:rPr>
          <w:rFonts w:ascii="Arial" w:cs="Arial" w:eastAsia="Arial" w:hAnsi="Arial"/>
          <w:sz w:val="16"/>
          <w:szCs w:val="16"/>
          <w:u w:val="single" w:color="auto"/>
          <w:color w:val="auto"/>
        </w:rPr>
        <w:t>New Guarantor</w:t>
      </w:r>
      <w:r>
        <w:rPr>
          <w:rFonts w:ascii="Arial" w:cs="Arial" w:eastAsia="Arial" w:hAnsi="Arial"/>
          <w:sz w:val="16"/>
          <w:szCs w:val="16"/>
          <w:color w:val="auto"/>
        </w:rPr>
        <w:t>”),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Section 2 of the Guaranty are true and correct in all material respects (or, in the case of any representation or warranty qualified by materiality or Material Adverse Effect, in all respects) as of the date hereof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New Guarantor has executed and delivered this Annex I counterpart to the Guaranty as of this 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 of _________, 20___.</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NEW GUARANTOR]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Reference is hereby made 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color w:val="auto"/>
        </w:rPr>
        <w:t>EXHIBIT G-2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Reference is hereby made 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color w:val="auto"/>
        </w:rPr>
        <w:t>EXHIBIT G-3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Reference is hereby made 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color w:val="auto"/>
        </w:rPr>
        <w:t>EXHIBIT G-4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Reference is hereby made 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or</w:t>
      </w:r>
    </w:p>
    <w:p>
      <w:pPr>
        <w:jc w:val="both"/>
        <w:ind w:firstLine="8"/>
        <w:spacing w:after="0" w:line="271" w:lineRule="auto"/>
        <w:tabs>
          <w:tab w:leader="none" w:pos="26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EXHIBIT H-1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02" w:lineRule="auto"/>
        <w:rPr>
          <w:sz w:val="20"/>
          <w:szCs w:val="20"/>
          <w:color w:val="auto"/>
        </w:rPr>
      </w:pPr>
      <w:r>
        <w:rPr>
          <w:rFonts w:ascii="Arial" w:cs="Arial" w:eastAsia="Arial" w:hAnsi="Arial"/>
          <w:sz w:val="18"/>
          <w:szCs w:val="18"/>
          <w:color w:val="auto"/>
        </w:rPr>
        <w:t>2001 Ross Ave,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SBD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(972) 368-2323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gs-dallas-adminagency@ny.email.gs.com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gs-sbdagency-borrowernotices@ny.email.gs.com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Regeneron Pharmaceuticals,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Credit Agreement dated as of May 25, 2020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Regeneron Pharmaceuticals, Inc.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Goldman Sachs Bank USA,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defined herein shall have the meanings assigned to such terms in the Credit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hereby gives you notice pursuant to Section 2.03 of the Credit Agreement that a Borrowing is being requested under the Credit Agreement, and in that connection the following information is being provided with respect to such Borrowing requested hereby:</w:t>
      </w:r>
    </w:p>
    <w:p>
      <w:pPr>
        <w:spacing w:after="0" w:line="150"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36"/>
          <w:szCs w:val="36"/>
          <w:color w:val="auto"/>
          <w:vertAlign w:val="superscript"/>
        </w:rPr>
      </w:pPr>
      <w:r>
        <w:rPr>
          <w:rFonts w:ascii="Arial" w:cs="Arial" w:eastAsia="Arial" w:hAnsi="Arial"/>
          <w:sz w:val="18"/>
          <w:szCs w:val="18"/>
          <w:color w:val="auto"/>
        </w:rPr>
        <w:t>Aggregate principal amount of Borrowing:</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__________</w:t>
      </w:r>
    </w:p>
    <w:p>
      <w:pPr>
        <w:spacing w:after="0" w:line="78" w:lineRule="exact"/>
        <w:rPr>
          <w:rFonts w:ascii="Arial" w:cs="Arial" w:eastAsia="Arial" w:hAnsi="Arial"/>
          <w:sz w:val="36"/>
          <w:szCs w:val="36"/>
          <w:color w:val="auto"/>
          <w:vertAlign w:val="superscript"/>
        </w:rPr>
      </w:pPr>
    </w:p>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Date of Borrowing (which shall be a Business Day) (the “</w:t>
      </w:r>
      <w:r>
        <w:rPr>
          <w:rFonts w:ascii="Arial" w:cs="Arial" w:eastAsia="Arial" w:hAnsi="Arial"/>
          <w:sz w:val="18"/>
          <w:szCs w:val="18"/>
          <w:u w:val="single" w:color="auto"/>
          <w:color w:val="auto"/>
        </w:rPr>
        <w:t>Closing Date</w:t>
      </w:r>
      <w:r>
        <w:rPr>
          <w:rFonts w:ascii="Arial" w:cs="Arial" w:eastAsia="Arial" w:hAnsi="Arial"/>
          <w:sz w:val="18"/>
          <w:szCs w:val="18"/>
          <w:color w:val="auto"/>
        </w:rPr>
        <w:t>”): 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Type of Borrowing (ABR or Eurocurrency): __________</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07"/>
        </w:numPr>
        <w:rPr>
          <w:rFonts w:ascii="Arial" w:cs="Arial" w:eastAsia="Arial" w:hAnsi="Arial"/>
          <w:sz w:val="36"/>
          <w:szCs w:val="36"/>
          <w:color w:val="auto"/>
          <w:vertAlign w:val="superscript"/>
        </w:rPr>
      </w:pPr>
      <w:r>
        <w:rPr>
          <w:rFonts w:ascii="Arial" w:cs="Arial" w:eastAsia="Arial" w:hAnsi="Arial"/>
          <w:sz w:val="18"/>
          <w:szCs w:val="18"/>
          <w:color w:val="auto"/>
        </w:rPr>
        <w:t>Interest Period and the last day thereof (if a Eurocurrency Borrowing):</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__________</w:t>
      </w:r>
    </w:p>
    <w:p>
      <w:pPr>
        <w:spacing w:after="0" w:line="78"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Location and number of the Borrower’s account or any other account reasonably acceptable to the Administrative Agent to which proceeds of Borrowing are to be disbursed: __________</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Delivery of an executed signature page to this Borrowing Request by telecopy, e-mailed .pdf or any other electronic means that reproduces an image of the actual executed signature page shall be effective as delivery of a manually executed signature page to this Borrowing Request.</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hereby represents and warrants that the conditions to the requested Borrowing specified in Section 4.02 of the Credit Agreement are satisfied as of the date hereof or will be satisfied as of the requested Closing Date specified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1" w:lineRule="exact"/>
        <w:rPr>
          <w:sz w:val="20"/>
          <w:szCs w:val="20"/>
          <w:color w:val="auto"/>
        </w:rPr>
      </w:pPr>
    </w:p>
    <w:p>
      <w:pPr>
        <w:ind w:left="120" w:hanging="112"/>
        <w:spacing w:after="0"/>
        <w:tabs>
          <w:tab w:leader="none" w:pos="120" w:val="left"/>
        </w:tabs>
        <w:numPr>
          <w:ilvl w:val="0"/>
          <w:numId w:val="208"/>
        </w:numPr>
        <w:rPr>
          <w:rFonts w:ascii="Arial" w:cs="Arial" w:eastAsia="Arial" w:hAnsi="Arial"/>
          <w:sz w:val="30"/>
          <w:szCs w:val="30"/>
          <w:color w:val="auto"/>
          <w:vertAlign w:val="superscript"/>
        </w:rPr>
      </w:pPr>
      <w:r>
        <w:rPr>
          <w:rFonts w:ascii="Arial" w:cs="Arial" w:eastAsia="Arial" w:hAnsi="Arial"/>
          <w:sz w:val="18"/>
          <w:szCs w:val="18"/>
          <w:color w:val="auto"/>
        </w:rPr>
        <w:t>Not less than applicable amounts specified in Section 2.02(c).</w:t>
      </w:r>
    </w:p>
    <w:p>
      <w:pPr>
        <w:spacing w:after="0" w:line="26" w:lineRule="exact"/>
        <w:rPr>
          <w:sz w:val="20"/>
          <w:szCs w:val="20"/>
          <w:color w:val="auto"/>
        </w:rPr>
      </w:pPr>
    </w:p>
    <w:p>
      <w:pPr>
        <w:ind w:left="5120" w:right="3860" w:hanging="5112"/>
        <w:spacing w:after="0" w:line="618" w:lineRule="auto"/>
        <w:tabs>
          <w:tab w:leader="none" w:pos="123" w:val="left"/>
        </w:tabs>
        <w:numPr>
          <w:ilvl w:val="0"/>
          <w:numId w:val="209"/>
        </w:numPr>
        <w:rPr>
          <w:rFonts w:ascii="Arial" w:cs="Arial" w:eastAsia="Arial" w:hAnsi="Arial"/>
          <w:sz w:val="30"/>
          <w:szCs w:val="30"/>
          <w:color w:val="auto"/>
          <w:vertAlign w:val="superscript"/>
        </w:rPr>
      </w:pPr>
      <w:r>
        <w:rPr>
          <w:rFonts w:ascii="Arial" w:cs="Arial" w:eastAsia="Arial" w:hAnsi="Arial"/>
          <w:sz w:val="18"/>
          <w:szCs w:val="18"/>
          <w:color w:val="auto"/>
        </w:rPr>
        <w:t>Which must comply with the definition of “Interest Period” and end not later than the Maturity Date. Exhibit H-1-1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ind w:firstLine="648"/>
        <w:spacing w:after="0" w:line="277" w:lineRule="auto"/>
        <w:rPr>
          <w:sz w:val="20"/>
          <w:szCs w:val="20"/>
          <w:color w:val="auto"/>
        </w:rPr>
      </w:pPr>
      <w:r>
        <w:rPr>
          <w:rFonts w:ascii="Arial" w:cs="Arial" w:eastAsia="Arial" w:hAnsi="Arial"/>
          <w:sz w:val="18"/>
          <w:szCs w:val="18"/>
          <w:color w:val="auto"/>
        </w:rPr>
        <w:t>IN WITNESS WHEREOF, the undersigned has caused this Borrowing Request to be duly executed by an authorized officer or other authorized signatory as of the date first appearing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H-1-2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EXHIBIT H-2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INTEREST ELECTION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Lenders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02" w:lineRule="auto"/>
        <w:rPr>
          <w:sz w:val="20"/>
          <w:szCs w:val="20"/>
          <w:color w:val="auto"/>
        </w:rPr>
      </w:pPr>
      <w:r>
        <w:rPr>
          <w:rFonts w:ascii="Arial" w:cs="Arial" w:eastAsia="Arial" w:hAnsi="Arial"/>
          <w:sz w:val="18"/>
          <w:szCs w:val="18"/>
          <w:color w:val="auto"/>
        </w:rPr>
        <w:t>2001 Ross Ave,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SBD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(972) 368-2323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gs-dallas-adminagency@ny.email.gs.com and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gs-sbdagency-borrowernotices@ny.email.gs.com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Regeneron Pharmaceuticals,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hereby made to the Credit Agreement dated as of May 25, 2020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Regeneron Pharmaceuticals, Inc.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and Goldman Sachs Bank USA,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Capitalized terms used but not defined herein shall have the meanings assigned to such terms in the Credit Agreement. The undersigned Borrower hereby gives you notice pursuant to Section 2.08 of the Credit Agreement that it requests to [convert][continue] an existing Borrowing under the Credit Agreement, and in that connection the undersigned Borrower specifies the following information with respect to such [conversion][continuation] requested hereby:</w:t>
      </w:r>
    </w:p>
    <w:p>
      <w:pPr>
        <w:spacing w:after="0" w:line="178"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List date, Type, principal amount and Interest Period (if applicable) of existing Borrowing: 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Aggregate principal amount of resulting Borrowing: 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Effective date of interest election (which shall be a Business Day): 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Type of Borrowing (ABR or Eurocurrency): __________</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36"/>
          <w:szCs w:val="36"/>
          <w:color w:val="auto"/>
          <w:vertAlign w:val="superscript"/>
        </w:rPr>
      </w:pPr>
      <w:r>
        <w:rPr>
          <w:rFonts w:ascii="Arial" w:cs="Arial" w:eastAsia="Arial" w:hAnsi="Arial"/>
          <w:sz w:val="18"/>
          <w:szCs w:val="18"/>
          <w:color w:val="auto"/>
        </w:rPr>
        <w:t>Interest Period and the last day thereof (if a Eurocurrency Borrowing):</w:t>
      </w:r>
      <w:r>
        <w:rPr>
          <w:rFonts w:ascii="Arial" w:cs="Arial" w:eastAsia="Arial" w:hAnsi="Arial"/>
          <w:sz w:val="29"/>
          <w:szCs w:val="29"/>
          <w:color w:val="auto"/>
          <w:vertAlign w:val="superscript"/>
        </w:rPr>
        <w:t>1</w:t>
      </w:r>
      <w:r>
        <w:rPr>
          <w:rFonts w:ascii="Arial" w:cs="Arial" w:eastAsia="Arial" w:hAnsi="Arial"/>
          <w:sz w:val="18"/>
          <w:szCs w:val="18"/>
          <w:color w:val="auto"/>
        </w:rPr>
        <w:t>__________</w:t>
      </w:r>
    </w:p>
    <w:p>
      <w:pPr>
        <w:spacing w:after="0" w:line="7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Delivery of an executed signature page to this Interest Election Request by telecopy, e-mailed .pdf or any other electronic means that reproduces an image of the actual executed signature page shall be effective as delivery of a manually executed signature page to this Interest Election Request.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left="5100" w:right="3860" w:hanging="5092"/>
        <w:spacing w:after="0" w:line="618" w:lineRule="auto"/>
        <w:tabs>
          <w:tab w:leader="none" w:pos="129" w:val="left"/>
        </w:tabs>
        <w:numPr>
          <w:ilvl w:val="0"/>
          <w:numId w:val="211"/>
        </w:numPr>
        <w:rPr>
          <w:rFonts w:ascii="Arial" w:cs="Arial" w:eastAsia="Arial" w:hAnsi="Arial"/>
          <w:sz w:val="30"/>
          <w:szCs w:val="30"/>
          <w:color w:val="auto"/>
          <w:vertAlign w:val="superscript"/>
        </w:rPr>
      </w:pPr>
      <w:r>
        <w:rPr>
          <w:rFonts w:ascii="Arial" w:cs="Arial" w:eastAsia="Arial" w:hAnsi="Arial"/>
          <w:sz w:val="18"/>
          <w:szCs w:val="18"/>
          <w:color w:val="auto"/>
        </w:rPr>
        <w:t>Which must comply with the definition of “Interest Period” and end not later than the Maturity Date. Exhibit H-2-1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0" w:name="page191"/>
    <w:bookmarkEnd w:id="190"/>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H-2-2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[_____], 2020</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VALUE RECEIVED, the undersigned, REGENERON PHARMACEUTICALS, INC.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UNCONDITIONALLY PROMISES TO PAY to [NAME OF LENDER] or its registered assigns (the “</w:t>
      </w:r>
      <w:r>
        <w:rPr>
          <w:rFonts w:ascii="Arial" w:cs="Arial" w:eastAsia="Arial" w:hAnsi="Arial"/>
          <w:sz w:val="17"/>
          <w:szCs w:val="17"/>
          <w:u w:val="single" w:color="auto"/>
          <w:color w:val="auto"/>
        </w:rPr>
        <w:t>Lender</w:t>
      </w:r>
      <w:r>
        <w:rPr>
          <w:rFonts w:ascii="Arial" w:cs="Arial" w:eastAsia="Arial" w:hAnsi="Arial"/>
          <w:sz w:val="17"/>
          <w:szCs w:val="17"/>
          <w:color w:val="auto"/>
        </w:rPr>
        <w:t>”) the aggregate unpaid amount of all Loans made by the Lender to the Borrower pursuant to the “Credit Agreement” (as defined below) on the Maturity Date or on such earlier date as may be required by the terms of the Credit Agreement. Capitalized terms used herein and not otherwise defined herein are as defined in the Credit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Borrower promises to pay interest on the unpaid principal amount of each Loan made to it from the date of such Loan until such principal amount is paid in full at a rate or rates per annum determined in accordance with the terms of the Credit Agreement. Interest hereunder is due and payable at such times and on such dates as set forth in the Credit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the time of the Loan, and upon each payment or prepayment of principal of the Loan, the Lender shall make a notation either on the schedule attached hereto and made a part hereof, or in such Lender’s own books and records, in each case specifying the amount of such Loan, the respective Interest Period thereof (in the case of Eurocurrency Loans) or the amount of principal paid or prepaid with respect to such Loan,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Lender to make any such recordation or notation shall not affect the Obligations of the undersigned Borrower hereunder or under the Credit Agreement.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Note is one of the notes referred to in, and is entitled to the benefits of, that certain Credit Agreement dated as of May 25, 2020 by and among the Borrower, the financial institutions from time to time parties thereto as Lenders and Goldman Sachs Bank USA, as Administrative Agent (as the same may be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Credit Agreement, among other things, (i) provides for the making of Loans to the Borrower on the Closing Date, the indebtedness of the Borrower resulting from the Loans owed by the Borrower to the Lender being evidenced by this Note, and (ii) contains provisions for acceleration of the maturity hereof upon the happening of certain stated events and also for prepayments of the principal hereof prior to the maturity hereof upon the terms and conditions therein specified.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Demand, presentment, protest and notice of nonpayment and protest are hereby waived by the Borrower.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Whenever in this Note reference is made to the Administrative Agent, the Lender or the Borrower, such reference shall be deemed to include, as applicable, a reference to their respective successors and permitted assigns. The provisions of this Note shall be binding upon and shall inure to the benefit of said successors and assigns. The Borrower’s successors and assigns shall include, without limitation, a receiver, trustee or debtor in possession of or for the Borrower.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shall be construed in accordance with and governed by the law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ind w:left="4520"/>
        <w:spacing w:after="0"/>
        <w:rPr>
          <w:sz w:val="20"/>
          <w:szCs w:val="20"/>
          <w:color w:val="auto"/>
        </w:rPr>
      </w:pPr>
      <w:r>
        <w:rPr>
          <w:rFonts w:ascii="Arial" w:cs="Arial" w:eastAsia="Arial" w:hAnsi="Arial"/>
          <w:sz w:val="17"/>
          <w:szCs w:val="17"/>
          <w:color w:val="auto"/>
        </w:rPr>
        <w:t>REGENERON PHARMACEUTICALS, INC.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3" w:name="page194"/>
    <w:bookmarkEnd w:id="193"/>
    <w:p>
      <w:pPr>
        <w:jc w:val="center"/>
        <w:ind w:right="260"/>
        <w:spacing w:after="0"/>
        <w:rPr>
          <w:sz w:val="20"/>
          <w:szCs w:val="20"/>
          <w:color w:val="auto"/>
        </w:rPr>
      </w:pPr>
      <w:r>
        <w:rPr>
          <w:rFonts w:ascii="Arial" w:cs="Arial" w:eastAsia="Arial" w:hAnsi="Arial"/>
          <w:sz w:val="17"/>
          <w:szCs w:val="17"/>
          <w:color w:val="auto"/>
        </w:rPr>
        <w:t>SCHEDULE OF LOANS AND PAYMENTS OR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296545</wp:posOffset>
            </wp:positionV>
            <wp:extent cx="7132320" cy="26657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sectPr>
          <w:pgSz w:w="11900" w:h="16838" w:orient="portrait"/>
          <w:cols w:equalWidth="0" w:num="1">
            <w:col w:w="10140"/>
          </w:cols>
          <w:pgMar w:left="1000" w:top="908" w:right="75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Amount of</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Interest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Period/Rate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Amount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Principal Paid 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Unpaid Principal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Notation Made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By</w:t>
      </w:r>
    </w:p>
    <w:p>
      <w:pPr>
        <w:spacing w:after="0" w:line="415" w:lineRule="exact"/>
        <w:rPr>
          <w:sz w:val="20"/>
          <w:szCs w:val="20"/>
          <w:color w:val="auto"/>
        </w:rPr>
      </w:pPr>
    </w:p>
    <w:p>
      <w:pPr>
        <w:sectPr>
          <w:pgSz w:w="11900" w:h="16838" w:orient="portrait"/>
          <w:cols w:equalWidth="0" w:num="6">
            <w:col w:w="740" w:space="720"/>
            <w:col w:w="1180" w:space="720"/>
            <w:col w:w="1100" w:space="720"/>
            <w:col w:w="1220" w:space="680"/>
            <w:col w:w="1260" w:space="720"/>
            <w:col w:w="1080"/>
          </w:cols>
          <w:pgMar w:left="1000" w:top="908"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Exhibit I-3</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20320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40"/>
      </w:cols>
      <w:pgMar w:left="1000" w:top="908"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1)"/>
      <w:numFmt w:val="lowerLetter"/>
      <w:start w:val="4"/>
    </w:lvl>
  </w:abstractNum>
  <w:abstractNum w:abstractNumId="2">
    <w:nsid w:val="1D545C4D"/>
    <w:multiLevelType w:val="hybridMultilevel"/>
    <w:lvl w:ilvl="0">
      <w:lvlJc w:val="left"/>
      <w:lvlText w:val="%1"/>
      <w:numFmt w:val="decimal"/>
      <w:start w:val="104"/>
    </w:lvl>
  </w:abstractNum>
  <w:abstractNum w:abstractNumId="3">
    <w:nsid w:val="59ADEA3D"/>
    <w:multiLevelType w:val="hybridMultilevel"/>
    <w:lvl w:ilvl="0">
      <w:lvlJc w:val="left"/>
      <w:lvlText w:val="%1"/>
      <w:numFmt w:val="lowerLetter"/>
      <w:start w:val="1"/>
    </w:lvl>
    <w:lvl w:ilvl="1">
      <w:lvlJc w:val="left"/>
      <w:lvlText w:val="%2."/>
      <w:numFmt w:val="decimal"/>
      <w:start w:val="1"/>
    </w:lvl>
  </w:abstractNum>
  <w:abstractNum w:abstractNumId="4">
    <w:nsid w:val="288F1A34"/>
    <w:multiLevelType w:val="hybridMultilevel"/>
    <w:lvl w:ilvl="0">
      <w:lvlJc w:val="left"/>
      <w:lvlText w:val="(%1)"/>
      <w:numFmt w:val="lowerLetter"/>
      <w:start w:val="1"/>
    </w:lvl>
    <w:lvl w:ilvl="1">
      <w:lvlJc w:val="left"/>
      <w:lvlText w:val="%2"/>
      <w:numFmt w:val="decimal"/>
      <w:start w:val="1"/>
    </w:lvl>
  </w:abstractNum>
  <w:abstractNum w:abstractNumId="5">
    <w:nsid w:val="2A155DBC"/>
    <w:multiLevelType w:val="hybridMultilevel"/>
    <w:lvl w:ilvl="0">
      <w:lvlJc w:val="left"/>
      <w:lvlText w:val="(%1)"/>
      <w:numFmt w:val="lowerRoman"/>
      <w:start w:val="1"/>
    </w:lvl>
  </w:abstractNum>
  <w:abstractNum w:abstractNumId="6">
    <w:nsid w:val="1D9F6E5F"/>
    <w:multiLevelType w:val="hybridMultilevel"/>
    <w:lvl w:ilvl="0">
      <w:lvlJc w:val="left"/>
      <w:lvlText w:val="(%1)"/>
      <w:numFmt w:val="lowerRoman"/>
      <w:start w:val="5"/>
    </w:lvl>
  </w:abstractNum>
  <w:abstractNum w:abstractNumId="7">
    <w:nsid w:val="97E1B4E"/>
    <w:multiLevelType w:val="hybridMultilevel"/>
    <w:lvl w:ilvl="0">
      <w:lvlJc w:val="left"/>
      <w:lvlText w:val="(%1)"/>
      <w:numFmt w:val="lowerRoman"/>
      <w:start w:val="10"/>
    </w:lvl>
  </w:abstractNum>
  <w:abstractNum w:abstractNumId="8">
    <w:nsid w:val="51088277"/>
    <w:multiLevelType w:val="hybridMultilevel"/>
    <w:lvl w:ilvl="0">
      <w:lvlJc w:val="left"/>
      <w:lvlText w:val="(%1)"/>
      <w:numFmt w:val="lowerRoman"/>
      <w:start w:val="12"/>
    </w:lvl>
  </w:abstractNum>
  <w:abstractNum w:abstractNumId="9">
    <w:nsid w:val="1CA0C5FA"/>
    <w:multiLevelType w:val="hybridMultilevel"/>
    <w:lvl w:ilvl="0">
      <w:lvlJc w:val="left"/>
      <w:lvlText w:val="(%1)"/>
      <w:numFmt w:val="lowerRoman"/>
      <w:start w:val="15"/>
    </w:lvl>
  </w:abstractNum>
  <w:abstractNum w:abstractNumId="10">
    <w:nsid w:val="53584BCB"/>
    <w:multiLevelType w:val="hybridMultilevel"/>
    <w:lvl w:ilvl="0">
      <w:lvlJc w:val="left"/>
      <w:lvlText w:val="(%1)"/>
      <w:numFmt w:val="lowerRoman"/>
      <w:start w:val="21"/>
    </w:lvl>
  </w:abstractNum>
  <w:abstractNum w:abstractNumId="11">
    <w:nsid w:val="415E286C"/>
    <w:multiLevelType w:val="hybridMultilevel"/>
    <w:lvl w:ilvl="0">
      <w:lvlJc w:val="left"/>
      <w:lvlText w:val="(%1)"/>
      <w:numFmt w:val="lowerRoman"/>
      <w:start w:val="24"/>
    </w:lvl>
  </w:abstractNum>
  <w:abstractNum w:abstractNumId="12">
    <w:nsid w:val="7C58FD05"/>
    <w:multiLevelType w:val="hybridMultilevel"/>
    <w:lvl w:ilvl="0">
      <w:lvlJc w:val="left"/>
      <w:lvlText w:val="(%1)"/>
      <w:numFmt w:val="lowerRoman"/>
      <w:start w:val="26"/>
    </w:lvl>
  </w:abstractNum>
  <w:abstractNum w:abstractNumId="13">
    <w:nsid w:val="23D86AAC"/>
    <w:multiLevelType w:val="hybridMultilevel"/>
    <w:lvl w:ilvl="0">
      <w:lvlJc w:val="left"/>
      <w:lvlText w:val="%1"/>
      <w:numFmt w:val="lowerLetter"/>
      <w:start w:val="1"/>
    </w:lvl>
    <w:lvl w:ilvl="1">
      <w:lvlJc w:val="left"/>
      <w:lvlText w:val="(%2)"/>
      <w:numFmt w:val="lowerLetter"/>
      <w:start w:val="76"/>
    </w:lvl>
  </w:abstractNum>
  <w:abstractNum w:abstractNumId="14">
    <w:nsid w:val="45E6D486"/>
    <w:multiLevelType w:val="hybridMultilevel"/>
    <w:lvl w:ilvl="0">
      <w:lvlJc w:val="left"/>
      <w:lvlText w:val="(%1)"/>
      <w:numFmt w:val="lowerLetter"/>
      <w:start w:val="2"/>
    </w:lvl>
    <w:lvl w:ilvl="1">
      <w:lvlJc w:val="left"/>
      <w:lvlText w:val="(%2)"/>
      <w:numFmt w:val="lowerLetter"/>
      <w:start w:val="9"/>
    </w:lvl>
  </w:abstractNum>
  <w:abstractNum w:abstractNumId="15">
    <w:nsid w:val="5C10FE21"/>
    <w:multiLevelType w:val="hybridMultilevel"/>
    <w:lvl w:ilvl="0">
      <w:lvlJc w:val="left"/>
      <w:lvlText w:val="(%1)"/>
      <w:numFmt w:val="lowerRoman"/>
      <w:start w:val="2"/>
    </w:lvl>
  </w:abstractNum>
  <w:abstractNum w:abstractNumId="16">
    <w:nsid w:val="E7FFA2B"/>
    <w:multiLevelType w:val="hybridMultilevel"/>
    <w:lvl w:ilvl="0">
      <w:lvlJc w:val="left"/>
      <w:lvlText w:val="(%1)"/>
      <w:numFmt w:val="lowerRoman"/>
      <w:start w:val="3"/>
    </w:lvl>
  </w:abstractNum>
  <w:abstractNum w:abstractNumId="17">
    <w:nsid w:val="3C5991AA"/>
    <w:multiLevelType w:val="hybridMultilevel"/>
    <w:lvl w:ilvl="0">
      <w:lvlJc w:val="left"/>
      <w:lvlText w:val="(%1)"/>
      <w:numFmt w:val="lowerLetter"/>
      <w:start w:val="3"/>
    </w:lvl>
    <w:lvl w:ilvl="1">
      <w:lvlJc w:val="left"/>
      <w:lvlText w:val="%2."/>
      <w:numFmt w:val="decimal"/>
      <w:start w:val="2"/>
    </w:lvl>
  </w:abstractNum>
  <w:abstractNum w:abstractNumId="18">
    <w:nsid w:val="4BD8591A"/>
    <w:multiLevelType w:val="hybridMultilevel"/>
    <w:lvl w:ilvl="0">
      <w:lvlJc w:val="left"/>
      <w:lvlText w:val="(%1)"/>
      <w:numFmt w:val="lowerLetter"/>
      <w:start w:val="1"/>
    </w:lvl>
    <w:lvl w:ilvl="1">
      <w:lvlJc w:val="left"/>
      <w:lvlText w:val="%2."/>
      <w:numFmt w:val="decimal"/>
      <w:start w:val="3"/>
    </w:lvl>
  </w:abstractNum>
  <w:abstractNum w:abstractNumId="19">
    <w:nsid w:val="78DF6A55"/>
    <w:multiLevelType w:val="hybridMultilevel"/>
    <w:lvl w:ilvl="0">
      <w:lvlJc w:val="left"/>
      <w:lvlText w:val="(%1)"/>
      <w:numFmt w:val="lowerLetter"/>
      <w:start w:val="1"/>
    </w:lvl>
  </w:abstractNum>
  <w:abstractNum w:abstractNumId="20">
    <w:nsid w:val="39B7AAA2"/>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abstractNum>
  <w:abstractNum w:abstractNumId="21">
    <w:nsid w:val="2B0D8DBE"/>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22">
    <w:nsid w:val="6C80EC70"/>
    <w:multiLevelType w:val="hybridMultilevel"/>
    <w:lvl w:ilvl="0">
      <w:lvlJc w:val="left"/>
      <w:lvlText w:val="(%1)"/>
      <w:numFmt w:val="lowerRoman"/>
      <w:start w:val="4"/>
    </w:lvl>
    <w:lvl w:ilvl="1">
      <w:lvlJc w:val="left"/>
      <w:lvlText w:val="(%2)"/>
      <w:numFmt w:val="lowerLetter"/>
      <w:start w:val="2"/>
    </w:lvl>
    <w:lvl w:ilvl="2">
      <w:lvlJc w:val="left"/>
      <w:lvlText w:val="%3"/>
      <w:numFmt w:val="decimal"/>
      <w:start w:val="1"/>
    </w:lvl>
  </w:abstractNum>
  <w:abstractNum w:abstractNumId="23">
    <w:nsid w:val="379E21B5"/>
    <w:multiLevelType w:val="hybridMultilevel"/>
    <w:lvl w:ilvl="0">
      <w:lvlJc w:val="left"/>
      <w:lvlText w:val="%1"/>
      <w:numFmt w:val="lowerLetter"/>
      <w:start w:val="1"/>
    </w:lvl>
    <w:lvl w:ilvl="1">
      <w:lvlJc w:val="left"/>
      <w:lvlText w:val="(%2)"/>
      <w:numFmt w:val="lowerLetter"/>
      <w:start w:val="4"/>
    </w:lvl>
  </w:abstractNum>
  <w:abstractNum w:abstractNumId="24">
    <w:nsid w:val="69E373"/>
    <w:multiLevelType w:val="hybridMultilevel"/>
    <w:lvl w:ilvl="0">
      <w:lvlJc w:val="left"/>
      <w:lvlText w:val="(%1)"/>
      <w:numFmt w:val="lowerLetter"/>
      <w:start w:val="6"/>
    </w:lvl>
    <w:lvl w:ilvl="1">
      <w:lvlJc w:val="left"/>
      <w:lvlText w:val="%2"/>
      <w:numFmt w:val="lowerLetter"/>
      <w:start w:val="1"/>
    </w:lvl>
  </w:abstractNum>
  <w:abstractNum w:abstractNumId="25">
    <w:nsid w:val="2C27173B"/>
    <w:multiLevelType w:val="hybridMultilevel"/>
    <w:lvl w:ilvl="0">
      <w:lvlJc w:val="left"/>
      <w:lvlText w:val="(%1)"/>
      <w:numFmt w:val="lowerLetter"/>
      <w:start w:val="3"/>
    </w:lvl>
    <w:lvl w:ilvl="1">
      <w:lvlJc w:val="left"/>
      <w:lvlText w:val="%2"/>
      <w:numFmt w:val="lowerLetter"/>
      <w:start w:val="1"/>
    </w:lvl>
  </w:abstractNum>
  <w:abstractNum w:abstractNumId="26">
    <w:nsid w:val="4C9B0904"/>
    <w:multiLevelType w:val="hybridMultilevel"/>
    <w:lvl w:ilvl="0">
      <w:lvlJc w:val="left"/>
      <w:lvlText w:val="%1"/>
      <w:numFmt w:val="lowerRoman"/>
      <w:start w:val="1"/>
    </w:lvl>
    <w:lvl w:ilvl="1">
      <w:lvlJc w:val="left"/>
      <w:lvlText w:val="(%2)"/>
      <w:numFmt w:val="lowerLetter"/>
      <w:start w:val="9"/>
    </w:lvl>
  </w:abstractNum>
  <w:abstractNum w:abstractNumId="27">
    <w:nsid w:val="6AA7B75C"/>
    <w:multiLevelType w:val="hybridMultilevel"/>
    <w:lvl w:ilvl="0">
      <w:lvlJc w:val="left"/>
      <w:lvlText w:val="(%1)"/>
      <w:numFmt w:val="lowerRoman"/>
      <w:start w:val="9"/>
    </w:lvl>
    <w:lvl w:ilvl="1">
      <w:lvlJc w:val="left"/>
      <w:lvlText w:val="(%2)"/>
      <w:numFmt w:val="lowerLetter"/>
      <w:start w:val="13"/>
    </w:lvl>
  </w:abstractNum>
  <w:abstractNum w:abstractNumId="28">
    <w:nsid w:val="1DF029D3"/>
    <w:multiLevelType w:val="hybridMultilevel"/>
    <w:lvl w:ilvl="0">
      <w:lvlJc w:val="left"/>
      <w:lvlText w:val="%1"/>
      <w:numFmt w:val="lowerLetter"/>
      <w:start w:val="1"/>
    </w:lvl>
    <w:lvl w:ilvl="1">
      <w:lvlJc w:val="left"/>
      <w:lvlText w:val="%2."/>
      <w:numFmt w:val="decimal"/>
      <w:start w:val="6"/>
    </w:lvl>
  </w:abstractNum>
  <w:abstractNum w:abstractNumId="29">
    <w:nsid w:val="5675FF36"/>
    <w:multiLevelType w:val="hybridMultilevel"/>
    <w:lvl w:ilvl="0">
      <w:lvlJc w:val="left"/>
      <w:lvlText w:val="(%1)"/>
      <w:numFmt w:val="lowerLetter"/>
      <w:start w:val="1"/>
    </w:lvl>
    <w:lvl w:ilvl="1">
      <w:lvlJc w:val="left"/>
      <w:lvlText w:val="%2"/>
      <w:numFmt w:val="decimal"/>
      <w:start w:val="1"/>
    </w:lvl>
  </w:abstractNum>
  <w:abstractNum w:abstractNumId="30">
    <w:nsid w:val="3DD15094"/>
    <w:multiLevelType w:val="hybridMultilevel"/>
    <w:lvl w:ilvl="0">
      <w:lvlJc w:val="left"/>
      <w:lvlText w:val="%1"/>
      <w:numFmt w:val="lowerLetter"/>
      <w:start w:val="1"/>
    </w:lvl>
    <w:lvl w:ilvl="1">
      <w:lvlJc w:val="left"/>
      <w:lvlText w:val="(%2)"/>
      <w:numFmt w:val="lowerRoman"/>
      <w:start w:val="1"/>
    </w:lvl>
  </w:abstractNum>
  <w:abstractNum w:abstractNumId="31">
    <w:nsid w:val="3DB012B3"/>
    <w:multiLevelType w:val="hybridMultilevel"/>
    <w:lvl w:ilvl="0">
      <w:lvlJc w:val="left"/>
      <w:lvlText w:val="(%1)"/>
      <w:numFmt w:val="lowerLetter"/>
      <w:start w:val="7"/>
    </w:lvl>
    <w:lvl w:ilvl="1">
      <w:lvlJc w:val="left"/>
      <w:lvlText w:val="%2"/>
      <w:numFmt w:val="lowerRoman"/>
      <w:start w:val="1"/>
    </w:lvl>
  </w:abstractNum>
  <w:abstractNum w:abstractNumId="32">
    <w:nsid w:val="2708C9AF"/>
    <w:multiLevelType w:val="hybridMultilevel"/>
    <w:lvl w:ilvl="0">
      <w:lvlJc w:val="left"/>
      <w:lvlText w:val="(%1)"/>
      <w:numFmt w:val="lowerLetter"/>
      <w:start w:val="8"/>
    </w:lvl>
    <w:lvl w:ilvl="1">
      <w:lvlJc w:val="left"/>
      <w:lvlText w:val="(%2)"/>
      <w:numFmt w:val="lowerRoman"/>
      <w:start w:val="1"/>
    </w:lvl>
  </w:abstractNum>
  <w:abstractNum w:abstractNumId="33">
    <w:nsid w:val="5B25ACE2"/>
    <w:multiLevelType w:val="hybridMultilevel"/>
    <w:lvl w:ilvl="0">
      <w:lvlJc w:val="left"/>
      <w:lvlText w:val="%1"/>
      <w:numFmt w:val="lowerLetter"/>
      <w:start w:val="1"/>
    </w:lvl>
    <w:lvl w:ilvl="1">
      <w:lvlJc w:val="left"/>
      <w:lvlText w:val="(%2)"/>
      <w:numFmt w:val="lowerRoman"/>
      <w:start w:val="5"/>
    </w:lvl>
  </w:abstractNum>
  <w:abstractNum w:abstractNumId="34">
    <w:nsid w:val="175DFCF0"/>
    <w:multiLevelType w:val="hybridMultilevel"/>
    <w:lvl w:ilvl="0">
      <w:lvlJc w:val="left"/>
      <w:lvlText w:val="(%1)"/>
      <w:numFmt w:val="lowerLetter"/>
      <w:start w:val="12"/>
    </w:lvl>
    <w:lvl w:ilvl="1">
      <w:lvlJc w:val="left"/>
      <w:lvlText w:val="%2"/>
      <w:numFmt w:val="lowerRoman"/>
      <w:start w:val="1"/>
    </w:lvl>
  </w:abstractNum>
  <w:abstractNum w:abstractNumId="35">
    <w:nsid w:val="4F97E3E4"/>
    <w:multiLevelType w:val="hybridMultilevel"/>
    <w:lvl w:ilvl="0">
      <w:lvlJc w:val="left"/>
      <w:lvlText w:val="%1"/>
      <w:numFmt w:val="lowerLetter"/>
      <w:start w:val="1"/>
    </w:lvl>
    <w:lvl w:ilvl="1">
      <w:lvlJc w:val="left"/>
      <w:lvlText w:val="%2."/>
      <w:numFmt w:val="decimal"/>
      <w:start w:val="7"/>
    </w:lvl>
  </w:abstractNum>
  <w:abstractNum w:abstractNumId="36">
    <w:nsid w:val="53B0A9E"/>
    <w:multiLevelType w:val="hybridMultilevel"/>
    <w:lvl w:ilvl="0">
      <w:lvlJc w:val="left"/>
      <w:lvlText w:val="(%1)"/>
      <w:numFmt w:val="lowerLetter"/>
      <w:start w:val="1"/>
    </w:lvl>
    <w:lvl w:ilvl="1">
      <w:lvlJc w:val="left"/>
      <w:lvlText w:val="%2"/>
      <w:numFmt w:val="decimal"/>
      <w:start w:val="1"/>
    </w:lvl>
  </w:abstractNum>
  <w:abstractNum w:abstractNumId="37">
    <w:nsid w:val="34FD6B4F"/>
    <w:multiLevelType w:val="hybridMultilevel"/>
    <w:lvl w:ilvl="0">
      <w:lvlJc w:val="left"/>
      <w:lvlText w:val="(%1)"/>
      <w:numFmt w:val="lowerLetter"/>
      <w:start w:val="2"/>
    </w:lvl>
  </w:abstractNum>
  <w:abstractNum w:abstractNumId="38">
    <w:nsid w:val="5915FF32"/>
    <w:multiLevelType w:val="hybridMultilevel"/>
    <w:lvl w:ilvl="0">
      <w:lvlJc w:val="left"/>
      <w:lvlText w:val="(%1)"/>
      <w:numFmt w:val="lowerLetter"/>
      <w:start w:val="4"/>
    </w:lvl>
  </w:abstractNum>
  <w:abstractNum w:abstractNumId="39">
    <w:nsid w:val="56438D15"/>
    <w:multiLevelType w:val="hybridMultilevel"/>
    <w:lvl w:ilvl="0">
      <w:lvlJc w:val="left"/>
      <w:lvlText w:val="(%1)"/>
      <w:numFmt w:val="lowerLetter"/>
      <w:start w:val="6"/>
    </w:lvl>
    <w:lvl w:ilvl="1">
      <w:lvlJc w:val="left"/>
      <w:lvlText w:val="%2."/>
      <w:numFmt w:val="decimal"/>
      <w:start w:val="9"/>
    </w:lvl>
  </w:abstractNum>
  <w:abstractNum w:abstractNumId="40">
    <w:nsid w:val="519E3149"/>
    <w:multiLevelType w:val="hybridMultilevel"/>
    <w:lvl w:ilvl="0">
      <w:lvlJc w:val="left"/>
      <w:lvlText w:val="%1"/>
      <w:numFmt w:val="lowerLetter"/>
      <w:start w:val="1"/>
    </w:lvl>
    <w:lvl w:ilvl="1">
      <w:lvlJc w:val="left"/>
      <w:lvlText w:val="%2."/>
      <w:numFmt w:val="decimal"/>
      <w:start w:val="12"/>
    </w:lvl>
  </w:abstractNum>
  <w:abstractNum w:abstractNumId="41">
    <w:nsid w:val="2C6E4AFD"/>
    <w:multiLevelType w:val="hybridMultilevel"/>
    <w:lvl w:ilvl="0">
      <w:lvlJc w:val="left"/>
      <w:lvlText w:val="(%1)"/>
      <w:numFmt w:val="lowerLetter"/>
      <w:start w:val="2"/>
    </w:lvl>
    <w:lvl w:ilvl="1">
      <w:lvlJc w:val="left"/>
      <w:lvlText w:val="%2"/>
      <w:numFmt w:val="decimal"/>
      <w:start w:val="1"/>
    </w:lvl>
  </w:abstractNum>
  <w:abstractNum w:abstractNumId="42">
    <w:nsid w:val="17A1B582"/>
    <w:multiLevelType w:val="hybridMultilevel"/>
    <w:lvl w:ilvl="0">
      <w:lvlJc w:val="left"/>
      <w:lvlText w:val="%1."/>
      <w:numFmt w:val="decimal"/>
      <w:start w:val="17"/>
    </w:lvl>
  </w:abstractNum>
  <w:abstractNum w:abstractNumId="43">
    <w:nsid w:val="4DF72E4E"/>
    <w:multiLevelType w:val="hybridMultilevel"/>
    <w:lvl w:ilvl="0">
      <w:lvlJc w:val="left"/>
      <w:lvlText w:val="%1."/>
      <w:numFmt w:val="decimal"/>
      <w:start w:val="22"/>
    </w:lvl>
  </w:abstractNum>
  <w:abstractNum w:abstractNumId="44">
    <w:nsid w:val="5046B5A9"/>
    <w:multiLevelType w:val="hybridMultilevel"/>
    <w:lvl w:ilvl="0">
      <w:lvlJc w:val="left"/>
      <w:lvlText w:val="%1."/>
      <w:numFmt w:val="decimal"/>
      <w:start w:val="1"/>
    </w:lvl>
  </w:abstractNum>
  <w:abstractNum w:abstractNumId="45">
    <w:nsid w:val="5D888A08"/>
    <w:multiLevelType w:val="hybridMultilevel"/>
    <w:lvl w:ilvl="0">
      <w:lvlJc w:val="left"/>
      <w:lvlText w:val="%1."/>
      <w:numFmt w:val="decimal"/>
      <w:start w:val="1"/>
    </w:lvl>
  </w:abstractNum>
  <w:abstractNum w:abstractNumId="46">
    <w:nsid w:val="2A082C70"/>
    <w:multiLevelType w:val="hybridMultilevel"/>
    <w:lvl w:ilvl="0">
      <w:lvlJc w:val="left"/>
      <w:lvlText w:val="(%1)"/>
      <w:numFmt w:val="decimal"/>
      <w:start w:val="2"/>
    </w:lvl>
  </w:abstractNum>
  <w:abstractNum w:abstractNumId="47">
    <w:nsid w:val="5EC6AFD4"/>
    <w:multiLevelType w:val="hybridMultilevel"/>
    <w:lvl w:ilvl="0">
      <w:lvlJc w:val="left"/>
      <w:lvlText w:val="(%1)"/>
      <w:numFmt w:val="lowerLetter"/>
      <w:start w:val="1"/>
    </w:lvl>
  </w:abstractNum>
  <w:abstractNum w:abstractNumId="48">
    <w:nsid w:val="19E21BB2"/>
    <w:multiLevelType w:val="hybridMultilevel"/>
    <w:lvl w:ilvl="0">
      <w:lvlJc w:val="left"/>
      <w:lvlText w:val="(%1)"/>
      <w:numFmt w:val="lowerLetter"/>
      <w:start w:val="1"/>
    </w:lvl>
    <w:lvl w:ilvl="1">
      <w:lvlJc w:val="left"/>
      <w:lvlText w:val="(%2)"/>
      <w:numFmt w:val="lowerRoman"/>
      <w:start w:val="1"/>
    </w:lvl>
  </w:abstractNum>
  <w:abstractNum w:abstractNumId="49">
    <w:nsid w:val="75E0858A"/>
    <w:multiLevelType w:val="hybridMultilevel"/>
    <w:lvl w:ilvl="0">
      <w:lvlJc w:val="left"/>
      <w:lvlText w:val="(%1)"/>
      <w:numFmt w:val="lowerLetter"/>
      <w:start w:val="1"/>
    </w:lvl>
  </w:abstractNum>
  <w:abstractNum w:abstractNumId="50">
    <w:nsid w:val="57A61A29"/>
    <w:multiLevelType w:val="hybridMultilevel"/>
    <w:lvl w:ilvl="0">
      <w:lvlJc w:val="left"/>
      <w:lvlText w:val="(%1)"/>
      <w:numFmt w:val="lowerLetter"/>
      <w:start w:val="2"/>
    </w:lvl>
  </w:abstractNum>
  <w:abstractNum w:abstractNumId="51">
    <w:nsid w:val="5399C654"/>
    <w:multiLevelType w:val="hybridMultilevel"/>
    <w:lvl w:ilvl="0">
      <w:lvlJc w:val="left"/>
      <w:lvlText w:val="(%1)"/>
      <w:numFmt w:val="lowerLetter"/>
      <w:start w:val="1"/>
    </w:lvl>
  </w:abstractNum>
  <w:abstractNum w:abstractNumId="52">
    <w:nsid w:val="20EE1348"/>
    <w:multiLevelType w:val="hybridMultilevel"/>
    <w:lvl w:ilvl="0">
      <w:lvlJc w:val="left"/>
      <w:lvlText w:val="(%1)"/>
      <w:numFmt w:val="decimal"/>
      <w:start w:val="1"/>
    </w:lvl>
    <w:lvl w:ilvl="1">
      <w:lvlJc w:val="left"/>
      <w:lvlText w:val="(%2)"/>
      <w:numFmt w:val="lowerLetter"/>
      <w:start w:val="1"/>
    </w:lvl>
  </w:abstractNum>
  <w:abstractNum w:abstractNumId="53">
    <w:nsid w:val="4427069A"/>
    <w:multiLevelType w:val="hybridMultilevel"/>
    <w:lvl w:ilvl="0">
      <w:lvlJc w:val="left"/>
      <w:lvlText w:val="%1"/>
      <w:numFmt w:val="decimal"/>
      <w:start w:val="1"/>
    </w:lvl>
    <w:lvl w:ilvl="1">
      <w:lvlJc w:val="left"/>
      <w:lvlText w:val="(%2)"/>
      <w:numFmt w:val="lowerLetter"/>
      <w:start w:val="2"/>
    </w:lvl>
  </w:abstractNum>
  <w:abstractNum w:abstractNumId="54">
    <w:nsid w:val="B37E80A"/>
    <w:multiLevelType w:val="hybridMultilevel"/>
    <w:lvl w:ilvl="0">
      <w:lvlJc w:val="left"/>
      <w:lvlText w:val="(%1)"/>
      <w:numFmt w:val="decimal"/>
      <w:start w:val="7"/>
    </w:lvl>
    <w:lvl w:ilvl="1">
      <w:lvlJc w:val="left"/>
      <w:lvlText w:val="%2"/>
      <w:numFmt w:val="lowerLetter"/>
      <w:start w:val="1"/>
    </w:lvl>
  </w:abstractNum>
  <w:abstractNum w:abstractNumId="55">
    <w:nsid w:val="2157F6BC"/>
    <w:multiLevelType w:val="hybridMultilevel"/>
    <w:lvl w:ilvl="0">
      <w:lvlJc w:val="left"/>
      <w:lvlText w:val=";"/>
      <w:numFmt w:val="bullet"/>
      <w:start w:val="1"/>
    </w:lvl>
  </w:abstractNum>
  <w:abstractNum w:abstractNumId="56">
    <w:nsid w:val="704E1DD5"/>
    <w:multiLevelType w:val="hybridMultilevel"/>
    <w:lvl w:ilvl="0">
      <w:lvlJc w:val="left"/>
      <w:lvlText w:val="(%1)"/>
      <w:numFmt w:val="decimal"/>
      <w:start w:val="1"/>
    </w:lvl>
  </w:abstractNum>
  <w:abstractNum w:abstractNumId="57">
    <w:nsid w:val="57D2F10E"/>
    <w:multiLevelType w:val="hybridMultilevel"/>
    <w:lvl w:ilvl="0">
      <w:lvlJc w:val="left"/>
      <w:lvlText w:val="(%1)"/>
      <w:numFmt w:val="decimal"/>
      <w:start w:val="1"/>
    </w:lvl>
  </w:abstractNum>
  <w:abstractNum w:abstractNumId="58">
    <w:nsid w:val="BFFAE18"/>
    <w:multiLevelType w:val="hybridMultilevel"/>
    <w:lvl w:ilvl="0">
      <w:lvlJc w:val="left"/>
      <w:lvlText w:val="(%1)"/>
      <w:numFmt w:val="lowerLetter"/>
      <w:start w:val="1"/>
    </w:lvl>
  </w:abstractNum>
  <w:abstractNum w:abstractNumId="59">
    <w:nsid w:val="E3E47A8"/>
    <w:multiLevelType w:val="hybridMultilevel"/>
    <w:lvl w:ilvl="0">
      <w:lvlJc w:val="left"/>
      <w:lvlText w:val="%1"/>
      <w:numFmt w:val="lowerRoman"/>
      <w:start w:val="1"/>
    </w:lvl>
    <w:lvl w:ilvl="1">
      <w:lvlJc w:val="left"/>
      <w:lvlText w:val="(%2)"/>
      <w:numFmt w:val="lowerLetter"/>
      <w:start w:val="3"/>
    </w:lvl>
  </w:abstractNum>
  <w:abstractNum w:abstractNumId="60">
    <w:nsid w:val="2E48F044"/>
    <w:multiLevelType w:val="hybridMultilevel"/>
    <w:lvl w:ilvl="0">
      <w:lvlJc w:val="left"/>
      <w:lvlText w:val="(%1)"/>
      <w:numFmt w:val="lowerRoman"/>
      <w:start w:val="4"/>
    </w:lvl>
    <w:lvl w:ilvl="1">
      <w:lvlJc w:val="left"/>
      <w:lvlText w:val="(%2)"/>
      <w:numFmt w:val="lowerLetter"/>
      <w:start w:val="5"/>
    </w:lvl>
  </w:abstractNum>
  <w:abstractNum w:abstractNumId="61">
    <w:nsid w:val="49D0FEAC"/>
    <w:multiLevelType w:val="hybridMultilevel"/>
    <w:lvl w:ilvl="0">
      <w:lvlJc w:val="left"/>
      <w:lvlText w:val="(%1)"/>
      <w:numFmt w:val="lowerRoman"/>
      <w:start w:val="3"/>
    </w:lvl>
  </w:abstractNum>
  <w:abstractNum w:abstractNumId="62">
    <w:nsid w:val="4BEE5A5B"/>
    <w:multiLevelType w:val="hybridMultilevel"/>
    <w:lvl w:ilvl="0">
      <w:lvlJc w:val="left"/>
      <w:lvlText w:val="(%1)"/>
      <w:numFmt w:val="decimal"/>
      <w:start w:val="70"/>
    </w:lvl>
  </w:abstractNum>
  <w:abstractNum w:abstractNumId="63">
    <w:nsid w:val="5551B9F3"/>
    <w:multiLevelType w:val="hybridMultilevel"/>
    <w:lvl w:ilvl="0">
      <w:lvlJc w:val="left"/>
      <w:lvlText w:val="(%1)"/>
      <w:numFmt w:val="lowerRoman"/>
      <w:start w:val="4"/>
    </w:lvl>
  </w:abstractNum>
  <w:abstractNum w:abstractNumId="64">
    <w:nsid w:val="24F6AB8E"/>
    <w:multiLevelType w:val="hybridMultilevel"/>
    <w:lvl w:ilvl="0">
      <w:lvlJc w:val="left"/>
      <w:lvlText w:val="(%1)"/>
      <w:numFmt w:val="lowerLetter"/>
      <w:start w:val="2"/>
    </w:lvl>
  </w:abstractNum>
  <w:abstractNum w:abstractNumId="65">
    <w:nsid w:val="634C574C"/>
    <w:multiLevelType w:val="hybridMultilevel"/>
    <w:lvl w:ilvl="0">
      <w:lvlJc w:val="left"/>
      <w:lvlText w:val="(%1)"/>
      <w:numFmt w:val="lowerLetter"/>
      <w:start w:val="9"/>
    </w:lvl>
  </w:abstractNum>
  <w:abstractNum w:abstractNumId="66">
    <w:nsid w:val="24E99DD7"/>
    <w:multiLevelType w:val="hybridMultilevel"/>
    <w:lvl w:ilvl="0">
      <w:lvlJc w:val="left"/>
      <w:lvlText w:val="(%1)"/>
      <w:numFmt w:val="lowerLetter"/>
      <w:start w:val="3"/>
    </w:lvl>
  </w:abstractNum>
  <w:abstractNum w:abstractNumId="67">
    <w:nsid w:val="2A31B62D"/>
    <w:multiLevelType w:val="hybridMultilevel"/>
    <w:lvl w:ilvl="0">
      <w:lvlJc w:val="left"/>
      <w:lvlText w:val="(%1)"/>
      <w:numFmt w:val="decimal"/>
      <w:start w:val="1"/>
    </w:lvl>
  </w:abstractNum>
  <w:abstractNum w:abstractNumId="68">
    <w:nsid w:val="1849C29B"/>
    <w:multiLevelType w:val="hybridMultilevel"/>
    <w:lvl w:ilvl="0">
      <w:lvlJc w:val="left"/>
      <w:lvlText w:val="(%1)"/>
      <w:numFmt w:val="lowerLetter"/>
      <w:start w:val="4"/>
    </w:lvl>
  </w:abstractNum>
  <w:abstractNum w:abstractNumId="69">
    <w:nsid w:val="7DFF9D09"/>
    <w:multiLevelType w:val="hybridMultilevel"/>
    <w:lvl w:ilvl="0">
      <w:lvlJc w:val="left"/>
      <w:lvlText w:val="(%1)"/>
      <w:numFmt w:val="lowerLetter"/>
      <w:start w:val="2"/>
    </w:lvl>
  </w:abstractNum>
  <w:abstractNum w:abstractNumId="70">
    <w:nsid w:val="754342"/>
    <w:multiLevelType w:val="hybridMultilevel"/>
    <w:lvl w:ilvl="0">
      <w:lvlJc w:val="left"/>
      <w:lvlText w:val="(%1)"/>
      <w:numFmt w:val="lowerRoman"/>
      <w:start w:val="10"/>
    </w:lvl>
  </w:abstractNum>
  <w:abstractNum w:abstractNumId="71">
    <w:nsid w:val="69E7F3E5"/>
    <w:multiLevelType w:val="hybridMultilevel"/>
    <w:lvl w:ilvl="0">
      <w:lvlJc w:val="left"/>
      <w:lvlText w:val="(%1)"/>
      <w:numFmt w:val="lowerLetter"/>
      <w:start w:val="1"/>
    </w:lvl>
    <w:lvl w:ilvl="1">
      <w:lvlJc w:val="left"/>
      <w:lvlText w:val="(%2)"/>
      <w:numFmt w:val="lowerLetter"/>
      <w:start w:val="2"/>
    </w:lvl>
  </w:abstractNum>
  <w:abstractNum w:abstractNumId="72">
    <w:nsid w:val="2A6DE806"/>
    <w:multiLevelType w:val="hybridMultilevel"/>
    <w:lvl w:ilvl="0">
      <w:lvlJc w:val="left"/>
      <w:lvlText w:val="(%1)"/>
      <w:numFmt w:val="lowerLetter"/>
      <w:start w:val="1"/>
    </w:lvl>
  </w:abstractNum>
  <w:abstractNum w:abstractNumId="73">
    <w:nsid w:val="1816F8C4"/>
    <w:multiLevelType w:val="hybridMultilevel"/>
    <w:lvl w:ilvl="0">
      <w:lvlJc w:val="left"/>
      <w:lvlText w:val="(%1)"/>
      <w:numFmt w:val="lowerLetter"/>
      <w:start w:val="9"/>
    </w:lvl>
  </w:abstractNum>
  <w:abstractNum w:abstractNumId="74">
    <w:nsid w:val="37DF2233"/>
    <w:multiLevelType w:val="hybridMultilevel"/>
    <w:lvl w:ilvl="0">
      <w:lvlJc w:val="left"/>
      <w:lvlText w:val="(%1)"/>
      <w:numFmt w:val="lowerRoman"/>
      <w:start w:val="9"/>
    </w:lvl>
  </w:abstractNum>
  <w:abstractNum w:abstractNumId="75">
    <w:nsid w:val="7AB49DAF"/>
    <w:multiLevelType w:val="hybridMultilevel"/>
    <w:lvl w:ilvl="0">
      <w:lvlJc w:val="left"/>
      <w:lvlText w:val="(%1)"/>
      <w:numFmt w:val="lowerLetter"/>
      <w:start w:val="2"/>
    </w:lvl>
  </w:abstractNum>
  <w:abstractNum w:abstractNumId="76">
    <w:nsid w:val="759F82CD"/>
    <w:multiLevelType w:val="hybridMultilevel"/>
    <w:lvl w:ilvl="0">
      <w:lvlJc w:val="left"/>
      <w:lvlText w:val="(%1)"/>
      <w:numFmt w:val="lowerLetter"/>
      <w:start w:val="2"/>
    </w:lvl>
  </w:abstractNum>
  <w:abstractNum w:abstractNumId="77">
    <w:nsid w:val="61E74EA3"/>
    <w:multiLevelType w:val="hybridMultilevel"/>
    <w:lvl w:ilvl="0">
      <w:lvlJc w:val="left"/>
      <w:lvlText w:val="(%1)"/>
      <w:numFmt w:val="lowerLetter"/>
      <w:start w:val="2"/>
    </w:lvl>
  </w:abstractNum>
  <w:abstractNum w:abstractNumId="78">
    <w:nsid w:val="597B4D84"/>
    <w:multiLevelType w:val="hybridMultilevel"/>
    <w:lvl w:ilvl="0">
      <w:lvlJc w:val="left"/>
      <w:lvlText w:val="(%1)"/>
      <w:numFmt w:val="lowerLetter"/>
      <w:start w:val="1"/>
    </w:lvl>
    <w:lvl w:ilvl="1">
      <w:lvlJc w:val="left"/>
      <w:lvlText w:val="(%2)"/>
      <w:numFmt w:val="lowerRoman"/>
      <w:start w:val="1"/>
    </w:lvl>
  </w:abstractNum>
  <w:abstractNum w:abstractNumId="79">
    <w:nsid w:val="F819E7F"/>
    <w:multiLevelType w:val="hybridMultilevel"/>
    <w:lvl w:ilvl="0">
      <w:lvlJc w:val="left"/>
      <w:lvlText w:val="(%1)"/>
      <w:numFmt w:val="lowerRoman"/>
      <w:start w:val="4"/>
    </w:lvl>
  </w:abstractNum>
  <w:abstractNum w:abstractNumId="80">
    <w:nsid w:val="57C7D42D"/>
    <w:multiLevelType w:val="hybridMultilevel"/>
    <w:lvl w:ilvl="0">
      <w:lvlJc w:val="left"/>
      <w:lvlText w:val="(%1)"/>
      <w:numFmt w:val="lowerLetter"/>
      <w:start w:val="2"/>
    </w:lvl>
  </w:abstractNum>
  <w:abstractNum w:abstractNumId="81">
    <w:nsid w:val="312167AD"/>
    <w:multiLevelType w:val="hybridMultilevel"/>
    <w:lvl w:ilvl="0">
      <w:lvlJc w:val="left"/>
      <w:lvlText w:val="(%1)"/>
      <w:numFmt w:val="lowerLetter"/>
      <w:start w:val="2"/>
    </w:lvl>
    <w:lvl w:ilvl="1">
      <w:lvlJc w:val="left"/>
      <w:lvlText w:val="(%2)"/>
      <w:numFmt w:val="lowerRoman"/>
      <w:start w:val="1"/>
    </w:lvl>
  </w:abstractNum>
  <w:abstractNum w:abstractNumId="82">
    <w:nsid w:val="631B64D4"/>
    <w:multiLevelType w:val="hybridMultilevel"/>
    <w:lvl w:ilvl="0">
      <w:lvlJc w:val="left"/>
      <w:lvlText w:val="(%1)"/>
      <w:numFmt w:val="lowerLetter"/>
      <w:start w:val="4"/>
    </w:lvl>
  </w:abstractNum>
  <w:abstractNum w:abstractNumId="83">
    <w:nsid w:val="78B5E776"/>
    <w:multiLevelType w:val="hybridMultilevel"/>
    <w:lvl w:ilvl="0">
      <w:lvlJc w:val="left"/>
      <w:lvlText w:val="(%1)"/>
      <w:numFmt w:val="lowerLetter"/>
      <w:start w:val="2"/>
    </w:lvl>
  </w:abstractNum>
  <w:abstractNum w:abstractNumId="84">
    <w:nsid w:val="75486E47"/>
    <w:multiLevelType w:val="hybridMultilevel"/>
    <w:lvl w:ilvl="0">
      <w:lvlJc w:val="left"/>
      <w:lvlText w:val="(%1)"/>
      <w:numFmt w:val="lowerLetter"/>
      <w:start w:val="2"/>
    </w:lvl>
  </w:abstractNum>
  <w:abstractNum w:abstractNumId="85">
    <w:nsid w:val="6E534CDE"/>
    <w:multiLevelType w:val="hybridMultilevel"/>
    <w:lvl w:ilvl="0">
      <w:lvlJc w:val="left"/>
      <w:lvlText w:val="(%1)"/>
      <w:numFmt w:val="lowerLetter"/>
      <w:start w:val="1"/>
    </w:lvl>
    <w:lvl w:ilvl="1">
      <w:lvlJc w:val="left"/>
      <w:lvlText w:val="%2."/>
      <w:numFmt w:val="lowerRoman"/>
      <w:start w:val="1"/>
    </w:lvl>
  </w:abstractNum>
  <w:abstractNum w:abstractNumId="86">
    <w:nsid w:val="1A0DDE32"/>
    <w:multiLevelType w:val="hybridMultilevel"/>
    <w:lvl w:ilvl="0">
      <w:lvlJc w:val="left"/>
      <w:lvlText w:val="(%1)"/>
      <w:numFmt w:val="lowerLetter"/>
      <w:start w:val="2"/>
    </w:lvl>
  </w:abstractNum>
  <w:abstractNum w:abstractNumId="87">
    <w:nsid w:val="65968C1C"/>
    <w:multiLevelType w:val="hybridMultilevel"/>
    <w:lvl w:ilvl="0">
      <w:lvlJc w:val="left"/>
      <w:lvlText w:val="(%1)"/>
      <w:numFmt w:val="lowerLetter"/>
      <w:start w:val="1"/>
    </w:lvl>
    <w:lvl w:ilvl="1">
      <w:lvlJc w:val="left"/>
      <w:lvlText w:val="(%2)"/>
      <w:numFmt w:val="lowerLetter"/>
      <w:start w:val="9"/>
    </w:lvl>
  </w:abstractNum>
  <w:abstractNum w:abstractNumId="88">
    <w:nsid w:val="46263DEC"/>
    <w:multiLevelType w:val="hybridMultilevel"/>
    <w:lvl w:ilvl="0">
      <w:lvlJc w:val="left"/>
      <w:lvlText w:val="%1"/>
      <w:numFmt w:val="lowerLetter"/>
      <w:start w:val="1"/>
    </w:lvl>
    <w:lvl w:ilvl="1">
      <w:lvlJc w:val="left"/>
      <w:lvlText w:val="(%2)"/>
      <w:numFmt w:val="lowerRoman"/>
      <w:start w:val="2"/>
    </w:lvl>
  </w:abstractNum>
  <w:abstractNum w:abstractNumId="89">
    <w:nsid w:val="260D8C4A"/>
    <w:multiLevelType w:val="hybridMultilevel"/>
    <w:lvl w:ilvl="0">
      <w:lvlJc w:val="left"/>
      <w:lvlText w:val="(%1)"/>
      <w:numFmt w:val="lowerLetter"/>
      <w:start w:val="2"/>
    </w:lvl>
    <w:lvl w:ilvl="1">
      <w:lvlJc w:val="left"/>
      <w:lvlText w:val="%2"/>
      <w:numFmt w:val="lowerRoman"/>
      <w:start w:val="1"/>
    </w:lvl>
  </w:abstractNum>
  <w:abstractNum w:abstractNumId="90">
    <w:nsid w:val="73D4D3C4"/>
    <w:multiLevelType w:val="hybridMultilevel"/>
    <w:lvl w:ilvl="0">
      <w:lvlJc w:val="left"/>
      <w:lvlText w:val="(%1)"/>
      <w:numFmt w:val="lowerLetter"/>
      <w:start w:val="2"/>
    </w:lvl>
  </w:abstractNum>
  <w:abstractNum w:abstractNumId="91">
    <w:nsid w:val="746F2E30"/>
    <w:multiLevelType w:val="hybridMultilevel"/>
    <w:lvl w:ilvl="0">
      <w:lvlJc w:val="left"/>
      <w:lvlText w:val="(%1)"/>
      <w:numFmt w:val="lowerLetter"/>
      <w:start w:val="1"/>
    </w:lvl>
    <w:lvl w:ilvl="1">
      <w:lvlJc w:val="left"/>
      <w:lvlText w:val="(%2)"/>
      <w:numFmt w:val="lowerRoman"/>
      <w:start w:val="1"/>
    </w:lvl>
  </w:abstractNum>
  <w:abstractNum w:abstractNumId="92">
    <w:nsid w:val="6FDE8AF6"/>
    <w:multiLevelType w:val="hybridMultilevel"/>
    <w:lvl w:ilvl="0">
      <w:lvlJc w:val="left"/>
      <w:lvlText w:val="(%1)"/>
      <w:numFmt w:val="lowerLetter"/>
      <w:start w:val="3"/>
    </w:lvl>
  </w:abstractNum>
  <w:abstractNum w:abstractNumId="93">
    <w:nsid w:val="3FC32E20"/>
    <w:multiLevelType w:val="hybridMultilevel"/>
    <w:lvl w:ilvl="0">
      <w:lvlJc w:val="left"/>
      <w:lvlText w:val="(%1)"/>
      <w:numFmt w:val="lowerLetter"/>
      <w:start w:val="4"/>
    </w:lvl>
  </w:abstractNum>
  <w:abstractNum w:abstractNumId="94">
    <w:nsid w:val="49C0E823"/>
    <w:multiLevelType w:val="hybridMultilevel"/>
    <w:lvl w:ilvl="0">
      <w:lvlJc w:val="left"/>
      <w:lvlText w:val="(%1)"/>
      <w:numFmt w:val="lowerRoman"/>
      <w:start w:val="1"/>
    </w:lvl>
  </w:abstractNum>
  <w:abstractNum w:abstractNumId="95">
    <w:nsid w:val="14D53685"/>
    <w:multiLevelType w:val="hybridMultilevel"/>
    <w:lvl w:ilvl="0">
      <w:lvlJc w:val="left"/>
      <w:lvlText w:val="(%1)"/>
      <w:numFmt w:val="lowerLetter"/>
      <w:start w:val="2"/>
    </w:lvl>
  </w:abstractNum>
  <w:abstractNum w:abstractNumId="96">
    <w:nsid w:val="230F856C"/>
    <w:multiLevelType w:val="hybridMultilevel"/>
    <w:lvl w:ilvl="0">
      <w:lvlJc w:val="left"/>
      <w:lvlText w:val="(%1)"/>
      <w:numFmt w:val="lowerLetter"/>
      <w:start w:val="2"/>
    </w:lvl>
  </w:abstractNum>
  <w:abstractNum w:abstractNumId="97">
    <w:nsid w:val="6EAA85FB"/>
    <w:multiLevelType w:val="hybridMultilevel"/>
    <w:lvl w:ilvl="0">
      <w:lvlJc w:val="left"/>
      <w:lvlText w:val="(%1)"/>
      <w:numFmt w:val="lowerLetter"/>
      <w:start w:val="2"/>
    </w:lvl>
  </w:abstractNum>
  <w:abstractNum w:abstractNumId="98">
    <w:nsid w:val="3F06ECB2"/>
    <w:multiLevelType w:val="hybridMultilevel"/>
    <w:lvl w:ilvl="0">
      <w:lvlJc w:val="left"/>
      <w:lvlText w:val="(%1)"/>
      <w:numFmt w:val="lowerLetter"/>
      <w:start w:val="6"/>
    </w:lvl>
    <w:lvl w:ilvl="1">
      <w:lvlJc w:val="left"/>
      <w:lvlText w:val="(%2)"/>
      <w:numFmt w:val="lowerLetter"/>
      <w:start w:val="35"/>
    </w:lvl>
  </w:abstractNum>
  <w:abstractNum w:abstractNumId="99">
    <w:nsid w:val="3B594807"/>
    <w:multiLevelType w:val="hybridMultilevel"/>
    <w:lvl w:ilvl="0">
      <w:lvlJc w:val="left"/>
      <w:lvlText w:val="(%1)"/>
      <w:numFmt w:val="upperLetter"/>
      <w:start w:val="1"/>
    </w:lvl>
  </w:abstractNum>
  <w:abstractNum w:abstractNumId="100">
    <w:nsid w:val="6CAA2304"/>
    <w:multiLevelType w:val="hybridMultilevel"/>
    <w:lvl w:ilvl="0">
      <w:lvlJc w:val="left"/>
      <w:lvlText w:val="(%1)"/>
      <w:numFmt w:val="decimal"/>
      <w:start w:val="1"/>
    </w:lvl>
  </w:abstractNum>
  <w:abstractNum w:abstractNumId="101">
    <w:nsid w:val="3F7C2FF4"/>
    <w:multiLevelType w:val="hybridMultilevel"/>
    <w:lvl w:ilvl="0">
      <w:lvlJc w:val="left"/>
      <w:lvlText w:val="(%1)"/>
      <w:numFmt w:val="decimal"/>
      <w:start w:val="2"/>
    </w:lvl>
  </w:abstractNum>
  <w:abstractNum w:abstractNumId="102">
    <w:nsid w:val="25413BEC"/>
    <w:multiLevelType w:val="hybridMultilevel"/>
    <w:lvl w:ilvl="0">
      <w:lvlJc w:val="left"/>
      <w:lvlText w:val="(%1)"/>
      <w:numFmt w:val="upperLetter"/>
      <w:start w:val="3"/>
    </w:lvl>
  </w:abstractNum>
  <w:abstractNum w:abstractNumId="103">
    <w:nsid w:val="17180B0B"/>
    <w:multiLevelType w:val="hybridMultilevel"/>
    <w:lvl w:ilvl="0">
      <w:lvlJc w:val="left"/>
      <w:lvlText w:val="(%1)"/>
      <w:numFmt w:val="lowerLetter"/>
      <w:start w:val="7"/>
    </w:lvl>
  </w:abstractNum>
  <w:abstractNum w:abstractNumId="104">
    <w:nsid w:val="579328B9"/>
    <w:multiLevelType w:val="hybridMultilevel"/>
    <w:lvl w:ilvl="0">
      <w:lvlJc w:val="left"/>
      <w:lvlText w:val="(%1)"/>
      <w:numFmt w:val="lowerLetter"/>
      <w:start w:val="1"/>
    </w:lvl>
  </w:abstractNum>
  <w:abstractNum w:abstractNumId="105">
    <w:nsid w:val="5D205E20"/>
    <w:multiLevelType w:val="hybridMultilevel"/>
    <w:lvl w:ilvl="0">
      <w:lvlJc w:val="left"/>
      <w:lvlText w:val="(%1)"/>
      <w:numFmt w:val="lowerLetter"/>
      <w:start w:val="2"/>
    </w:lvl>
  </w:abstractNum>
  <w:abstractNum w:abstractNumId="106">
    <w:nsid w:val="11CCA8BA"/>
    <w:multiLevelType w:val="hybridMultilevel"/>
    <w:lvl w:ilvl="0">
      <w:lvlJc w:val="left"/>
      <w:lvlText w:val="(%1)"/>
      <w:numFmt w:val="lowerLetter"/>
      <w:start w:val="3"/>
    </w:lvl>
  </w:abstractNum>
  <w:abstractNum w:abstractNumId="107">
    <w:nsid w:val="4D32AB86"/>
    <w:multiLevelType w:val="hybridMultilevel"/>
    <w:lvl w:ilvl="0">
      <w:lvlJc w:val="left"/>
      <w:lvlText w:val="(%1)"/>
      <w:numFmt w:val="lowerLetter"/>
      <w:start w:val="2"/>
    </w:lvl>
  </w:abstractNum>
  <w:abstractNum w:abstractNumId="108">
    <w:nsid w:val="3F07ACC3"/>
    <w:multiLevelType w:val="hybridMultilevel"/>
    <w:lvl w:ilvl="0">
      <w:lvlJc w:val="left"/>
      <w:lvlText w:val="%1"/>
      <w:numFmt w:val="lowerRoman"/>
      <w:start w:val="1"/>
    </w:lvl>
    <w:lvl w:ilvl="1">
      <w:lvlJc w:val="left"/>
      <w:lvlText w:val="(%2)"/>
      <w:numFmt w:val="lowerRoman"/>
      <w:start w:val="1"/>
    </w:lvl>
  </w:abstractNum>
  <w:abstractNum w:abstractNumId="109">
    <w:nsid w:val="6B47F63E"/>
    <w:multiLevelType w:val="hybridMultilevel"/>
    <w:lvl w:ilvl="0">
      <w:lvlJc w:val="left"/>
      <w:lvlText w:val="(%1)"/>
      <w:numFmt w:val="lowerRoman"/>
      <w:start w:val="3"/>
    </w:lvl>
    <w:lvl w:ilvl="1">
      <w:lvlJc w:val="left"/>
      <w:lvlText w:val="(%2)"/>
      <w:numFmt w:val="lowerRoman"/>
      <w:start w:val="5"/>
    </w:lvl>
  </w:abstractNum>
  <w:abstractNum w:abstractNumId="110">
    <w:nsid w:val="5CB44A05"/>
    <w:multiLevelType w:val="hybridMultilevel"/>
    <w:lvl w:ilvl="0">
      <w:lvlJc w:val="left"/>
      <w:lvlText w:val="(%1)"/>
      <w:numFmt w:val="lowerLetter"/>
      <w:start w:val="1"/>
    </w:lvl>
  </w:abstractNum>
  <w:abstractNum w:abstractNumId="111">
    <w:nsid w:val="16CF80F1"/>
    <w:multiLevelType w:val="hybridMultilevel"/>
    <w:lvl w:ilvl="0">
      <w:lvlJc w:val="left"/>
      <w:lvlText w:val="(%1)"/>
      <w:numFmt w:val="lowerLetter"/>
      <w:start w:val="2"/>
    </w:lvl>
  </w:abstractNum>
  <w:abstractNum w:abstractNumId="112">
    <w:nsid w:val="1C695DEC"/>
    <w:multiLevelType w:val="hybridMultilevel"/>
    <w:lvl w:ilvl="0">
      <w:lvlJc w:val="left"/>
      <w:lvlText w:val="(%1)"/>
      <w:numFmt w:val="lowerLetter"/>
      <w:start w:val="1"/>
    </w:lvl>
  </w:abstractNum>
  <w:abstractNum w:abstractNumId="113">
    <w:nsid w:val="3FCFAED9"/>
    <w:multiLevelType w:val="hybridMultilevel"/>
    <w:lvl w:ilvl="0">
      <w:lvlJc w:val="left"/>
      <w:lvlText w:val="(%1)"/>
      <w:numFmt w:val="lowerLetter"/>
      <w:start w:val="2"/>
    </w:lvl>
  </w:abstractNum>
  <w:abstractNum w:abstractNumId="114">
    <w:nsid w:val="F856867"/>
    <w:multiLevelType w:val="hybridMultilevel"/>
    <w:lvl w:ilvl="0">
      <w:lvlJc w:val="left"/>
      <w:lvlText w:val="%1"/>
      <w:numFmt w:val="lowerLetter"/>
      <w:start w:val="1"/>
    </w:lvl>
    <w:lvl w:ilvl="1">
      <w:lvlJc w:val="left"/>
      <w:lvlText w:val="(%2)"/>
      <w:numFmt w:val="lowerLetter"/>
      <w:start w:val="1"/>
    </w:lvl>
  </w:abstractNum>
  <w:abstractNum w:abstractNumId="115">
    <w:nsid w:val="11B1CC33"/>
    <w:multiLevelType w:val="hybridMultilevel"/>
    <w:lvl w:ilvl="0">
      <w:lvlJc w:val="left"/>
      <w:lvlText w:val="(%1)"/>
      <w:numFmt w:val="lowerLetter"/>
      <w:start w:val="35"/>
    </w:lvl>
    <w:lvl w:ilvl="1">
      <w:lvlJc w:val="left"/>
      <w:lvlText w:val="(%2)"/>
      <w:numFmt w:val="lowerLetter"/>
      <w:start w:val="2"/>
    </w:lvl>
  </w:abstractNum>
  <w:abstractNum w:abstractNumId="116">
    <w:nsid w:val="2E22FBB7"/>
    <w:multiLevelType w:val="hybridMultilevel"/>
    <w:lvl w:ilvl="0">
      <w:lvlJc w:val="left"/>
      <w:lvlText w:val="(%1)"/>
      <w:numFmt w:val="lowerLetter"/>
      <w:start w:val="1"/>
    </w:lvl>
    <w:lvl w:ilvl="1">
      <w:lvlJc w:val="left"/>
      <w:lvlText w:val="(%2)"/>
      <w:numFmt w:val="lowerRoman"/>
      <w:start w:val="1"/>
    </w:lvl>
  </w:abstractNum>
  <w:abstractNum w:abstractNumId="117">
    <w:nsid w:val="29934699"/>
    <w:multiLevelType w:val="hybridMultilevel"/>
    <w:lvl w:ilvl="0">
      <w:lvlJc w:val="left"/>
      <w:lvlText w:val="(%1)"/>
      <w:numFmt w:val="lowerLetter"/>
      <w:start w:val="1"/>
    </w:lvl>
  </w:abstractNum>
  <w:abstractNum w:abstractNumId="118">
    <w:nsid w:val="77485850"/>
    <w:multiLevelType w:val="hybridMultilevel"/>
    <w:lvl w:ilvl="0">
      <w:lvlJc w:val="left"/>
      <w:lvlText w:val="(%1)"/>
      <w:numFmt w:val="lowerLetter"/>
      <w:start w:val="5"/>
    </w:lvl>
  </w:abstractNum>
  <w:abstractNum w:abstractNumId="119">
    <w:nsid w:val="744939A3"/>
    <w:multiLevelType w:val="hybridMultilevel"/>
    <w:lvl w:ilvl="0">
      <w:lvlJc w:val="left"/>
      <w:lvlText w:val="(%1)"/>
      <w:numFmt w:val="lowerRoman"/>
      <w:start w:val="2"/>
    </w:lvl>
  </w:abstractNum>
  <w:abstractNum w:abstractNumId="120">
    <w:nsid w:val="4FA0D2E3"/>
    <w:multiLevelType w:val="hybridMultilevel"/>
    <w:lvl w:ilvl="0">
      <w:lvlJc w:val="left"/>
      <w:lvlText w:val="(%1)"/>
      <w:numFmt w:val="lowerLetter"/>
      <w:start w:val="1"/>
    </w:lvl>
  </w:abstractNum>
  <w:abstractNum w:abstractNumId="121">
    <w:nsid w:val="6B1D2C14"/>
    <w:multiLevelType w:val="hybridMultilevel"/>
    <w:lvl w:ilvl="0">
      <w:lvlJc w:val="left"/>
      <w:lvlText w:val="(%1)"/>
      <w:numFmt w:val="lowerLetter"/>
      <w:start w:val="1"/>
    </w:lvl>
    <w:lvl w:ilvl="1">
      <w:lvlJc w:val="left"/>
      <w:lvlText w:val="(%2)"/>
      <w:numFmt w:val="lowerRoman"/>
      <w:start w:val="1"/>
    </w:lvl>
  </w:abstractNum>
  <w:abstractNum w:abstractNumId="122">
    <w:nsid w:val="68B867D3"/>
    <w:multiLevelType w:val="hybridMultilevel"/>
    <w:lvl w:ilvl="0">
      <w:lvlJc w:val="left"/>
      <w:lvlText w:val="(%1)"/>
      <w:numFmt w:val="lowerLetter"/>
      <w:start w:val="1"/>
    </w:lvl>
  </w:abstractNum>
  <w:abstractNum w:abstractNumId="123">
    <w:nsid w:val="3F7F5DD9"/>
    <w:multiLevelType w:val="hybridMultilevel"/>
    <w:lvl w:ilvl="0">
      <w:lvlJc w:val="left"/>
      <w:lvlText w:val="(%1)"/>
      <w:numFmt w:val="lowerLetter"/>
      <w:start w:val="11"/>
    </w:lvl>
  </w:abstractNum>
  <w:abstractNum w:abstractNumId="124">
    <w:nsid w:val="2AE05A34"/>
    <w:multiLevelType w:val="hybridMultilevel"/>
    <w:lvl w:ilvl="0">
      <w:lvlJc w:val="left"/>
      <w:lvlText w:val="(%1)"/>
      <w:numFmt w:val="lowerLetter"/>
      <w:start w:val="21"/>
    </w:lvl>
  </w:abstractNum>
  <w:abstractNum w:abstractNumId="125">
    <w:nsid w:val="32794FF7"/>
    <w:multiLevelType w:val="hybridMultilevel"/>
    <w:lvl w:ilvl="0">
      <w:lvlJc w:val="left"/>
      <w:lvlText w:val="(%1)"/>
      <w:numFmt w:val="lowerLetter"/>
      <w:start w:val="1"/>
    </w:lvl>
  </w:abstractNum>
  <w:abstractNum w:abstractNumId="126">
    <w:nsid w:val="5454945E"/>
    <w:multiLevelType w:val="hybridMultilevel"/>
    <w:lvl w:ilvl="0">
      <w:lvlJc w:val="left"/>
      <w:lvlText w:val="(%1)"/>
      <w:numFmt w:val="lowerLetter"/>
      <w:start w:val="5"/>
    </w:lvl>
  </w:abstractNum>
  <w:abstractNum w:abstractNumId="127">
    <w:nsid w:val="4DEFDFA0"/>
    <w:multiLevelType w:val="hybridMultilevel"/>
    <w:lvl w:ilvl="0">
      <w:lvlJc w:val="left"/>
      <w:lvlText w:val="(%1)"/>
      <w:numFmt w:val="lowerLetter"/>
      <w:start w:val="16"/>
    </w:lvl>
  </w:abstractNum>
  <w:abstractNum w:abstractNumId="128">
    <w:nsid w:val="2123D5F2"/>
    <w:multiLevelType w:val="hybridMultilevel"/>
    <w:lvl w:ilvl="0">
      <w:lvlJc w:val="left"/>
      <w:lvlText w:val="(%1)"/>
      <w:numFmt w:val="lowerLetter"/>
      <w:start w:val="25"/>
    </w:lvl>
  </w:abstractNum>
  <w:abstractNum w:abstractNumId="129">
    <w:nsid w:val="135B8110"/>
    <w:multiLevelType w:val="hybridMultilevel"/>
    <w:lvl w:ilvl="0">
      <w:lvlJc w:val="left"/>
      <w:lvlText w:val="(%1)"/>
      <w:numFmt w:val="lowerRoman"/>
      <w:start w:val="1"/>
    </w:lvl>
  </w:abstractNum>
  <w:abstractNum w:abstractNumId="130">
    <w:nsid w:val="94927A8"/>
    <w:multiLevelType w:val="hybridMultilevel"/>
    <w:lvl w:ilvl="0">
      <w:lvlJc w:val="left"/>
      <w:lvlText w:val="(%1)"/>
      <w:numFmt w:val="lowerRoman"/>
      <w:start w:val="9"/>
    </w:lvl>
  </w:abstractNum>
  <w:abstractNum w:abstractNumId="131">
    <w:nsid w:val="DCDF8F6"/>
    <w:multiLevelType w:val="hybridMultilevel"/>
    <w:lvl w:ilvl="0">
      <w:lvlJc w:val="left"/>
      <w:lvlText w:val="(%1)"/>
      <w:numFmt w:val="lowerLetter"/>
      <w:start w:val="2"/>
    </w:lvl>
  </w:abstractNum>
  <w:abstractNum w:abstractNumId="132">
    <w:nsid w:val="52D7B105"/>
    <w:multiLevelType w:val="hybridMultilevel"/>
    <w:lvl w:ilvl="0">
      <w:lvlJc w:val="left"/>
      <w:lvlText w:val="%1"/>
      <w:numFmt w:val="decimal"/>
      <w:start w:val="1"/>
    </w:lvl>
    <w:lvl w:ilvl="1">
      <w:lvlJc w:val="left"/>
      <w:lvlText w:val="(%2)"/>
      <w:numFmt w:val="lowerLetter"/>
      <w:start w:val="1"/>
    </w:lvl>
  </w:abstractNum>
  <w:abstractNum w:abstractNumId="133">
    <w:nsid w:val="2E8A6394"/>
    <w:multiLevelType w:val="hybridMultilevel"/>
    <w:lvl w:ilvl="0">
      <w:lvlJc w:val="left"/>
      <w:lvlText w:val="(%1)"/>
      <w:numFmt w:val="decimal"/>
      <w:start w:val="4"/>
    </w:lvl>
    <w:lvl w:ilvl="1">
      <w:lvlJc w:val="left"/>
      <w:lvlText w:val="%2"/>
      <w:numFmt w:val="lowerLetter"/>
      <w:start w:val="1"/>
    </w:lvl>
  </w:abstractNum>
  <w:abstractNum w:abstractNumId="134">
    <w:nsid w:val="24E60401"/>
    <w:multiLevelType w:val="hybridMultilevel"/>
    <w:lvl w:ilvl="0">
      <w:lvlJc w:val="left"/>
      <w:lvlText w:val="(%1)"/>
      <w:numFmt w:val="lowerLetter"/>
      <w:start w:val="1"/>
    </w:lvl>
  </w:abstractNum>
  <w:abstractNum w:abstractNumId="135">
    <w:nsid w:val="2A6AD9BE"/>
    <w:multiLevelType w:val="hybridMultilevel"/>
    <w:lvl w:ilvl="0">
      <w:lvlJc w:val="left"/>
      <w:lvlText w:val="%1"/>
      <w:numFmt w:val="decimal"/>
      <w:start w:val="1"/>
    </w:lvl>
    <w:lvl w:ilvl="1">
      <w:lvlJc w:val="left"/>
      <w:lvlText w:val="(%2)"/>
      <w:numFmt w:val="lowerLetter"/>
      <w:start w:val="4"/>
    </w:lvl>
  </w:abstractNum>
  <w:abstractNum w:abstractNumId="136">
    <w:nsid w:val="BAAC1B4"/>
    <w:multiLevelType w:val="hybridMultilevel"/>
    <w:lvl w:ilvl="0">
      <w:lvlJc w:val="left"/>
      <w:lvlText w:val="(%1)"/>
      <w:numFmt w:val="decimal"/>
      <w:start w:val="60"/>
    </w:lvl>
    <w:lvl w:ilvl="1">
      <w:lvlJc w:val="left"/>
      <w:lvlText w:val="%2"/>
      <w:numFmt w:val="lowerLetter"/>
      <w:start w:val="1"/>
    </w:lvl>
  </w:abstractNum>
  <w:abstractNum w:abstractNumId="137">
    <w:nsid w:val="36B2ACBC"/>
    <w:multiLevelType w:val="hybridMultilevel"/>
    <w:lvl w:ilvl="0">
      <w:lvlJc w:val="left"/>
      <w:lvlText w:val="(%1)"/>
      <w:numFmt w:val="lowerLetter"/>
      <w:start w:val="9"/>
    </w:lvl>
  </w:abstractNum>
  <w:abstractNum w:abstractNumId="138">
    <w:nsid w:val="779D8544"/>
    <w:multiLevelType w:val="hybridMultilevel"/>
    <w:lvl w:ilvl="0">
      <w:lvlJc w:val="left"/>
      <w:lvlText w:val="(%1)"/>
      <w:numFmt w:val="lowerLetter"/>
      <w:start w:val="1"/>
    </w:lvl>
  </w:abstractNum>
  <w:abstractNum w:abstractNumId="139">
    <w:nsid w:val="4AB26E78"/>
    <w:multiLevelType w:val="hybridMultilevel"/>
    <w:lvl w:ilvl="0">
      <w:lvlJc w:val="left"/>
      <w:lvlText w:val="%1"/>
      <w:numFmt w:val="decimal"/>
      <w:start w:val="1"/>
    </w:lvl>
    <w:lvl w:ilvl="1">
      <w:lvlJc w:val="left"/>
      <w:lvlText w:val="(%2)"/>
      <w:numFmt w:val="lowerLetter"/>
      <w:start w:val="5"/>
    </w:lvl>
  </w:abstractNum>
  <w:abstractNum w:abstractNumId="140">
    <w:nsid w:val="21FAA2FA"/>
    <w:multiLevelType w:val="hybridMultilevel"/>
    <w:lvl w:ilvl="0">
      <w:lvlJc w:val="left"/>
      <w:lvlText w:val="(%1)"/>
      <w:numFmt w:val="decimal"/>
      <w:start w:val="30"/>
    </w:lvl>
    <w:lvl w:ilvl="1">
      <w:lvlJc w:val="left"/>
      <w:lvlText w:val="(%2)"/>
      <w:numFmt w:val="lowerLetter"/>
      <w:start w:val="7"/>
    </w:lvl>
  </w:abstractNum>
  <w:abstractNum w:abstractNumId="141">
    <w:nsid w:val="5451CF49"/>
    <w:multiLevelType w:val="hybridMultilevel"/>
    <w:lvl w:ilvl="0">
      <w:lvlJc w:val="left"/>
      <w:lvlText w:val="(%1)"/>
      <w:numFmt w:val="lowerLetter"/>
      <w:start w:val="8"/>
    </w:lvl>
  </w:abstractNum>
  <w:abstractNum w:abstractNumId="142">
    <w:nsid w:val="6181EF69"/>
    <w:multiLevelType w:val="hybridMultilevel"/>
    <w:lvl w:ilvl="0">
      <w:lvlJc w:val="left"/>
      <w:lvlText w:val="(%1)"/>
      <w:numFmt w:val="lowerLetter"/>
      <w:start w:val="1"/>
    </w:lvl>
  </w:abstractNum>
  <w:abstractNum w:abstractNumId="143">
    <w:nsid w:val="3E6400E6"/>
    <w:multiLevelType w:val="hybridMultilevel"/>
    <w:lvl w:ilvl="0">
      <w:lvlJc w:val="left"/>
      <w:lvlText w:val="(%1)"/>
      <w:numFmt w:val="lowerLetter"/>
      <w:start w:val="4"/>
    </w:lvl>
  </w:abstractNum>
  <w:abstractNum w:abstractNumId="144">
    <w:nsid w:val="14217E23"/>
    <w:multiLevelType w:val="hybridMultilevel"/>
    <w:lvl w:ilvl="0">
      <w:lvlJc w:val="left"/>
      <w:lvlText w:val="(%1)"/>
      <w:numFmt w:val="lowerLetter"/>
      <w:start w:val="1"/>
    </w:lvl>
    <w:lvl w:ilvl="1">
      <w:lvlJc w:val="left"/>
      <w:lvlText w:val="(%2)"/>
      <w:numFmt w:val="lowerRoman"/>
      <w:start w:val="1"/>
    </w:lvl>
  </w:abstractNum>
  <w:abstractNum w:abstractNumId="145">
    <w:nsid w:val="710757D0"/>
    <w:multiLevelType w:val="hybridMultilevel"/>
    <w:lvl w:ilvl="0">
      <w:lvlJc w:val="left"/>
      <w:lvlText w:val="%1"/>
      <w:numFmt w:val="lowerLetter"/>
      <w:start w:val="1"/>
    </w:lvl>
    <w:lvl w:ilvl="1">
      <w:lvlJc w:val="left"/>
      <w:lvlText w:val="(%2)"/>
      <w:numFmt w:val="lowerRoman"/>
      <w:start w:val="3"/>
    </w:lvl>
  </w:abstractNum>
  <w:abstractNum w:abstractNumId="146">
    <w:nsid w:val="5015CD1A"/>
    <w:multiLevelType w:val="hybridMultilevel"/>
    <w:lvl w:ilvl="0">
      <w:lvlJc w:val="left"/>
      <w:lvlText w:val="(%1)"/>
      <w:numFmt w:val="lowerLetter"/>
      <w:start w:val="2"/>
    </w:lvl>
    <w:lvl w:ilvl="1">
      <w:lvlJc w:val="left"/>
      <w:lvlText w:val="%2"/>
      <w:numFmt w:val="lowerRoman"/>
      <w:start w:val="1"/>
    </w:lvl>
  </w:abstractNum>
  <w:abstractNum w:abstractNumId="147">
    <w:nsid w:val="424479DA"/>
    <w:multiLevelType w:val="hybridMultilevel"/>
    <w:lvl w:ilvl="0">
      <w:lvlJc w:val="left"/>
      <w:lvlText w:val="(%1)"/>
      <w:numFmt w:val="lowerRoman"/>
      <w:start w:val="1"/>
    </w:lvl>
  </w:abstractNum>
  <w:abstractNum w:abstractNumId="148">
    <w:nsid w:val="1A9A9E69"/>
    <w:multiLevelType w:val="hybridMultilevel"/>
    <w:lvl w:ilvl="0">
      <w:lvlJc w:val="left"/>
      <w:lvlText w:val="(%1)"/>
      <w:numFmt w:val="lowerRoman"/>
      <w:start w:val="2"/>
    </w:lvl>
  </w:abstractNum>
  <w:abstractNum w:abstractNumId="149">
    <w:nsid w:val="475E256A"/>
    <w:multiLevelType w:val="hybridMultilevel"/>
    <w:lvl w:ilvl="0">
      <w:lvlJc w:val="left"/>
      <w:lvlText w:val="(%1)"/>
      <w:numFmt w:val="lowerRoman"/>
      <w:start w:val="3"/>
    </w:lvl>
  </w:abstractNum>
  <w:abstractNum w:abstractNumId="150">
    <w:nsid w:val="368DB37E"/>
    <w:multiLevelType w:val="hybridMultilevel"/>
    <w:lvl w:ilvl="0">
      <w:lvlJc w:val="left"/>
      <w:lvlText w:val="(%1)"/>
      <w:numFmt w:val="lowerLetter"/>
      <w:start w:val="2"/>
    </w:lvl>
  </w:abstractNum>
  <w:abstractNum w:abstractNumId="151">
    <w:nsid w:val="6A3B714C"/>
    <w:multiLevelType w:val="hybridMultilevel"/>
    <w:lvl w:ilvl="0">
      <w:lvlJc w:val="left"/>
      <w:lvlText w:val="%1"/>
      <w:numFmt w:val="lowerLetter"/>
      <w:start w:val="1"/>
    </w:lvl>
    <w:lvl w:ilvl="1">
      <w:lvlJc w:val="left"/>
      <w:lvlText w:val="(%2)"/>
      <w:numFmt w:val="lowerLetter"/>
      <w:start w:val="3"/>
    </w:lvl>
  </w:abstractNum>
  <w:abstractNum w:abstractNumId="152">
    <w:nsid w:val="327B517E"/>
    <w:multiLevelType w:val="hybridMultilevel"/>
    <w:lvl w:ilvl="0">
      <w:lvlJc w:val="left"/>
      <w:lvlText w:val="(%1)"/>
      <w:numFmt w:val="lowerLetter"/>
      <w:start w:val="35"/>
    </w:lvl>
    <w:lvl w:ilvl="1">
      <w:lvlJc w:val="left"/>
      <w:lvlText w:val="(%2)"/>
      <w:numFmt w:val="lowerLetter"/>
      <w:start w:val="4"/>
    </w:lvl>
  </w:abstractNum>
  <w:abstractNum w:abstractNumId="153">
    <w:nsid w:val="1F461B51"/>
    <w:multiLevelType w:val="hybridMultilevel"/>
    <w:lvl w:ilvl="0">
      <w:lvlJc w:val="left"/>
      <w:lvlText w:val="%1"/>
      <w:numFmt w:val="lowerLetter"/>
      <w:start w:val="1"/>
    </w:lvl>
    <w:lvl w:ilvl="1">
      <w:lvlJc w:val="left"/>
      <w:lvlText w:val="(%2)"/>
      <w:numFmt w:val="lowerLetter"/>
      <w:start w:val="2"/>
    </w:lvl>
  </w:abstractNum>
  <w:abstractNum w:abstractNumId="154">
    <w:nsid w:val="29BACF25"/>
    <w:multiLevelType w:val="hybridMultilevel"/>
    <w:lvl w:ilvl="0">
      <w:lvlJc w:val="left"/>
      <w:lvlText w:val="(%1)"/>
      <w:numFmt w:val="lowerLetter"/>
      <w:start w:val="25"/>
    </w:lvl>
    <w:lvl w:ilvl="1">
      <w:lvlJc w:val="left"/>
      <w:lvlText w:val="%2"/>
      <w:numFmt w:val="lowerLetter"/>
      <w:start w:val="1"/>
    </w:lvl>
  </w:abstractNum>
  <w:abstractNum w:abstractNumId="155">
    <w:nsid w:val="5D5BABB3"/>
    <w:multiLevelType w:val="hybridMultilevel"/>
    <w:lvl w:ilvl="0">
      <w:lvlJc w:val="left"/>
      <w:lvlText w:val="(%1)"/>
      <w:numFmt w:val="lowerLetter"/>
      <w:start w:val="4"/>
    </w:lvl>
  </w:abstractNum>
  <w:abstractNum w:abstractNumId="156">
    <w:nsid w:val="51BF6B48"/>
    <w:multiLevelType w:val="hybridMultilevel"/>
    <w:lvl w:ilvl="0">
      <w:lvlJc w:val="left"/>
      <w:lvlText w:val="(%1)"/>
      <w:numFmt w:val="lowerLetter"/>
      <w:start w:val="2"/>
    </w:lvl>
  </w:abstractNum>
  <w:abstractNum w:abstractNumId="157">
    <w:nsid w:val="7E0F6384"/>
    <w:multiLevelType w:val="hybridMultilevel"/>
    <w:lvl w:ilvl="0">
      <w:lvlJc w:val="left"/>
      <w:lvlText w:val="(%1)"/>
      <w:numFmt w:val="lowerLetter"/>
      <w:start w:val="4"/>
    </w:lvl>
  </w:abstractNum>
  <w:abstractNum w:abstractNumId="158">
    <w:nsid w:val="2B4B8B53"/>
    <w:multiLevelType w:val="hybridMultilevel"/>
    <w:lvl w:ilvl="0">
      <w:lvlJc w:val="left"/>
      <w:lvlText w:val="(%1)"/>
      <w:numFmt w:val="lowerLetter"/>
      <w:start w:val="2"/>
    </w:lvl>
    <w:lvl w:ilvl="1">
      <w:lvlJc w:val="left"/>
      <w:lvlText w:val="(%2)"/>
      <w:numFmt w:val="upperLetter"/>
      <w:start w:val="1"/>
    </w:lvl>
  </w:abstractNum>
  <w:abstractNum w:abstractNumId="159">
    <w:nsid w:val="72E3413A"/>
    <w:multiLevelType w:val="hybridMultilevel"/>
    <w:lvl w:ilvl="0">
      <w:lvlJc w:val="left"/>
      <w:lvlText w:val="%1"/>
      <w:numFmt w:val="lowerRoman"/>
      <w:start w:val="1"/>
    </w:lvl>
    <w:lvl w:ilvl="1">
      <w:lvlJc w:val="left"/>
      <w:lvlText w:val="(%2)"/>
      <w:numFmt w:val="upperLetter"/>
      <w:start w:val="2"/>
    </w:lvl>
  </w:abstractNum>
  <w:abstractNum w:abstractNumId="160">
    <w:nsid w:val="116AE494"/>
    <w:multiLevelType w:val="hybridMultilevel"/>
    <w:lvl w:ilvl="0">
      <w:lvlJc w:val="left"/>
      <w:lvlText w:val="(%1)"/>
      <w:numFmt w:val="lowerRoman"/>
      <w:start w:val="2"/>
    </w:lvl>
    <w:lvl w:ilvl="1">
      <w:lvlJc w:val="left"/>
      <w:lvlText w:val="(%2)"/>
      <w:numFmt w:val="upperLetter"/>
      <w:start w:val="1"/>
    </w:lvl>
  </w:abstractNum>
  <w:abstractNum w:abstractNumId="161">
    <w:nsid w:val="3494B2FB"/>
    <w:multiLevelType w:val="hybridMultilevel"/>
    <w:lvl w:ilvl="0">
      <w:lvlJc w:val="left"/>
      <w:lvlText w:val="(%1)"/>
      <w:numFmt w:val="lowerRoman"/>
      <w:start w:val="3"/>
    </w:lvl>
  </w:abstractNum>
  <w:abstractNum w:abstractNumId="162">
    <w:nsid w:val="B13A31"/>
    <w:multiLevelType w:val="hybridMultilevel"/>
    <w:lvl w:ilvl="0">
      <w:lvlJc w:val="left"/>
      <w:lvlText w:val="(%1)"/>
      <w:numFmt w:val="lowerLetter"/>
      <w:start w:val="3"/>
    </w:lvl>
  </w:abstractNum>
  <w:abstractNum w:abstractNumId="163">
    <w:nsid w:val="64429599"/>
    <w:multiLevelType w:val="hybridMultilevel"/>
    <w:lvl w:ilvl="0">
      <w:lvlJc w:val="left"/>
      <w:lvlText w:val="(%1)"/>
      <w:numFmt w:val="lowerLetter"/>
      <w:start w:val="5"/>
    </w:lvl>
  </w:abstractNum>
  <w:abstractNum w:abstractNumId="164">
    <w:nsid w:val="631F1690"/>
    <w:multiLevelType w:val="hybridMultilevel"/>
    <w:lvl w:ilvl="0">
      <w:lvlJc w:val="left"/>
      <w:lvlText w:val="(%1)"/>
      <w:numFmt w:val="lowerLetter"/>
      <w:start w:val="2"/>
    </w:lvl>
  </w:abstractNum>
  <w:abstractNum w:abstractNumId="165">
    <w:nsid w:val="25973E32"/>
    <w:multiLevelType w:val="hybridMultilevel"/>
    <w:lvl w:ilvl="0">
      <w:lvlJc w:val="left"/>
      <w:lvlText w:val="(%1)"/>
      <w:numFmt w:val="lowerRoman"/>
      <w:start w:val="1"/>
    </w:lvl>
  </w:abstractNum>
  <w:abstractNum w:abstractNumId="166">
    <w:nsid w:val="EAD6F57"/>
    <w:multiLevelType w:val="hybridMultilevel"/>
    <w:lvl w:ilvl="0">
      <w:lvlJc w:val="left"/>
      <w:lvlText w:val="(%1)"/>
      <w:numFmt w:val="lowerLetter"/>
      <w:start w:val="1"/>
    </w:lvl>
  </w:abstractNum>
  <w:abstractNum w:abstractNumId="167">
    <w:nsid w:val="6EC9D844"/>
    <w:multiLevelType w:val="hybridMultilevel"/>
    <w:lvl w:ilvl="0">
      <w:lvlJc w:val="left"/>
      <w:lvlText w:val="(%1)"/>
      <w:numFmt w:val="lowerLetter"/>
      <w:start w:val="2"/>
    </w:lvl>
  </w:abstractNum>
  <w:abstractNum w:abstractNumId="168">
    <w:nsid w:val="5C49EAEE"/>
    <w:multiLevelType w:val="hybridMultilevel"/>
    <w:lvl w:ilvl="0">
      <w:lvlJc w:val="left"/>
      <w:lvlText w:val="(%1)"/>
      <w:numFmt w:val="lowerLetter"/>
      <w:start w:val="1"/>
    </w:lvl>
  </w:abstractNum>
  <w:abstractNum w:abstractNumId="169">
    <w:nsid w:val="64AF49B"/>
    <w:multiLevelType w:val="hybridMultilevel"/>
    <w:lvl w:ilvl="0">
      <w:lvlJc w:val="left"/>
      <w:lvlText w:val="(%1)"/>
      <w:numFmt w:val="lowerLetter"/>
      <w:start w:val="2"/>
    </w:lvl>
  </w:abstractNum>
  <w:abstractNum w:abstractNumId="170">
    <w:nsid w:val="397C46BC"/>
    <w:multiLevelType w:val="hybridMultilevel"/>
    <w:lvl w:ilvl="0">
      <w:lvlJc w:val="left"/>
      <w:lvlText w:val="(%1)"/>
      <w:numFmt w:val="lowerLetter"/>
      <w:start w:val="1"/>
    </w:lvl>
    <w:lvl w:ilvl="1">
      <w:lvlJc w:val="left"/>
      <w:lvlText w:val="(%2)"/>
      <w:numFmt w:val="lowerRoman"/>
      <w:start w:val="1"/>
    </w:lvl>
  </w:abstractNum>
  <w:abstractNum w:abstractNumId="171">
    <w:nsid w:val="7E448DE9"/>
    <w:multiLevelType w:val="hybridMultilevel"/>
    <w:lvl w:ilvl="0">
      <w:lvlJc w:val="left"/>
      <w:lvlText w:val="1"/>
      <w:numFmt w:val="bullet"/>
      <w:start w:val="1"/>
    </w:lvl>
  </w:abstractNum>
  <w:abstractNum w:abstractNumId="172">
    <w:nsid w:val="5A9CC3E5"/>
    <w:multiLevelType w:val="hybridMultilevel"/>
    <w:lvl w:ilvl="0">
      <w:lvlJc w:val="left"/>
      <w:lvlText w:val="2"/>
      <w:numFmt w:val="bullet"/>
      <w:start w:val="1"/>
    </w:lvl>
  </w:abstractNum>
  <w:abstractNum w:abstractNumId="173">
    <w:nsid w:val="1AFE3625"/>
    <w:multiLevelType w:val="hybridMultilevel"/>
    <w:lvl w:ilvl="0">
      <w:lvlJc w:val="left"/>
      <w:lvlText w:val="3"/>
      <w:numFmt w:val="bullet"/>
      <w:start w:val="1"/>
    </w:lvl>
  </w:abstractNum>
  <w:abstractNum w:abstractNumId="174">
    <w:nsid w:val="3CA88ECF"/>
    <w:multiLevelType w:val="hybridMultilevel"/>
    <w:lvl w:ilvl="0">
      <w:lvlJc w:val="left"/>
      <w:lvlText w:val="%1."/>
      <w:numFmt w:val="decimal"/>
      <w:start w:val="1"/>
    </w:lvl>
  </w:abstractNum>
  <w:abstractNum w:abstractNumId="175">
    <w:nsid w:val="6EBE4208"/>
    <w:multiLevelType w:val="hybridMultilevel"/>
    <w:lvl w:ilvl="0">
      <w:lvlJc w:val="left"/>
      <w:lvlText w:val="%1."/>
      <w:numFmt w:val="decimal"/>
      <w:start w:val="6"/>
    </w:lvl>
  </w:abstractNum>
  <w:abstractNum w:abstractNumId="176">
    <w:nsid w:val="C058DF5"/>
    <w:multiLevelType w:val="hybridMultilevel"/>
    <w:lvl w:ilvl="0">
      <w:lvlJc w:val="left"/>
      <w:lvlText w:val="1"/>
      <w:numFmt w:val="bullet"/>
      <w:start w:val="1"/>
    </w:lvl>
  </w:abstractNum>
  <w:abstractNum w:abstractNumId="177">
    <w:nsid w:val="CBE5BE9"/>
    <w:multiLevelType w:val="hybridMultilevel"/>
    <w:lvl w:ilvl="0">
      <w:lvlJc w:val="left"/>
      <w:lvlText w:val="2"/>
      <w:numFmt w:val="bullet"/>
      <w:start w:val="1"/>
    </w:lvl>
  </w:abstractNum>
  <w:abstractNum w:abstractNumId="178">
    <w:nsid w:val="3102BBE2"/>
    <w:multiLevelType w:val="hybridMultilevel"/>
    <w:lvl w:ilvl="0">
      <w:lvlJc w:val="left"/>
      <w:lvlText w:val="3"/>
      <w:numFmt w:val="bullet"/>
      <w:start w:val="1"/>
    </w:lvl>
  </w:abstractNum>
  <w:abstractNum w:abstractNumId="179">
    <w:nsid w:val="26A02C5E"/>
    <w:multiLevelType w:val="hybridMultilevel"/>
    <w:lvl w:ilvl="0">
      <w:lvlJc w:val="left"/>
      <w:lvlText w:val="%1."/>
      <w:numFmt w:val="decimal"/>
      <w:start w:val="1"/>
    </w:lvl>
  </w:abstractNum>
  <w:abstractNum w:abstractNumId="180">
    <w:nsid w:val="541C8153"/>
    <w:multiLevelType w:val="hybridMultilevel"/>
    <w:lvl w:ilvl="0">
      <w:lvlJc w:val="left"/>
      <w:lvlText w:val="(%1)"/>
      <w:numFmt w:val="lowerRoman"/>
      <w:start w:val="3"/>
    </w:lvl>
  </w:abstractNum>
  <w:abstractNum w:abstractNumId="181">
    <w:nsid w:val="67906F60"/>
    <w:multiLevelType w:val="hybridMultilevel"/>
    <w:lvl w:ilvl="0">
      <w:lvlJc w:val="left"/>
      <w:lvlText w:val="(%1)"/>
      <w:numFmt w:val="lowerLetter"/>
      <w:start w:val="2"/>
    </w:lvl>
    <w:lvl w:ilvl="1">
      <w:lvlJc w:val="left"/>
      <w:lvlText w:val="%2."/>
      <w:numFmt w:val="decimal"/>
      <w:start w:val="2"/>
    </w:lvl>
  </w:abstractNum>
  <w:abstractNum w:abstractNumId="182">
    <w:nsid w:val="10DB9DAA"/>
    <w:multiLevelType w:val="hybridMultilevel"/>
    <w:lvl w:ilvl="0">
      <w:lvlJc w:val="left"/>
      <w:lvlText w:val="%1."/>
      <w:numFmt w:val="decimal"/>
      <w:start w:val="1"/>
    </w:lvl>
  </w:abstractNum>
  <w:abstractNum w:abstractNumId="183">
    <w:nsid w:val="697D2D2"/>
    <w:multiLevelType w:val="hybridMultilevel"/>
    <w:lvl w:ilvl="0">
      <w:lvlJc w:val="left"/>
      <w:lvlText w:val="%1"/>
      <w:numFmt w:val="lowerLetter"/>
      <w:start w:val="1"/>
    </w:lvl>
    <w:lvl w:ilvl="1">
      <w:lvlJc w:val="left"/>
      <w:lvlText w:val="%2."/>
      <w:numFmt w:val="decimal"/>
      <w:start w:val="1"/>
    </w:lvl>
  </w:abstractNum>
  <w:abstractNum w:abstractNumId="184">
    <w:nsid w:val="6D68AB2"/>
    <w:multiLevelType w:val="hybridMultilevel"/>
    <w:lvl w:ilvl="0">
      <w:lvlJc w:val="left"/>
      <w:lvlText w:val="(%1)"/>
      <w:numFmt w:val="lowerLetter"/>
      <w:start w:val="2"/>
    </w:lvl>
    <w:lvl w:ilvl="1">
      <w:lvlJc w:val="left"/>
      <w:lvlText w:val="%2"/>
      <w:numFmt w:val="decimal"/>
      <w:start w:val="1"/>
    </w:lvl>
  </w:abstractNum>
  <w:abstractNum w:abstractNumId="185">
    <w:nsid w:val="3A966CD0"/>
    <w:multiLevelType w:val="hybridMultilevel"/>
    <w:lvl w:ilvl="0">
      <w:lvlJc w:val="left"/>
      <w:lvlText w:val="%1."/>
      <w:numFmt w:val="decimal"/>
      <w:start w:val="3"/>
    </w:lvl>
  </w:abstractNum>
  <w:abstractNum w:abstractNumId="186">
    <w:nsid w:val="63F37E85"/>
    <w:multiLevelType w:val="hybridMultilevel"/>
    <w:lvl w:ilvl="0">
      <w:lvlJc w:val="left"/>
      <w:lvlText w:val="%1."/>
      <w:numFmt w:val="decimal"/>
      <w:start w:val="5"/>
    </w:lvl>
  </w:abstractNum>
  <w:abstractNum w:abstractNumId="187">
    <w:nsid w:val="5895F5FA"/>
    <w:multiLevelType w:val="hybridMultilevel"/>
    <w:lvl w:ilvl="0">
      <w:lvlJc w:val="left"/>
      <w:lvlText w:val="%1"/>
      <w:numFmt w:val="decimal"/>
      <w:start w:val="1"/>
    </w:lvl>
    <w:lvl w:ilvl="1">
      <w:lvlJc w:val="left"/>
      <w:lvlText w:val="%2."/>
      <w:numFmt w:val="upperLetter"/>
      <w:start w:val="1"/>
    </w:lvl>
  </w:abstractNum>
  <w:abstractNum w:abstractNumId="188">
    <w:nsid w:val="38A5D054"/>
    <w:multiLevelType w:val="hybridMultilevel"/>
    <w:lvl w:ilvl="0">
      <w:lvlJc w:val="left"/>
      <w:lvlText w:val="%1."/>
      <w:numFmt w:val="decimal"/>
      <w:start w:val="1"/>
    </w:lvl>
    <w:lvl w:ilvl="1">
      <w:lvlJc w:val="left"/>
      <w:lvlText w:val="%2"/>
      <w:numFmt w:val="upperLetter"/>
      <w:start w:val="1"/>
    </w:lvl>
  </w:abstractNum>
  <w:abstractNum w:abstractNumId="189">
    <w:nsid w:val="F3F09D8"/>
    <w:multiLevelType w:val="hybridMultilevel"/>
    <w:lvl w:ilvl="0">
      <w:lvlJc w:val="left"/>
      <w:lvlText w:val="1"/>
      <w:numFmt w:val="bullet"/>
      <w:start w:val="1"/>
    </w:lvl>
  </w:abstractNum>
  <w:abstractNum w:abstractNumId="190">
    <w:nsid w:val="4B793735"/>
    <w:multiLevelType w:val="hybridMultilevel"/>
    <w:lvl w:ilvl="0">
      <w:lvlJc w:val="left"/>
      <w:lvlText w:val="%1."/>
      <w:numFmt w:val="decimal"/>
      <w:start w:val="2"/>
    </w:lvl>
    <w:lvl w:ilvl="1">
      <w:lvlJc w:val="left"/>
      <w:lvlText w:val="(%2)"/>
      <w:numFmt w:val="lowerRoman"/>
      <w:start w:val="2"/>
    </w:lvl>
    <w:lvl w:ilvl="2">
      <w:lvlJc w:val="left"/>
      <w:lvlText w:val="%3."/>
      <w:numFmt w:val="upperLetter"/>
      <w:start w:val="4"/>
    </w:lvl>
    <w:lvl w:ilvl="3">
      <w:lvlJc w:val="left"/>
      <w:lvlText w:val="%4."/>
      <w:numFmt w:val="upperLetter"/>
      <w:start w:val="2"/>
    </w:lvl>
    <w:lvl w:ilvl="4">
      <w:lvlJc w:val="left"/>
      <w:lvlText w:val="%5."/>
      <w:numFmt w:val="upperLetter"/>
      <w:start w:val="3"/>
    </w:lvl>
  </w:abstractNum>
  <w:abstractNum w:abstractNumId="191">
    <w:nsid w:val="4A10B4E8"/>
    <w:multiLevelType w:val="hybridMultilevel"/>
    <w:lvl w:ilvl="0">
      <w:lvlJc w:val="left"/>
      <w:lvlText w:val="(%1)"/>
      <w:numFmt w:val="lowerLetter"/>
      <w:start w:val="1"/>
    </w:lvl>
  </w:abstractNum>
  <w:abstractNum w:abstractNumId="192">
    <w:nsid w:val="43D3BCD4"/>
    <w:multiLevelType w:val="hybridMultilevel"/>
    <w:lvl w:ilvl="0">
      <w:lvlJc w:val="left"/>
      <w:lvlText w:val="(%1)"/>
      <w:numFmt w:val="upperLetter"/>
      <w:start w:val="1"/>
    </w:lvl>
  </w:abstractNum>
  <w:abstractNum w:abstractNumId="193">
    <w:nsid w:val="4C2A7166"/>
    <w:multiLevelType w:val="hybridMultilevel"/>
    <w:lvl w:ilvl="0">
      <w:lvlJc w:val="left"/>
      <w:lvlText w:val="(%1)"/>
      <w:numFmt w:val="upperLetter"/>
      <w:start w:val="1"/>
    </w:lvl>
  </w:abstractNum>
  <w:abstractNum w:abstractNumId="194">
    <w:nsid w:val="2E534A82"/>
    <w:multiLevelType w:val="hybridMultilevel"/>
    <w:lvl w:ilvl="0">
      <w:lvlJc w:val="left"/>
      <w:lvlText w:val="(%1)"/>
      <w:numFmt w:val="upperLetter"/>
      <w:start w:val="4"/>
    </w:lvl>
  </w:abstractNum>
  <w:abstractNum w:abstractNumId="195">
    <w:nsid w:val="26F2D364"/>
    <w:multiLevelType w:val="hybridMultilevel"/>
    <w:lvl w:ilvl="0">
      <w:lvlJc w:val="left"/>
      <w:lvlText w:val="(%1)"/>
      <w:numFmt w:val="upperLetter"/>
      <w:start w:val="1"/>
    </w:lvl>
  </w:abstractNum>
  <w:abstractNum w:abstractNumId="196">
    <w:nsid w:val="71C1AF98"/>
    <w:multiLevelType w:val="hybridMultilevel"/>
    <w:lvl w:ilvl="0">
      <w:lvlJc w:val="left"/>
      <w:lvlText w:val="(%1)"/>
      <w:numFmt w:val="lowerRoman"/>
      <w:start w:val="1"/>
    </w:lvl>
  </w:abstractNum>
  <w:abstractNum w:abstractNumId="197">
    <w:nsid w:val="3D00B9D9"/>
    <w:multiLevelType w:val="hybridMultilevel"/>
    <w:lvl w:ilvl="0">
      <w:lvlJc w:val="left"/>
      <w:lvlText w:val="(%1)"/>
      <w:numFmt w:val="lowerRoman"/>
      <w:start w:val="4"/>
    </w:lvl>
  </w:abstractNum>
  <w:abstractNum w:abstractNumId="198">
    <w:nsid w:val="15BCABA8"/>
    <w:multiLevelType w:val="hybridMultilevel"/>
    <w:lvl w:ilvl="0">
      <w:lvlJc w:val="left"/>
      <w:lvlText w:val="(%1)"/>
      <w:numFmt w:val="upperLetter"/>
      <w:start w:val="1"/>
    </w:lvl>
  </w:abstractNum>
  <w:abstractNum w:abstractNumId="199">
    <w:nsid w:val="4E0B9A87"/>
    <w:multiLevelType w:val="hybridMultilevel"/>
    <w:lvl w:ilvl="0">
      <w:lvlJc w:val="left"/>
      <w:lvlText w:val="(%1)"/>
      <w:numFmt w:val="upperLetter"/>
      <w:start w:val="2"/>
    </w:lvl>
  </w:abstractNum>
  <w:abstractNum w:abstractNumId="200">
    <w:nsid w:val="434BAE75"/>
    <w:multiLevelType w:val="hybridMultilevel"/>
    <w:lvl w:ilvl="0">
      <w:lvlJc w:val="left"/>
      <w:lvlText w:val="(%1)"/>
      <w:numFmt w:val="upperLetter"/>
      <w:start w:val="1"/>
    </w:lvl>
  </w:abstractNum>
  <w:abstractNum w:abstractNumId="201">
    <w:nsid w:val="4F38F265"/>
    <w:multiLevelType w:val="hybridMultilevel"/>
    <w:lvl w:ilvl="0">
      <w:lvlJc w:val="left"/>
      <w:lvlText w:val="(%1)"/>
      <w:numFmt w:val="upperLetter"/>
      <w:start w:val="2"/>
    </w:lvl>
  </w:abstractNum>
  <w:abstractNum w:abstractNumId="202">
    <w:nsid w:val="4C502870"/>
    <w:multiLevelType w:val="hybridMultilevel"/>
    <w:lvl w:ilvl="0">
      <w:lvlJc w:val="left"/>
      <w:lvlText w:val="(%1)"/>
      <w:numFmt w:val="upperLetter"/>
      <w:start w:val="1"/>
    </w:lvl>
  </w:abstractNum>
  <w:abstractNum w:abstractNumId="203">
    <w:nsid w:val="1DE8725A"/>
    <w:multiLevelType w:val="hybridMultilevel"/>
    <w:lvl w:ilvl="0">
      <w:lvlJc w:val="left"/>
      <w:lvlText w:val="(%1)"/>
      <w:numFmt w:val="upperLetter"/>
      <w:start w:val="2"/>
    </w:lvl>
  </w:abstractNum>
  <w:abstractNum w:abstractNumId="204">
    <w:nsid w:val="6A37288A"/>
    <w:multiLevelType w:val="hybridMultilevel"/>
    <w:lvl w:ilvl="0">
      <w:lvlJc w:val="left"/>
      <w:lvlText w:val="(%1)"/>
      <w:numFmt w:val="upperLetter"/>
      <w:start w:val="1"/>
    </w:lvl>
  </w:abstractNum>
  <w:abstractNum w:abstractNumId="205">
    <w:nsid w:val="8F8B73F"/>
    <w:multiLevelType w:val="hybridMultilevel"/>
    <w:lvl w:ilvl="0">
      <w:lvlJc w:val="left"/>
      <w:lvlText w:val="(%1)"/>
      <w:numFmt w:val="lowerRoman"/>
      <w:start w:val="2"/>
    </w:lvl>
  </w:abstractNum>
  <w:abstractNum w:abstractNumId="206">
    <w:nsid w:val="CA6B462"/>
    <w:multiLevelType w:val="hybridMultilevel"/>
    <w:lvl w:ilvl="0">
      <w:lvlJc w:val="left"/>
      <w:lvlText w:val="%1."/>
      <w:numFmt w:val="decimal"/>
      <w:start w:val="1"/>
    </w:lvl>
  </w:abstractNum>
  <w:abstractNum w:abstractNumId="207">
    <w:nsid w:val="763CB680"/>
    <w:multiLevelType w:val="hybridMultilevel"/>
    <w:lvl w:ilvl="0">
      <w:lvlJc w:val="left"/>
      <w:lvlText w:val="3"/>
      <w:numFmt w:val="bullet"/>
      <w:start w:val="1"/>
    </w:lvl>
  </w:abstractNum>
  <w:abstractNum w:abstractNumId="208">
    <w:nsid w:val="15B71329"/>
    <w:multiLevelType w:val="hybridMultilevel"/>
    <w:lvl w:ilvl="0">
      <w:lvlJc w:val="left"/>
      <w:lvlText w:val="4"/>
      <w:numFmt w:val="bullet"/>
      <w:start w:val="1"/>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2020-05-29T15:09:59Z</dcterms:created>
  <dcterms:modified xsi:type="dcterms:W3CDTF">2020-05-29T15:09:59Z</dcterms:modified>
</cp:coreProperties>
</file>