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2726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6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GOLDSTEIN JOSEPH L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01/03/2011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7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4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8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33.42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01/03/2011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01/03/2021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15,000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80" w:type="dxa"/>
            <w:vAlign w:val="bottom"/>
            <w:gridSpan w:val="1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2"/>
              </w:rPr>
              <w:t>1. The stock option becomes exercisable in three equal annual installments, commencing one year after the date of grant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20" w:type="dxa"/>
            <w:vAlign w:val="bottom"/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  <w:w w:val="93"/>
              </w:rPr>
              <w:t>2. Exercisable date, exercise date, exercise price, purchase price, sales price, and/or expiration date is not applicable in this case.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/s/**Joseph L. Goldstein</w:t>
            </w: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01/03/2011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2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0" w:type="dxa"/>
            <w:vAlign w:val="bottom"/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-3333115</wp:posOffset>
            </wp:positionV>
            <wp:extent cx="24765" cy="2392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2392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2547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2019-12-18T10:54:06Z</dcterms:created>
  <dcterms:modified xsi:type="dcterms:W3CDTF">2019-12-18T10:54:06Z</dcterms:modified>
</cp:coreProperties>
</file>