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 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148590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144145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Date of Report: March 28, 2003</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(Date of earliest event reported)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40" w:type="dxa"/>
            <w:vAlign w:val="bottom"/>
          </w:tcPr>
          <w:p>
            <w:pPr>
              <w:spacing w:after="0"/>
              <w:rPr>
                <w:sz w:val="19"/>
                <w:szCs w:val="19"/>
                <w:color w:val="auto"/>
              </w:rPr>
            </w:pPr>
          </w:p>
        </w:tc>
        <w:tc>
          <w:tcPr>
            <w:tcW w:w="5340" w:type="dxa"/>
            <w:vAlign w:val="bottom"/>
          </w:tcPr>
          <w:p>
            <w:pPr>
              <w:jc w:val="center"/>
              <w:ind w:right="92"/>
              <w:spacing w:after="0"/>
              <w:rPr>
                <w:sz w:val="20"/>
                <w:szCs w:val="20"/>
                <w:color w:val="auto"/>
              </w:rPr>
            </w:pPr>
            <w:r>
              <w:rPr>
                <w:rFonts w:ascii="Arial" w:cs="Arial" w:eastAsia="Arial" w:hAnsi="Arial"/>
                <w:sz w:val="18"/>
                <w:szCs w:val="18"/>
                <w:color w:val="auto"/>
                <w:w w:val="88"/>
              </w:rPr>
              <w:t>(Exact name of Registrant as specified in its charter)</w:t>
            </w:r>
          </w:p>
        </w:tc>
        <w:tc>
          <w:tcPr>
            <w:tcW w:w="2940" w:type="dxa"/>
            <w:vAlign w:val="bottom"/>
          </w:tcPr>
          <w:p>
            <w:pPr>
              <w:spacing w:after="0"/>
              <w:rPr>
                <w:sz w:val="19"/>
                <w:szCs w:val="19"/>
                <w:color w:val="auto"/>
              </w:rPr>
            </w:pPr>
          </w:p>
        </w:tc>
      </w:tr>
      <w:tr>
        <w:trPr>
          <w:trHeight w:val="453"/>
        </w:trPr>
        <w:tc>
          <w:tcPr>
            <w:tcW w:w="3140" w:type="dxa"/>
            <w:vAlign w:val="bottom"/>
          </w:tcPr>
          <w:p>
            <w:pPr>
              <w:jc w:val="center"/>
              <w:ind w:left="612"/>
              <w:spacing w:after="0"/>
              <w:rPr>
                <w:sz w:val="20"/>
                <w:szCs w:val="20"/>
                <w:color w:val="auto"/>
              </w:rPr>
            </w:pPr>
            <w:r>
              <w:rPr>
                <w:rFonts w:ascii="Arial" w:cs="Arial" w:eastAsia="Arial" w:hAnsi="Arial"/>
                <w:sz w:val="18"/>
                <w:szCs w:val="18"/>
                <w:color w:val="auto"/>
                <w:w w:val="92"/>
              </w:rPr>
              <w:t>New York</w:t>
            </w:r>
          </w:p>
        </w:tc>
        <w:tc>
          <w:tcPr>
            <w:tcW w:w="5340" w:type="dxa"/>
            <w:vAlign w:val="bottom"/>
          </w:tcPr>
          <w:p>
            <w:pPr>
              <w:jc w:val="center"/>
              <w:ind w:right="72"/>
              <w:spacing w:after="0"/>
              <w:rPr>
                <w:sz w:val="20"/>
                <w:szCs w:val="20"/>
                <w:color w:val="auto"/>
              </w:rPr>
            </w:pPr>
            <w:r>
              <w:rPr>
                <w:rFonts w:ascii="Arial" w:cs="Arial" w:eastAsia="Arial" w:hAnsi="Arial"/>
                <w:sz w:val="18"/>
                <w:szCs w:val="18"/>
                <w:color w:val="auto"/>
                <w:w w:val="87"/>
              </w:rPr>
              <w:t>0-19034</w:t>
            </w:r>
          </w:p>
        </w:tc>
        <w:tc>
          <w:tcPr>
            <w:tcW w:w="2940" w:type="dxa"/>
            <w:vAlign w:val="bottom"/>
          </w:tcPr>
          <w:p>
            <w:pPr>
              <w:jc w:val="center"/>
              <w:ind w:right="792"/>
              <w:spacing w:after="0"/>
              <w:rPr>
                <w:sz w:val="20"/>
                <w:szCs w:val="20"/>
                <w:color w:val="auto"/>
              </w:rPr>
            </w:pPr>
            <w:r>
              <w:rPr>
                <w:rFonts w:ascii="Arial" w:cs="Arial" w:eastAsia="Arial" w:hAnsi="Arial"/>
                <w:sz w:val="18"/>
                <w:szCs w:val="18"/>
                <w:color w:val="auto"/>
                <w:w w:val="89"/>
              </w:rPr>
              <w:t>13-3444607</w:t>
            </w:r>
          </w:p>
        </w:tc>
      </w:tr>
      <w:tr>
        <w:trPr>
          <w:trHeight w:val="216"/>
        </w:trPr>
        <w:tc>
          <w:tcPr>
            <w:tcW w:w="3140" w:type="dxa"/>
            <w:vAlign w:val="bottom"/>
          </w:tcPr>
          <w:p>
            <w:pPr>
              <w:jc w:val="center"/>
              <w:ind w:left="632"/>
              <w:spacing w:after="0"/>
              <w:rPr>
                <w:sz w:val="20"/>
                <w:szCs w:val="20"/>
                <w:color w:val="auto"/>
              </w:rPr>
            </w:pPr>
            <w:r>
              <w:rPr>
                <w:rFonts w:ascii="Arial" w:cs="Arial" w:eastAsia="Arial" w:hAnsi="Arial"/>
                <w:sz w:val="18"/>
                <w:szCs w:val="18"/>
                <w:color w:val="auto"/>
                <w:w w:val="89"/>
              </w:rPr>
              <w:t>(State or Other Jurisdiction of</w:t>
            </w:r>
          </w:p>
        </w:tc>
        <w:tc>
          <w:tcPr>
            <w:tcW w:w="5340" w:type="dxa"/>
            <w:vAlign w:val="bottom"/>
          </w:tcPr>
          <w:p>
            <w:pPr>
              <w:jc w:val="center"/>
              <w:ind w:right="72"/>
              <w:spacing w:after="0"/>
              <w:rPr>
                <w:sz w:val="20"/>
                <w:szCs w:val="20"/>
                <w:color w:val="auto"/>
              </w:rPr>
            </w:pPr>
            <w:r>
              <w:rPr>
                <w:rFonts w:ascii="Arial" w:cs="Arial" w:eastAsia="Arial" w:hAnsi="Arial"/>
                <w:sz w:val="18"/>
                <w:szCs w:val="18"/>
                <w:color w:val="auto"/>
                <w:w w:val="90"/>
              </w:rPr>
              <w:t>(Commission File Number)</w:t>
            </w:r>
          </w:p>
        </w:tc>
        <w:tc>
          <w:tcPr>
            <w:tcW w:w="2940" w:type="dxa"/>
            <w:vAlign w:val="bottom"/>
          </w:tcPr>
          <w:p>
            <w:pPr>
              <w:jc w:val="center"/>
              <w:ind w:right="79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left="632"/>
              <w:spacing w:after="0"/>
              <w:rPr>
                <w:sz w:val="20"/>
                <w:szCs w:val="20"/>
                <w:color w:val="auto"/>
              </w:rPr>
            </w:pPr>
            <w:r>
              <w:rPr>
                <w:rFonts w:ascii="Arial" w:cs="Arial" w:eastAsia="Arial" w:hAnsi="Arial"/>
                <w:sz w:val="18"/>
                <w:szCs w:val="18"/>
                <w:color w:val="auto"/>
                <w:w w:val="91"/>
              </w:rPr>
              <w:t>Incorporation)</w:t>
            </w:r>
          </w:p>
        </w:tc>
        <w:tc>
          <w:tcPr>
            <w:tcW w:w="5340" w:type="dxa"/>
            <w:vAlign w:val="bottom"/>
          </w:tcPr>
          <w:p>
            <w:pPr>
              <w:spacing w:after="0"/>
              <w:rPr>
                <w:sz w:val="19"/>
                <w:szCs w:val="19"/>
                <w:color w:val="auto"/>
              </w:rPr>
            </w:pPr>
          </w:p>
        </w:tc>
        <w:tc>
          <w:tcPr>
            <w:tcW w:w="2940" w:type="dxa"/>
            <w:vAlign w:val="bottom"/>
          </w:tcPr>
          <w:p>
            <w:pPr>
              <w:jc w:val="center"/>
              <w:ind w:right="792"/>
              <w:spacing w:after="0"/>
              <w:rPr>
                <w:sz w:val="20"/>
                <w:szCs w:val="20"/>
                <w:color w:val="auto"/>
              </w:rPr>
            </w:pPr>
            <w:r>
              <w:rPr>
                <w:rFonts w:ascii="Arial" w:cs="Arial" w:eastAsia="Arial" w:hAnsi="Arial"/>
                <w:sz w:val="18"/>
                <w:szCs w:val="18"/>
                <w:color w:val="auto"/>
                <w:w w:val="92"/>
              </w:rPr>
              <w:t>Identification No.)</w:t>
            </w:r>
          </w:p>
        </w:tc>
      </w:tr>
      <w:tr>
        <w:trPr>
          <w:trHeight w:val="420"/>
        </w:trPr>
        <w:tc>
          <w:tcPr>
            <w:tcW w:w="3140" w:type="dxa"/>
            <w:vAlign w:val="bottom"/>
          </w:tcPr>
          <w:p>
            <w:pPr>
              <w:spacing w:after="0"/>
              <w:rPr>
                <w:sz w:val="24"/>
                <w:szCs w:val="24"/>
                <w:color w:val="auto"/>
              </w:rPr>
            </w:pPr>
          </w:p>
        </w:tc>
        <w:tc>
          <w:tcPr>
            <w:tcW w:w="5340" w:type="dxa"/>
            <w:vAlign w:val="bottom"/>
          </w:tcPr>
          <w:p>
            <w:pPr>
              <w:jc w:val="center"/>
              <w:ind w:right="112"/>
              <w:spacing w:after="0"/>
              <w:rPr>
                <w:sz w:val="20"/>
                <w:szCs w:val="20"/>
                <w:color w:val="auto"/>
              </w:rPr>
            </w:pPr>
            <w:r>
              <w:rPr>
                <w:rFonts w:ascii="Arial" w:cs="Arial" w:eastAsia="Arial" w:hAnsi="Arial"/>
                <w:sz w:val="18"/>
                <w:szCs w:val="18"/>
                <w:b w:val="1"/>
                <w:bCs w:val="1"/>
                <w:color w:val="auto"/>
                <w:w w:val="92"/>
              </w:rPr>
              <w:t>777 Old Saw Mill River Road</w:t>
            </w:r>
          </w:p>
        </w:tc>
        <w:tc>
          <w:tcPr>
            <w:tcW w:w="2940" w:type="dxa"/>
            <w:vAlign w:val="bottom"/>
          </w:tcPr>
          <w:p>
            <w:pPr>
              <w:spacing w:after="0"/>
              <w:rPr>
                <w:sz w:val="24"/>
                <w:szCs w:val="24"/>
                <w:color w:val="auto"/>
              </w:rPr>
            </w:pPr>
          </w:p>
        </w:tc>
      </w:tr>
      <w:tr>
        <w:trPr>
          <w:trHeight w:val="222"/>
        </w:trPr>
        <w:tc>
          <w:tcPr>
            <w:tcW w:w="3140" w:type="dxa"/>
            <w:vAlign w:val="bottom"/>
          </w:tcPr>
          <w:p>
            <w:pPr>
              <w:spacing w:after="0"/>
              <w:rPr>
                <w:sz w:val="19"/>
                <w:szCs w:val="19"/>
                <w:color w:val="auto"/>
              </w:rPr>
            </w:pPr>
          </w:p>
        </w:tc>
        <w:tc>
          <w:tcPr>
            <w:tcW w:w="5340" w:type="dxa"/>
            <w:vAlign w:val="bottom"/>
          </w:tcPr>
          <w:p>
            <w:pPr>
              <w:jc w:val="center"/>
              <w:ind w:right="92"/>
              <w:spacing w:after="0"/>
              <w:rPr>
                <w:sz w:val="20"/>
                <w:szCs w:val="20"/>
                <w:color w:val="auto"/>
              </w:rPr>
            </w:pPr>
            <w:r>
              <w:rPr>
                <w:rFonts w:ascii="Arial" w:cs="Arial" w:eastAsia="Arial" w:hAnsi="Arial"/>
                <w:sz w:val="18"/>
                <w:szCs w:val="18"/>
                <w:b w:val="1"/>
                <w:bCs w:val="1"/>
                <w:color w:val="auto"/>
                <w:w w:val="91"/>
              </w:rPr>
              <w:t>Tarrytown, NY 10591-6707</w:t>
            </w:r>
          </w:p>
        </w:tc>
        <w:tc>
          <w:tcPr>
            <w:tcW w:w="2940" w:type="dxa"/>
            <w:vAlign w:val="bottom"/>
          </w:tcPr>
          <w:p>
            <w:pPr>
              <w:spacing w:after="0"/>
              <w:rPr>
                <w:sz w:val="19"/>
                <w:szCs w:val="19"/>
                <w:color w:val="auto"/>
              </w:rPr>
            </w:pPr>
          </w:p>
        </w:tc>
      </w:tr>
      <w:tr>
        <w:trPr>
          <w:trHeight w:val="222"/>
        </w:trPr>
        <w:tc>
          <w:tcPr>
            <w:tcW w:w="3140" w:type="dxa"/>
            <w:vAlign w:val="bottom"/>
          </w:tcPr>
          <w:p>
            <w:pPr>
              <w:spacing w:after="0"/>
              <w:rPr>
                <w:sz w:val="19"/>
                <w:szCs w:val="19"/>
                <w:color w:val="auto"/>
              </w:rPr>
            </w:pPr>
          </w:p>
        </w:tc>
        <w:tc>
          <w:tcPr>
            <w:tcW w:w="5340" w:type="dxa"/>
            <w:vAlign w:val="bottom"/>
          </w:tcPr>
          <w:p>
            <w:pPr>
              <w:jc w:val="center"/>
              <w:ind w:right="112"/>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2940" w:type="dxa"/>
            <w:vAlign w:val="bottom"/>
          </w:tcPr>
          <w:p>
            <w:pPr>
              <w:spacing w:after="0"/>
              <w:rPr>
                <w:sz w:val="19"/>
                <w:szCs w:val="19"/>
                <w:color w:val="auto"/>
              </w:rPr>
            </w:pPr>
          </w:p>
        </w:tc>
      </w:tr>
      <w:tr>
        <w:trPr>
          <w:trHeight w:val="432"/>
        </w:trPr>
        <w:tc>
          <w:tcPr>
            <w:tcW w:w="3140" w:type="dxa"/>
            <w:vAlign w:val="bottom"/>
          </w:tcPr>
          <w:p>
            <w:pPr>
              <w:spacing w:after="0"/>
              <w:rPr>
                <w:sz w:val="24"/>
                <w:szCs w:val="24"/>
                <w:color w:val="auto"/>
              </w:rPr>
            </w:pPr>
          </w:p>
        </w:tc>
        <w:tc>
          <w:tcPr>
            <w:tcW w:w="5340" w:type="dxa"/>
            <w:vAlign w:val="bottom"/>
          </w:tcPr>
          <w:p>
            <w:pPr>
              <w:jc w:val="center"/>
              <w:ind w:right="92"/>
              <w:spacing w:after="0"/>
              <w:rPr>
                <w:sz w:val="20"/>
                <w:szCs w:val="20"/>
                <w:color w:val="auto"/>
              </w:rPr>
            </w:pPr>
            <w:r>
              <w:rPr>
                <w:rFonts w:ascii="Arial" w:cs="Arial" w:eastAsia="Arial" w:hAnsi="Arial"/>
                <w:sz w:val="18"/>
                <w:szCs w:val="18"/>
                <w:color w:val="auto"/>
                <w:w w:val="88"/>
              </w:rPr>
              <w:t>Registrant’s telephone number, including area code</w:t>
            </w:r>
            <w:r>
              <w:rPr>
                <w:rFonts w:ascii="Arial" w:cs="Arial" w:eastAsia="Arial" w:hAnsi="Arial"/>
                <w:sz w:val="18"/>
                <w:szCs w:val="18"/>
                <w:b w:val="1"/>
                <w:bCs w:val="1"/>
                <w:color w:val="auto"/>
                <w:w w:val="88"/>
              </w:rPr>
              <w:t>:</w:t>
            </w:r>
            <w:r>
              <w:rPr>
                <w:rFonts w:ascii="Arial" w:cs="Arial" w:eastAsia="Arial" w:hAnsi="Arial"/>
                <w:sz w:val="18"/>
                <w:szCs w:val="18"/>
                <w:color w:val="auto"/>
                <w:w w:val="88"/>
              </w:rPr>
              <w:t xml:space="preserve"> (914) 347-7000</w:t>
            </w:r>
          </w:p>
        </w:tc>
        <w:tc>
          <w:tcPr>
            <w:tcW w:w="2940" w:type="dxa"/>
            <w:vAlign w:val="bottom"/>
          </w:tcPr>
          <w:p>
            <w:pPr>
              <w:spacing w:after="0"/>
              <w:rPr>
                <w:sz w:val="24"/>
                <w:szCs w:val="24"/>
                <w:color w:val="auto"/>
              </w:rPr>
            </w:pPr>
          </w:p>
        </w:tc>
      </w:tr>
      <w:tr>
        <w:trPr>
          <w:trHeight w:val="661"/>
        </w:trPr>
        <w:tc>
          <w:tcPr>
            <w:tcW w:w="3140" w:type="dxa"/>
            <w:vAlign w:val="bottom"/>
            <w:tcBorders>
              <w:bottom w:val="single" w:sz="8" w:color="808080"/>
            </w:tcBorders>
          </w:tcPr>
          <w:p>
            <w:pPr>
              <w:spacing w:after="0"/>
              <w:rPr>
                <w:sz w:val="24"/>
                <w:szCs w:val="24"/>
                <w:color w:val="auto"/>
              </w:rPr>
            </w:pPr>
          </w:p>
        </w:tc>
        <w:tc>
          <w:tcPr>
            <w:tcW w:w="534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 OTHER EVENTS</w:t>
      </w:r>
    </w:p>
    <w:p>
      <w:pPr>
        <w:spacing w:after="0" w:line="231" w:lineRule="exact"/>
        <w:rPr>
          <w:sz w:val="20"/>
          <w:szCs w:val="20"/>
          <w:color w:val="auto"/>
        </w:rPr>
      </w:pPr>
    </w:p>
    <w:p>
      <w:pPr>
        <w:ind w:right="140" w:firstLine="220"/>
        <w:spacing w:after="0" w:line="268" w:lineRule="auto"/>
        <w:rPr>
          <w:sz w:val="20"/>
          <w:szCs w:val="20"/>
          <w:color w:val="auto"/>
        </w:rPr>
      </w:pPr>
      <w:r>
        <w:rPr>
          <w:rFonts w:ascii="Arial" w:cs="Arial" w:eastAsia="Arial" w:hAnsi="Arial"/>
          <w:sz w:val="18"/>
          <w:szCs w:val="18"/>
          <w:color w:val="auto"/>
        </w:rPr>
        <w:t>On March 28, 2003, the Company issued a press release announcing its Collaboration, License and Option Agreement with Novartis Pharma AG, a copy of which is attached to this filing.</w:t>
      </w:r>
    </w:p>
    <w:p>
      <w:pPr>
        <w:spacing w:after="0" w:line="186" w:lineRule="exact"/>
        <w:rPr>
          <w:sz w:val="20"/>
          <w:szCs w:val="20"/>
          <w:color w:val="auto"/>
        </w:rPr>
      </w:pPr>
    </w:p>
    <w:p>
      <w:pPr>
        <w:ind w:firstLine="220"/>
        <w:spacing w:after="0" w:line="306" w:lineRule="auto"/>
        <w:rPr>
          <w:sz w:val="20"/>
          <w:szCs w:val="20"/>
          <w:color w:val="auto"/>
        </w:rPr>
      </w:pPr>
      <w:r>
        <w:rPr>
          <w:rFonts w:ascii="Arial" w:cs="Arial" w:eastAsia="Arial" w:hAnsi="Arial"/>
          <w:sz w:val="16"/>
          <w:szCs w:val="16"/>
          <w:color w:val="auto"/>
        </w:rPr>
        <w:t>On March 31, 2003, the Company issued a press release announcing the results of its Phase III obesity study. This release as issued contained a statement that AXOKINE treatment achieved statistically significant results in all secondary endpoints of the study. A corrected press release is attached to this filing, which clarifies that AXOKINE treatment achieved statistically significant results in two of the three secondary endpoints.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PRO FORMA FINANCIAL INFORMATION AND EXHIBITS</w:t>
      </w:r>
    </w:p>
    <w:p>
      <w:pPr>
        <w:spacing w:after="0" w:line="231"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40"/>
        <w:spacing w:after="0"/>
        <w:tabs>
          <w:tab w:leader="none" w:pos="920" w:val="left"/>
        </w:tabs>
        <w:rPr>
          <w:sz w:val="20"/>
          <w:szCs w:val="20"/>
          <w:color w:val="auto"/>
        </w:rPr>
      </w:pPr>
      <w:r>
        <w:rPr>
          <w:rFonts w:ascii="Arial" w:cs="Arial" w:eastAsia="Arial" w:hAnsi="Arial"/>
          <w:sz w:val="18"/>
          <w:szCs w:val="18"/>
          <w:color w:val="auto"/>
        </w:rPr>
        <w:t>99a</w:t>
      </w:r>
      <w:r>
        <w:rPr>
          <w:sz w:val="20"/>
          <w:szCs w:val="20"/>
          <w:color w:val="auto"/>
        </w:rPr>
        <w:tab/>
      </w:r>
      <w:r>
        <w:rPr>
          <w:rFonts w:ascii="Arial" w:cs="Arial" w:eastAsia="Arial" w:hAnsi="Arial"/>
          <w:sz w:val="18"/>
          <w:szCs w:val="18"/>
          <w:color w:val="auto"/>
        </w:rPr>
        <w:t>Press Release dated March 28, 2003</w:t>
      </w:r>
    </w:p>
    <w:p>
      <w:pPr>
        <w:spacing w:after="0" w:line="225" w:lineRule="exact"/>
        <w:rPr>
          <w:sz w:val="20"/>
          <w:szCs w:val="20"/>
          <w:color w:val="auto"/>
        </w:rPr>
      </w:pPr>
    </w:p>
    <w:p>
      <w:pPr>
        <w:ind w:left="340"/>
        <w:spacing w:after="0"/>
        <w:tabs>
          <w:tab w:leader="none" w:pos="920" w:val="left"/>
        </w:tabs>
        <w:rPr>
          <w:sz w:val="20"/>
          <w:szCs w:val="20"/>
          <w:color w:val="auto"/>
        </w:rPr>
      </w:pPr>
      <w:r>
        <w:rPr>
          <w:rFonts w:ascii="Arial" w:cs="Arial" w:eastAsia="Arial" w:hAnsi="Arial"/>
          <w:sz w:val="18"/>
          <w:szCs w:val="18"/>
          <w:color w:val="auto"/>
        </w:rPr>
        <w:t>99b</w:t>
      </w:r>
      <w:r>
        <w:rPr>
          <w:sz w:val="20"/>
          <w:szCs w:val="20"/>
          <w:color w:val="auto"/>
        </w:rPr>
        <w:tab/>
      </w:r>
      <w:r>
        <w:rPr>
          <w:rFonts w:ascii="Arial" w:cs="Arial" w:eastAsia="Arial" w:hAnsi="Arial"/>
          <w:sz w:val="18"/>
          <w:szCs w:val="18"/>
          <w:color w:val="auto"/>
        </w:rPr>
        <w:t>Press Release dated March 31, 2003 (As Corrected)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6960"/>
        <w:spacing w:after="0"/>
        <w:tabs>
          <w:tab w:leader="none" w:pos="7420" w:val="left"/>
        </w:tabs>
        <w:rPr>
          <w:sz w:val="20"/>
          <w:szCs w:val="20"/>
          <w:color w:val="auto"/>
        </w:rPr>
      </w:pPr>
      <w:r>
        <w:rPr>
          <w:rFonts w:ascii="Arial" w:cs="Arial" w:eastAsia="Arial" w:hAnsi="Arial"/>
          <w:sz w:val="18"/>
          <w:szCs w:val="18"/>
          <w:color w:val="auto"/>
        </w:rPr>
        <w:t>By:</w:t>
        <w:tab/>
        <w:t>/s/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Stuart Kolinski</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  Vice President &amp;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2003</w:t>
      </w:r>
    </w:p>
    <w:p>
      <w:pPr>
        <w:sectPr>
          <w:pgSz w:w="11900" w:h="16838" w:orient="portrait"/>
          <w:cols w:equalWidth="0" w:num="1">
            <w:col w:w="11000"/>
          </w:cols>
          <w:pgMar w:left="240" w:top="935"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6" w:lineRule="exact"/>
        <w:rPr>
          <w:sz w:val="20"/>
          <w:szCs w:val="20"/>
          <w:color w:val="auto"/>
        </w:rPr>
      </w:pPr>
    </w:p>
    <w:p>
      <w:pPr>
        <w:ind w:left="2180"/>
        <w:spacing w:after="0"/>
        <w:rPr>
          <w:sz w:val="20"/>
          <w:szCs w:val="20"/>
          <w:color w:val="auto"/>
        </w:rPr>
      </w:pPr>
      <w:r>
        <w:rPr>
          <w:rFonts w:ascii="Arial" w:cs="Arial" w:eastAsia="Arial" w:hAnsi="Arial"/>
          <w:sz w:val="22"/>
          <w:szCs w:val="22"/>
          <w:b w:val="1"/>
          <w:bCs w:val="1"/>
          <w:color w:val="auto"/>
        </w:rPr>
        <w:t>REGENERON AND NOVARTIS FORM STRATEGIC COLLABORATION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DEVELOP AND COMMERCIALIZE THE IL-1 TRAP IN</w:t>
      </w:r>
    </w:p>
    <w:p>
      <w:pPr>
        <w:jc w:val="center"/>
        <w:spacing w:after="0"/>
        <w:rPr>
          <w:sz w:val="20"/>
          <w:szCs w:val="20"/>
          <w:color w:val="auto"/>
        </w:rPr>
      </w:pPr>
      <w:r>
        <w:rPr>
          <w:rFonts w:ascii="Arial" w:cs="Arial" w:eastAsia="Arial" w:hAnsi="Arial"/>
          <w:sz w:val="22"/>
          <w:szCs w:val="22"/>
          <w:b w:val="1"/>
          <w:bCs w:val="1"/>
          <w:color w:val="auto"/>
        </w:rPr>
        <w:t>RHEUMATOID ARTHRITIS AND OTHER INDICATIONS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Novartis to Pay Regeneron $27 Million and Will Make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$48 Million Equity Investment in Regeneron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Novartis to Provide 100% Funding for Clinical Development and Provide Manufacturing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Facility for Commercial Product Needs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Companies Will Have Co-promotion Rights and Will Share Profits Equally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Europe and North America</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Companies May Broaden the Collaboration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Additional Pre-Clinical or Early Development IL-1 Antagonists</w:t>
      </w:r>
    </w:p>
    <w:p>
      <w:pPr>
        <w:spacing w:after="0" w:line="21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 xml:space="preserve">Tarrytown, NY – March 28, 2003 – Regeneron Pharmaceuticals, Inc. (Nasdaq: </w:t>
      </w:r>
      <w:r>
        <w:rPr>
          <w:rFonts w:ascii="Arial" w:cs="Arial" w:eastAsia="Arial" w:hAnsi="Arial"/>
          <w:sz w:val="18"/>
          <w:szCs w:val="18"/>
          <w:b w:val="1"/>
          <w:bCs w:val="1"/>
          <w:color w:val="auto"/>
        </w:rPr>
        <w:t>REGN</w:t>
      </w:r>
      <w:r>
        <w:rPr>
          <w:rFonts w:ascii="Arial" w:cs="Arial" w:eastAsia="Arial" w:hAnsi="Arial"/>
          <w:sz w:val="18"/>
          <w:szCs w:val="18"/>
          <w:color w:val="auto"/>
        </w:rPr>
        <w:t>) announced today that it has signed a development and commercialization agreement with Novartis AG covering Regeneron’s IL-1 Trap, a novel therapeutic candidate that blocks the activity of Interleukin-1 (IL-1). The IL-1 Trap is currently in Phase II clinical development for the treatment of rheumatoid arthritis.</w:t>
      </w:r>
    </w:p>
    <w:p>
      <w:pPr>
        <w:spacing w:after="0" w:line="19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are delighted to embark on this collaboration with Novartis,” noted Leonard S. Schleifer, M.D., Ph.D., Regeneron’s President and Chief Executive Officer. “With their exceptionally strong skills in development, manufacturing, and marketing, they are ideal collaborators with us. We believe that combining the capabilities of our two organizations gives us an opportunity to accelerate development of the IL-1 Trap and increase its commercial potential, dramatically enhancing our ability to create value for our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Agreement</w:t>
      </w:r>
    </w:p>
    <w:p>
      <w:pPr>
        <w:spacing w:after="0" w:line="2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Under the terms of the agreement, Novartis will purchase $48 million of newly issued Regeneron common stock. In addition, Novartis will pay Regeneron $27 million upon closing for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5" w:name="page6"/>
    <w:bookmarkEnd w:id="5"/>
    <w:p>
      <w:pPr>
        <w:spacing w:after="0" w:line="256" w:lineRule="auto"/>
        <w:rPr>
          <w:sz w:val="20"/>
          <w:szCs w:val="20"/>
          <w:color w:val="auto"/>
        </w:rPr>
      </w:pPr>
      <w:r>
        <w:rPr>
          <w:rFonts w:ascii="Arial" w:cs="Arial" w:eastAsia="Arial" w:hAnsi="Arial"/>
          <w:sz w:val="18"/>
          <w:szCs w:val="18"/>
          <w:color w:val="auto"/>
        </w:rPr>
        <w:t>development activities. The price per share will be determined based on the average closing price of the common stock for the 20 consecutive trading days ending May 9, 2003. The initial focus of development will be rheumatoid arthritis; however, other indications will also be explored. Development expenses incurred during 2003 will be shared equally by the companies. Regeneron’s potion will be financed by a loan from Novartis that will be forgiven should certain pre-clinical and clinical milestones be reached.</w:t>
      </w:r>
    </w:p>
    <w:p>
      <w:pPr>
        <w:spacing w:after="0" w:line="19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After 2003, Novartis will be responsible for any additional pre-Phase III development expenses. Phase III development expenses and pre-launch expenses will be shared equally by the companies. Novartis will provide a loan to finance Regeneron’s share of these expenses. The loan and accrued interest are repayable in full five years after the initial product launch of the IL-1 Trap or five years after termination of Novartis’ rights to the IL-1 Trap under the agreement, whichever occurs first.</w:t>
      </w:r>
    </w:p>
    <w:p>
      <w:pPr>
        <w:spacing w:after="0" w:line="19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Novartis will be responsible for providing commercial scale manufacturing capacity for the IL-1 Trap. Regeneron will continue to manufacture clinical supplies of the IL-1 Trap at its plant in Rensselaer, New York.</w:t>
      </w:r>
    </w:p>
    <w:p>
      <w:pPr>
        <w:spacing w:after="0" w:line="18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two companies will share co-promotion rights and profits, including an equal profit sharing agreement in Europe and North America. Regeneron retains full rights to Japan. In other markets, both companies will have co-promotion rights, and Novartis will receive 75 percent of the profits from revenues in those regions.</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Novartis will also pay Regeneron certain milestones, up to $275 million, related to the receipt of marketing approval in Europe and the United States for the IL-1 Trap and to achieving certain subsequent product revenue targets.</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Under the agreement, each company also has the right to elect to collaborate on the development and commercialization of other pre-clinical / early development IL-1 antagonists that Regeneron and Novartis are currently developing independently.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6" w:name="page7"/>
    <w:bookmarkEnd w:id="6"/>
    <w:p>
      <w:pPr>
        <w:ind w:right="60"/>
        <w:spacing w:after="0" w:line="255" w:lineRule="auto"/>
        <w:rPr>
          <w:sz w:val="20"/>
          <w:szCs w:val="20"/>
          <w:color w:val="auto"/>
        </w:rPr>
      </w:pPr>
      <w:r>
        <w:rPr>
          <w:rFonts w:ascii="Arial" w:cs="Arial" w:eastAsia="Arial" w:hAnsi="Arial"/>
          <w:sz w:val="18"/>
          <w:szCs w:val="18"/>
          <w:color w:val="auto"/>
        </w:rPr>
        <w:t>“The IL-1 Trap, like our other Traps, involves innovative molecular engineering in which two separate genetic structures are combined to provide a product candidate with potentially important therapeutic benefit,” said Neil Stahl, Ph.D., Regeneron’s Senior Vice President, Preclinical Development and Biomolecular Science. “Novartis and Regeneron have a shared vision of the vital role that excellence in scientific discovery and clinical development play in reducing the risk of bringing innovative new pharmaceuticals to market. We firmly believe that together we have the best possible chance of successfully bringing the IL-1 Trap to market.”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IL-1 Trap</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IL-1 is a soluble protein secreted by the certain cells in the body. In many cases, IL-1 acts as a messenger to help regulate immune and inflammatory responses by attaching to cell-surface receptors, or docking stations, in cells that participate in the body’s immune system. In excess, it can be harmful and has been linked to a variety of inflammatory diseases. Blocking IL-1 is a proven therapeutic approach in rheumatoid arthritis, and IL-1 represents an important target for pharmaceutical development in other inflammatory conditions.</w:t>
      </w:r>
    </w:p>
    <w:p>
      <w:pPr>
        <w:spacing w:after="0" w:line="19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 Nature Medicine paper published in January 2003, Regeneron described a general approach to blocking the activity of cytokines using its proprietary Trap technology. The Traps have the ability to attach to and “trap” target cytokines in the blood stream before the cytokines can attach to cell-surface receptors, or docking stations, and generate signals that can trigger disease activity in body tissue. For most cytokines, two distinct receptor components cooperate to bind the cytokine very tightly. Regeneron’s proprietary Traps incorporate both of these receptor components in one soluble blocker, thereby mimicking the cell’s natural receptors. Once attached to the Trap, the cytokines cannot bind to the cell surface receptors and, together with the Trap, are flushed from the body. Traps have the benefit of very long circulation in the body, potentially allowing for weekly or less frequent dosing in patients. Regeneron has three issued United States patents that broadly cover the design and production of its Cytokine Traps.</w:t>
      </w:r>
    </w:p>
    <w:p>
      <w:pPr>
        <w:spacing w:after="0" w:line="172"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In July 2002, Regeneron initiated a dose-ranging, placebo-controlled Phase II clinical trial to study the safety and efficacy of the IL-1 Trap in patients with rheumatoid arthritis. Subjects are receiving weekly self-injections of one of three fixed doses of IL-1 Trap or placebo for 12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7" w:name="page8"/>
    <w:bookmarkEnd w:id="7"/>
    <w:p>
      <w:pPr>
        <w:spacing w:after="0" w:line="268" w:lineRule="auto"/>
        <w:rPr>
          <w:sz w:val="20"/>
          <w:szCs w:val="20"/>
          <w:color w:val="auto"/>
        </w:rPr>
      </w:pPr>
      <w:r>
        <w:rPr>
          <w:rFonts w:ascii="Arial" w:cs="Arial" w:eastAsia="Arial" w:hAnsi="Arial"/>
          <w:sz w:val="18"/>
          <w:szCs w:val="18"/>
          <w:color w:val="auto"/>
        </w:rPr>
        <w:t>followed by 10 weeks of open-label follow-up. The 200 patient study is fully enrolled and results of the initial treatment period are expected in the third quarter of 2003.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w:t>
      </w:r>
    </w:p>
    <w:p>
      <w:pPr>
        <w:spacing w:after="0" w:line="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for the potential treatment of obesity, rheumatoid arthritis, cancer, and asthma and has preclinical programs in other diseases and disorders.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 for the year ended December 31, 2001 and the Form 10-Q for the quarter ended September 30, 2002. Regeneron does not undertake any obligation to update publicly any forward-looking statement, whether as a result of new information, future events, or otherwise, unless required by law.</w:t>
      </w:r>
    </w:p>
    <w:p>
      <w:pPr>
        <w:sectPr>
          <w:pgSz w:w="11900" w:h="16838" w:orient="portrait"/>
          <w:cols w:equalWidth="0" w:num="1">
            <w:col w:w="11400"/>
          </w:cols>
          <w:pgMar w:left="240" w:top="941" w:right="25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Investor Relations Contact:</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Charles Poole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Investor Relations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Regeneron Pharmaceuticals,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charles.poole@regn.com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(914) 345-7641</w:t>
      </w:r>
    </w:p>
    <w:p>
      <w:pPr>
        <w:spacing w:after="0" w:line="200" w:lineRule="exact"/>
        <w:rPr>
          <w:sz w:val="20"/>
          <w:szCs w:val="20"/>
          <w:color w:val="auto"/>
        </w:rPr>
      </w:pPr>
    </w:p>
    <w:p>
      <w:pPr>
        <w:sectPr>
          <w:pgSz w:w="11900" w:h="16838" w:orient="portrait"/>
          <w:cols w:equalWidth="0" w:num="2">
            <w:col w:w="2160" w:space="720"/>
            <w:col w:w="8520"/>
          </w:cols>
          <w:pgMar w:left="240" w:top="941" w:right="25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Additional information about Regeneron and recent news releases are available on Regeneron’s Worldwide Web Home Page at www.regn.com.</w:t>
      </w:r>
    </w:p>
    <w:p>
      <w:pPr>
        <w:sectPr>
          <w:pgSz w:w="11900" w:h="16838" w:orient="portrait"/>
          <w:cols w:equalWidth="0" w:num="1">
            <w:col w:w="11400"/>
          </w:cols>
          <w:pgMar w:left="240" w:top="941" w:right="25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color w:val="auto"/>
        </w:rPr>
        <w:t>Exhibit 99(b)</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Announces Results of Phase III Obesity Study</w:t>
      </w:r>
    </w:p>
    <w:p>
      <w:pPr>
        <w:spacing w:after="0" w:line="22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 xml:space="preserve">Tarrytown, New York (March 31, 2003) — Regeneron Pharmaceuticals, Inc. (Nasdaq: </w:t>
      </w:r>
      <w:r>
        <w:rPr>
          <w:rFonts w:ascii="Arial" w:cs="Arial" w:eastAsia="Arial" w:hAnsi="Arial"/>
          <w:sz w:val="18"/>
          <w:szCs w:val="18"/>
          <w:b w:val="1"/>
          <w:bCs w:val="1"/>
          <w:color w:val="auto"/>
        </w:rPr>
        <w:t>REGN</w:t>
      </w:r>
      <w:r>
        <w:rPr>
          <w:rFonts w:ascii="Arial" w:cs="Arial" w:eastAsia="Arial" w:hAnsi="Arial"/>
          <w:sz w:val="18"/>
          <w:szCs w:val="18"/>
          <w:color w:val="auto"/>
        </w:rPr>
        <w:t>) today announced preliminary results of its initial Phase III study evaluating AXOKINE® in the treatment of obesity. After one year of treatment, the placebo-controlled study of 1467 AXOKINE- treated subjects and 501 placebo-treated subjects demonstrated that:</w:t>
      </w:r>
    </w:p>
    <w:p>
      <w:pPr>
        <w:spacing w:after="0" w:line="192" w:lineRule="exact"/>
        <w:rPr>
          <w:sz w:val="20"/>
          <w:szCs w:val="20"/>
          <w:color w:val="auto"/>
        </w:rPr>
      </w:pPr>
    </w:p>
    <w:p>
      <w:pPr>
        <w:ind w:left="820" w:hanging="461"/>
        <w:spacing w:after="0"/>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AXOKINE treatment, when compared with placebo, achieved statistical significance with regard to both primary endpoints of the study:</w:t>
      </w:r>
    </w:p>
    <w:p>
      <w:pPr>
        <w:spacing w:after="0" w:line="200" w:lineRule="exact"/>
        <w:rPr>
          <w:sz w:val="20"/>
          <w:szCs w:val="20"/>
          <w:color w:val="auto"/>
        </w:rPr>
      </w:pPr>
    </w:p>
    <w:p>
      <w:pPr>
        <w:spacing w:after="0" w:line="291" w:lineRule="exact"/>
        <w:rPr>
          <w:sz w:val="20"/>
          <w:szCs w:val="20"/>
          <w:color w:val="auto"/>
        </w:rPr>
      </w:pPr>
    </w:p>
    <w:p>
      <w:pPr>
        <w:ind w:left="1600" w:right="360" w:hanging="403"/>
        <w:spacing w:after="0" w:line="268" w:lineRule="auto"/>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greater proportion of AXOKINE-treated patients lost at least 5% of their initial body weight compared with placebo-treated patients (25.1% vs. 17.6%, p&lt;.001)</w:t>
      </w:r>
    </w:p>
    <w:p>
      <w:pPr>
        <w:spacing w:after="0" w:line="185" w:lineRule="exact"/>
        <w:rPr>
          <w:rFonts w:ascii="Arial" w:cs="Arial" w:eastAsia="Arial" w:hAnsi="Arial"/>
          <w:sz w:val="18"/>
          <w:szCs w:val="18"/>
          <w:color w:val="auto"/>
        </w:rPr>
      </w:pPr>
    </w:p>
    <w:p>
      <w:pPr>
        <w:ind w:left="1600" w:hanging="403"/>
        <w:spacing w:after="0"/>
        <w:tabs>
          <w:tab w:leader="none" w:pos="1600" w:val="left"/>
        </w:tabs>
        <w:numPr>
          <w:ilvl w:val="1"/>
          <w:numId w:val="3"/>
        </w:numPr>
        <w:rPr>
          <w:rFonts w:ascii="Arial" w:cs="Arial" w:eastAsia="Arial" w:hAnsi="Arial"/>
          <w:sz w:val="16"/>
          <w:szCs w:val="16"/>
          <w:color w:val="auto"/>
        </w:rPr>
      </w:pPr>
      <w:r>
        <w:rPr>
          <w:rFonts w:ascii="Arial" w:cs="Arial" w:eastAsia="Arial" w:hAnsi="Arial"/>
          <w:sz w:val="16"/>
          <w:szCs w:val="16"/>
          <w:color w:val="auto"/>
        </w:rPr>
        <w:t>Participants receiving AXOKINE experienced a greater average weight loss than those receiving placebo (6.2 lbs vs. 2.6 lbs, p&lt;.001)</w:t>
      </w:r>
    </w:p>
    <w:p>
      <w:pPr>
        <w:spacing w:after="0" w:line="248" w:lineRule="exact"/>
        <w:rPr>
          <w:rFonts w:ascii="Arial" w:cs="Arial" w:eastAsia="Arial" w:hAnsi="Arial"/>
          <w:sz w:val="16"/>
          <w:szCs w:val="16"/>
          <w:color w:val="auto"/>
        </w:rPr>
      </w:pPr>
    </w:p>
    <w:p>
      <w:pPr>
        <w:ind w:left="820" w:right="280" w:hanging="461"/>
        <w:spacing w:after="0" w:line="268"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AXOKINE treatment achieved statistically significant results in two of the three secondary endpoints, such as proportion of subjects losing at least 10% of their initial body weight (11.3% vs. 4.2%, p &lt;.001)</w:t>
      </w:r>
    </w:p>
    <w:p>
      <w:pPr>
        <w:spacing w:after="0" w:line="185" w:lineRule="exact"/>
        <w:rPr>
          <w:rFonts w:ascii="Arial" w:cs="Arial" w:eastAsia="Arial" w:hAnsi="Arial"/>
          <w:sz w:val="18"/>
          <w:szCs w:val="18"/>
          <w:color w:val="auto"/>
        </w:rPr>
      </w:pPr>
    </w:p>
    <w:p>
      <w:pPr>
        <w:ind w:left="820" w:right="300" w:hanging="461"/>
        <w:spacing w:after="0" w:line="259"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AXOKINE treatment was generally well-tolerated. Adverse events were generally characterized as mild to moderate and no pattern of serious or severe adverse events emerged. The most notable adverse effects as compared with placebo were injection site reactions, nausea and cough, which were largely characterized as mild</w:t>
      </w:r>
    </w:p>
    <w:p>
      <w:pPr>
        <w:spacing w:after="0" w:line="194" w:lineRule="exact"/>
        <w:rPr>
          <w:rFonts w:ascii="Arial" w:cs="Arial" w:eastAsia="Arial" w:hAnsi="Arial"/>
          <w:sz w:val="18"/>
          <w:szCs w:val="18"/>
          <w:color w:val="auto"/>
        </w:rPr>
      </w:pPr>
    </w:p>
    <w:p>
      <w:pPr>
        <w:ind w:left="820" w:right="660" w:hanging="461"/>
        <w:spacing w:after="0" w:line="332"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AXOKINE-associated weight loss was limited by the development of antibodies beginning after about three months of AXOKINE treatment. However, more than 30% of the total 1467 subjects treated with AXOKINE did not develop antibodies by the end of one year</w:t>
      </w:r>
    </w:p>
    <w:p>
      <w:pPr>
        <w:spacing w:after="0" w:line="139" w:lineRule="exact"/>
        <w:rPr>
          <w:rFonts w:ascii="Arial" w:cs="Arial" w:eastAsia="Arial" w:hAnsi="Arial"/>
          <w:sz w:val="16"/>
          <w:szCs w:val="16"/>
          <w:color w:val="auto"/>
        </w:rPr>
      </w:pPr>
    </w:p>
    <w:p>
      <w:pPr>
        <w:ind w:left="820" w:right="740" w:hanging="461"/>
        <w:spacing w:after="0" w:line="268"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comparison with placebo subjects who completed one year of treatment, AXOKINE-treated participants who completed one year without developing antibodies:</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00" w:hanging="403"/>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Achieved greater average weight loss (12.6 lbs vs. 4.5 lbs, p&lt;.001)</w:t>
      </w:r>
    </w:p>
    <w:p>
      <w:pPr>
        <w:spacing w:after="0" w:line="225" w:lineRule="exact"/>
        <w:rPr>
          <w:rFonts w:ascii="Arial" w:cs="Arial" w:eastAsia="Arial" w:hAnsi="Arial"/>
          <w:sz w:val="18"/>
          <w:szCs w:val="18"/>
          <w:color w:val="auto"/>
        </w:rPr>
      </w:pPr>
    </w:p>
    <w:p>
      <w:pPr>
        <w:ind w:left="1600" w:hanging="403"/>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Resulted in a higher proportion of subjects who lost at least 5% of initial body weight (46% vs. 24%, p&lt;.001)</w:t>
      </w:r>
    </w:p>
    <w:p>
      <w:pPr>
        <w:spacing w:after="0" w:line="225" w:lineRule="exact"/>
        <w:rPr>
          <w:rFonts w:ascii="Arial" w:cs="Arial" w:eastAsia="Arial" w:hAnsi="Arial"/>
          <w:sz w:val="18"/>
          <w:szCs w:val="18"/>
          <w:color w:val="auto"/>
        </w:rPr>
      </w:pPr>
    </w:p>
    <w:p>
      <w:pPr>
        <w:ind w:left="1600" w:hanging="403"/>
        <w:spacing w:after="0"/>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Resulted in a higher proportion of subjects who lost at least 10% of initial body weight (24% vs. 6.6%, p&lt;.001)</w:t>
      </w:r>
    </w:p>
    <w:p>
      <w:pPr>
        <w:spacing w:after="0" w:line="225" w:lineRule="exact"/>
        <w:rPr>
          <w:rFonts w:ascii="Arial" w:cs="Arial" w:eastAsia="Arial" w:hAnsi="Arial"/>
          <w:sz w:val="18"/>
          <w:szCs w:val="18"/>
          <w:color w:val="auto"/>
        </w:rPr>
      </w:pPr>
    </w:p>
    <w:p>
      <w:pPr>
        <w:ind w:left="1600" w:right="920" w:hanging="403"/>
        <w:spacing w:after="0" w:line="268" w:lineRule="auto"/>
        <w:tabs>
          <w:tab w:leader="none" w:pos="1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Included more than 50% who were early responders (i.e., those who lost at least 4 lbs in the first month of treatment), and who experienced average weight loss of 19.4 lbs</w:t>
      </w:r>
    </w:p>
    <w:p>
      <w:pPr>
        <w:spacing w:after="0" w:line="185" w:lineRule="exact"/>
        <w:rPr>
          <w:rFonts w:ascii="Arial" w:cs="Arial" w:eastAsia="Arial" w:hAnsi="Arial"/>
          <w:sz w:val="18"/>
          <w:szCs w:val="18"/>
          <w:color w:val="auto"/>
        </w:rPr>
      </w:pPr>
    </w:p>
    <w:p>
      <w:pPr>
        <w:ind w:left="820" w:right="80" w:hanging="461"/>
        <w:spacing w:after="0" w:line="268"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Greater than 5% weight loss in both the AXOKINE-treated and placebo populations was associated with expected trends in improvements in obesity-related parameters such as blood pressure, blood glucose and lipids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Page 2</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“Although the results of this Phase III study were statistically significant, the overall magnitude of the weight loss was small. However, in patients who did not become resistant to treatment through the development of antibodies, the effect appears in line with currently available treatments for obesity. Further, AXOKINE showed a favorable safety and tolerability profile whether or not subjects developed antibodies,” said Leonard S. Schleifer, M.D., Ph.D., President and CEO of Regeneron Pharmaceuticals. “In the very near future, we will finish the analysis of our recently concluded pilot study in obese individuals with type 2 diabetes, and complete our on-going AXOKINE short-term treatment studies. Subsequently, we will discuss all of this data with regulatory authorities. At that time, we will be able to discuss our plans for the further development of AXOKINE for the treatment of obesity.”</w:t>
      </w:r>
    </w:p>
    <w:p>
      <w:pPr>
        <w:spacing w:after="0" w:line="1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Dr. Louis Aronne, Clinical Associate Professor at Weill-Cornell University Medical College, and Director of the Comprehensive Weight Control Program at New York Presbyterian Hospital said, “AXOKINE appears to be generally well-tolerated, and in the 30% of AXOKINE-treated patients who did not develop antibodies, the efficacy was comparable to currently available drugs. Given the epidemic proportions of obesity, the group of potential responders is very large.” Dr. Aronne continued, “Obesity is a complex metabolic disease similar to type 2 diabetes, and like diabetes will probably require combination therapies to achieve optimal efficacy and the dramatic weight losses that people have been hoping for. Its unique and well-defined mechanism of action makes AXOKINE a potentially attractive candidate as part of an obesity regimen.”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Trial Design</w:t>
      </w:r>
    </w:p>
    <w:p>
      <w:pPr>
        <w:spacing w:after="0" w:line="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double-blind, randomized, placebo-controlled trial included 501 placebo-treated and 1467 AXOKINE-treated participants from 65 study sites across the United States. The average baseline weight for all participants was approximately 235 lbs. For 12 months, subjects received daily subcutaneous injections of either placebo or AXOKINE at a dose of 1.0 microgram per kilogram of body weight. To be included in the study, participants could not have diabetes, and had to have a body mass index (BMI) of 30 to 55 without obesity-related risk factors, or 27 to 55 if they had obesity-related risk factors such as high blood pressure or high blood lipids.</w:t>
      </w:r>
    </w:p>
    <w:p>
      <w:pPr>
        <w:spacing w:after="0" w:line="1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BMI is calculated as the weight of an individual in kilograms divided by the square of their height in meters. Normal weight is designated by BMIs of 18.5-24.9, overweight by BMIs of 25-29.9 and obesity by BMIs of 30 and above.</w:t>
      </w:r>
    </w:p>
    <w:p>
      <w:pPr>
        <w:spacing w:after="0" w:line="18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12-month treatment period is being followed by a 12-month open-label safety extension phase during which all participants receive AXOKINE and are further monitored for side effects.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Preliminary Trial Results</w:t>
      </w:r>
    </w:p>
    <w:p>
      <w:pPr>
        <w:spacing w:after="0" w:line="15"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The preliminary data from the study are summarized below. The Intent-to-Treat Analysis includes all randomized subjects whether or not they completed the full twelve months of treatment. The Completer Analysis includes only those subjects who completed the full twelve months of treatment.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Placebo versus Total AXOKINE-Treated Participants</w:t>
      </w:r>
    </w:p>
    <w:p>
      <w:pPr>
        <w:spacing w:after="0" w:line="231" w:lineRule="exact"/>
        <w:rPr>
          <w:sz w:val="20"/>
          <w:szCs w:val="20"/>
          <w:color w:val="auto"/>
        </w:rPr>
      </w:pPr>
    </w:p>
    <w:p>
      <w:pPr>
        <w:ind w:left="820" w:hanging="461"/>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Average Weight Loss vs.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371475</wp:posOffset>
            </wp:positionV>
            <wp:extent cx="6877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22"/>
        </w:trPr>
        <w:tc>
          <w:tcPr>
            <w:tcW w:w="2260" w:type="dxa"/>
            <w:vAlign w:val="bottom"/>
          </w:tcPr>
          <w:p>
            <w:pPr>
              <w:spacing w:after="0"/>
              <w:rPr>
                <w:sz w:val="19"/>
                <w:szCs w:val="19"/>
                <w:color w:val="auto"/>
              </w:rPr>
            </w:pPr>
          </w:p>
        </w:tc>
        <w:tc>
          <w:tcPr>
            <w:tcW w:w="2520" w:type="dxa"/>
            <w:vAlign w:val="bottom"/>
          </w:tcPr>
          <w:p>
            <w:pPr>
              <w:ind w:left="580"/>
              <w:spacing w:after="0"/>
              <w:rPr>
                <w:sz w:val="20"/>
                <w:szCs w:val="20"/>
                <w:color w:val="auto"/>
              </w:rPr>
            </w:pPr>
            <w:r>
              <w:rPr>
                <w:rFonts w:ascii="Arial" w:cs="Arial" w:eastAsia="Arial" w:hAnsi="Arial"/>
                <w:sz w:val="18"/>
                <w:szCs w:val="18"/>
                <w:color w:val="auto"/>
              </w:rPr>
              <w:t>Placebo</w:t>
            </w:r>
          </w:p>
        </w:tc>
        <w:tc>
          <w:tcPr>
            <w:tcW w:w="2920" w:type="dxa"/>
            <w:vAlign w:val="bottom"/>
          </w:tcPr>
          <w:p>
            <w:pPr>
              <w:ind w:left="980"/>
              <w:spacing w:after="0"/>
              <w:rPr>
                <w:sz w:val="20"/>
                <w:szCs w:val="20"/>
                <w:color w:val="auto"/>
              </w:rPr>
            </w:pPr>
            <w:r>
              <w:rPr>
                <w:rFonts w:ascii="Arial" w:cs="Arial" w:eastAsia="Arial" w:hAnsi="Arial"/>
                <w:sz w:val="18"/>
                <w:szCs w:val="18"/>
                <w:color w:val="auto"/>
              </w:rPr>
              <w:t>AXOKINE</w:t>
            </w:r>
          </w:p>
        </w:tc>
        <w:tc>
          <w:tcPr>
            <w:tcW w:w="3140" w:type="dxa"/>
            <w:vAlign w:val="bottom"/>
          </w:tcPr>
          <w:p>
            <w:pPr>
              <w:ind w:left="960"/>
              <w:spacing w:after="0"/>
              <w:rPr>
                <w:sz w:val="20"/>
                <w:szCs w:val="20"/>
                <w:color w:val="auto"/>
              </w:rPr>
            </w:pPr>
            <w:r>
              <w:rPr>
                <w:rFonts w:ascii="Arial" w:cs="Arial" w:eastAsia="Arial" w:hAnsi="Arial"/>
                <w:sz w:val="18"/>
                <w:szCs w:val="18"/>
                <w:color w:val="auto"/>
              </w:rPr>
              <w:t>p-value</w:t>
            </w:r>
          </w:p>
        </w:tc>
      </w:tr>
      <w:tr>
        <w:trPr>
          <w:trHeight w:val="110"/>
        </w:trPr>
        <w:tc>
          <w:tcPr>
            <w:tcW w:w="226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3140" w:type="dxa"/>
            <w:vAlign w:val="bottom"/>
            <w:tcBorders>
              <w:bottom w:val="single" w:sz="8" w:color="808080"/>
            </w:tcBorders>
          </w:tcPr>
          <w:p>
            <w:pPr>
              <w:spacing w:after="0"/>
              <w:rPr>
                <w:sz w:val="9"/>
                <w:szCs w:val="9"/>
                <w:color w:val="auto"/>
              </w:rPr>
            </w:pPr>
          </w:p>
        </w:tc>
      </w:tr>
      <w:tr>
        <w:trPr>
          <w:trHeight w:val="309"/>
        </w:trPr>
        <w:tc>
          <w:tcPr>
            <w:tcW w:w="2260" w:type="dxa"/>
            <w:vAlign w:val="bottom"/>
          </w:tcPr>
          <w:p>
            <w:pPr>
              <w:spacing w:after="0"/>
              <w:rPr>
                <w:sz w:val="20"/>
                <w:szCs w:val="20"/>
                <w:color w:val="auto"/>
              </w:rPr>
            </w:pPr>
            <w:r>
              <w:rPr>
                <w:rFonts w:ascii="Arial" w:cs="Arial" w:eastAsia="Arial" w:hAnsi="Arial"/>
                <w:sz w:val="18"/>
                <w:szCs w:val="18"/>
                <w:color w:val="auto"/>
              </w:rPr>
              <w:t>Intent-to-Treat Analysis</w:t>
            </w:r>
          </w:p>
        </w:tc>
        <w:tc>
          <w:tcPr>
            <w:tcW w:w="2520" w:type="dxa"/>
            <w:vAlign w:val="bottom"/>
          </w:tcPr>
          <w:p>
            <w:pPr>
              <w:ind w:left="580"/>
              <w:spacing w:after="0"/>
              <w:rPr>
                <w:sz w:val="20"/>
                <w:szCs w:val="20"/>
                <w:color w:val="auto"/>
              </w:rPr>
            </w:pPr>
            <w:r>
              <w:rPr>
                <w:rFonts w:ascii="Arial" w:cs="Arial" w:eastAsia="Arial" w:hAnsi="Arial"/>
                <w:sz w:val="18"/>
                <w:szCs w:val="18"/>
                <w:color w:val="auto"/>
              </w:rPr>
              <w:t>2.6 lbs</w:t>
            </w:r>
          </w:p>
        </w:tc>
        <w:tc>
          <w:tcPr>
            <w:tcW w:w="2920" w:type="dxa"/>
            <w:vAlign w:val="bottom"/>
          </w:tcPr>
          <w:p>
            <w:pPr>
              <w:ind w:left="980"/>
              <w:spacing w:after="0"/>
              <w:rPr>
                <w:sz w:val="20"/>
                <w:szCs w:val="20"/>
                <w:color w:val="auto"/>
              </w:rPr>
            </w:pPr>
            <w:r>
              <w:rPr>
                <w:rFonts w:ascii="Arial" w:cs="Arial" w:eastAsia="Arial" w:hAnsi="Arial"/>
                <w:sz w:val="18"/>
                <w:szCs w:val="18"/>
                <w:color w:val="auto"/>
              </w:rPr>
              <w:t>6.2 lbs</w:t>
            </w:r>
          </w:p>
        </w:tc>
        <w:tc>
          <w:tcPr>
            <w:tcW w:w="3140" w:type="dxa"/>
            <w:vAlign w:val="bottom"/>
          </w:tcPr>
          <w:p>
            <w:pPr>
              <w:ind w:left="960"/>
              <w:spacing w:after="0"/>
              <w:rPr>
                <w:sz w:val="20"/>
                <w:szCs w:val="20"/>
                <w:color w:val="auto"/>
              </w:rPr>
            </w:pPr>
            <w:r>
              <w:rPr>
                <w:rFonts w:ascii="Arial" w:cs="Arial" w:eastAsia="Arial" w:hAnsi="Arial"/>
                <w:sz w:val="18"/>
                <w:szCs w:val="18"/>
                <w:color w:val="auto"/>
              </w:rPr>
              <w:t>&lt;.001</w:t>
            </w:r>
          </w:p>
        </w:tc>
      </w:tr>
      <w:tr>
        <w:trPr>
          <w:trHeight w:val="222"/>
        </w:trPr>
        <w:tc>
          <w:tcPr>
            <w:tcW w:w="2260" w:type="dxa"/>
            <w:vAlign w:val="bottom"/>
          </w:tcPr>
          <w:p>
            <w:pPr>
              <w:spacing w:after="0"/>
              <w:rPr>
                <w:sz w:val="19"/>
                <w:szCs w:val="19"/>
                <w:color w:val="auto"/>
              </w:rPr>
            </w:pPr>
          </w:p>
        </w:tc>
        <w:tc>
          <w:tcPr>
            <w:tcW w:w="2520" w:type="dxa"/>
            <w:vAlign w:val="bottom"/>
          </w:tcPr>
          <w:p>
            <w:pPr>
              <w:ind w:left="580"/>
              <w:spacing w:after="0"/>
              <w:rPr>
                <w:sz w:val="20"/>
                <w:szCs w:val="20"/>
                <w:color w:val="auto"/>
              </w:rPr>
            </w:pPr>
            <w:r>
              <w:rPr>
                <w:rFonts w:ascii="Arial" w:cs="Arial" w:eastAsia="Arial" w:hAnsi="Arial"/>
                <w:sz w:val="18"/>
                <w:szCs w:val="18"/>
                <w:color w:val="auto"/>
              </w:rPr>
              <w:t>n=501</w:t>
            </w:r>
          </w:p>
        </w:tc>
        <w:tc>
          <w:tcPr>
            <w:tcW w:w="2920" w:type="dxa"/>
            <w:vAlign w:val="bottom"/>
          </w:tcPr>
          <w:p>
            <w:pPr>
              <w:ind w:left="980"/>
              <w:spacing w:after="0"/>
              <w:rPr>
                <w:sz w:val="20"/>
                <w:szCs w:val="20"/>
                <w:color w:val="auto"/>
              </w:rPr>
            </w:pPr>
            <w:r>
              <w:rPr>
                <w:rFonts w:ascii="Arial" w:cs="Arial" w:eastAsia="Arial" w:hAnsi="Arial"/>
                <w:sz w:val="18"/>
                <w:szCs w:val="18"/>
                <w:color w:val="auto"/>
              </w:rPr>
              <w:t>n=1467</w:t>
            </w:r>
          </w:p>
        </w:tc>
        <w:tc>
          <w:tcPr>
            <w:tcW w:w="3140" w:type="dxa"/>
            <w:vAlign w:val="bottom"/>
          </w:tcPr>
          <w:p>
            <w:pPr>
              <w:spacing w:after="0"/>
              <w:rPr>
                <w:sz w:val="19"/>
                <w:szCs w:val="19"/>
                <w:color w:val="auto"/>
              </w:rPr>
            </w:pPr>
          </w:p>
        </w:tc>
      </w:tr>
      <w:tr>
        <w:trPr>
          <w:trHeight w:val="110"/>
        </w:trPr>
        <w:tc>
          <w:tcPr>
            <w:tcW w:w="226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3140" w:type="dxa"/>
            <w:vAlign w:val="bottom"/>
            <w:tcBorders>
              <w:bottom w:val="single" w:sz="8" w:color="808080"/>
            </w:tcBorders>
          </w:tcPr>
          <w:p>
            <w:pPr>
              <w:spacing w:after="0"/>
              <w:rPr>
                <w:sz w:val="9"/>
                <w:szCs w:val="9"/>
                <w:color w:val="auto"/>
              </w:rPr>
            </w:pPr>
          </w:p>
        </w:tc>
      </w:tr>
      <w:tr>
        <w:trPr>
          <w:trHeight w:val="309"/>
        </w:trPr>
        <w:tc>
          <w:tcPr>
            <w:tcW w:w="2260" w:type="dxa"/>
            <w:vAlign w:val="bottom"/>
          </w:tcPr>
          <w:p>
            <w:pPr>
              <w:spacing w:after="0"/>
              <w:rPr>
                <w:sz w:val="20"/>
                <w:szCs w:val="20"/>
                <w:color w:val="auto"/>
              </w:rPr>
            </w:pPr>
            <w:r>
              <w:rPr>
                <w:rFonts w:ascii="Arial" w:cs="Arial" w:eastAsia="Arial" w:hAnsi="Arial"/>
                <w:sz w:val="18"/>
                <w:szCs w:val="18"/>
                <w:color w:val="auto"/>
              </w:rPr>
              <w:t>Completer Analysis</w:t>
            </w:r>
          </w:p>
        </w:tc>
        <w:tc>
          <w:tcPr>
            <w:tcW w:w="2520" w:type="dxa"/>
            <w:vAlign w:val="bottom"/>
          </w:tcPr>
          <w:p>
            <w:pPr>
              <w:ind w:left="580"/>
              <w:spacing w:after="0"/>
              <w:rPr>
                <w:sz w:val="20"/>
                <w:szCs w:val="20"/>
                <w:color w:val="auto"/>
              </w:rPr>
            </w:pPr>
            <w:r>
              <w:rPr>
                <w:rFonts w:ascii="Arial" w:cs="Arial" w:eastAsia="Arial" w:hAnsi="Arial"/>
                <w:sz w:val="18"/>
                <w:szCs w:val="18"/>
                <w:color w:val="auto"/>
              </w:rPr>
              <w:t>4.5 lbs</w:t>
            </w:r>
          </w:p>
        </w:tc>
        <w:tc>
          <w:tcPr>
            <w:tcW w:w="2920" w:type="dxa"/>
            <w:vAlign w:val="bottom"/>
          </w:tcPr>
          <w:p>
            <w:pPr>
              <w:ind w:left="980"/>
              <w:spacing w:after="0"/>
              <w:rPr>
                <w:sz w:val="20"/>
                <w:szCs w:val="20"/>
                <w:color w:val="auto"/>
              </w:rPr>
            </w:pPr>
            <w:r>
              <w:rPr>
                <w:rFonts w:ascii="Arial" w:cs="Arial" w:eastAsia="Arial" w:hAnsi="Arial"/>
                <w:sz w:val="18"/>
                <w:szCs w:val="18"/>
                <w:color w:val="auto"/>
              </w:rPr>
              <w:t>7.9 lbs</w:t>
            </w:r>
          </w:p>
        </w:tc>
        <w:tc>
          <w:tcPr>
            <w:tcW w:w="3140" w:type="dxa"/>
            <w:vAlign w:val="bottom"/>
          </w:tcPr>
          <w:p>
            <w:pPr>
              <w:ind w:left="960"/>
              <w:spacing w:after="0"/>
              <w:rPr>
                <w:sz w:val="20"/>
                <w:szCs w:val="20"/>
                <w:color w:val="auto"/>
              </w:rPr>
            </w:pPr>
            <w:r>
              <w:rPr>
                <w:rFonts w:ascii="Arial" w:cs="Arial" w:eastAsia="Arial" w:hAnsi="Arial"/>
                <w:sz w:val="18"/>
                <w:szCs w:val="18"/>
                <w:color w:val="auto"/>
              </w:rPr>
              <w:t>&lt;.001</w:t>
            </w:r>
          </w:p>
        </w:tc>
      </w:tr>
      <w:tr>
        <w:trPr>
          <w:trHeight w:val="222"/>
        </w:trPr>
        <w:tc>
          <w:tcPr>
            <w:tcW w:w="2260" w:type="dxa"/>
            <w:vAlign w:val="bottom"/>
          </w:tcPr>
          <w:p>
            <w:pPr>
              <w:spacing w:after="0"/>
              <w:rPr>
                <w:sz w:val="19"/>
                <w:szCs w:val="19"/>
                <w:color w:val="auto"/>
              </w:rPr>
            </w:pPr>
          </w:p>
        </w:tc>
        <w:tc>
          <w:tcPr>
            <w:tcW w:w="2520" w:type="dxa"/>
            <w:vAlign w:val="bottom"/>
          </w:tcPr>
          <w:p>
            <w:pPr>
              <w:ind w:left="580"/>
              <w:spacing w:after="0"/>
              <w:rPr>
                <w:sz w:val="20"/>
                <w:szCs w:val="20"/>
                <w:color w:val="auto"/>
              </w:rPr>
            </w:pPr>
            <w:r>
              <w:rPr>
                <w:rFonts w:ascii="Arial" w:cs="Arial" w:eastAsia="Arial" w:hAnsi="Arial"/>
                <w:sz w:val="18"/>
                <w:szCs w:val="18"/>
                <w:color w:val="auto"/>
              </w:rPr>
              <w:t>n= 304 (61%)</w:t>
            </w:r>
          </w:p>
        </w:tc>
        <w:tc>
          <w:tcPr>
            <w:tcW w:w="2920" w:type="dxa"/>
            <w:vAlign w:val="bottom"/>
          </w:tcPr>
          <w:p>
            <w:pPr>
              <w:ind w:left="980"/>
              <w:spacing w:after="0"/>
              <w:rPr>
                <w:sz w:val="20"/>
                <w:szCs w:val="20"/>
                <w:color w:val="auto"/>
              </w:rPr>
            </w:pPr>
            <w:r>
              <w:rPr>
                <w:rFonts w:ascii="Arial" w:cs="Arial" w:eastAsia="Arial" w:hAnsi="Arial"/>
                <w:sz w:val="18"/>
                <w:szCs w:val="18"/>
                <w:color w:val="auto"/>
              </w:rPr>
              <w:t>n= 979 (67%)</w:t>
            </w:r>
          </w:p>
        </w:tc>
        <w:tc>
          <w:tcPr>
            <w:tcW w:w="3140" w:type="dxa"/>
            <w:vAlign w:val="bottom"/>
          </w:tcPr>
          <w:p>
            <w:pPr>
              <w:spacing w:after="0"/>
              <w:rPr>
                <w:sz w:val="19"/>
                <w:szCs w:val="19"/>
                <w:color w:val="auto"/>
              </w:rPr>
            </w:pPr>
          </w:p>
        </w:tc>
      </w:tr>
      <w:tr>
        <w:trPr>
          <w:trHeight w:val="110"/>
        </w:trPr>
        <w:tc>
          <w:tcPr>
            <w:tcW w:w="226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314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left="820" w:hanging="46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Percentage of Patients Losing at Least 5% of Body Weight (i.e., &gt; ~12 lbs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371475</wp:posOffset>
            </wp:positionV>
            <wp:extent cx="68776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22"/>
        </w:trPr>
        <w:tc>
          <w:tcPr>
            <w:tcW w:w="2260" w:type="dxa"/>
            <w:vAlign w:val="bottom"/>
          </w:tcPr>
          <w:p>
            <w:pPr>
              <w:spacing w:after="0"/>
              <w:rPr>
                <w:sz w:val="19"/>
                <w:szCs w:val="19"/>
                <w:color w:val="auto"/>
              </w:rPr>
            </w:pPr>
          </w:p>
        </w:tc>
        <w:tc>
          <w:tcPr>
            <w:tcW w:w="2380" w:type="dxa"/>
            <w:vAlign w:val="bottom"/>
          </w:tcPr>
          <w:p>
            <w:pPr>
              <w:ind w:left="580"/>
              <w:spacing w:after="0"/>
              <w:rPr>
                <w:sz w:val="20"/>
                <w:szCs w:val="20"/>
                <w:color w:val="auto"/>
              </w:rPr>
            </w:pPr>
            <w:r>
              <w:rPr>
                <w:rFonts w:ascii="Arial" w:cs="Arial" w:eastAsia="Arial" w:hAnsi="Arial"/>
                <w:sz w:val="18"/>
                <w:szCs w:val="18"/>
                <w:color w:val="auto"/>
              </w:rPr>
              <w:t>Placebo</w:t>
            </w:r>
          </w:p>
        </w:tc>
        <w:tc>
          <w:tcPr>
            <w:tcW w:w="3000" w:type="dxa"/>
            <w:vAlign w:val="bottom"/>
          </w:tcPr>
          <w:p>
            <w:pPr>
              <w:ind w:left="1120"/>
              <w:spacing w:after="0"/>
              <w:rPr>
                <w:sz w:val="20"/>
                <w:szCs w:val="20"/>
                <w:color w:val="auto"/>
              </w:rPr>
            </w:pPr>
            <w:r>
              <w:rPr>
                <w:rFonts w:ascii="Arial" w:cs="Arial" w:eastAsia="Arial" w:hAnsi="Arial"/>
                <w:sz w:val="18"/>
                <w:szCs w:val="18"/>
                <w:color w:val="auto"/>
              </w:rPr>
              <w:t>AXOKINE</w:t>
            </w:r>
          </w:p>
        </w:tc>
        <w:tc>
          <w:tcPr>
            <w:tcW w:w="3200" w:type="dxa"/>
            <w:vAlign w:val="bottom"/>
          </w:tcPr>
          <w:p>
            <w:pPr>
              <w:ind w:left="1020"/>
              <w:spacing w:after="0"/>
              <w:rPr>
                <w:sz w:val="20"/>
                <w:szCs w:val="20"/>
                <w:color w:val="auto"/>
              </w:rPr>
            </w:pPr>
            <w:r>
              <w:rPr>
                <w:rFonts w:ascii="Arial" w:cs="Arial" w:eastAsia="Arial" w:hAnsi="Arial"/>
                <w:sz w:val="18"/>
                <w:szCs w:val="18"/>
                <w:color w:val="auto"/>
              </w:rPr>
              <w:t>p-value</w:t>
            </w:r>
          </w:p>
        </w:tc>
      </w:tr>
      <w:tr>
        <w:trPr>
          <w:trHeight w:val="110"/>
        </w:trPr>
        <w:tc>
          <w:tcPr>
            <w:tcW w:w="226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r>
      <w:tr>
        <w:trPr>
          <w:trHeight w:val="309"/>
        </w:trPr>
        <w:tc>
          <w:tcPr>
            <w:tcW w:w="2260" w:type="dxa"/>
            <w:vAlign w:val="bottom"/>
          </w:tcPr>
          <w:p>
            <w:pPr>
              <w:spacing w:after="0"/>
              <w:rPr>
                <w:sz w:val="20"/>
                <w:szCs w:val="20"/>
                <w:color w:val="auto"/>
              </w:rPr>
            </w:pPr>
            <w:r>
              <w:rPr>
                <w:rFonts w:ascii="Arial" w:cs="Arial" w:eastAsia="Arial" w:hAnsi="Arial"/>
                <w:sz w:val="18"/>
                <w:szCs w:val="18"/>
                <w:color w:val="auto"/>
              </w:rPr>
              <w:t>Intent-to-Treat Analysis</w:t>
            </w:r>
          </w:p>
        </w:tc>
        <w:tc>
          <w:tcPr>
            <w:tcW w:w="2380" w:type="dxa"/>
            <w:vAlign w:val="bottom"/>
          </w:tcPr>
          <w:p>
            <w:pPr>
              <w:ind w:left="580"/>
              <w:spacing w:after="0"/>
              <w:rPr>
                <w:sz w:val="20"/>
                <w:szCs w:val="20"/>
                <w:color w:val="auto"/>
              </w:rPr>
            </w:pPr>
            <w:r>
              <w:rPr>
                <w:rFonts w:ascii="Arial" w:cs="Arial" w:eastAsia="Arial" w:hAnsi="Arial"/>
                <w:sz w:val="18"/>
                <w:szCs w:val="18"/>
                <w:color w:val="auto"/>
              </w:rPr>
              <w:t>17.6%</w:t>
            </w:r>
          </w:p>
        </w:tc>
        <w:tc>
          <w:tcPr>
            <w:tcW w:w="3000" w:type="dxa"/>
            <w:vAlign w:val="bottom"/>
          </w:tcPr>
          <w:p>
            <w:pPr>
              <w:ind w:left="1120"/>
              <w:spacing w:after="0"/>
              <w:rPr>
                <w:sz w:val="20"/>
                <w:szCs w:val="20"/>
                <w:color w:val="auto"/>
              </w:rPr>
            </w:pPr>
            <w:r>
              <w:rPr>
                <w:rFonts w:ascii="Arial" w:cs="Arial" w:eastAsia="Arial" w:hAnsi="Arial"/>
                <w:sz w:val="18"/>
                <w:szCs w:val="18"/>
                <w:color w:val="auto"/>
              </w:rPr>
              <w:t>25.1%</w:t>
            </w:r>
          </w:p>
        </w:tc>
        <w:tc>
          <w:tcPr>
            <w:tcW w:w="3200" w:type="dxa"/>
            <w:vAlign w:val="bottom"/>
          </w:tcPr>
          <w:p>
            <w:pPr>
              <w:ind w:left="1020"/>
              <w:spacing w:after="0"/>
              <w:rPr>
                <w:sz w:val="20"/>
                <w:szCs w:val="20"/>
                <w:color w:val="auto"/>
              </w:rPr>
            </w:pPr>
            <w:r>
              <w:rPr>
                <w:rFonts w:ascii="Arial" w:cs="Arial" w:eastAsia="Arial" w:hAnsi="Arial"/>
                <w:sz w:val="18"/>
                <w:szCs w:val="18"/>
                <w:color w:val="auto"/>
              </w:rPr>
              <w:t>&lt;.001</w:t>
            </w:r>
          </w:p>
        </w:tc>
      </w:tr>
      <w:tr>
        <w:trPr>
          <w:trHeight w:val="222"/>
        </w:trPr>
        <w:tc>
          <w:tcPr>
            <w:tcW w:w="2260" w:type="dxa"/>
            <w:vAlign w:val="bottom"/>
          </w:tcPr>
          <w:p>
            <w:pPr>
              <w:spacing w:after="0"/>
              <w:rPr>
                <w:sz w:val="19"/>
                <w:szCs w:val="19"/>
                <w:color w:val="auto"/>
              </w:rPr>
            </w:pPr>
          </w:p>
        </w:tc>
        <w:tc>
          <w:tcPr>
            <w:tcW w:w="2380" w:type="dxa"/>
            <w:vAlign w:val="bottom"/>
          </w:tcPr>
          <w:p>
            <w:pPr>
              <w:ind w:left="580"/>
              <w:spacing w:after="0"/>
              <w:rPr>
                <w:sz w:val="20"/>
                <w:szCs w:val="20"/>
                <w:color w:val="auto"/>
              </w:rPr>
            </w:pPr>
            <w:r>
              <w:rPr>
                <w:rFonts w:ascii="Arial" w:cs="Arial" w:eastAsia="Arial" w:hAnsi="Arial"/>
                <w:sz w:val="18"/>
                <w:szCs w:val="18"/>
                <w:color w:val="auto"/>
              </w:rPr>
              <w:t>n=88/501</w:t>
            </w:r>
          </w:p>
        </w:tc>
        <w:tc>
          <w:tcPr>
            <w:tcW w:w="3000" w:type="dxa"/>
            <w:vAlign w:val="bottom"/>
          </w:tcPr>
          <w:p>
            <w:pPr>
              <w:ind w:left="1120"/>
              <w:spacing w:after="0"/>
              <w:rPr>
                <w:sz w:val="20"/>
                <w:szCs w:val="20"/>
                <w:color w:val="auto"/>
              </w:rPr>
            </w:pPr>
            <w:r>
              <w:rPr>
                <w:rFonts w:ascii="Arial" w:cs="Arial" w:eastAsia="Arial" w:hAnsi="Arial"/>
                <w:sz w:val="18"/>
                <w:szCs w:val="18"/>
                <w:color w:val="auto"/>
              </w:rPr>
              <w:t>n=368/1467</w:t>
            </w:r>
          </w:p>
        </w:tc>
        <w:tc>
          <w:tcPr>
            <w:tcW w:w="3200" w:type="dxa"/>
            <w:vAlign w:val="bottom"/>
          </w:tcPr>
          <w:p>
            <w:pPr>
              <w:spacing w:after="0"/>
              <w:rPr>
                <w:sz w:val="19"/>
                <w:szCs w:val="19"/>
                <w:color w:val="auto"/>
              </w:rPr>
            </w:pPr>
          </w:p>
        </w:tc>
      </w:tr>
      <w:tr>
        <w:trPr>
          <w:trHeight w:val="110"/>
        </w:trPr>
        <w:tc>
          <w:tcPr>
            <w:tcW w:w="226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r>
      <w:tr>
        <w:trPr>
          <w:trHeight w:val="309"/>
        </w:trPr>
        <w:tc>
          <w:tcPr>
            <w:tcW w:w="2260" w:type="dxa"/>
            <w:vAlign w:val="bottom"/>
          </w:tcPr>
          <w:p>
            <w:pPr>
              <w:spacing w:after="0"/>
              <w:rPr>
                <w:sz w:val="20"/>
                <w:szCs w:val="20"/>
                <w:color w:val="auto"/>
              </w:rPr>
            </w:pPr>
            <w:r>
              <w:rPr>
                <w:rFonts w:ascii="Arial" w:cs="Arial" w:eastAsia="Arial" w:hAnsi="Arial"/>
                <w:sz w:val="18"/>
                <w:szCs w:val="18"/>
                <w:color w:val="auto"/>
              </w:rPr>
              <w:t>Completer Analysis</w:t>
            </w:r>
          </w:p>
        </w:tc>
        <w:tc>
          <w:tcPr>
            <w:tcW w:w="2380" w:type="dxa"/>
            <w:vAlign w:val="bottom"/>
          </w:tcPr>
          <w:p>
            <w:pPr>
              <w:ind w:left="580"/>
              <w:spacing w:after="0"/>
              <w:rPr>
                <w:sz w:val="20"/>
                <w:szCs w:val="20"/>
                <w:color w:val="auto"/>
              </w:rPr>
            </w:pPr>
            <w:r>
              <w:rPr>
                <w:rFonts w:ascii="Arial" w:cs="Arial" w:eastAsia="Arial" w:hAnsi="Arial"/>
                <w:sz w:val="18"/>
                <w:szCs w:val="18"/>
                <w:color w:val="auto"/>
              </w:rPr>
              <w:t>24.0%</w:t>
            </w:r>
          </w:p>
        </w:tc>
        <w:tc>
          <w:tcPr>
            <w:tcW w:w="3000" w:type="dxa"/>
            <w:vAlign w:val="bottom"/>
          </w:tcPr>
          <w:p>
            <w:pPr>
              <w:ind w:left="1120"/>
              <w:spacing w:after="0"/>
              <w:rPr>
                <w:sz w:val="20"/>
                <w:szCs w:val="20"/>
                <w:color w:val="auto"/>
              </w:rPr>
            </w:pPr>
            <w:r>
              <w:rPr>
                <w:rFonts w:ascii="Arial" w:cs="Arial" w:eastAsia="Arial" w:hAnsi="Arial"/>
                <w:sz w:val="18"/>
                <w:szCs w:val="18"/>
                <w:color w:val="auto"/>
              </w:rPr>
              <w:t>32.4%</w:t>
            </w:r>
          </w:p>
        </w:tc>
        <w:tc>
          <w:tcPr>
            <w:tcW w:w="3200" w:type="dxa"/>
            <w:vAlign w:val="bottom"/>
          </w:tcPr>
          <w:p>
            <w:pPr>
              <w:ind w:left="1020"/>
              <w:spacing w:after="0"/>
              <w:rPr>
                <w:sz w:val="20"/>
                <w:szCs w:val="20"/>
                <w:color w:val="auto"/>
              </w:rPr>
            </w:pPr>
            <w:r>
              <w:rPr>
                <w:rFonts w:ascii="Arial" w:cs="Arial" w:eastAsia="Arial" w:hAnsi="Arial"/>
                <w:sz w:val="18"/>
                <w:szCs w:val="18"/>
                <w:color w:val="auto"/>
              </w:rPr>
              <w:t>=.005</w:t>
            </w:r>
          </w:p>
        </w:tc>
      </w:tr>
      <w:tr>
        <w:trPr>
          <w:trHeight w:val="222"/>
        </w:trPr>
        <w:tc>
          <w:tcPr>
            <w:tcW w:w="2260" w:type="dxa"/>
            <w:vAlign w:val="bottom"/>
          </w:tcPr>
          <w:p>
            <w:pPr>
              <w:spacing w:after="0"/>
              <w:rPr>
                <w:sz w:val="19"/>
                <w:szCs w:val="19"/>
                <w:color w:val="auto"/>
              </w:rPr>
            </w:pPr>
          </w:p>
        </w:tc>
        <w:tc>
          <w:tcPr>
            <w:tcW w:w="2380" w:type="dxa"/>
            <w:vAlign w:val="bottom"/>
          </w:tcPr>
          <w:p>
            <w:pPr>
              <w:ind w:left="580"/>
              <w:spacing w:after="0"/>
              <w:rPr>
                <w:sz w:val="20"/>
                <w:szCs w:val="20"/>
                <w:color w:val="auto"/>
              </w:rPr>
            </w:pPr>
            <w:r>
              <w:rPr>
                <w:rFonts w:ascii="Arial" w:cs="Arial" w:eastAsia="Arial" w:hAnsi="Arial"/>
                <w:sz w:val="18"/>
                <w:szCs w:val="18"/>
                <w:color w:val="auto"/>
              </w:rPr>
              <w:t>n=73/304</w:t>
            </w:r>
          </w:p>
        </w:tc>
        <w:tc>
          <w:tcPr>
            <w:tcW w:w="3000" w:type="dxa"/>
            <w:vAlign w:val="bottom"/>
          </w:tcPr>
          <w:p>
            <w:pPr>
              <w:ind w:left="1120"/>
              <w:spacing w:after="0"/>
              <w:rPr>
                <w:sz w:val="20"/>
                <w:szCs w:val="20"/>
                <w:color w:val="auto"/>
              </w:rPr>
            </w:pPr>
            <w:r>
              <w:rPr>
                <w:rFonts w:ascii="Arial" w:cs="Arial" w:eastAsia="Arial" w:hAnsi="Arial"/>
                <w:sz w:val="18"/>
                <w:szCs w:val="18"/>
                <w:color w:val="auto"/>
              </w:rPr>
              <w:t>n=317/979</w:t>
            </w:r>
          </w:p>
        </w:tc>
        <w:tc>
          <w:tcPr>
            <w:tcW w:w="3200" w:type="dxa"/>
            <w:vAlign w:val="bottom"/>
          </w:tcPr>
          <w:p>
            <w:pPr>
              <w:spacing w:after="0"/>
              <w:rPr>
                <w:sz w:val="19"/>
                <w:szCs w:val="19"/>
                <w:color w:val="auto"/>
              </w:rPr>
            </w:pPr>
          </w:p>
        </w:tc>
      </w:tr>
      <w:tr>
        <w:trPr>
          <w:trHeight w:val="110"/>
        </w:trPr>
        <w:tc>
          <w:tcPr>
            <w:tcW w:w="226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left="820" w:hanging="461"/>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Percentage of Patients Losing at Least 10% of Body Weight (i.e., &gt; ~24 lbs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371475</wp:posOffset>
            </wp:positionV>
            <wp:extent cx="68776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22"/>
        </w:trPr>
        <w:tc>
          <w:tcPr>
            <w:tcW w:w="2260" w:type="dxa"/>
            <w:vAlign w:val="bottom"/>
          </w:tcPr>
          <w:p>
            <w:pPr>
              <w:spacing w:after="0"/>
              <w:rPr>
                <w:sz w:val="19"/>
                <w:szCs w:val="19"/>
                <w:color w:val="auto"/>
              </w:rPr>
            </w:pPr>
          </w:p>
        </w:tc>
        <w:tc>
          <w:tcPr>
            <w:tcW w:w="2380" w:type="dxa"/>
            <w:vAlign w:val="bottom"/>
          </w:tcPr>
          <w:p>
            <w:pPr>
              <w:ind w:left="580"/>
              <w:spacing w:after="0"/>
              <w:rPr>
                <w:sz w:val="20"/>
                <w:szCs w:val="20"/>
                <w:color w:val="auto"/>
              </w:rPr>
            </w:pPr>
            <w:r>
              <w:rPr>
                <w:rFonts w:ascii="Arial" w:cs="Arial" w:eastAsia="Arial" w:hAnsi="Arial"/>
                <w:sz w:val="18"/>
                <w:szCs w:val="18"/>
                <w:color w:val="auto"/>
              </w:rPr>
              <w:t>Placebo</w:t>
            </w:r>
          </w:p>
        </w:tc>
        <w:tc>
          <w:tcPr>
            <w:tcW w:w="3000" w:type="dxa"/>
            <w:vAlign w:val="bottom"/>
          </w:tcPr>
          <w:p>
            <w:pPr>
              <w:ind w:left="1120"/>
              <w:spacing w:after="0"/>
              <w:rPr>
                <w:sz w:val="20"/>
                <w:szCs w:val="20"/>
                <w:color w:val="auto"/>
              </w:rPr>
            </w:pPr>
            <w:r>
              <w:rPr>
                <w:rFonts w:ascii="Arial" w:cs="Arial" w:eastAsia="Arial" w:hAnsi="Arial"/>
                <w:sz w:val="18"/>
                <w:szCs w:val="18"/>
                <w:color w:val="auto"/>
              </w:rPr>
              <w:t>AXOKINE</w:t>
            </w:r>
          </w:p>
        </w:tc>
        <w:tc>
          <w:tcPr>
            <w:tcW w:w="3200" w:type="dxa"/>
            <w:vAlign w:val="bottom"/>
          </w:tcPr>
          <w:p>
            <w:pPr>
              <w:ind w:left="1020"/>
              <w:spacing w:after="0"/>
              <w:rPr>
                <w:sz w:val="20"/>
                <w:szCs w:val="20"/>
                <w:color w:val="auto"/>
              </w:rPr>
            </w:pPr>
            <w:r>
              <w:rPr>
                <w:rFonts w:ascii="Arial" w:cs="Arial" w:eastAsia="Arial" w:hAnsi="Arial"/>
                <w:sz w:val="18"/>
                <w:szCs w:val="18"/>
                <w:color w:val="auto"/>
              </w:rPr>
              <w:t>p-value</w:t>
            </w:r>
          </w:p>
        </w:tc>
      </w:tr>
      <w:tr>
        <w:trPr>
          <w:trHeight w:val="110"/>
        </w:trPr>
        <w:tc>
          <w:tcPr>
            <w:tcW w:w="226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r>
      <w:tr>
        <w:trPr>
          <w:trHeight w:val="309"/>
        </w:trPr>
        <w:tc>
          <w:tcPr>
            <w:tcW w:w="2260" w:type="dxa"/>
            <w:vAlign w:val="bottom"/>
          </w:tcPr>
          <w:p>
            <w:pPr>
              <w:spacing w:after="0"/>
              <w:rPr>
                <w:sz w:val="20"/>
                <w:szCs w:val="20"/>
                <w:color w:val="auto"/>
              </w:rPr>
            </w:pPr>
            <w:r>
              <w:rPr>
                <w:rFonts w:ascii="Arial" w:cs="Arial" w:eastAsia="Arial" w:hAnsi="Arial"/>
                <w:sz w:val="18"/>
                <w:szCs w:val="18"/>
                <w:color w:val="auto"/>
              </w:rPr>
              <w:t>Intent-to-Treat Analysis</w:t>
            </w:r>
          </w:p>
        </w:tc>
        <w:tc>
          <w:tcPr>
            <w:tcW w:w="2380" w:type="dxa"/>
            <w:vAlign w:val="bottom"/>
          </w:tcPr>
          <w:p>
            <w:pPr>
              <w:ind w:left="580"/>
              <w:spacing w:after="0"/>
              <w:rPr>
                <w:sz w:val="20"/>
                <w:szCs w:val="20"/>
                <w:color w:val="auto"/>
              </w:rPr>
            </w:pPr>
            <w:r>
              <w:rPr>
                <w:rFonts w:ascii="Arial" w:cs="Arial" w:eastAsia="Arial" w:hAnsi="Arial"/>
                <w:sz w:val="18"/>
                <w:szCs w:val="18"/>
                <w:color w:val="auto"/>
              </w:rPr>
              <w:t>4.2%</w:t>
            </w:r>
          </w:p>
        </w:tc>
        <w:tc>
          <w:tcPr>
            <w:tcW w:w="3000" w:type="dxa"/>
            <w:vAlign w:val="bottom"/>
          </w:tcPr>
          <w:p>
            <w:pPr>
              <w:ind w:left="1120"/>
              <w:spacing w:after="0"/>
              <w:rPr>
                <w:sz w:val="20"/>
                <w:szCs w:val="20"/>
                <w:color w:val="auto"/>
              </w:rPr>
            </w:pPr>
            <w:r>
              <w:rPr>
                <w:rFonts w:ascii="Arial" w:cs="Arial" w:eastAsia="Arial" w:hAnsi="Arial"/>
                <w:sz w:val="18"/>
                <w:szCs w:val="18"/>
                <w:color w:val="auto"/>
              </w:rPr>
              <w:t>11.3%</w:t>
            </w:r>
          </w:p>
        </w:tc>
        <w:tc>
          <w:tcPr>
            <w:tcW w:w="3200" w:type="dxa"/>
            <w:vAlign w:val="bottom"/>
          </w:tcPr>
          <w:p>
            <w:pPr>
              <w:ind w:left="1020"/>
              <w:spacing w:after="0"/>
              <w:rPr>
                <w:sz w:val="20"/>
                <w:szCs w:val="20"/>
                <w:color w:val="auto"/>
              </w:rPr>
            </w:pPr>
            <w:r>
              <w:rPr>
                <w:rFonts w:ascii="Arial" w:cs="Arial" w:eastAsia="Arial" w:hAnsi="Arial"/>
                <w:sz w:val="18"/>
                <w:szCs w:val="18"/>
                <w:color w:val="auto"/>
              </w:rPr>
              <w:t>&lt;.001</w:t>
            </w:r>
          </w:p>
        </w:tc>
      </w:tr>
      <w:tr>
        <w:trPr>
          <w:trHeight w:val="222"/>
        </w:trPr>
        <w:tc>
          <w:tcPr>
            <w:tcW w:w="2260" w:type="dxa"/>
            <w:vAlign w:val="bottom"/>
          </w:tcPr>
          <w:p>
            <w:pPr>
              <w:spacing w:after="0"/>
              <w:rPr>
                <w:sz w:val="19"/>
                <w:szCs w:val="19"/>
                <w:color w:val="auto"/>
              </w:rPr>
            </w:pPr>
          </w:p>
        </w:tc>
        <w:tc>
          <w:tcPr>
            <w:tcW w:w="2380" w:type="dxa"/>
            <w:vAlign w:val="bottom"/>
          </w:tcPr>
          <w:p>
            <w:pPr>
              <w:ind w:left="580"/>
              <w:spacing w:after="0"/>
              <w:rPr>
                <w:sz w:val="20"/>
                <w:szCs w:val="20"/>
                <w:color w:val="auto"/>
              </w:rPr>
            </w:pPr>
            <w:r>
              <w:rPr>
                <w:rFonts w:ascii="Arial" w:cs="Arial" w:eastAsia="Arial" w:hAnsi="Arial"/>
                <w:sz w:val="18"/>
                <w:szCs w:val="18"/>
                <w:color w:val="auto"/>
              </w:rPr>
              <w:t>n=21/501</w:t>
            </w:r>
          </w:p>
        </w:tc>
        <w:tc>
          <w:tcPr>
            <w:tcW w:w="3000" w:type="dxa"/>
            <w:vAlign w:val="bottom"/>
          </w:tcPr>
          <w:p>
            <w:pPr>
              <w:ind w:left="1120"/>
              <w:spacing w:after="0"/>
              <w:rPr>
                <w:sz w:val="20"/>
                <w:szCs w:val="20"/>
                <w:color w:val="auto"/>
              </w:rPr>
            </w:pPr>
            <w:r>
              <w:rPr>
                <w:rFonts w:ascii="Arial" w:cs="Arial" w:eastAsia="Arial" w:hAnsi="Arial"/>
                <w:sz w:val="18"/>
                <w:szCs w:val="18"/>
                <w:color w:val="auto"/>
              </w:rPr>
              <w:t>n=166/1467</w:t>
            </w:r>
          </w:p>
        </w:tc>
        <w:tc>
          <w:tcPr>
            <w:tcW w:w="3200" w:type="dxa"/>
            <w:vAlign w:val="bottom"/>
          </w:tcPr>
          <w:p>
            <w:pPr>
              <w:spacing w:after="0"/>
              <w:rPr>
                <w:sz w:val="19"/>
                <w:szCs w:val="19"/>
                <w:color w:val="auto"/>
              </w:rPr>
            </w:pPr>
          </w:p>
        </w:tc>
      </w:tr>
      <w:tr>
        <w:trPr>
          <w:trHeight w:val="110"/>
        </w:trPr>
        <w:tc>
          <w:tcPr>
            <w:tcW w:w="226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r>
      <w:tr>
        <w:trPr>
          <w:trHeight w:val="309"/>
        </w:trPr>
        <w:tc>
          <w:tcPr>
            <w:tcW w:w="2260" w:type="dxa"/>
            <w:vAlign w:val="bottom"/>
          </w:tcPr>
          <w:p>
            <w:pPr>
              <w:spacing w:after="0"/>
              <w:rPr>
                <w:sz w:val="20"/>
                <w:szCs w:val="20"/>
                <w:color w:val="auto"/>
              </w:rPr>
            </w:pPr>
            <w:r>
              <w:rPr>
                <w:rFonts w:ascii="Arial" w:cs="Arial" w:eastAsia="Arial" w:hAnsi="Arial"/>
                <w:sz w:val="18"/>
                <w:szCs w:val="18"/>
                <w:color w:val="auto"/>
              </w:rPr>
              <w:t>Completer Analysis</w:t>
            </w:r>
          </w:p>
        </w:tc>
        <w:tc>
          <w:tcPr>
            <w:tcW w:w="2380" w:type="dxa"/>
            <w:vAlign w:val="bottom"/>
          </w:tcPr>
          <w:p>
            <w:pPr>
              <w:ind w:left="580"/>
              <w:spacing w:after="0"/>
              <w:rPr>
                <w:sz w:val="20"/>
                <w:szCs w:val="20"/>
                <w:color w:val="auto"/>
              </w:rPr>
            </w:pPr>
            <w:r>
              <w:rPr>
                <w:rFonts w:ascii="Arial" w:cs="Arial" w:eastAsia="Arial" w:hAnsi="Arial"/>
                <w:sz w:val="18"/>
                <w:szCs w:val="18"/>
                <w:color w:val="auto"/>
              </w:rPr>
              <w:t>6.6%</w:t>
            </w:r>
          </w:p>
        </w:tc>
        <w:tc>
          <w:tcPr>
            <w:tcW w:w="3000" w:type="dxa"/>
            <w:vAlign w:val="bottom"/>
          </w:tcPr>
          <w:p>
            <w:pPr>
              <w:ind w:left="1120"/>
              <w:spacing w:after="0"/>
              <w:rPr>
                <w:sz w:val="20"/>
                <w:szCs w:val="20"/>
                <w:color w:val="auto"/>
              </w:rPr>
            </w:pPr>
            <w:r>
              <w:rPr>
                <w:rFonts w:ascii="Arial" w:cs="Arial" w:eastAsia="Arial" w:hAnsi="Arial"/>
                <w:sz w:val="18"/>
                <w:szCs w:val="18"/>
                <w:color w:val="auto"/>
              </w:rPr>
              <w:t>15.5%</w:t>
            </w:r>
          </w:p>
        </w:tc>
        <w:tc>
          <w:tcPr>
            <w:tcW w:w="3200" w:type="dxa"/>
            <w:vAlign w:val="bottom"/>
          </w:tcPr>
          <w:p>
            <w:pPr>
              <w:ind w:left="1020"/>
              <w:spacing w:after="0"/>
              <w:rPr>
                <w:sz w:val="20"/>
                <w:szCs w:val="20"/>
                <w:color w:val="auto"/>
              </w:rPr>
            </w:pPr>
            <w:r>
              <w:rPr>
                <w:rFonts w:ascii="Arial" w:cs="Arial" w:eastAsia="Arial" w:hAnsi="Arial"/>
                <w:sz w:val="18"/>
                <w:szCs w:val="18"/>
                <w:color w:val="auto"/>
              </w:rPr>
              <w:t>&lt;.001</w:t>
            </w:r>
          </w:p>
        </w:tc>
      </w:tr>
      <w:tr>
        <w:trPr>
          <w:trHeight w:val="222"/>
        </w:trPr>
        <w:tc>
          <w:tcPr>
            <w:tcW w:w="2260" w:type="dxa"/>
            <w:vAlign w:val="bottom"/>
          </w:tcPr>
          <w:p>
            <w:pPr>
              <w:spacing w:after="0"/>
              <w:rPr>
                <w:sz w:val="19"/>
                <w:szCs w:val="19"/>
                <w:color w:val="auto"/>
              </w:rPr>
            </w:pPr>
          </w:p>
        </w:tc>
        <w:tc>
          <w:tcPr>
            <w:tcW w:w="2380" w:type="dxa"/>
            <w:vAlign w:val="bottom"/>
          </w:tcPr>
          <w:p>
            <w:pPr>
              <w:ind w:left="580"/>
              <w:spacing w:after="0"/>
              <w:rPr>
                <w:sz w:val="20"/>
                <w:szCs w:val="20"/>
                <w:color w:val="auto"/>
              </w:rPr>
            </w:pPr>
            <w:r>
              <w:rPr>
                <w:rFonts w:ascii="Arial" w:cs="Arial" w:eastAsia="Arial" w:hAnsi="Arial"/>
                <w:sz w:val="18"/>
                <w:szCs w:val="18"/>
                <w:color w:val="auto"/>
              </w:rPr>
              <w:t>n=20/304</w:t>
            </w:r>
          </w:p>
        </w:tc>
        <w:tc>
          <w:tcPr>
            <w:tcW w:w="3000" w:type="dxa"/>
            <w:vAlign w:val="bottom"/>
          </w:tcPr>
          <w:p>
            <w:pPr>
              <w:ind w:left="1120"/>
              <w:spacing w:after="0"/>
              <w:rPr>
                <w:sz w:val="20"/>
                <w:szCs w:val="20"/>
                <w:color w:val="auto"/>
              </w:rPr>
            </w:pPr>
            <w:r>
              <w:rPr>
                <w:rFonts w:ascii="Arial" w:cs="Arial" w:eastAsia="Arial" w:hAnsi="Arial"/>
                <w:sz w:val="18"/>
                <w:szCs w:val="18"/>
                <w:color w:val="auto"/>
              </w:rPr>
              <w:t>n=152/979</w:t>
            </w:r>
          </w:p>
        </w:tc>
        <w:tc>
          <w:tcPr>
            <w:tcW w:w="3200" w:type="dxa"/>
            <w:vAlign w:val="bottom"/>
          </w:tcPr>
          <w:p>
            <w:pPr>
              <w:spacing w:after="0"/>
              <w:rPr>
                <w:sz w:val="19"/>
                <w:szCs w:val="19"/>
                <w:color w:val="auto"/>
              </w:rPr>
            </w:pPr>
          </w:p>
        </w:tc>
      </w:tr>
      <w:tr>
        <w:trPr>
          <w:trHeight w:val="110"/>
        </w:trPr>
        <w:tc>
          <w:tcPr>
            <w:tcW w:w="226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Participants Completing One-Year of Treatment: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Placebo-Treated (Pbo) vs. AXOKINE-Treated Who Developed Antibodies (Ab-Pos)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AXOKINE-Treated Who Did Not Develop Antibodies (Ab-Neg)</w:t>
      </w:r>
    </w:p>
    <w:p>
      <w:pPr>
        <w:spacing w:after="0" w:line="219" w:lineRule="exact"/>
        <w:rPr>
          <w:sz w:val="20"/>
          <w:szCs w:val="20"/>
          <w:color w:val="auto"/>
        </w:rPr>
      </w:pPr>
    </w:p>
    <w:p>
      <w:pPr>
        <w:ind w:left="820" w:hanging="461"/>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Weight Loss vs.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371475</wp:posOffset>
            </wp:positionV>
            <wp:extent cx="68776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Placebo</w:t>
            </w:r>
          </w:p>
        </w:tc>
        <w:tc>
          <w:tcPr>
            <w:tcW w:w="2940" w:type="dxa"/>
            <w:vAlign w:val="bottom"/>
          </w:tcPr>
          <w:p>
            <w:pPr>
              <w:ind w:left="1080"/>
              <w:spacing w:after="0"/>
              <w:rPr>
                <w:sz w:val="20"/>
                <w:szCs w:val="20"/>
                <w:color w:val="auto"/>
              </w:rPr>
            </w:pPr>
            <w:r>
              <w:rPr>
                <w:rFonts w:ascii="Arial" w:cs="Arial" w:eastAsia="Arial" w:hAnsi="Arial"/>
                <w:sz w:val="18"/>
                <w:szCs w:val="18"/>
                <w:color w:val="auto"/>
              </w:rPr>
              <w:t>AXOKINE</w:t>
            </w:r>
          </w:p>
        </w:tc>
        <w:tc>
          <w:tcPr>
            <w:tcW w:w="2960" w:type="dxa"/>
            <w:vAlign w:val="bottom"/>
          </w:tcPr>
          <w:p>
            <w:pPr>
              <w:ind w:left="1060"/>
              <w:spacing w:after="0"/>
              <w:rPr>
                <w:sz w:val="20"/>
                <w:szCs w:val="20"/>
                <w:color w:val="auto"/>
              </w:rPr>
            </w:pPr>
            <w:r>
              <w:rPr>
                <w:rFonts w:ascii="Arial" w:cs="Arial" w:eastAsia="Arial" w:hAnsi="Arial"/>
                <w:sz w:val="18"/>
                <w:szCs w:val="18"/>
                <w:color w:val="auto"/>
              </w:rPr>
              <w:t>AXOKINE</w:t>
            </w:r>
          </w:p>
        </w:tc>
        <w:tc>
          <w:tcPr>
            <w:tcW w:w="3180" w:type="dxa"/>
            <w:vAlign w:val="bottom"/>
          </w:tcPr>
          <w:p>
            <w:pPr>
              <w:ind w:left="1000"/>
              <w:spacing w:after="0"/>
              <w:rPr>
                <w:sz w:val="20"/>
                <w:szCs w:val="20"/>
                <w:color w:val="auto"/>
              </w:rPr>
            </w:pPr>
            <w:r>
              <w:rPr>
                <w:rFonts w:ascii="Arial" w:cs="Arial" w:eastAsia="Arial" w:hAnsi="Arial"/>
                <w:sz w:val="18"/>
                <w:szCs w:val="18"/>
                <w:color w:val="auto"/>
              </w:rPr>
              <w:t>p-value</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940" w:type="dxa"/>
            <w:vAlign w:val="bottom"/>
          </w:tcPr>
          <w:p>
            <w:pPr>
              <w:ind w:left="1080"/>
              <w:spacing w:after="0"/>
              <w:rPr>
                <w:sz w:val="20"/>
                <w:szCs w:val="20"/>
                <w:color w:val="auto"/>
              </w:rPr>
            </w:pPr>
            <w:r>
              <w:rPr>
                <w:rFonts w:ascii="Arial" w:cs="Arial" w:eastAsia="Arial" w:hAnsi="Arial"/>
                <w:sz w:val="18"/>
                <w:szCs w:val="18"/>
                <w:color w:val="auto"/>
              </w:rPr>
              <w:t>(Ab-Pos)</w:t>
            </w:r>
          </w:p>
        </w:tc>
        <w:tc>
          <w:tcPr>
            <w:tcW w:w="2960" w:type="dxa"/>
            <w:vAlign w:val="bottom"/>
          </w:tcPr>
          <w:p>
            <w:pPr>
              <w:ind w:left="1280"/>
              <w:spacing w:after="0"/>
              <w:rPr>
                <w:sz w:val="20"/>
                <w:szCs w:val="20"/>
                <w:color w:val="auto"/>
              </w:rPr>
            </w:pPr>
            <w:r>
              <w:rPr>
                <w:rFonts w:ascii="Arial" w:cs="Arial" w:eastAsia="Arial" w:hAnsi="Arial"/>
                <w:sz w:val="18"/>
                <w:szCs w:val="18"/>
                <w:color w:val="auto"/>
              </w:rPr>
              <w:t>(Ab-Neg)</w:t>
            </w:r>
          </w:p>
        </w:tc>
        <w:tc>
          <w:tcPr>
            <w:tcW w:w="3180" w:type="dxa"/>
            <w:vAlign w:val="bottom"/>
          </w:tcPr>
          <w:p>
            <w:pPr>
              <w:ind w:left="1000"/>
              <w:spacing w:after="0"/>
              <w:rPr>
                <w:sz w:val="20"/>
                <w:szCs w:val="20"/>
                <w:color w:val="auto"/>
              </w:rPr>
            </w:pPr>
            <w:r>
              <w:rPr>
                <w:rFonts w:ascii="Arial" w:cs="Arial" w:eastAsia="Arial" w:hAnsi="Arial"/>
                <w:sz w:val="18"/>
                <w:szCs w:val="18"/>
                <w:color w:val="auto"/>
              </w:rPr>
              <w:t>(Ab-Neg vs. Pbo)</w:t>
            </w:r>
          </w:p>
        </w:tc>
        <w:tc>
          <w:tcPr>
            <w:tcW w:w="0" w:type="dxa"/>
            <w:vAlign w:val="bottom"/>
          </w:tcPr>
          <w:p>
            <w:pPr>
              <w:spacing w:after="0"/>
              <w:rPr>
                <w:sz w:val="1"/>
                <w:szCs w:val="1"/>
                <w:color w:val="auto"/>
              </w:rPr>
            </w:pPr>
          </w:p>
        </w:tc>
      </w:tr>
      <w:tr>
        <w:trPr>
          <w:trHeight w:val="222"/>
        </w:trPr>
        <w:tc>
          <w:tcPr>
            <w:tcW w:w="1760" w:type="dxa"/>
            <w:vAlign w:val="bottom"/>
          </w:tcPr>
          <w:p>
            <w:pPr>
              <w:ind w:left="220"/>
              <w:spacing w:after="0"/>
              <w:rPr>
                <w:sz w:val="20"/>
                <w:szCs w:val="20"/>
                <w:color w:val="auto"/>
              </w:rPr>
            </w:pPr>
            <w:r>
              <w:rPr>
                <w:rFonts w:ascii="Arial" w:cs="Arial" w:eastAsia="Arial" w:hAnsi="Arial"/>
                <w:sz w:val="18"/>
                <w:szCs w:val="18"/>
                <w:color w:val="auto"/>
              </w:rPr>
              <w:t>n=304</w:t>
            </w:r>
          </w:p>
        </w:tc>
        <w:tc>
          <w:tcPr>
            <w:tcW w:w="2940" w:type="dxa"/>
            <w:vAlign w:val="bottom"/>
          </w:tcPr>
          <w:p>
            <w:pPr>
              <w:ind w:left="1080"/>
              <w:spacing w:after="0"/>
              <w:rPr>
                <w:sz w:val="20"/>
                <w:szCs w:val="20"/>
                <w:color w:val="auto"/>
              </w:rPr>
            </w:pPr>
            <w:r>
              <w:rPr>
                <w:rFonts w:ascii="Arial" w:cs="Arial" w:eastAsia="Arial" w:hAnsi="Arial"/>
                <w:sz w:val="18"/>
                <w:szCs w:val="18"/>
                <w:color w:val="auto"/>
              </w:rPr>
              <w:t>n=720</w:t>
            </w:r>
          </w:p>
        </w:tc>
        <w:tc>
          <w:tcPr>
            <w:tcW w:w="2960" w:type="dxa"/>
            <w:vAlign w:val="bottom"/>
            <w:vMerge w:val="restart"/>
          </w:tcPr>
          <w:p>
            <w:pPr>
              <w:ind w:left="1060"/>
              <w:spacing w:after="0"/>
              <w:rPr>
                <w:sz w:val="20"/>
                <w:szCs w:val="20"/>
                <w:color w:val="auto"/>
              </w:rPr>
            </w:pPr>
            <w:r>
              <w:rPr>
                <w:rFonts w:ascii="Arial" w:cs="Arial" w:eastAsia="Arial" w:hAnsi="Arial"/>
                <w:sz w:val="18"/>
                <w:szCs w:val="18"/>
                <w:color w:val="auto"/>
              </w:rPr>
              <w:t>n=259</w:t>
            </w: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960" w:type="dxa"/>
            <w:vAlign w:val="bottom"/>
            <w:vMerge w:val="continue"/>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760" w:type="dxa"/>
            <w:vAlign w:val="bottom"/>
            <w:tcBorders>
              <w:bottom w:val="single" w:sz="8" w:color="808080"/>
            </w:tcBorders>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760" w:type="dxa"/>
            <w:vAlign w:val="bottom"/>
          </w:tcPr>
          <w:p>
            <w:pPr>
              <w:spacing w:after="0"/>
              <w:rPr>
                <w:sz w:val="20"/>
                <w:szCs w:val="20"/>
                <w:color w:val="auto"/>
              </w:rPr>
            </w:pPr>
            <w:r>
              <w:rPr>
                <w:rFonts w:ascii="Arial" w:cs="Arial" w:eastAsia="Arial" w:hAnsi="Arial"/>
                <w:sz w:val="18"/>
                <w:szCs w:val="18"/>
                <w:color w:val="auto"/>
              </w:rPr>
              <w:t>4.5 lbs</w:t>
            </w:r>
          </w:p>
        </w:tc>
        <w:tc>
          <w:tcPr>
            <w:tcW w:w="2940" w:type="dxa"/>
            <w:vAlign w:val="bottom"/>
          </w:tcPr>
          <w:p>
            <w:pPr>
              <w:ind w:left="1080"/>
              <w:spacing w:after="0"/>
              <w:rPr>
                <w:sz w:val="20"/>
                <w:szCs w:val="20"/>
                <w:color w:val="auto"/>
              </w:rPr>
            </w:pPr>
            <w:r>
              <w:rPr>
                <w:rFonts w:ascii="Arial" w:cs="Arial" w:eastAsia="Arial" w:hAnsi="Arial"/>
                <w:sz w:val="18"/>
                <w:szCs w:val="18"/>
                <w:color w:val="auto"/>
              </w:rPr>
              <w:t>6.4 lbs</w:t>
            </w:r>
          </w:p>
        </w:tc>
        <w:tc>
          <w:tcPr>
            <w:tcW w:w="2960" w:type="dxa"/>
            <w:vAlign w:val="bottom"/>
          </w:tcPr>
          <w:p>
            <w:pPr>
              <w:ind w:left="1060"/>
              <w:spacing w:after="0"/>
              <w:rPr>
                <w:sz w:val="20"/>
                <w:szCs w:val="20"/>
                <w:color w:val="auto"/>
              </w:rPr>
            </w:pPr>
            <w:r>
              <w:rPr>
                <w:rFonts w:ascii="Arial" w:cs="Arial" w:eastAsia="Arial" w:hAnsi="Arial"/>
                <w:sz w:val="18"/>
                <w:szCs w:val="18"/>
                <w:color w:val="auto"/>
              </w:rPr>
              <w:t>12.6 lbs</w:t>
            </w:r>
          </w:p>
        </w:tc>
        <w:tc>
          <w:tcPr>
            <w:tcW w:w="3180" w:type="dxa"/>
            <w:vAlign w:val="bottom"/>
          </w:tcPr>
          <w:p>
            <w:pPr>
              <w:ind w:left="1000"/>
              <w:spacing w:after="0"/>
              <w:rPr>
                <w:sz w:val="20"/>
                <w:szCs w:val="20"/>
                <w:color w:val="auto"/>
              </w:rPr>
            </w:pPr>
            <w:r>
              <w:rPr>
                <w:rFonts w:ascii="Arial" w:cs="Arial" w:eastAsia="Arial" w:hAnsi="Arial"/>
                <w:sz w:val="18"/>
                <w:szCs w:val="18"/>
                <w:color w:val="auto"/>
              </w:rPr>
              <w:t>&lt;.001</w:t>
            </w:r>
          </w:p>
        </w:tc>
        <w:tc>
          <w:tcPr>
            <w:tcW w:w="0" w:type="dxa"/>
            <w:vAlign w:val="bottom"/>
          </w:tcPr>
          <w:p>
            <w:pPr>
              <w:spacing w:after="0"/>
              <w:rPr>
                <w:sz w:val="1"/>
                <w:szCs w:val="1"/>
                <w:color w:val="auto"/>
              </w:rPr>
            </w:pPr>
          </w:p>
        </w:tc>
      </w:tr>
      <w:tr>
        <w:trPr>
          <w:trHeight w:val="110"/>
        </w:trPr>
        <w:tc>
          <w:tcPr>
            <w:tcW w:w="1760" w:type="dxa"/>
            <w:vAlign w:val="bottom"/>
            <w:tcBorders>
              <w:bottom w:val="single" w:sz="8" w:color="808080"/>
            </w:tcBorders>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820" w:hanging="461"/>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Weight Loss in Early Responders (Participants who lost at least 4 lbs in the first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371475</wp:posOffset>
            </wp:positionV>
            <wp:extent cx="68776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Placebo</w:t>
            </w:r>
          </w:p>
        </w:tc>
        <w:tc>
          <w:tcPr>
            <w:tcW w:w="3000" w:type="dxa"/>
            <w:vAlign w:val="bottom"/>
          </w:tcPr>
          <w:p>
            <w:pPr>
              <w:ind w:left="1140"/>
              <w:spacing w:after="0"/>
              <w:rPr>
                <w:sz w:val="20"/>
                <w:szCs w:val="20"/>
                <w:color w:val="auto"/>
              </w:rPr>
            </w:pPr>
            <w:r>
              <w:rPr>
                <w:rFonts w:ascii="Arial" w:cs="Arial" w:eastAsia="Arial" w:hAnsi="Arial"/>
                <w:sz w:val="18"/>
                <w:szCs w:val="18"/>
                <w:color w:val="auto"/>
              </w:rPr>
              <w:t>AXOKINE</w:t>
            </w:r>
          </w:p>
        </w:tc>
        <w:tc>
          <w:tcPr>
            <w:tcW w:w="3000" w:type="dxa"/>
            <w:vAlign w:val="bottom"/>
          </w:tcPr>
          <w:p>
            <w:pPr>
              <w:ind w:left="1060"/>
              <w:spacing w:after="0"/>
              <w:rPr>
                <w:sz w:val="20"/>
                <w:szCs w:val="20"/>
                <w:color w:val="auto"/>
              </w:rPr>
            </w:pPr>
            <w:r>
              <w:rPr>
                <w:rFonts w:ascii="Arial" w:cs="Arial" w:eastAsia="Arial" w:hAnsi="Arial"/>
                <w:sz w:val="18"/>
                <w:szCs w:val="18"/>
                <w:color w:val="auto"/>
              </w:rPr>
              <w:t>AXOKINE</w:t>
            </w:r>
          </w:p>
        </w:tc>
        <w:tc>
          <w:tcPr>
            <w:tcW w:w="3140" w:type="dxa"/>
            <w:vAlign w:val="bottom"/>
          </w:tcPr>
          <w:p>
            <w:pPr>
              <w:ind w:left="960"/>
              <w:spacing w:after="0"/>
              <w:rPr>
                <w:sz w:val="20"/>
                <w:szCs w:val="20"/>
                <w:color w:val="auto"/>
              </w:rPr>
            </w:pPr>
            <w:r>
              <w:rPr>
                <w:rFonts w:ascii="Arial" w:cs="Arial" w:eastAsia="Arial" w:hAnsi="Arial"/>
                <w:sz w:val="18"/>
                <w:szCs w:val="18"/>
                <w:color w:val="auto"/>
              </w:rPr>
              <w:t>p-value</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0" w:type="dxa"/>
            <w:vAlign w:val="bottom"/>
          </w:tcPr>
          <w:p>
            <w:pPr>
              <w:ind w:left="1140"/>
              <w:spacing w:after="0"/>
              <w:rPr>
                <w:sz w:val="20"/>
                <w:szCs w:val="20"/>
                <w:color w:val="auto"/>
              </w:rPr>
            </w:pPr>
            <w:r>
              <w:rPr>
                <w:rFonts w:ascii="Arial" w:cs="Arial" w:eastAsia="Arial" w:hAnsi="Arial"/>
                <w:sz w:val="18"/>
                <w:szCs w:val="18"/>
                <w:color w:val="auto"/>
              </w:rPr>
              <w:t>(Ab-Pos)</w:t>
            </w:r>
          </w:p>
        </w:tc>
        <w:tc>
          <w:tcPr>
            <w:tcW w:w="3000" w:type="dxa"/>
            <w:vAlign w:val="bottom"/>
          </w:tcPr>
          <w:p>
            <w:pPr>
              <w:ind w:left="1360"/>
              <w:spacing w:after="0"/>
              <w:rPr>
                <w:sz w:val="20"/>
                <w:szCs w:val="20"/>
                <w:color w:val="auto"/>
              </w:rPr>
            </w:pPr>
            <w:r>
              <w:rPr>
                <w:rFonts w:ascii="Arial" w:cs="Arial" w:eastAsia="Arial" w:hAnsi="Arial"/>
                <w:sz w:val="18"/>
                <w:szCs w:val="18"/>
                <w:color w:val="auto"/>
              </w:rPr>
              <w:t>(Ab-Neg)</w:t>
            </w:r>
          </w:p>
        </w:tc>
        <w:tc>
          <w:tcPr>
            <w:tcW w:w="3140" w:type="dxa"/>
            <w:vAlign w:val="bottom"/>
          </w:tcPr>
          <w:p>
            <w:pPr>
              <w:ind w:left="960"/>
              <w:spacing w:after="0"/>
              <w:rPr>
                <w:sz w:val="20"/>
                <w:szCs w:val="20"/>
                <w:color w:val="auto"/>
              </w:rPr>
            </w:pPr>
            <w:r>
              <w:rPr>
                <w:rFonts w:ascii="Arial" w:cs="Arial" w:eastAsia="Arial" w:hAnsi="Arial"/>
                <w:sz w:val="18"/>
                <w:szCs w:val="18"/>
                <w:color w:val="auto"/>
              </w:rPr>
              <w:t>(Ab-Neg vs. Pbo)</w:t>
            </w:r>
          </w:p>
        </w:tc>
        <w:tc>
          <w:tcPr>
            <w:tcW w:w="280" w:type="dxa"/>
            <w:vAlign w:val="bottom"/>
          </w:tcPr>
          <w:p>
            <w:pPr>
              <w:spacing w:after="0"/>
              <w:rPr>
                <w:sz w:val="18"/>
                <w:szCs w:val="18"/>
                <w:color w:val="auto"/>
              </w:rPr>
            </w:pPr>
          </w:p>
        </w:tc>
      </w:tr>
      <w:tr>
        <w:trPr>
          <w:trHeight w:val="222"/>
        </w:trPr>
        <w:tc>
          <w:tcPr>
            <w:tcW w:w="30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n=94</w:t>
            </w:r>
          </w:p>
        </w:tc>
        <w:tc>
          <w:tcPr>
            <w:tcW w:w="3000" w:type="dxa"/>
            <w:vAlign w:val="bottom"/>
          </w:tcPr>
          <w:p>
            <w:pPr>
              <w:ind w:left="1140"/>
              <w:spacing w:after="0"/>
              <w:rPr>
                <w:sz w:val="20"/>
                <w:szCs w:val="20"/>
                <w:color w:val="auto"/>
              </w:rPr>
            </w:pPr>
            <w:r>
              <w:rPr>
                <w:rFonts w:ascii="Arial" w:cs="Arial" w:eastAsia="Arial" w:hAnsi="Arial"/>
                <w:sz w:val="18"/>
                <w:szCs w:val="18"/>
                <w:color w:val="auto"/>
              </w:rPr>
              <w:t>n=383</w:t>
            </w:r>
          </w:p>
        </w:tc>
        <w:tc>
          <w:tcPr>
            <w:tcW w:w="3000" w:type="dxa"/>
            <w:vAlign w:val="bottom"/>
          </w:tcPr>
          <w:p>
            <w:pPr>
              <w:ind w:left="1180"/>
              <w:spacing w:after="0"/>
              <w:rPr>
                <w:sz w:val="20"/>
                <w:szCs w:val="20"/>
                <w:color w:val="auto"/>
              </w:rPr>
            </w:pPr>
            <w:r>
              <w:rPr>
                <w:rFonts w:ascii="Arial" w:cs="Arial" w:eastAsia="Arial" w:hAnsi="Arial"/>
                <w:sz w:val="18"/>
                <w:szCs w:val="18"/>
                <w:color w:val="auto"/>
              </w:rPr>
              <w:t>n=135</w:t>
            </w:r>
          </w:p>
        </w:tc>
        <w:tc>
          <w:tcPr>
            <w:tcW w:w="31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110"/>
        </w:trPr>
        <w:tc>
          <w:tcPr>
            <w:tcW w:w="30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31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r>
      <w:tr>
        <w:trPr>
          <w:trHeight w:val="316"/>
        </w:trPr>
        <w:tc>
          <w:tcPr>
            <w:tcW w:w="30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12.2 lbs</w:t>
            </w:r>
          </w:p>
        </w:tc>
        <w:tc>
          <w:tcPr>
            <w:tcW w:w="3000" w:type="dxa"/>
            <w:vAlign w:val="bottom"/>
          </w:tcPr>
          <w:p>
            <w:pPr>
              <w:ind w:left="1140"/>
              <w:spacing w:after="0"/>
              <w:rPr>
                <w:sz w:val="20"/>
                <w:szCs w:val="20"/>
                <w:color w:val="auto"/>
              </w:rPr>
            </w:pPr>
            <w:r>
              <w:rPr>
                <w:rFonts w:ascii="Arial" w:cs="Arial" w:eastAsia="Arial" w:hAnsi="Arial"/>
                <w:sz w:val="18"/>
                <w:szCs w:val="18"/>
                <w:color w:val="auto"/>
              </w:rPr>
              <w:t>10.6 lbs</w:t>
            </w:r>
          </w:p>
        </w:tc>
        <w:tc>
          <w:tcPr>
            <w:tcW w:w="3000" w:type="dxa"/>
            <w:vAlign w:val="bottom"/>
          </w:tcPr>
          <w:p>
            <w:pPr>
              <w:ind w:left="1060"/>
              <w:spacing w:after="0"/>
              <w:rPr>
                <w:sz w:val="20"/>
                <w:szCs w:val="20"/>
                <w:color w:val="auto"/>
              </w:rPr>
            </w:pPr>
            <w:r>
              <w:rPr>
                <w:rFonts w:ascii="Arial" w:cs="Arial" w:eastAsia="Arial" w:hAnsi="Arial"/>
                <w:sz w:val="18"/>
                <w:szCs w:val="18"/>
                <w:color w:val="auto"/>
              </w:rPr>
              <w:t>19.4 lbs</w:t>
            </w:r>
          </w:p>
        </w:tc>
        <w:tc>
          <w:tcPr>
            <w:tcW w:w="3140" w:type="dxa"/>
            <w:vAlign w:val="bottom"/>
          </w:tcPr>
          <w:p>
            <w:pPr>
              <w:ind w:left="960"/>
              <w:spacing w:after="0"/>
              <w:rPr>
                <w:sz w:val="20"/>
                <w:szCs w:val="20"/>
                <w:color w:val="auto"/>
              </w:rPr>
            </w:pPr>
            <w:r>
              <w:rPr>
                <w:rFonts w:ascii="Arial" w:cs="Arial" w:eastAsia="Arial" w:hAnsi="Arial"/>
                <w:sz w:val="18"/>
                <w:szCs w:val="18"/>
                <w:color w:val="auto"/>
              </w:rPr>
              <w:t>&lt;.001</w:t>
            </w:r>
          </w:p>
        </w:tc>
        <w:tc>
          <w:tcPr>
            <w:tcW w:w="280" w:type="dxa"/>
            <w:vAlign w:val="bottom"/>
          </w:tcPr>
          <w:p>
            <w:pPr>
              <w:spacing w:after="0"/>
              <w:rPr>
                <w:sz w:val="24"/>
                <w:szCs w:val="24"/>
                <w:color w:val="auto"/>
              </w:rPr>
            </w:pPr>
          </w:p>
        </w:tc>
      </w:tr>
      <w:tr>
        <w:trPr>
          <w:trHeight w:val="110"/>
        </w:trPr>
        <w:tc>
          <w:tcPr>
            <w:tcW w:w="30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31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r>
      <w:tr>
        <w:trPr>
          <w:trHeight w:val="760"/>
        </w:trPr>
        <w:tc>
          <w:tcPr>
            <w:tcW w:w="3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221" w:gutter="0" w:footer="0" w:header="0"/>
        </w:sectPr>
      </w:pPr>
    </w:p>
    <w:bookmarkStart w:id="11" w:name="page12"/>
    <w:bookmarkEnd w:id="11"/>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Percentage of Patients Losing at Least 5% of Body Weight (i.e., &gt; ~12 lbs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371475</wp:posOffset>
            </wp:positionV>
            <wp:extent cx="68776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Placebo</w:t>
            </w:r>
          </w:p>
        </w:tc>
        <w:tc>
          <w:tcPr>
            <w:tcW w:w="2940" w:type="dxa"/>
            <w:vAlign w:val="bottom"/>
          </w:tcPr>
          <w:p>
            <w:pPr>
              <w:ind w:left="1080"/>
              <w:spacing w:after="0"/>
              <w:rPr>
                <w:sz w:val="20"/>
                <w:szCs w:val="20"/>
                <w:color w:val="auto"/>
              </w:rPr>
            </w:pPr>
            <w:r>
              <w:rPr>
                <w:rFonts w:ascii="Arial" w:cs="Arial" w:eastAsia="Arial" w:hAnsi="Arial"/>
                <w:sz w:val="18"/>
                <w:szCs w:val="18"/>
                <w:color w:val="auto"/>
              </w:rPr>
              <w:t>AXOKINE</w:t>
            </w:r>
          </w:p>
        </w:tc>
        <w:tc>
          <w:tcPr>
            <w:tcW w:w="2920" w:type="dxa"/>
            <w:vAlign w:val="bottom"/>
          </w:tcPr>
          <w:p>
            <w:pPr>
              <w:ind w:left="1060"/>
              <w:spacing w:after="0"/>
              <w:rPr>
                <w:sz w:val="20"/>
                <w:szCs w:val="20"/>
                <w:color w:val="auto"/>
              </w:rPr>
            </w:pPr>
            <w:r>
              <w:rPr>
                <w:rFonts w:ascii="Arial" w:cs="Arial" w:eastAsia="Arial" w:hAnsi="Arial"/>
                <w:sz w:val="18"/>
                <w:szCs w:val="18"/>
                <w:color w:val="auto"/>
              </w:rPr>
              <w:t>AXOKINE</w:t>
            </w:r>
          </w:p>
        </w:tc>
        <w:tc>
          <w:tcPr>
            <w:tcW w:w="3220" w:type="dxa"/>
            <w:vAlign w:val="bottom"/>
          </w:tcPr>
          <w:p>
            <w:pPr>
              <w:ind w:left="1040"/>
              <w:spacing w:after="0"/>
              <w:rPr>
                <w:sz w:val="20"/>
                <w:szCs w:val="20"/>
                <w:color w:val="auto"/>
              </w:rPr>
            </w:pPr>
            <w:r>
              <w:rPr>
                <w:rFonts w:ascii="Arial" w:cs="Arial" w:eastAsia="Arial" w:hAnsi="Arial"/>
                <w:sz w:val="18"/>
                <w:szCs w:val="18"/>
                <w:color w:val="auto"/>
              </w:rPr>
              <w:t>p-value</w:t>
            </w:r>
          </w:p>
        </w:tc>
      </w:tr>
      <w:tr>
        <w:trPr>
          <w:trHeight w:val="222"/>
        </w:trPr>
        <w:tc>
          <w:tcPr>
            <w:tcW w:w="1760" w:type="dxa"/>
            <w:vAlign w:val="bottom"/>
          </w:tcPr>
          <w:p>
            <w:pPr>
              <w:spacing w:after="0"/>
              <w:rPr>
                <w:sz w:val="19"/>
                <w:szCs w:val="19"/>
                <w:color w:val="auto"/>
              </w:rPr>
            </w:pPr>
          </w:p>
        </w:tc>
        <w:tc>
          <w:tcPr>
            <w:tcW w:w="2940" w:type="dxa"/>
            <w:vAlign w:val="bottom"/>
          </w:tcPr>
          <w:p>
            <w:pPr>
              <w:ind w:left="1080"/>
              <w:spacing w:after="0"/>
              <w:rPr>
                <w:sz w:val="20"/>
                <w:szCs w:val="20"/>
                <w:color w:val="auto"/>
              </w:rPr>
            </w:pPr>
            <w:r>
              <w:rPr>
                <w:rFonts w:ascii="Arial" w:cs="Arial" w:eastAsia="Arial" w:hAnsi="Arial"/>
                <w:sz w:val="18"/>
                <w:szCs w:val="18"/>
                <w:color w:val="auto"/>
              </w:rPr>
              <w:t>(Ab-Pos)</w:t>
            </w:r>
          </w:p>
        </w:tc>
        <w:tc>
          <w:tcPr>
            <w:tcW w:w="2920" w:type="dxa"/>
            <w:vAlign w:val="bottom"/>
          </w:tcPr>
          <w:p>
            <w:pPr>
              <w:ind w:left="1060"/>
              <w:spacing w:after="0"/>
              <w:rPr>
                <w:sz w:val="20"/>
                <w:szCs w:val="20"/>
                <w:color w:val="auto"/>
              </w:rPr>
            </w:pPr>
            <w:r>
              <w:rPr>
                <w:rFonts w:ascii="Arial" w:cs="Arial" w:eastAsia="Arial" w:hAnsi="Arial"/>
                <w:sz w:val="18"/>
                <w:szCs w:val="18"/>
                <w:color w:val="auto"/>
              </w:rPr>
              <w:t>(Ab-Neg)</w:t>
            </w:r>
          </w:p>
        </w:tc>
        <w:tc>
          <w:tcPr>
            <w:tcW w:w="3220" w:type="dxa"/>
            <w:vAlign w:val="bottom"/>
          </w:tcPr>
          <w:p>
            <w:pPr>
              <w:ind w:left="1040"/>
              <w:spacing w:after="0"/>
              <w:rPr>
                <w:sz w:val="20"/>
                <w:szCs w:val="20"/>
                <w:color w:val="auto"/>
              </w:rPr>
            </w:pPr>
            <w:r>
              <w:rPr>
                <w:rFonts w:ascii="Arial" w:cs="Arial" w:eastAsia="Arial" w:hAnsi="Arial"/>
                <w:sz w:val="18"/>
                <w:szCs w:val="18"/>
                <w:color w:val="auto"/>
              </w:rPr>
              <w:t>(Ab-Neg vs. Pbo)</w:t>
            </w:r>
          </w:p>
        </w:tc>
      </w:tr>
      <w:tr>
        <w:trPr>
          <w:trHeight w:val="110"/>
        </w:trPr>
        <w:tc>
          <w:tcPr>
            <w:tcW w:w="1760" w:type="dxa"/>
            <w:vAlign w:val="bottom"/>
            <w:tcBorders>
              <w:bottom w:val="single" w:sz="8" w:color="808080"/>
            </w:tcBorders>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r>
      <w:tr>
        <w:trPr>
          <w:trHeight w:val="309"/>
        </w:trPr>
        <w:tc>
          <w:tcPr>
            <w:tcW w:w="1760" w:type="dxa"/>
            <w:vAlign w:val="bottom"/>
          </w:tcPr>
          <w:p>
            <w:pPr>
              <w:spacing w:after="0"/>
              <w:rPr>
                <w:sz w:val="20"/>
                <w:szCs w:val="20"/>
                <w:color w:val="auto"/>
              </w:rPr>
            </w:pPr>
            <w:r>
              <w:rPr>
                <w:rFonts w:ascii="Arial" w:cs="Arial" w:eastAsia="Arial" w:hAnsi="Arial"/>
                <w:sz w:val="18"/>
                <w:szCs w:val="18"/>
                <w:color w:val="auto"/>
              </w:rPr>
              <w:t>24.0%</w:t>
            </w:r>
          </w:p>
        </w:tc>
        <w:tc>
          <w:tcPr>
            <w:tcW w:w="2940" w:type="dxa"/>
            <w:vAlign w:val="bottom"/>
          </w:tcPr>
          <w:p>
            <w:pPr>
              <w:ind w:left="1080"/>
              <w:spacing w:after="0"/>
              <w:rPr>
                <w:sz w:val="20"/>
                <w:szCs w:val="20"/>
                <w:color w:val="auto"/>
              </w:rPr>
            </w:pPr>
            <w:r>
              <w:rPr>
                <w:rFonts w:ascii="Arial" w:cs="Arial" w:eastAsia="Arial" w:hAnsi="Arial"/>
                <w:sz w:val="18"/>
                <w:szCs w:val="18"/>
                <w:color w:val="auto"/>
              </w:rPr>
              <w:t>27.4%</w:t>
            </w:r>
          </w:p>
        </w:tc>
        <w:tc>
          <w:tcPr>
            <w:tcW w:w="2920" w:type="dxa"/>
            <w:vAlign w:val="bottom"/>
          </w:tcPr>
          <w:p>
            <w:pPr>
              <w:ind w:left="1060"/>
              <w:spacing w:after="0"/>
              <w:rPr>
                <w:sz w:val="20"/>
                <w:szCs w:val="20"/>
                <w:color w:val="auto"/>
              </w:rPr>
            </w:pPr>
            <w:r>
              <w:rPr>
                <w:rFonts w:ascii="Arial" w:cs="Arial" w:eastAsia="Arial" w:hAnsi="Arial"/>
                <w:sz w:val="18"/>
                <w:szCs w:val="18"/>
                <w:color w:val="auto"/>
              </w:rPr>
              <w:t>46.3%</w:t>
            </w:r>
          </w:p>
        </w:tc>
        <w:tc>
          <w:tcPr>
            <w:tcW w:w="3220" w:type="dxa"/>
            <w:vAlign w:val="bottom"/>
          </w:tcPr>
          <w:p>
            <w:pPr>
              <w:ind w:left="1040"/>
              <w:spacing w:after="0"/>
              <w:rPr>
                <w:sz w:val="20"/>
                <w:szCs w:val="20"/>
                <w:color w:val="auto"/>
              </w:rPr>
            </w:pPr>
            <w:r>
              <w:rPr>
                <w:rFonts w:ascii="Arial" w:cs="Arial" w:eastAsia="Arial" w:hAnsi="Arial"/>
                <w:sz w:val="18"/>
                <w:szCs w:val="18"/>
                <w:color w:val="auto"/>
              </w:rPr>
              <w:t>&lt;.001</w:t>
            </w: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n=73/304</w:t>
            </w:r>
          </w:p>
        </w:tc>
        <w:tc>
          <w:tcPr>
            <w:tcW w:w="2940" w:type="dxa"/>
            <w:vAlign w:val="bottom"/>
          </w:tcPr>
          <w:p>
            <w:pPr>
              <w:ind w:left="1080"/>
              <w:spacing w:after="0"/>
              <w:rPr>
                <w:sz w:val="20"/>
                <w:szCs w:val="20"/>
                <w:color w:val="auto"/>
              </w:rPr>
            </w:pPr>
            <w:r>
              <w:rPr>
                <w:rFonts w:ascii="Arial" w:cs="Arial" w:eastAsia="Arial" w:hAnsi="Arial"/>
                <w:sz w:val="18"/>
                <w:szCs w:val="18"/>
                <w:color w:val="auto"/>
              </w:rPr>
              <w:t>n=197/720</w:t>
            </w:r>
          </w:p>
        </w:tc>
        <w:tc>
          <w:tcPr>
            <w:tcW w:w="2920" w:type="dxa"/>
            <w:vAlign w:val="bottom"/>
          </w:tcPr>
          <w:p>
            <w:pPr>
              <w:ind w:left="1060"/>
              <w:spacing w:after="0"/>
              <w:rPr>
                <w:sz w:val="20"/>
                <w:szCs w:val="20"/>
                <w:color w:val="auto"/>
              </w:rPr>
            </w:pPr>
            <w:r>
              <w:rPr>
                <w:rFonts w:ascii="Arial" w:cs="Arial" w:eastAsia="Arial" w:hAnsi="Arial"/>
                <w:sz w:val="18"/>
                <w:szCs w:val="18"/>
                <w:color w:val="auto"/>
              </w:rPr>
              <w:t>n=120/259</w:t>
            </w:r>
          </w:p>
        </w:tc>
        <w:tc>
          <w:tcPr>
            <w:tcW w:w="3220" w:type="dxa"/>
            <w:vAlign w:val="bottom"/>
          </w:tcPr>
          <w:p>
            <w:pPr>
              <w:spacing w:after="0"/>
              <w:rPr>
                <w:sz w:val="19"/>
                <w:szCs w:val="19"/>
                <w:color w:val="auto"/>
              </w:rPr>
            </w:pPr>
          </w:p>
        </w:tc>
      </w:tr>
      <w:tr>
        <w:trPr>
          <w:trHeight w:val="110"/>
        </w:trPr>
        <w:tc>
          <w:tcPr>
            <w:tcW w:w="1760" w:type="dxa"/>
            <w:vAlign w:val="bottom"/>
            <w:tcBorders>
              <w:bottom w:val="single" w:sz="8" w:color="808080"/>
            </w:tcBorders>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left="820" w:hanging="46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Percentage of Patients Losing at Least 10% of Body Weight (i.e., &gt; ~24 lbs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371475</wp:posOffset>
            </wp:positionV>
            <wp:extent cx="68776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Placebo</w:t>
            </w:r>
          </w:p>
        </w:tc>
        <w:tc>
          <w:tcPr>
            <w:tcW w:w="2940" w:type="dxa"/>
            <w:vAlign w:val="bottom"/>
          </w:tcPr>
          <w:p>
            <w:pPr>
              <w:ind w:left="1080"/>
              <w:spacing w:after="0"/>
              <w:rPr>
                <w:sz w:val="20"/>
                <w:szCs w:val="20"/>
                <w:color w:val="auto"/>
              </w:rPr>
            </w:pPr>
            <w:r>
              <w:rPr>
                <w:rFonts w:ascii="Arial" w:cs="Arial" w:eastAsia="Arial" w:hAnsi="Arial"/>
                <w:sz w:val="18"/>
                <w:szCs w:val="18"/>
                <w:color w:val="auto"/>
              </w:rPr>
              <w:t>AXOKINE</w:t>
            </w:r>
          </w:p>
        </w:tc>
        <w:tc>
          <w:tcPr>
            <w:tcW w:w="2920" w:type="dxa"/>
            <w:vAlign w:val="bottom"/>
          </w:tcPr>
          <w:p>
            <w:pPr>
              <w:ind w:left="1060"/>
              <w:spacing w:after="0"/>
              <w:rPr>
                <w:sz w:val="20"/>
                <w:szCs w:val="20"/>
                <w:color w:val="auto"/>
              </w:rPr>
            </w:pPr>
            <w:r>
              <w:rPr>
                <w:rFonts w:ascii="Arial" w:cs="Arial" w:eastAsia="Arial" w:hAnsi="Arial"/>
                <w:sz w:val="18"/>
                <w:szCs w:val="18"/>
                <w:color w:val="auto"/>
              </w:rPr>
              <w:t>AXOKINE</w:t>
            </w:r>
          </w:p>
        </w:tc>
        <w:tc>
          <w:tcPr>
            <w:tcW w:w="3220" w:type="dxa"/>
            <w:vAlign w:val="bottom"/>
          </w:tcPr>
          <w:p>
            <w:pPr>
              <w:ind w:left="1040"/>
              <w:spacing w:after="0"/>
              <w:rPr>
                <w:sz w:val="20"/>
                <w:szCs w:val="20"/>
                <w:color w:val="auto"/>
              </w:rPr>
            </w:pPr>
            <w:r>
              <w:rPr>
                <w:rFonts w:ascii="Arial" w:cs="Arial" w:eastAsia="Arial" w:hAnsi="Arial"/>
                <w:sz w:val="18"/>
                <w:szCs w:val="18"/>
                <w:color w:val="auto"/>
              </w:rPr>
              <w:t>p-value</w:t>
            </w:r>
          </w:p>
        </w:tc>
      </w:tr>
      <w:tr>
        <w:trPr>
          <w:trHeight w:val="222"/>
        </w:trPr>
        <w:tc>
          <w:tcPr>
            <w:tcW w:w="1760" w:type="dxa"/>
            <w:vAlign w:val="bottom"/>
          </w:tcPr>
          <w:p>
            <w:pPr>
              <w:spacing w:after="0"/>
              <w:rPr>
                <w:sz w:val="19"/>
                <w:szCs w:val="19"/>
                <w:color w:val="auto"/>
              </w:rPr>
            </w:pPr>
          </w:p>
        </w:tc>
        <w:tc>
          <w:tcPr>
            <w:tcW w:w="2940" w:type="dxa"/>
            <w:vAlign w:val="bottom"/>
          </w:tcPr>
          <w:p>
            <w:pPr>
              <w:ind w:left="1080"/>
              <w:spacing w:after="0"/>
              <w:rPr>
                <w:sz w:val="20"/>
                <w:szCs w:val="20"/>
                <w:color w:val="auto"/>
              </w:rPr>
            </w:pPr>
            <w:r>
              <w:rPr>
                <w:rFonts w:ascii="Arial" w:cs="Arial" w:eastAsia="Arial" w:hAnsi="Arial"/>
                <w:sz w:val="18"/>
                <w:szCs w:val="18"/>
                <w:color w:val="auto"/>
              </w:rPr>
              <w:t>(Ab-Pos)</w:t>
            </w:r>
          </w:p>
        </w:tc>
        <w:tc>
          <w:tcPr>
            <w:tcW w:w="2920" w:type="dxa"/>
            <w:vAlign w:val="bottom"/>
          </w:tcPr>
          <w:p>
            <w:pPr>
              <w:ind w:left="1060"/>
              <w:spacing w:after="0"/>
              <w:rPr>
                <w:sz w:val="20"/>
                <w:szCs w:val="20"/>
                <w:color w:val="auto"/>
              </w:rPr>
            </w:pPr>
            <w:r>
              <w:rPr>
                <w:rFonts w:ascii="Arial" w:cs="Arial" w:eastAsia="Arial" w:hAnsi="Arial"/>
                <w:sz w:val="18"/>
                <w:szCs w:val="18"/>
                <w:color w:val="auto"/>
              </w:rPr>
              <w:t>(Ab-Neg)</w:t>
            </w:r>
          </w:p>
        </w:tc>
        <w:tc>
          <w:tcPr>
            <w:tcW w:w="3220" w:type="dxa"/>
            <w:vAlign w:val="bottom"/>
          </w:tcPr>
          <w:p>
            <w:pPr>
              <w:ind w:left="1040"/>
              <w:spacing w:after="0"/>
              <w:rPr>
                <w:sz w:val="20"/>
                <w:szCs w:val="20"/>
                <w:color w:val="auto"/>
              </w:rPr>
            </w:pPr>
            <w:r>
              <w:rPr>
                <w:rFonts w:ascii="Arial" w:cs="Arial" w:eastAsia="Arial" w:hAnsi="Arial"/>
                <w:sz w:val="18"/>
                <w:szCs w:val="18"/>
                <w:color w:val="auto"/>
              </w:rPr>
              <w:t>(Ab-Neg vs. Pbo)</w:t>
            </w:r>
          </w:p>
        </w:tc>
      </w:tr>
      <w:tr>
        <w:trPr>
          <w:trHeight w:val="110"/>
        </w:trPr>
        <w:tc>
          <w:tcPr>
            <w:tcW w:w="1760" w:type="dxa"/>
            <w:vAlign w:val="bottom"/>
            <w:tcBorders>
              <w:bottom w:val="single" w:sz="8" w:color="808080"/>
            </w:tcBorders>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r>
      <w:tr>
        <w:trPr>
          <w:trHeight w:val="309"/>
        </w:trPr>
        <w:tc>
          <w:tcPr>
            <w:tcW w:w="1760" w:type="dxa"/>
            <w:vAlign w:val="bottom"/>
          </w:tcPr>
          <w:p>
            <w:pPr>
              <w:spacing w:after="0"/>
              <w:rPr>
                <w:sz w:val="20"/>
                <w:szCs w:val="20"/>
                <w:color w:val="auto"/>
              </w:rPr>
            </w:pPr>
            <w:r>
              <w:rPr>
                <w:rFonts w:ascii="Arial" w:cs="Arial" w:eastAsia="Arial" w:hAnsi="Arial"/>
                <w:sz w:val="18"/>
                <w:szCs w:val="18"/>
                <w:color w:val="auto"/>
              </w:rPr>
              <w:t>6.6%</w:t>
            </w:r>
          </w:p>
        </w:tc>
        <w:tc>
          <w:tcPr>
            <w:tcW w:w="2940" w:type="dxa"/>
            <w:vAlign w:val="bottom"/>
          </w:tcPr>
          <w:p>
            <w:pPr>
              <w:ind w:left="1080"/>
              <w:spacing w:after="0"/>
              <w:rPr>
                <w:sz w:val="20"/>
                <w:szCs w:val="20"/>
                <w:color w:val="auto"/>
              </w:rPr>
            </w:pPr>
            <w:r>
              <w:rPr>
                <w:rFonts w:ascii="Arial" w:cs="Arial" w:eastAsia="Arial" w:hAnsi="Arial"/>
                <w:sz w:val="18"/>
                <w:szCs w:val="18"/>
                <w:color w:val="auto"/>
              </w:rPr>
              <w:t>12.5%</w:t>
            </w:r>
          </w:p>
        </w:tc>
        <w:tc>
          <w:tcPr>
            <w:tcW w:w="2920" w:type="dxa"/>
            <w:vAlign w:val="bottom"/>
          </w:tcPr>
          <w:p>
            <w:pPr>
              <w:ind w:left="1060"/>
              <w:spacing w:after="0"/>
              <w:rPr>
                <w:sz w:val="20"/>
                <w:szCs w:val="20"/>
                <w:color w:val="auto"/>
              </w:rPr>
            </w:pPr>
            <w:r>
              <w:rPr>
                <w:rFonts w:ascii="Arial" w:cs="Arial" w:eastAsia="Arial" w:hAnsi="Arial"/>
                <w:sz w:val="18"/>
                <w:szCs w:val="18"/>
                <w:color w:val="auto"/>
              </w:rPr>
              <w:t>23.9%</w:t>
            </w:r>
          </w:p>
        </w:tc>
        <w:tc>
          <w:tcPr>
            <w:tcW w:w="3220" w:type="dxa"/>
            <w:vAlign w:val="bottom"/>
          </w:tcPr>
          <w:p>
            <w:pPr>
              <w:ind w:left="1040"/>
              <w:spacing w:after="0"/>
              <w:rPr>
                <w:sz w:val="20"/>
                <w:szCs w:val="20"/>
                <w:color w:val="auto"/>
              </w:rPr>
            </w:pPr>
            <w:r>
              <w:rPr>
                <w:rFonts w:ascii="Arial" w:cs="Arial" w:eastAsia="Arial" w:hAnsi="Arial"/>
                <w:sz w:val="18"/>
                <w:szCs w:val="18"/>
                <w:color w:val="auto"/>
              </w:rPr>
              <w:t>&lt;.001</w:t>
            </w: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n=20/304</w:t>
            </w:r>
          </w:p>
        </w:tc>
        <w:tc>
          <w:tcPr>
            <w:tcW w:w="2940" w:type="dxa"/>
            <w:vAlign w:val="bottom"/>
          </w:tcPr>
          <w:p>
            <w:pPr>
              <w:ind w:left="1080"/>
              <w:spacing w:after="0"/>
              <w:rPr>
                <w:sz w:val="20"/>
                <w:szCs w:val="20"/>
                <w:color w:val="auto"/>
              </w:rPr>
            </w:pPr>
            <w:r>
              <w:rPr>
                <w:rFonts w:ascii="Arial" w:cs="Arial" w:eastAsia="Arial" w:hAnsi="Arial"/>
                <w:sz w:val="18"/>
                <w:szCs w:val="18"/>
                <w:color w:val="auto"/>
              </w:rPr>
              <w:t>n=90/720</w:t>
            </w:r>
          </w:p>
        </w:tc>
        <w:tc>
          <w:tcPr>
            <w:tcW w:w="2920" w:type="dxa"/>
            <w:vAlign w:val="bottom"/>
          </w:tcPr>
          <w:p>
            <w:pPr>
              <w:ind w:left="1060"/>
              <w:spacing w:after="0"/>
              <w:rPr>
                <w:sz w:val="20"/>
                <w:szCs w:val="20"/>
                <w:color w:val="auto"/>
              </w:rPr>
            </w:pPr>
            <w:r>
              <w:rPr>
                <w:rFonts w:ascii="Arial" w:cs="Arial" w:eastAsia="Arial" w:hAnsi="Arial"/>
                <w:sz w:val="18"/>
                <w:szCs w:val="18"/>
                <w:color w:val="auto"/>
              </w:rPr>
              <w:t>n=62/259</w:t>
            </w:r>
          </w:p>
        </w:tc>
        <w:tc>
          <w:tcPr>
            <w:tcW w:w="3220" w:type="dxa"/>
            <w:vAlign w:val="bottom"/>
          </w:tcPr>
          <w:p>
            <w:pPr>
              <w:spacing w:after="0"/>
              <w:rPr>
                <w:sz w:val="19"/>
                <w:szCs w:val="19"/>
                <w:color w:val="auto"/>
              </w:rPr>
            </w:pPr>
          </w:p>
        </w:tc>
      </w:tr>
      <w:tr>
        <w:trPr>
          <w:trHeight w:val="110"/>
        </w:trPr>
        <w:tc>
          <w:tcPr>
            <w:tcW w:w="1760" w:type="dxa"/>
            <w:vAlign w:val="bottom"/>
            <w:tcBorders>
              <w:bottom w:val="single" w:sz="8" w:color="808080"/>
            </w:tcBorders>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Call/Web Cast Information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To more fully discuss the AXOKINE Phase III preliminary results, management of Regeneron will host a conference call and PowerPoint presentation at</w:t>
      </w:r>
    </w:p>
    <w:p>
      <w:pPr>
        <w:spacing w:after="0" w:line="3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10:00 a.m. ET today, March 31, 2003. The conference call will be available by web cast at www.regeneron.com. To access the PowerPoint presentation, go to www.presentonline.com, click on participant and use access number x1261432.</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You must have a Java-enabled web browser to access the web cast presentation, i.e., Microsoft Internet Explorer™ 4.0 or higher or Netscape Communicator™</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4.0 or higher. To test browser compatibility, go to and click on Browser Check. If you are having difficulties, please contact Technical Support at 800-291-4047 or 706-645-6040. Furthermore, an audio replay of the call will be available from noon ET March 31, 2003 until midnight ET April 14, 2003. For domestic access to the replay, please dial 1-800-642-1687 and enter Reservation Number 9464121. For international access to the replay, please dial 1-706-645-9291 and enter Reservation Number 9464121.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About Regeneron</w:t>
      </w:r>
    </w:p>
    <w:p>
      <w:pPr>
        <w:spacing w:after="0" w:line="1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for the potential treatment of obesity, rheumatoid arthritis, cancer, and asthma and has preclinical programs in other diseases and disorders.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Page 5</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description of these risks can be found in Regeneron’s filings with the United States Securities and Exchange Commission, including its Form 10-K for the year ended December 31, 2001 and the Form 10-Q for the quarter ended September 30, 2002. Regeneron does not undertake any obligation to update publicly any forward-looking statement, whether as a result of new information, future events, or otherwise, unless required by law.</w:t>
      </w:r>
    </w:p>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00"/>
          </w:cols>
          <w:pgMar w:left="240" w:top="941" w:right="4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Miriam Weber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Biosector 2</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mweber@biosector2.com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(212) 414-5630</w:t>
      </w:r>
    </w:p>
    <w:p>
      <w:pPr>
        <w:spacing w:after="0" w:line="200" w:lineRule="exact"/>
        <w:rPr>
          <w:sz w:val="20"/>
          <w:szCs w:val="20"/>
          <w:color w:val="auto"/>
        </w:rPr>
      </w:pPr>
    </w:p>
    <w:p>
      <w:pPr>
        <w:sectPr>
          <w:pgSz w:w="11900" w:h="16838" w:orient="portrait"/>
          <w:cols w:equalWidth="0" w:num="2">
            <w:col w:w="620" w:space="640"/>
            <w:col w:w="9940"/>
          </w:cols>
          <w:pgMar w:left="240" w:top="941" w:right="45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For non-media inquiry call (914) 509-7000.</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Additional information about Regeneron and recent news releases are available on Regeneron’s Worldwide Web Home Page at www.regeneron.com.</w:t>
      </w:r>
    </w:p>
    <w:sectPr>
      <w:pgSz w:w="11900" w:h="16838" w:orient="portrait"/>
      <w:cols w:equalWidth="0" w:num="1">
        <w:col w:w="11200"/>
      </w:cols>
      <w:pgMar w:left="240" w:top="941"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3"/>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o"/>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2019-12-20T01:53:42Z</dcterms:created>
  <dcterms:modified xsi:type="dcterms:W3CDTF">2019-12-20T01:53:42Z</dcterms:modified>
</cp:coreProperties>
</file>