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881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81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60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32,520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655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27,944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659.33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27,935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660.33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27,912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661.89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662.78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663.05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665.21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August 23, 2021 at prices ranging from $659.28 to $659.45. Upon request by the Commission staff, the Company, or a security holder of the Company, the reporting person will provide full information regarding the number of shares sold by the reporting person on August 23,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23 shares of Company stock on August 23, 2021 at prices ranging from $660.09 to $660.88. Upon request by the Commission staff, the Company, or a</w:t>
      </w:r>
    </w:p>
    <w:p>
      <w:pPr>
        <w:sectPr>
          <w:pgSz w:w="11900" w:h="16860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August 23, 2021 at each separate price.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88 shares of Company stock on August 23, 2021 at prices ranging from $661.47 to $661.98. Upon request by the Commission staff, the Company, or a security holder of the Company, the reporting person will provide full information regarding the number of shares sold by the reporting person on August 23,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 shares of Company stock on August 23, 2021 at prices ranging from $663.00 to $663.13. Upon request by the Commission staff, the Company, or a security holder of the Company, the reporting person will provide full information regarding the number of shares sold by the reporting person on August 23,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/s/**Christopher R. Fenimore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08/23/2021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28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20"/>
      </w:cols>
      <w:pgMar w:left="500" w:top="131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2021-08-24T15:06:14Z</dcterms:created>
  <dcterms:modified xsi:type="dcterms:W3CDTF">2021-08-24T15:06:14Z</dcterms:modified>
</cp:coreProperties>
</file>