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January 31,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840"/>
        <w:spacing w:after="0" w:line="273" w:lineRule="auto"/>
        <w:rPr>
          <w:sz w:val="20"/>
          <w:szCs w:val="20"/>
          <w:color w:val="auto"/>
        </w:rPr>
      </w:pPr>
      <w:r>
        <w:rPr>
          <w:rFonts w:ascii="Arial" w:cs="Arial" w:eastAsia="Arial" w:hAnsi="Arial"/>
          <w:sz w:val="17"/>
          <w:szCs w:val="17"/>
          <w:color w:val="auto"/>
        </w:rPr>
        <w:t>Regeneron and the sanofi-aventis Group have commenced a phase 2, multicenter, open-label, single-arm, two-stage study of the efficacy and safety of the VEGF Trap administered intravenously every two weeks in patients with platinum- and erlotinib-resistant, locally advanced or metastatic non-small lung adenocarcinoma. The primary purpose of the trial is to determine the overall objective response rate of the VEGF Trap (4.0 milligram/kilogram) delivered intravenously every two weeks in platinum-and erlotinib resistant patients with locally advanced or metastatic non-small cell lung adenocarcinoma. Secondary purposes of the trial are to assess the safety of the VEGF Trap and the duration of response, progression-free survival, and overall survival in this patient population.</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On January 31, 2006, information about this phase 2 trial was posted on the website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under the identifier NCT00284141.</w:t>
      </w:r>
    </w:p>
    <w:p>
      <w:pPr>
        <w:spacing w:after="0" w:line="140"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January 31,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2019-12-11T22:30:11Z</dcterms:created>
  <dcterms:modified xsi:type="dcterms:W3CDTF">2019-12-11T22:30:11Z</dcterms:modified>
</cp:coreProperties>
</file>