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5478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478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spacing w:after="0" w:line="238" w:lineRule="exact"/>
              <w:rPr>
                <w:rFonts w:ascii="Arial" w:cs="Arial" w:eastAsia="Arial" w:hAnsi="Arial"/>
                <w:sz w:val="21"/>
                <w:szCs w:val="21"/>
                <w:color w:val="0000EE"/>
                <w:w w:val="88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88"/>
                </w:rPr>
                <w:t>Landry Robert E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>REGENERON PHARMACEUTICALS,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spacing w:after="0" w:line="21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Finance CFO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300" w:type="dxa"/>
            <w:vAlign w:val="bottom"/>
            <w:gridSpan w:val="6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12/16/2022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12/16/2022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3,853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0.0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32,844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726.53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14,222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12/16/2032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14,222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14,222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under the Second Amended and Restated 2014 Long-Term Incentive Plan that vests 50% on December 16, 2024 and 50% on December 16, 2026.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/s/**Robert E. Landry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12/19/2022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516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2022-12-20T15:14:55Z</dcterms:created>
  <dcterms:modified xsi:type="dcterms:W3CDTF">2022-12-20T15:14:55Z</dcterms:modified>
</cp:coreProperties>
</file>