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412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412480"/>
                    </a:xfrm>
                    <a:prstGeom prst="rect">
                      <a:avLst/>
                    </a:prstGeom>
                    <a:noFill/>
                  </pic:spPr>
                </pic:pic>
              </a:graphicData>
            </a:graphic>
          </wp:anchor>
        </w:drawing>
      </w:r>
    </w:p>
    <w:p>
      <w:pPr>
        <w:spacing w:after="0" w:line="32" w:lineRule="exact"/>
        <w:rPr>
          <w:sz w:val="24"/>
          <w:szCs w:val="24"/>
          <w:color w:val="auto"/>
        </w:rPr>
      </w:pPr>
    </w:p>
    <w:p>
      <w:pPr>
        <w:sectPr>
          <w:pgSz w:w="11900" w:h="1692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80" w:type="dxa"/>
            <w:vAlign w:val="bottom"/>
            <w:gridSpan w:val="7"/>
          </w:tcPr>
          <w:p>
            <w:pPr>
              <w:spacing w:after="0"/>
              <w:rPr>
                <w:sz w:val="20"/>
                <w:szCs w:val="20"/>
                <w:color w:val="auto"/>
              </w:rPr>
            </w:pPr>
            <w:r>
              <w:rPr>
                <w:rFonts w:ascii="Arial" w:cs="Arial" w:eastAsia="Arial" w:hAnsi="Arial"/>
                <w:sz w:val="14"/>
                <w:szCs w:val="14"/>
                <w:color w:val="auto"/>
                <w:w w:val="97"/>
              </w:rPr>
              <w:t xml:space="preserve">2. Issuer Name </w:t>
            </w:r>
            <w:r>
              <w:rPr>
                <w:rFonts w:ascii="Arial" w:cs="Arial" w:eastAsia="Arial" w:hAnsi="Arial"/>
                <w:sz w:val="14"/>
                <w:szCs w:val="14"/>
                <w:b w:val="1"/>
                <w:bCs w:val="1"/>
                <w:color w:val="auto"/>
                <w:w w:val="97"/>
              </w:rPr>
              <w:t>and</w:t>
            </w:r>
            <w:r>
              <w:rPr>
                <w:rFonts w:ascii="Arial" w:cs="Arial" w:eastAsia="Arial" w:hAnsi="Arial"/>
                <w:sz w:val="14"/>
                <w:szCs w:val="14"/>
                <w:color w:val="auto"/>
                <w:w w:val="97"/>
              </w:rPr>
              <w:t xml:space="preserve"> Ticker or Trading Symbol</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spacing w:after="0"/>
              <w:rPr>
                <w:rFonts w:ascii="Arial" w:cs="Arial" w:eastAsia="Arial" w:hAnsi="Arial"/>
                <w:sz w:val="22"/>
                <w:szCs w:val="22"/>
                <w:color w:val="0000EE"/>
                <w:w w:val="99"/>
              </w:rPr>
            </w:pPr>
            <w:hyperlink r:id="rId12">
              <w:r>
                <w:rPr>
                  <w:rFonts w:ascii="Arial" w:cs="Arial" w:eastAsia="Arial" w:hAnsi="Arial"/>
                  <w:sz w:val="22"/>
                  <w:szCs w:val="22"/>
                  <w:color w:val="0000EE"/>
                  <w:w w:val="99"/>
                </w:rPr>
                <w:t>Sanofi</w:t>
              </w:r>
            </w:hyperlink>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2"/>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66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Director</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0000FF"/>
              </w:rPr>
              <w:t>X</w:t>
            </w: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5"/>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gridSpan w:val="5"/>
            <w:vMerge w:val="continue"/>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5"/>
            <w:vMerge w:val="continue"/>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color w:val="auto"/>
              </w:rPr>
              <w:t>Officer (give title</w:t>
            </w:r>
          </w:p>
        </w:tc>
        <w:tc>
          <w:tcPr>
            <w:tcW w:w="380" w:type="dxa"/>
            <w:vAlign w:val="bottom"/>
            <w:vMerge w:val="continue"/>
          </w:tcPr>
          <w:p>
            <w:pPr>
              <w:spacing w:after="0"/>
              <w:rPr>
                <w:sz w:val="5"/>
                <w:szCs w:val="5"/>
                <w:color w:val="auto"/>
              </w:rPr>
            </w:pP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900" w:type="dxa"/>
            <w:vAlign w:val="bottom"/>
            <w:tcBorders>
              <w:bottom w:val="single" w:sz="8" w:color="9A9A9A"/>
            </w:tcBorders>
          </w:tcPr>
          <w:p>
            <w:pPr>
              <w:spacing w:after="0" w:line="20" w:lineRule="exact"/>
              <w:rPr>
                <w:sz w:val="1"/>
                <w:szCs w:val="1"/>
                <w:color w:val="auto"/>
              </w:rPr>
            </w:pPr>
          </w:p>
        </w:tc>
        <w:tc>
          <w:tcPr>
            <w:tcW w:w="100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2"/>
          </w:tcPr>
          <w:p>
            <w:pPr>
              <w:ind w:left="64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2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380" w:type="dxa"/>
            <w:vAlign w:val="bottom"/>
            <w:tcBorders>
              <w:top w:val="single" w:sz="8" w:color="2C2C2C"/>
            </w:tcBorders>
          </w:tcPr>
          <w:p>
            <w:pPr>
              <w:spacing w:after="0"/>
              <w:rPr>
                <w:sz w:val="13"/>
                <w:szCs w:val="13"/>
                <w:color w:val="auto"/>
              </w:rPr>
            </w:pPr>
          </w:p>
        </w:tc>
        <w:tc>
          <w:tcPr>
            <w:tcW w:w="160" w:type="dxa"/>
            <w:vAlign w:val="bottom"/>
            <w:tcBorders>
              <w:top w:val="single" w:sz="8" w:color="2C2C2C"/>
            </w:tcBorders>
          </w:tcPr>
          <w:p>
            <w:pPr>
              <w:spacing w:after="0"/>
              <w:rPr>
                <w:sz w:val="13"/>
                <w:szCs w:val="13"/>
                <w:color w:val="auto"/>
              </w:rPr>
            </w:pPr>
          </w:p>
        </w:tc>
        <w:tc>
          <w:tcPr>
            <w:tcW w:w="440" w:type="dxa"/>
            <w:vAlign w:val="bottom"/>
            <w:tcBorders>
              <w:top w:val="single" w:sz="8" w:color="2C2C2C"/>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gridSpan w:val="2"/>
          </w:tcPr>
          <w:p>
            <w:pPr>
              <w:ind w:left="80"/>
              <w:spacing w:after="0" w:line="115" w:lineRule="exact"/>
              <w:rPr>
                <w:sz w:val="20"/>
                <w:szCs w:val="20"/>
                <w:color w:val="auto"/>
              </w:rPr>
            </w:pPr>
            <w:r>
              <w:rPr>
                <w:rFonts w:ascii="Arial" w:cs="Arial" w:eastAsia="Arial" w:hAnsi="Arial"/>
                <w:sz w:val="12"/>
                <w:szCs w:val="12"/>
                <w:color w:val="auto"/>
              </w:rPr>
              <w:t>below)</w:t>
            </w:r>
          </w:p>
        </w:tc>
        <w:tc>
          <w:tcPr>
            <w:tcW w:w="380" w:type="dxa"/>
            <w:vAlign w:val="bottom"/>
          </w:tcPr>
          <w:p>
            <w:pPr>
              <w:spacing w:after="0"/>
              <w:rPr>
                <w:sz w:val="13"/>
                <w:szCs w:val="13"/>
                <w:color w:val="auto"/>
              </w:rPr>
            </w:pPr>
          </w:p>
        </w:tc>
        <w:tc>
          <w:tcPr>
            <w:tcW w:w="560" w:type="dxa"/>
            <w:vAlign w:val="bottom"/>
          </w:tcPr>
          <w:p>
            <w:pPr>
              <w:ind w:left="14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20" w:type="dxa"/>
            <w:vAlign w:val="bottom"/>
            <w:gridSpan w:val="8"/>
            <w:vMerge w:val="continue"/>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3"/>
          </w:tcPr>
          <w:p>
            <w:pPr>
              <w:spacing w:after="0"/>
              <w:rPr>
                <w:sz w:val="20"/>
                <w:szCs w:val="20"/>
                <w:color w:val="auto"/>
              </w:rPr>
            </w:pPr>
            <w:r>
              <w:rPr>
                <w:rFonts w:ascii="Arial" w:cs="Arial" w:eastAsia="Arial" w:hAnsi="Arial"/>
                <w:sz w:val="18"/>
                <w:szCs w:val="18"/>
                <w:color w:val="0000FF"/>
                <w:w w:val="94"/>
              </w:rPr>
              <w:t>54 RUE LA BOETIE</w:t>
            </w:r>
          </w:p>
        </w:tc>
        <w:tc>
          <w:tcPr>
            <w:tcW w:w="1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5"/>
          </w:tcPr>
          <w:p>
            <w:pPr>
              <w:ind w:left="160"/>
              <w:spacing w:after="0"/>
              <w:rPr>
                <w:sz w:val="20"/>
                <w:szCs w:val="20"/>
                <w:color w:val="auto"/>
              </w:rPr>
            </w:pPr>
            <w:r>
              <w:rPr>
                <w:rFonts w:ascii="Arial" w:cs="Arial" w:eastAsia="Arial" w:hAnsi="Arial"/>
                <w:sz w:val="18"/>
                <w:szCs w:val="18"/>
                <w:color w:val="0000FF"/>
              </w:rPr>
              <w:t>02/06/2014</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gridSpan w:val="2"/>
          </w:tcPr>
          <w:p>
            <w:pPr>
              <w:spacing w:after="0"/>
              <w:rPr>
                <w:sz w:val="9"/>
                <w:szCs w:val="9"/>
                <w:color w:val="auto"/>
              </w:rPr>
            </w:pPr>
          </w:p>
        </w:tc>
        <w:tc>
          <w:tcPr>
            <w:tcW w:w="2420" w:type="dxa"/>
            <w:vAlign w:val="bottom"/>
            <w:tcBorders>
              <w:bottom w:val="single" w:sz="8" w:color="2C2C2C"/>
            </w:tcBorders>
            <w:gridSpan w:val="7"/>
          </w:tcPr>
          <w:p>
            <w:pPr>
              <w:spacing w:after="0"/>
              <w:rPr>
                <w:sz w:val="9"/>
                <w:szCs w:val="9"/>
                <w:color w:val="auto"/>
              </w:rPr>
            </w:pPr>
          </w:p>
        </w:tc>
        <w:tc>
          <w:tcPr>
            <w:tcW w:w="52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980" w:type="dxa"/>
            <w:vAlign w:val="bottom"/>
            <w:gridSpan w:val="12"/>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980" w:type="dxa"/>
            <w:vAlign w:val="bottom"/>
            <w:gridSpan w:val="12"/>
            <w:vMerge w:val="continue"/>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spacing w:after="0"/>
              <w:rPr>
                <w:sz w:val="20"/>
                <w:szCs w:val="20"/>
                <w:color w:val="auto"/>
              </w:rPr>
            </w:pPr>
            <w:r>
              <w:rPr>
                <w:rFonts w:ascii="Arial" w:cs="Arial" w:eastAsia="Arial" w:hAnsi="Arial"/>
                <w:sz w:val="14"/>
                <w:szCs w:val="14"/>
                <w:color w:val="auto"/>
              </w:rPr>
              <w:t>Line)</w:t>
            </w: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rPr>
              <w:t>PARIS</w:t>
            </w:r>
          </w:p>
        </w:tc>
        <w:tc>
          <w:tcPr>
            <w:tcW w:w="900" w:type="dxa"/>
            <w:vAlign w:val="bottom"/>
          </w:tcPr>
          <w:p>
            <w:pPr>
              <w:ind w:left="640"/>
              <w:spacing w:after="0"/>
              <w:rPr>
                <w:sz w:val="20"/>
                <w:szCs w:val="20"/>
                <w:color w:val="auto"/>
              </w:rPr>
            </w:pPr>
            <w:r>
              <w:rPr>
                <w:rFonts w:ascii="Arial" w:cs="Arial" w:eastAsia="Arial" w:hAnsi="Arial"/>
                <w:sz w:val="18"/>
                <w:szCs w:val="18"/>
                <w:color w:val="0000FF"/>
              </w:rPr>
              <w:t>I0</w:t>
            </w:r>
          </w:p>
        </w:tc>
        <w:tc>
          <w:tcPr>
            <w:tcW w:w="10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75008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gridSpan w:val="7"/>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00" w:type="dxa"/>
            <w:vAlign w:val="bottom"/>
            <w:gridSpan w:val="6"/>
          </w:tcPr>
          <w:p>
            <w:pPr>
              <w:ind w:left="10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2420" w:type="dxa"/>
            <w:vAlign w:val="bottom"/>
            <w:tcBorders>
              <w:bottom w:val="single" w:sz="8" w:color="2C2C2C"/>
            </w:tcBorders>
            <w:gridSpan w:val="7"/>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580" w:type="dxa"/>
            <w:vAlign w:val="bottom"/>
            <w:gridSpan w:val="8"/>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jc w:val="center"/>
              <w:ind w:left="183"/>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gridSpan w:val="2"/>
          </w:tcPr>
          <w:p>
            <w:pPr>
              <w:jc w:val="center"/>
              <w:ind w:right="24"/>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5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3"/>
              <w:spacing w:after="0"/>
              <w:rPr>
                <w:sz w:val="20"/>
                <w:szCs w:val="20"/>
                <w:color w:val="auto"/>
              </w:rPr>
            </w:pPr>
            <w:r>
              <w:rPr>
                <w:rFonts w:ascii="Arial" w:cs="Arial" w:eastAsia="Arial" w:hAnsi="Arial"/>
                <w:sz w:val="18"/>
                <w:szCs w:val="18"/>
                <w:color w:val="0000FF"/>
                <w:w w:val="88"/>
              </w:rPr>
              <w:t>02/06/2014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81"/>
                <w:vertAlign w:val="subscript"/>
              </w:rPr>
              <w:t>265</w:t>
            </w:r>
            <w:r>
              <w:rPr>
                <w:rFonts w:ascii="Arial" w:cs="Arial" w:eastAsia="Arial" w:hAnsi="Arial"/>
                <w:sz w:val="11"/>
                <w:szCs w:val="11"/>
                <w:color w:val="008000"/>
                <w:w w:val="81"/>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282.837</w:t>
            </w:r>
            <w:r>
              <w:rPr>
                <w:rFonts w:ascii="Arial" w:cs="Arial" w:eastAsia="Arial" w:hAnsi="Arial"/>
                <w:sz w:val="22"/>
                <w:szCs w:val="22"/>
                <w:color w:val="008000"/>
                <w:w w:val="82"/>
                <w:vertAlign w:val="superscript"/>
              </w:rPr>
              <w:t>(1)(3)</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16,581,374</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3"/>
              <w:spacing w:after="0"/>
              <w:rPr>
                <w:sz w:val="20"/>
                <w:szCs w:val="20"/>
                <w:color w:val="auto"/>
              </w:rPr>
            </w:pPr>
            <w:r>
              <w:rPr>
                <w:rFonts w:ascii="Arial" w:cs="Arial" w:eastAsia="Arial" w:hAnsi="Arial"/>
                <w:sz w:val="18"/>
                <w:szCs w:val="18"/>
                <w:color w:val="0000FF"/>
                <w:w w:val="88"/>
              </w:rPr>
              <w:t>02/06/2014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2,009</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284.2688</w:t>
            </w:r>
            <w:r>
              <w:rPr>
                <w:rFonts w:ascii="Arial" w:cs="Arial" w:eastAsia="Arial" w:hAnsi="Arial"/>
                <w:sz w:val="22"/>
                <w:szCs w:val="22"/>
                <w:color w:val="008000"/>
                <w:w w:val="84"/>
                <w:vertAlign w:val="superscript"/>
              </w:rPr>
              <w:t>(1)(5)</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16,583,383</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3"/>
              <w:spacing w:after="0"/>
              <w:rPr>
                <w:sz w:val="20"/>
                <w:szCs w:val="20"/>
                <w:color w:val="auto"/>
              </w:rPr>
            </w:pPr>
            <w:r>
              <w:rPr>
                <w:rFonts w:ascii="Arial" w:cs="Arial" w:eastAsia="Arial" w:hAnsi="Arial"/>
                <w:sz w:val="18"/>
                <w:szCs w:val="18"/>
                <w:color w:val="0000FF"/>
                <w:w w:val="88"/>
              </w:rPr>
              <w:t>02/06/2014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9,633</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285.1991</w:t>
            </w:r>
            <w:r>
              <w:rPr>
                <w:rFonts w:ascii="Arial" w:cs="Arial" w:eastAsia="Arial" w:hAnsi="Arial"/>
                <w:sz w:val="22"/>
                <w:szCs w:val="22"/>
                <w:color w:val="008000"/>
                <w:w w:val="84"/>
                <w:vertAlign w:val="superscript"/>
              </w:rPr>
              <w:t>(1)(6)</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16,593,016</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3"/>
              <w:spacing w:after="0"/>
              <w:rPr>
                <w:sz w:val="20"/>
                <w:szCs w:val="20"/>
                <w:color w:val="auto"/>
              </w:rPr>
            </w:pPr>
            <w:r>
              <w:rPr>
                <w:rFonts w:ascii="Arial" w:cs="Arial" w:eastAsia="Arial" w:hAnsi="Arial"/>
                <w:sz w:val="18"/>
                <w:szCs w:val="18"/>
                <w:color w:val="0000FF"/>
                <w:w w:val="88"/>
              </w:rPr>
              <w:t>02/06/2014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60,271</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286.3404</w:t>
            </w:r>
            <w:r>
              <w:rPr>
                <w:rFonts w:ascii="Arial" w:cs="Arial" w:eastAsia="Arial" w:hAnsi="Arial"/>
                <w:sz w:val="22"/>
                <w:szCs w:val="22"/>
                <w:color w:val="008000"/>
                <w:w w:val="84"/>
                <w:vertAlign w:val="superscript"/>
              </w:rPr>
              <w:t>(1)(7)</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16,653,287</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3"/>
              <w:spacing w:after="0"/>
              <w:rPr>
                <w:sz w:val="20"/>
                <w:szCs w:val="20"/>
                <w:color w:val="auto"/>
              </w:rPr>
            </w:pPr>
            <w:r>
              <w:rPr>
                <w:rFonts w:ascii="Arial" w:cs="Arial" w:eastAsia="Arial" w:hAnsi="Arial"/>
                <w:sz w:val="18"/>
                <w:szCs w:val="18"/>
                <w:color w:val="0000FF"/>
                <w:w w:val="88"/>
              </w:rPr>
              <w:t>02/06/2014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61,578</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287.1324</w:t>
            </w:r>
            <w:r>
              <w:rPr>
                <w:rFonts w:ascii="Arial" w:cs="Arial" w:eastAsia="Arial" w:hAnsi="Arial"/>
                <w:sz w:val="22"/>
                <w:szCs w:val="22"/>
                <w:color w:val="008000"/>
                <w:w w:val="84"/>
                <w:vertAlign w:val="superscript"/>
              </w:rPr>
              <w:t>(1)(8)</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16,714,865</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3"/>
              <w:spacing w:after="0"/>
              <w:rPr>
                <w:sz w:val="20"/>
                <w:szCs w:val="20"/>
                <w:color w:val="auto"/>
              </w:rPr>
            </w:pPr>
            <w:r>
              <w:rPr>
                <w:rFonts w:ascii="Arial" w:cs="Arial" w:eastAsia="Arial" w:hAnsi="Arial"/>
                <w:sz w:val="18"/>
                <w:szCs w:val="18"/>
                <w:color w:val="0000FF"/>
                <w:w w:val="88"/>
              </w:rPr>
              <w:t>02/06/2014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w w:val="81"/>
              </w:rPr>
              <w:t>12,769</w:t>
            </w:r>
            <w:r>
              <w:rPr>
                <w:rFonts w:ascii="Arial" w:cs="Arial" w:eastAsia="Arial" w:hAnsi="Arial"/>
                <w:sz w:val="22"/>
                <w:szCs w:val="22"/>
                <w:color w:val="008000"/>
                <w:w w:val="81"/>
                <w:vertAlign w:val="superscript"/>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287.8814</w:t>
            </w:r>
            <w:r>
              <w:rPr>
                <w:rFonts w:ascii="Arial" w:cs="Arial" w:eastAsia="Arial" w:hAnsi="Arial"/>
                <w:sz w:val="22"/>
                <w:szCs w:val="22"/>
                <w:color w:val="008000"/>
                <w:w w:val="84"/>
                <w:vertAlign w:val="superscript"/>
              </w:rPr>
              <w:t>(1)(9)</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16,727,634</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3"/>
              <w:spacing w:after="0"/>
              <w:rPr>
                <w:sz w:val="20"/>
                <w:szCs w:val="20"/>
                <w:color w:val="auto"/>
              </w:rPr>
            </w:pPr>
            <w:r>
              <w:rPr>
                <w:rFonts w:ascii="Arial" w:cs="Arial" w:eastAsia="Arial" w:hAnsi="Arial"/>
                <w:sz w:val="18"/>
                <w:szCs w:val="18"/>
                <w:color w:val="0000FF"/>
                <w:w w:val="88"/>
              </w:rPr>
              <w:t>02/07/2014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81"/>
                <w:vertAlign w:val="subscript"/>
              </w:rPr>
              <w:t>505</w:t>
            </w:r>
            <w:r>
              <w:rPr>
                <w:rFonts w:ascii="Arial" w:cs="Arial" w:eastAsia="Arial" w:hAnsi="Arial"/>
                <w:sz w:val="11"/>
                <w:szCs w:val="11"/>
                <w:color w:val="008000"/>
                <w:w w:val="81"/>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284.4908</w:t>
            </w:r>
            <w:r>
              <w:rPr>
                <w:rFonts w:ascii="Arial" w:cs="Arial" w:eastAsia="Arial" w:hAnsi="Arial"/>
                <w:sz w:val="22"/>
                <w:szCs w:val="22"/>
                <w:color w:val="008000"/>
                <w:w w:val="83"/>
                <w:vertAlign w:val="superscript"/>
              </w:rPr>
              <w:t>(1)(10)</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16,728,139</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3"/>
              <w:spacing w:after="0"/>
              <w:rPr>
                <w:sz w:val="20"/>
                <w:szCs w:val="20"/>
                <w:color w:val="auto"/>
              </w:rPr>
            </w:pPr>
            <w:r>
              <w:rPr>
                <w:rFonts w:ascii="Arial" w:cs="Arial" w:eastAsia="Arial" w:hAnsi="Arial"/>
                <w:sz w:val="18"/>
                <w:szCs w:val="18"/>
                <w:color w:val="0000FF"/>
                <w:w w:val="88"/>
              </w:rPr>
              <w:t>02/07/2014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7,528</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286.3758</w:t>
            </w:r>
            <w:r>
              <w:rPr>
                <w:rFonts w:ascii="Arial" w:cs="Arial" w:eastAsia="Arial" w:hAnsi="Arial"/>
                <w:sz w:val="22"/>
                <w:szCs w:val="22"/>
                <w:color w:val="008000"/>
                <w:w w:val="83"/>
                <w:vertAlign w:val="superscript"/>
              </w:rPr>
              <w:t>(1)(11)</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16,735,667</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3"/>
              <w:spacing w:after="0"/>
              <w:rPr>
                <w:sz w:val="20"/>
                <w:szCs w:val="20"/>
                <w:color w:val="auto"/>
              </w:rPr>
            </w:pPr>
            <w:r>
              <w:rPr>
                <w:rFonts w:ascii="Arial" w:cs="Arial" w:eastAsia="Arial" w:hAnsi="Arial"/>
                <w:sz w:val="18"/>
                <w:szCs w:val="18"/>
                <w:color w:val="0000FF"/>
                <w:w w:val="88"/>
              </w:rPr>
              <w:t>02/07/2014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8,016</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287.2653</w:t>
            </w:r>
            <w:r>
              <w:rPr>
                <w:rFonts w:ascii="Arial" w:cs="Arial" w:eastAsia="Arial" w:hAnsi="Arial"/>
                <w:sz w:val="22"/>
                <w:szCs w:val="22"/>
                <w:color w:val="008000"/>
                <w:w w:val="83"/>
                <w:vertAlign w:val="superscript"/>
              </w:rPr>
              <w:t>(1)(12)</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16,743,683</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3"/>
              <w:spacing w:after="0"/>
              <w:rPr>
                <w:sz w:val="20"/>
                <w:szCs w:val="20"/>
                <w:color w:val="auto"/>
              </w:rPr>
            </w:pPr>
            <w:r>
              <w:rPr>
                <w:rFonts w:ascii="Arial" w:cs="Arial" w:eastAsia="Arial" w:hAnsi="Arial"/>
                <w:sz w:val="18"/>
                <w:szCs w:val="18"/>
                <w:color w:val="0000FF"/>
                <w:w w:val="88"/>
              </w:rPr>
              <w:t>02/07/2014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3,237</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288.0119</w:t>
            </w:r>
            <w:r>
              <w:rPr>
                <w:rFonts w:ascii="Arial" w:cs="Arial" w:eastAsia="Arial" w:hAnsi="Arial"/>
                <w:sz w:val="22"/>
                <w:szCs w:val="22"/>
                <w:color w:val="008000"/>
                <w:w w:val="83"/>
                <w:vertAlign w:val="superscript"/>
              </w:rPr>
              <w:t>(1)(13)</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16,746,920</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00" w:type="dxa"/>
            <w:vAlign w:val="bottom"/>
          </w:tcPr>
          <w:p>
            <w:pPr>
              <w:spacing w:after="0"/>
              <w:rPr>
                <w:sz w:val="22"/>
                <w:szCs w:val="22"/>
                <w:color w:val="auto"/>
              </w:rPr>
            </w:pPr>
          </w:p>
        </w:tc>
        <w:tc>
          <w:tcPr>
            <w:tcW w:w="1200" w:type="dxa"/>
            <w:vAlign w:val="bottom"/>
            <w:vMerge w:val="restart"/>
          </w:tcPr>
          <w:p>
            <w:pPr>
              <w:jc w:val="center"/>
              <w:ind w:left="243"/>
              <w:spacing w:after="0"/>
              <w:rPr>
                <w:sz w:val="20"/>
                <w:szCs w:val="20"/>
                <w:color w:val="auto"/>
              </w:rPr>
            </w:pPr>
            <w:r>
              <w:rPr>
                <w:rFonts w:ascii="Arial" w:cs="Arial" w:eastAsia="Arial" w:hAnsi="Arial"/>
                <w:sz w:val="18"/>
                <w:szCs w:val="18"/>
                <w:color w:val="0000FF"/>
                <w:w w:val="88"/>
              </w:rPr>
              <w:t>02/07/2014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4"/>
                <w:szCs w:val="14"/>
                <w:color w:val="0000FF"/>
              </w:rPr>
              <w:t>P</w:t>
            </w:r>
          </w:p>
        </w:tc>
        <w:tc>
          <w:tcPr>
            <w:tcW w:w="420" w:type="dxa"/>
            <w:vAlign w:val="bottom"/>
          </w:tcPr>
          <w:p>
            <w:pPr>
              <w:spacing w:after="0"/>
              <w:rPr>
                <w:sz w:val="22"/>
                <w:szCs w:val="22"/>
                <w:color w:val="auto"/>
              </w:rPr>
            </w:pPr>
          </w:p>
        </w:tc>
        <w:tc>
          <w:tcPr>
            <w:tcW w:w="92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2,700</w:t>
            </w:r>
            <w:r>
              <w:rPr>
                <w:rFonts w:ascii="Arial" w:cs="Arial" w:eastAsia="Arial" w:hAnsi="Arial"/>
                <w:sz w:val="11"/>
                <w:szCs w:val="11"/>
                <w:color w:val="008000"/>
                <w:w w:val="77"/>
              </w:rPr>
              <w:t>(1)(2)</w:t>
            </w:r>
          </w:p>
        </w:tc>
        <w:tc>
          <w:tcPr>
            <w:tcW w:w="140" w:type="dxa"/>
            <w:vAlign w:val="bottom"/>
          </w:tcPr>
          <w:p>
            <w:pPr>
              <w:spacing w:after="0"/>
              <w:rPr>
                <w:sz w:val="22"/>
                <w:szCs w:val="22"/>
                <w:color w:val="auto"/>
              </w:rPr>
            </w:pPr>
          </w:p>
        </w:tc>
        <w:tc>
          <w:tcPr>
            <w:tcW w:w="380" w:type="dxa"/>
            <w:vAlign w:val="bottom"/>
            <w:vMerge w:val="restart"/>
          </w:tcPr>
          <w:p>
            <w:pPr>
              <w:jc w:val="center"/>
              <w:ind w:right="144"/>
              <w:spacing w:after="0"/>
              <w:rPr>
                <w:sz w:val="20"/>
                <w:szCs w:val="20"/>
                <w:color w:val="auto"/>
              </w:rPr>
            </w:pPr>
            <w:r>
              <w:rPr>
                <w:rFonts w:ascii="Arial" w:cs="Arial" w:eastAsia="Arial" w:hAnsi="Arial"/>
                <w:sz w:val="18"/>
                <w:szCs w:val="18"/>
                <w:color w:val="0000FF"/>
                <w:w w:val="99"/>
              </w:rPr>
              <w:t>A</w:t>
            </w:r>
          </w:p>
        </w:tc>
        <w:tc>
          <w:tcPr>
            <w:tcW w:w="1140" w:type="dxa"/>
            <w:vAlign w:val="bottom"/>
            <w:gridSpan w:val="5"/>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289.9767</w:t>
            </w:r>
            <w:r>
              <w:rPr>
                <w:rFonts w:ascii="Arial" w:cs="Arial" w:eastAsia="Arial" w:hAnsi="Arial"/>
                <w:sz w:val="22"/>
                <w:szCs w:val="22"/>
                <w:color w:val="008000"/>
                <w:w w:val="83"/>
                <w:vertAlign w:val="superscript"/>
              </w:rPr>
              <w:t>(1)(14)</w:t>
            </w: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color w:val="0000FF"/>
              </w:rPr>
              <w:t>16,749,620</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20"/>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60" w:type="dxa"/>
            <w:vAlign w:val="bottom"/>
            <w:gridSpan w:val="18"/>
          </w:tcPr>
          <w:p>
            <w:pPr>
              <w:jc w:val="center"/>
              <w:ind w:left="18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200"/>
              <w:spacing w:after="0"/>
              <w:rPr>
                <w:sz w:val="20"/>
                <w:szCs w:val="20"/>
                <w:color w:val="auto"/>
              </w:rPr>
            </w:pPr>
            <w:r>
              <w:rPr>
                <w:rFonts w:ascii="Arial" w:cs="Arial" w:eastAsia="Arial" w:hAnsi="Arial"/>
                <w:sz w:val="12"/>
                <w:szCs w:val="12"/>
                <w:b w:val="1"/>
                <w:bCs w:val="1"/>
                <w:color w:val="auto"/>
                <w:w w:val="95"/>
              </w:rPr>
              <w:t>10.</w:t>
            </w:r>
          </w:p>
        </w:tc>
        <w:tc>
          <w:tcPr>
            <w:tcW w:w="56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3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3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6"/>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3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14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160" w:type="dxa"/>
            <w:vAlign w:val="bottom"/>
          </w:tcPr>
          <w:p>
            <w:pPr>
              <w:spacing w:after="0"/>
              <w:rPr>
                <w:sz w:val="13"/>
                <w:szCs w:val="13"/>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number of securities reported represents an aggregate number of shares purchased in multiple market transactions over a range of purchase prices. The price reported represents the weighted average price per share. The Reporting Person undertakes to provide the staff of the SEC, the Issuer, or a stockholder of the Issuer, upon request, the number of shares purchased by the Reporting Person at each separate price within the range.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acquired directly by sanofi-aventis Amerique du Nord ("SAAN").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$282.70 to $282.92 per share, inclusive.</w:t>
      </w:r>
    </w:p>
    <w:p>
      <w:pPr>
        <w:spacing w:after="0" w:line="41" w:lineRule="exact"/>
        <w:rPr>
          <w:rFonts w:ascii="Arial" w:cs="Arial" w:eastAsia="Arial" w:hAnsi="Arial"/>
          <w:sz w:val="14"/>
          <w:szCs w:val="14"/>
          <w:color w:val="008000"/>
        </w:rPr>
      </w:pPr>
    </w:p>
    <w:p>
      <w:pPr>
        <w:jc w:val="both"/>
        <w:ind w:left="40" w:right="14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Indirectly owned through (a) SAAN, a direct, wholly-owned subsidiary of Sanofi, and (b) Aventis Pharmaceuticals Inc. ("Aventis"), an indirect, wholly-owned subsidiary of SAAN. After giving effect to all acquisitions reported on this Form 4, the number of shares beneficially owned directly by SAAN and Aventis was 13,950,068 shares and 2,799,552 shares, respectively. Pursuant to the Amended and Restated</w:t>
      </w:r>
    </w:p>
    <w:p>
      <w:pPr>
        <w:sectPr>
          <w:pgSz w:w="11900" w:h="16928" w:orient="portrait"/>
          <w:cols w:equalWidth="0" w:num="1">
            <w:col w:w="11420"/>
          </w:cols>
          <w:pgMar w:left="240" w:top="226" w:right="239" w:bottom="0" w:gutter="0" w:footer="0" w:header="0"/>
          <w:type w:val="continuous"/>
        </w:sectPr>
      </w:pPr>
    </w:p>
    <w:bookmarkStart w:id="1" w:name="page2"/>
    <w:bookmarkEnd w:id="1"/>
    <w:p>
      <w:pPr>
        <w:spacing w:after="0" w:line="239" w:lineRule="auto"/>
        <w:rPr>
          <w:sz w:val="20"/>
          <w:szCs w:val="20"/>
          <w:color w:val="auto"/>
        </w:rPr>
      </w:pPr>
      <w:r>
        <w:rPr>
          <w:rFonts w:ascii="Arial" w:cs="Arial" w:eastAsia="Arial" w:hAnsi="Arial"/>
          <w:sz w:val="14"/>
          <w:szCs w:val="14"/>
          <w:color w:val="008000"/>
        </w:rPr>
        <w:t>Investor Agreement, dated as of January 11, 2014, by and among Sanofi, SAAN, sanofi-aventis US LLC, Aventis (collectively, the "Sanofi Parties") and the Issuer, the Sanofi Parties have agreed to vote their respective shares of the Issuer, subject to specified exceptions, in accordance with the recommendation of the Issuers Board of Directors.</w:t>
      </w:r>
    </w:p>
    <w:p>
      <w:pPr>
        <w:spacing w:after="0" w:line="30" w:lineRule="exact"/>
        <w:rPr>
          <w:sz w:val="20"/>
          <w:szCs w:val="20"/>
          <w:color w:val="auto"/>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$283.70 to $284.69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$284.70 to $285.66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$285.70 to $286.69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$286.70 to $287.69 per share, inclusive.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$287.70 to $288.00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$284.32 to $285.13 per share, inclusive.</w:t>
      </w:r>
    </w:p>
    <w:p>
      <w:pPr>
        <w:spacing w:after="0" w:line="41" w:lineRule="exact"/>
        <w:rPr>
          <w:rFonts w:ascii="Arial" w:cs="Arial" w:eastAsia="Arial" w:hAnsi="Arial"/>
          <w:sz w:val="14"/>
          <w:szCs w:val="14"/>
          <w:color w:val="008000"/>
        </w:rPr>
      </w:pPr>
    </w:p>
    <w:p>
      <w:pPr>
        <w:ind w:left="200" w:hanging="191"/>
        <w:spacing w:after="0"/>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Purchase prices range from $285.78 to $286.74 per share, inclusive.</w:t>
      </w:r>
    </w:p>
    <w:p>
      <w:pPr>
        <w:spacing w:after="0" w:line="64" w:lineRule="exact"/>
        <w:rPr>
          <w:rFonts w:ascii="Arial" w:cs="Arial" w:eastAsia="Arial" w:hAnsi="Arial"/>
          <w:sz w:val="12"/>
          <w:szCs w:val="12"/>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$286.79 to $287.71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$287.84 to $288.10 per share, inclusive.</w:t>
      </w:r>
    </w:p>
    <w:p>
      <w:pPr>
        <w:spacing w:after="0" w:line="41" w:lineRule="exact"/>
        <w:rPr>
          <w:rFonts w:ascii="Arial" w:cs="Arial" w:eastAsia="Arial" w:hAnsi="Arial"/>
          <w:sz w:val="14"/>
          <w:szCs w:val="14"/>
          <w:color w:val="008000"/>
        </w:rPr>
      </w:pP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Purchase prices range from $289.92 to $290.00 per share, inclusive.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Felitti, Associate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589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President, Corporate Law,</w:t>
      </w:r>
      <w:r>
        <w:rPr>
          <w:sz w:val="20"/>
          <w:szCs w:val="20"/>
          <w:color w:val="auto"/>
        </w:rPr>
        <w:tab/>
      </w:r>
      <w:r>
        <w:rPr>
          <w:rFonts w:ascii="Arial" w:cs="Arial" w:eastAsia="Arial" w:hAnsi="Arial"/>
          <w:sz w:val="15"/>
          <w:szCs w:val="15"/>
          <w:color w:val="0000FF"/>
        </w:rPr>
        <w:t>02/10/2014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Financial &amp;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230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38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180"/>
      </w:cols>
      <w:pgMar w:left="280" w:top="12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2140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2019-12-17T05:07:03Z</dcterms:created>
  <dcterms:modified xsi:type="dcterms:W3CDTF">2019-12-17T05:07:03Z</dcterms:modified>
</cp:coreProperties>
</file>